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90" w:lineRule="exact"/>
        <w:rPr>
          <w:sz w:val="24"/>
          <w:szCs w:val="24"/>
          <w:color w:val="auto"/>
        </w:rPr>
      </w:pPr>
    </w:p>
    <w:p>
      <w:pPr>
        <w:ind w:left="3160" w:right="240" w:hanging="2917"/>
        <w:spacing w:after="0" w:line="327" w:lineRule="auto"/>
        <w:tabs>
          <w:tab w:leader="none" w:pos="55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29" w:lineRule="exact"/>
        <w:rPr>
          <w:rFonts w:ascii="MS PGothic" w:cs="MS PGothic" w:eastAsia="MS PGothic" w:hAnsi="MS PGothic"/>
          <w:sz w:val="18"/>
          <w:szCs w:val="18"/>
          <w:color w:val="auto"/>
        </w:rPr>
      </w:pPr>
    </w:p>
    <w:p>
      <w:pPr>
        <w:ind w:left="540" w:hanging="30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jc w:val="center"/>
        <w:spacing w:after="0"/>
        <w:tabs>
          <w:tab w:leader="none" w:pos="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001-38302</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NRX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b w:val="1"/>
                <w:bCs w:val="1"/>
                <w:color w:val="auto"/>
                <w:w w:val="93"/>
              </w:rPr>
              <w:t>Delaware</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jc w:val="right"/>
              <w:ind w:right="1870"/>
              <w:spacing w:after="0"/>
              <w:rPr>
                <w:sz w:val="20"/>
                <w:szCs w:val="20"/>
                <w:color w:val="auto"/>
              </w:rPr>
            </w:pPr>
            <w:r>
              <w:rPr>
                <w:rFonts w:ascii="Arial" w:cs="Arial" w:eastAsia="Arial" w:hAnsi="Arial"/>
                <w:sz w:val="18"/>
                <w:szCs w:val="18"/>
                <w:b w:val="1"/>
                <w:bCs w:val="1"/>
                <w:color w:val="auto"/>
              </w:rPr>
              <w:t>82-2844431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3"/>
              </w:rPr>
              <w:t>(State or other jurisdiction of</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20" w:type="dxa"/>
            <w:vAlign w:val="bottom"/>
          </w:tcPr>
          <w:p>
            <w:pPr>
              <w:jc w:val="center"/>
              <w:ind w:right="99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3"/>
              </w:rPr>
              <w:t>incorporation or organization)</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20" w:type="dxa"/>
            <w:vAlign w:val="bottom"/>
            <w:vMerge w:val="restart"/>
          </w:tcPr>
          <w:p>
            <w:pPr>
              <w:ind w:left="660"/>
              <w:spacing w:after="0"/>
              <w:rPr>
                <w:sz w:val="20"/>
                <w:szCs w:val="20"/>
                <w:color w:val="auto"/>
              </w:rPr>
            </w:pPr>
            <w:r>
              <w:rPr>
                <w:rFonts w:ascii="Arial" w:cs="Arial" w:eastAsia="Arial" w:hAnsi="Arial"/>
                <w:sz w:val="18"/>
                <w:szCs w:val="18"/>
                <w:color w:val="auto"/>
              </w:rPr>
              <w:t>Identification No.)</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1201 Orange Street, Suite 600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3"/>
              </w:rPr>
              <w:t>Wilmington, DE 19801</w:t>
            </w: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00" w:type="dxa"/>
            <w:vAlign w:val="bottom"/>
            <w:gridSpan w:val="7"/>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1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0"/>
              </w:rPr>
              <w:t>(484) 254-6134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00" w:type="dxa"/>
            <w:vAlign w:val="bottom"/>
            <w:gridSpan w:val="7"/>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338"/>
        </w:trPr>
        <w:tc>
          <w:tcPr>
            <w:tcW w:w="620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372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Title of each class: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Trading Symbol(s)</w:t>
            </w:r>
          </w:p>
        </w:tc>
        <w:tc>
          <w:tcPr>
            <w:tcW w:w="3720" w:type="dxa"/>
            <w:vAlign w:val="bottom"/>
          </w:tcPr>
          <w:p>
            <w:pPr>
              <w:ind w:left="80"/>
              <w:spacing w:after="0"/>
              <w:rPr>
                <w:sz w:val="20"/>
                <w:szCs w:val="20"/>
                <w:color w:val="auto"/>
              </w:rPr>
            </w:pPr>
            <w:r>
              <w:rPr>
                <w:rFonts w:ascii="Arial" w:cs="Arial" w:eastAsia="Arial" w:hAnsi="Arial"/>
                <w:sz w:val="18"/>
                <w:szCs w:val="18"/>
                <w:b w:val="1"/>
                <w:bCs w:val="1"/>
                <w:color w:val="auto"/>
                <w:w w:val="93"/>
              </w:rPr>
              <w:t>Name of each exchange on which registered:</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720" w:type="dxa"/>
            <w:vAlign w:val="bottom"/>
          </w:tcPr>
          <w:p>
            <w:pPr>
              <w:jc w:val="center"/>
              <w:ind w:left="230"/>
              <w:spacing w:after="0"/>
              <w:rPr>
                <w:sz w:val="20"/>
                <w:szCs w:val="20"/>
                <w:color w:val="auto"/>
              </w:rPr>
            </w:pPr>
            <w:r>
              <w:rPr>
                <w:rFonts w:ascii="Arial" w:cs="Arial" w:eastAsia="Arial" w:hAnsi="Arial"/>
                <w:sz w:val="18"/>
                <w:szCs w:val="18"/>
                <w:color w:val="auto"/>
                <w:w w:val="89"/>
              </w:rPr>
              <w:t>Common Stock, par value $0.001 per share</w:t>
            </w:r>
          </w:p>
        </w:tc>
        <w:tc>
          <w:tcPr>
            <w:tcW w:w="34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NRXP</w:t>
            </w:r>
          </w:p>
        </w:tc>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ind w:left="660"/>
              <w:spacing w:after="0"/>
              <w:rPr>
                <w:sz w:val="20"/>
                <w:szCs w:val="20"/>
                <w:color w:val="auto"/>
              </w:rPr>
            </w:pPr>
            <w:r>
              <w:rPr>
                <w:rFonts w:ascii="Arial" w:cs="Arial" w:eastAsia="Arial" w:hAnsi="Arial"/>
                <w:sz w:val="18"/>
                <w:szCs w:val="18"/>
                <w:color w:val="auto"/>
              </w:rPr>
              <w:t>The Nasdaq Stock Market LLC</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w w:val="90"/>
              </w:rPr>
              <w:t>Warrants to purchase one share of Common Stock</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8"/>
                <w:szCs w:val="18"/>
                <w:color w:val="auto"/>
                <w:w w:val="98"/>
              </w:rPr>
              <w:t>NRXPW</w:t>
            </w:r>
          </w:p>
        </w:tc>
        <w:tc>
          <w:tcPr>
            <w:tcW w:w="3720" w:type="dxa"/>
            <w:vAlign w:val="bottom"/>
          </w:tcPr>
          <w:p>
            <w:pPr>
              <w:ind w:left="660"/>
              <w:spacing w:after="0"/>
              <w:rPr>
                <w:sz w:val="20"/>
                <w:szCs w:val="20"/>
                <w:color w:val="auto"/>
              </w:rPr>
            </w:pPr>
            <w:r>
              <w:rPr>
                <w:rFonts w:ascii="Arial" w:cs="Arial" w:eastAsia="Arial" w:hAnsi="Arial"/>
                <w:sz w:val="18"/>
                <w:szCs w:val="18"/>
                <w:color w:val="auto"/>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23" w:lineRule="exact"/>
        <w:rPr>
          <w:sz w:val="24"/>
          <w:szCs w:val="24"/>
          <w:color w:val="auto"/>
        </w:rPr>
      </w:pPr>
    </w:p>
    <w:p>
      <w:pPr>
        <w:ind w:left="11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000" w:space="720"/>
            <w:col w:w="3200"/>
          </w:cols>
          <w:pgMar w:left="980" w:top="665" w:right="999" w:bottom="1440" w:gutter="0" w:footer="0" w:header="0"/>
          <w:type w:val="continuous"/>
        </w:sectPr>
      </w:pPr>
    </w:p>
    <w:p>
      <w:pPr>
        <w:spacing w:after="0" w:line="44" w:lineRule="exact"/>
        <w:rPr>
          <w:sz w:val="24"/>
          <w:szCs w:val="24"/>
          <w:color w:val="auto"/>
        </w:rPr>
      </w:pPr>
    </w:p>
    <w:p>
      <w:pPr>
        <w:ind w:left="63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ectPr>
          <w:pgSz w:w="11900" w:h="16838" w:orient="portrait"/>
          <w:cols w:equalWidth="0" w:num="1">
            <w:col w:w="9920"/>
          </w:cols>
          <w:pgMar w:left="980" w:top="665" w:right="999" w:bottom="1440" w:gutter="0" w:footer="0" w:header="0"/>
          <w:type w:val="continuous"/>
        </w:sectPr>
      </w:pPr>
    </w:p>
    <w:p>
      <w:pPr>
        <w:spacing w:after="0" w:line="244" w:lineRule="exact"/>
        <w:rPr>
          <w:sz w:val="24"/>
          <w:szCs w:val="24"/>
          <w:color w:val="auto"/>
        </w:rPr>
      </w:pPr>
    </w:p>
    <w:p>
      <w:pPr>
        <w:ind w:left="118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8" w:lineRule="exact"/>
        <w:rPr>
          <w:sz w:val="24"/>
          <w:szCs w:val="24"/>
          <w:color w:val="auto"/>
        </w:rPr>
      </w:pPr>
    </w:p>
    <w:p>
      <w:pPr>
        <w:sectPr>
          <w:pgSz w:w="11900" w:h="16838" w:orient="portrait"/>
          <w:cols w:equalWidth="0" w:num="2">
            <w:col w:w="5640" w:space="720"/>
            <w:col w:w="3560"/>
          </w:cols>
          <w:pgMar w:left="980" w:top="665" w:right="999" w:bottom="1440" w:gutter="0" w:footer="0" w:header="0"/>
          <w:type w:val="continuous"/>
        </w:sect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 w:lineRule="exact"/>
        <w:rPr>
          <w:sz w:val="24"/>
          <w:szCs w:val="24"/>
          <w:color w:val="auto"/>
        </w:rPr>
      </w:pPr>
    </w:p>
    <w:p>
      <w:pPr>
        <w:ind w:left="660" w:right="6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12, 2022, the registrant had 67,641,314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472440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52070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9"/>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3140" w:type="dxa"/>
            <w:vAlign w:val="bottom"/>
            <w:gridSpan w:val="11"/>
            <w:vMerge w:val="restart"/>
          </w:tcPr>
          <w:p>
            <w:pPr>
              <w:spacing w:after="0"/>
              <w:rPr>
                <w:sz w:val="20"/>
                <w:szCs w:val="20"/>
                <w:color w:val="auto"/>
              </w:rPr>
            </w:pPr>
            <w:r>
              <w:rPr>
                <w:rFonts w:ascii="Arial" w:cs="Arial" w:eastAsia="Arial" w:hAnsi="Arial"/>
                <w:sz w:val="18"/>
                <w:szCs w:val="18"/>
                <w:b w:val="1"/>
                <w:bCs w:val="1"/>
                <w:color w:val="0000EE"/>
              </w:rPr>
              <w:t>PART I - FINANCIAL INFORMATION</w:t>
            </w:r>
          </w:p>
        </w:tc>
        <w:tc>
          <w:tcPr>
            <w:tcW w:w="6160" w:type="dxa"/>
            <w:vAlign w:val="bottom"/>
            <w:gridSpan w:val="11"/>
            <w:vMerge w:val="restart"/>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140" w:type="dxa"/>
            <w:vAlign w:val="bottom"/>
            <w:tcBorders>
              <w:bottom w:val="single" w:sz="8" w:color="0000EE"/>
            </w:tcBorders>
            <w:gridSpan w:val="11"/>
            <w:vMerge w:val="continue"/>
          </w:tcPr>
          <w:p>
            <w:pPr>
              <w:spacing w:after="0"/>
              <w:rPr>
                <w:sz w:val="15"/>
                <w:szCs w:val="15"/>
                <w:color w:val="auto"/>
              </w:rPr>
            </w:pPr>
          </w:p>
        </w:tc>
        <w:tc>
          <w:tcPr>
            <w:tcW w:w="6160" w:type="dxa"/>
            <w:vAlign w:val="bottom"/>
            <w:gridSpan w:val="11"/>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8"/>
                <w:szCs w:val="18"/>
                <w:b w:val="1"/>
                <w:bCs w:val="1"/>
                <w:color w:val="0000EE"/>
              </w:rPr>
              <w:t>ITEM 1.</w:t>
            </w:r>
          </w:p>
        </w:tc>
        <w:tc>
          <w:tcPr>
            <w:tcW w:w="8220" w:type="dxa"/>
            <w:vAlign w:val="bottom"/>
            <w:gridSpan w:val="18"/>
          </w:tcPr>
          <w:p>
            <w:pPr>
              <w:spacing w:after="0"/>
              <w:rPr>
                <w:sz w:val="20"/>
                <w:szCs w:val="20"/>
                <w:color w:val="auto"/>
              </w:rPr>
            </w:pPr>
            <w:r>
              <w:rPr>
                <w:rFonts w:ascii="Arial" w:cs="Arial" w:eastAsia="Arial" w:hAnsi="Arial"/>
                <w:sz w:val="18"/>
                <w:szCs w:val="18"/>
                <w:color w:val="0000EE"/>
              </w:rPr>
              <w:t>Financial Statements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40" w:type="dxa"/>
            <w:vAlign w:val="bottom"/>
            <w:gridSpan w:val="12"/>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20" w:type="dxa"/>
            <w:vAlign w:val="bottom"/>
            <w:gridSpan w:val="18"/>
          </w:tcPr>
          <w:p>
            <w:pPr>
              <w:spacing w:after="0"/>
              <w:rPr>
                <w:sz w:val="20"/>
                <w:szCs w:val="20"/>
                <w:color w:val="auto"/>
              </w:rPr>
            </w:pPr>
            <w:r>
              <w:rPr>
                <w:rFonts w:ascii="Arial" w:cs="Arial" w:eastAsia="Arial" w:hAnsi="Arial"/>
                <w:sz w:val="18"/>
                <w:szCs w:val="18"/>
                <w:color w:val="0000EE"/>
              </w:rPr>
              <w:t>Condensed Consolidated Balance Sheets as of June 30, 2022 (Unaudited) and December 31, 2021</w:t>
            </w: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Unaudited Condensed Consolidated Statements of Operations for the three and six months ended June 30, 2022</w:t>
            </w:r>
          </w:p>
        </w:tc>
        <w:tc>
          <w:tcPr>
            <w:tcW w:w="180" w:type="dxa"/>
            <w:vAlign w:val="bottom"/>
            <w:gridSpan w:val="2"/>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20" w:type="dxa"/>
            <w:vAlign w:val="bottom"/>
            <w:gridSpan w:val="18"/>
          </w:tcPr>
          <w:p>
            <w:pPr>
              <w:spacing w:after="0" w:line="196" w:lineRule="exact"/>
              <w:rPr>
                <w:sz w:val="20"/>
                <w:szCs w:val="20"/>
                <w:color w:val="auto"/>
              </w:rPr>
            </w:pPr>
            <w:r>
              <w:rPr>
                <w:rFonts w:ascii="Arial" w:cs="Arial" w:eastAsia="Arial" w:hAnsi="Arial"/>
                <w:sz w:val="18"/>
                <w:szCs w:val="18"/>
                <w:color w:val="0000EE"/>
              </w:rPr>
              <w:t>and 2021</w:t>
            </w: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Unaudited Condensed Consolidated Statements of Changes in Stockholders' Equity (Deficit) for the six months</w:t>
            </w:r>
          </w:p>
        </w:tc>
        <w:tc>
          <w:tcPr>
            <w:tcW w:w="200" w:type="dxa"/>
            <w:vAlign w:val="bottom"/>
            <w:gridSpan w:val="3"/>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20" w:type="dxa"/>
            <w:vAlign w:val="bottom"/>
            <w:gridSpan w:val="18"/>
          </w:tcPr>
          <w:p>
            <w:pPr>
              <w:spacing w:after="0" w:line="196" w:lineRule="exact"/>
              <w:rPr>
                <w:sz w:val="20"/>
                <w:szCs w:val="20"/>
                <w:color w:val="auto"/>
              </w:rPr>
            </w:pPr>
            <w:r>
              <w:rPr>
                <w:rFonts w:ascii="Arial" w:cs="Arial" w:eastAsia="Arial" w:hAnsi="Arial"/>
                <w:sz w:val="18"/>
                <w:szCs w:val="18"/>
                <w:color w:val="0000EE"/>
              </w:rPr>
              <w:t>ended June 30, 2022 and 2021</w:t>
            </w: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20" w:type="dxa"/>
            <w:vAlign w:val="bottom"/>
            <w:gridSpan w:val="18"/>
          </w:tcPr>
          <w:p>
            <w:pPr>
              <w:spacing w:after="0"/>
              <w:rPr>
                <w:sz w:val="20"/>
                <w:szCs w:val="20"/>
                <w:color w:val="auto"/>
              </w:rPr>
            </w:pPr>
            <w:r>
              <w:rPr>
                <w:rFonts w:ascii="Arial" w:cs="Arial" w:eastAsia="Arial" w:hAnsi="Arial"/>
                <w:sz w:val="18"/>
                <w:szCs w:val="18"/>
                <w:color w:val="0000EE"/>
                <w:w w:val="90"/>
              </w:rPr>
              <w:t>Unaudited Condensed Consolidated Statements of Cash Flows for the six months ended June 30, 2022 and 2021</w:t>
            </w: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Notes to Unaudited Condensed Consolidated Financial Statements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680" w:type="dxa"/>
            <w:vAlign w:val="bottom"/>
            <w:gridSpan w:val="2"/>
            <w:vMerge w:val="restart"/>
          </w:tcPr>
          <w:p>
            <w:pPr>
              <w:spacing w:after="0"/>
              <w:rPr>
                <w:sz w:val="20"/>
                <w:szCs w:val="20"/>
                <w:color w:val="auto"/>
              </w:rPr>
            </w:pPr>
            <w:r>
              <w:rPr>
                <w:rFonts w:ascii="Arial" w:cs="Arial" w:eastAsia="Arial" w:hAnsi="Arial"/>
                <w:sz w:val="18"/>
                <w:szCs w:val="18"/>
                <w:b w:val="1"/>
                <w:bCs w:val="1"/>
                <w:color w:val="0000EE"/>
              </w:rPr>
              <w:t>ITEM 2.</w:t>
            </w:r>
          </w:p>
        </w:tc>
        <w:tc>
          <w:tcPr>
            <w:tcW w:w="400" w:type="dxa"/>
            <w:vAlign w:val="bottom"/>
            <w:gridSpan w:val="2"/>
            <w:vMerge w:val="restart"/>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line="20" w:lineRule="exact"/>
              <w:rPr>
                <w:sz w:val="1"/>
                <w:szCs w:val="1"/>
                <w:color w:val="auto"/>
              </w:rPr>
            </w:pPr>
          </w:p>
        </w:tc>
      </w:tr>
      <w:tr>
        <w:trPr>
          <w:trHeight w:val="223"/>
        </w:trPr>
        <w:tc>
          <w:tcPr>
            <w:tcW w:w="680" w:type="dxa"/>
            <w:vAlign w:val="bottom"/>
            <w:tcBorders>
              <w:bottom w:val="single" w:sz="8" w:color="0000EE"/>
            </w:tcBorders>
            <w:gridSpan w:val="2"/>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64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760" w:type="dxa"/>
            <w:vAlign w:val="bottom"/>
            <w:gridSpan w:val="5"/>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ITEM 3.</w:t>
            </w:r>
          </w:p>
        </w:tc>
        <w:tc>
          <w:tcPr>
            <w:tcW w:w="400" w:type="dxa"/>
            <w:vAlign w:val="bottom"/>
            <w:gridSpan w:val="2"/>
          </w:tcPr>
          <w:p>
            <w:pPr>
              <w:spacing w:after="0"/>
              <w:rPr>
                <w:sz w:val="19"/>
                <w:szCs w:val="19"/>
                <w:color w:val="auto"/>
              </w:rPr>
            </w:pPr>
          </w:p>
        </w:tc>
        <w:tc>
          <w:tcPr>
            <w:tcW w:w="43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3860" w:type="dxa"/>
            <w:vAlign w:val="bottom"/>
            <w:gridSpan w:val="7"/>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23"/>
        </w:trPr>
        <w:tc>
          <w:tcPr>
            <w:tcW w:w="1080" w:type="dxa"/>
            <w:vAlign w:val="bottom"/>
            <w:gridSpan w:val="4"/>
          </w:tcPr>
          <w:p>
            <w:pPr>
              <w:spacing w:after="0"/>
              <w:rPr>
                <w:sz w:val="20"/>
                <w:szCs w:val="20"/>
                <w:color w:val="auto"/>
              </w:rPr>
            </w:pPr>
            <w:r>
              <w:rPr>
                <w:rFonts w:ascii="Arial" w:cs="Arial" w:eastAsia="Arial" w:hAnsi="Arial"/>
                <w:sz w:val="18"/>
                <w:szCs w:val="18"/>
                <w:b w:val="1"/>
                <w:bCs w:val="1"/>
                <w:color w:val="0000EE"/>
              </w:rPr>
              <w:t>ITEM 4.</w:t>
            </w:r>
          </w:p>
        </w:tc>
        <w:tc>
          <w:tcPr>
            <w:tcW w:w="8220" w:type="dxa"/>
            <w:vAlign w:val="bottom"/>
            <w:gridSpan w:val="18"/>
          </w:tcPr>
          <w:p>
            <w:pPr>
              <w:spacing w:after="0"/>
              <w:rPr>
                <w:sz w:val="20"/>
                <w:szCs w:val="20"/>
                <w:color w:val="auto"/>
              </w:rPr>
            </w:pPr>
            <w:r>
              <w:rPr>
                <w:rFonts w:ascii="Arial" w:cs="Arial" w:eastAsia="Arial" w:hAnsi="Arial"/>
                <w:sz w:val="18"/>
                <w:szCs w:val="18"/>
                <w:color w:val="0000EE"/>
              </w:rPr>
              <w:t>Controls and Procedures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8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rPr>
              <w:t>PART II - OTHER INFORMATION</w:t>
            </w:r>
          </w:p>
        </w:tc>
        <w:tc>
          <w:tcPr>
            <w:tcW w:w="6440" w:type="dxa"/>
            <w:vAlign w:val="bottom"/>
            <w:gridSpan w:val="12"/>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EE"/>
              </w:rPr>
              <w:t>ITEM 1.</w:t>
            </w:r>
          </w:p>
        </w:tc>
        <w:tc>
          <w:tcPr>
            <w:tcW w:w="400" w:type="dxa"/>
            <w:vAlign w:val="bottom"/>
            <w:gridSpan w:val="2"/>
          </w:tcPr>
          <w:p>
            <w:pPr>
              <w:spacing w:after="0"/>
              <w:rPr>
                <w:sz w:val="24"/>
                <w:szCs w:val="24"/>
                <w:color w:val="auto"/>
              </w:rPr>
            </w:pPr>
          </w:p>
        </w:tc>
        <w:tc>
          <w:tcPr>
            <w:tcW w:w="8220" w:type="dxa"/>
            <w:vAlign w:val="bottom"/>
            <w:gridSpan w:val="18"/>
          </w:tcPr>
          <w:p>
            <w:pPr>
              <w:spacing w:after="0"/>
              <w:rPr>
                <w:sz w:val="20"/>
                <w:szCs w:val="20"/>
                <w:color w:val="auto"/>
              </w:rPr>
            </w:pPr>
            <w:r>
              <w:rPr>
                <w:rFonts w:ascii="Arial" w:cs="Arial" w:eastAsia="Arial" w:hAnsi="Arial"/>
                <w:sz w:val="18"/>
                <w:szCs w:val="18"/>
                <w:color w:val="0000EE"/>
              </w:rPr>
              <w:t>Legal Proceedings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gridSpan w:val="3"/>
          </w:tcPr>
          <w:p>
            <w:pPr>
              <w:spacing w:after="0"/>
              <w:rPr>
                <w:sz w:val="20"/>
                <w:szCs w:val="20"/>
                <w:color w:val="auto"/>
              </w:rPr>
            </w:pPr>
            <w:r>
              <w:rPr>
                <w:rFonts w:ascii="Arial" w:cs="Arial" w:eastAsia="Arial" w:hAnsi="Arial"/>
                <w:sz w:val="18"/>
                <w:szCs w:val="18"/>
                <w:b w:val="1"/>
                <w:bCs w:val="1"/>
                <w:color w:val="0000EE"/>
              </w:rPr>
              <w:t>ITEM 1A.</w:t>
            </w:r>
          </w:p>
        </w:tc>
        <w:tc>
          <w:tcPr>
            <w:tcW w:w="280" w:type="dxa"/>
            <w:vAlign w:val="bottom"/>
          </w:tcPr>
          <w:p>
            <w:pPr>
              <w:spacing w:after="0"/>
              <w:rPr>
                <w:sz w:val="19"/>
                <w:szCs w:val="19"/>
                <w:color w:val="auto"/>
              </w:rPr>
            </w:pPr>
          </w:p>
        </w:tc>
        <w:tc>
          <w:tcPr>
            <w:tcW w:w="8220" w:type="dxa"/>
            <w:vAlign w:val="bottom"/>
            <w:gridSpan w:val="18"/>
          </w:tcPr>
          <w:p>
            <w:pPr>
              <w:spacing w:after="0"/>
              <w:rPr>
                <w:sz w:val="20"/>
                <w:szCs w:val="20"/>
                <w:color w:val="auto"/>
              </w:rPr>
            </w:pPr>
            <w:r>
              <w:rPr>
                <w:rFonts w:ascii="Arial" w:cs="Arial" w:eastAsia="Arial" w:hAnsi="Arial"/>
                <w:sz w:val="18"/>
                <w:szCs w:val="18"/>
                <w:color w:val="0000EE"/>
              </w:rPr>
              <w:t>Risk Factors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EE"/>
              </w:rPr>
              <w:t>ITEM 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20" w:type="dxa"/>
            <w:vAlign w:val="bottom"/>
            <w:gridSpan w:val="18"/>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23"/>
        </w:trPr>
        <w:tc>
          <w:tcPr>
            <w:tcW w:w="6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ITEM 3.</w:t>
            </w:r>
          </w:p>
        </w:tc>
        <w:tc>
          <w:tcPr>
            <w:tcW w:w="400" w:type="dxa"/>
            <w:vAlign w:val="bottom"/>
            <w:gridSpan w:val="2"/>
          </w:tcPr>
          <w:p>
            <w:pPr>
              <w:spacing w:after="0"/>
              <w:rPr>
                <w:sz w:val="19"/>
                <w:szCs w:val="19"/>
                <w:color w:val="auto"/>
              </w:rPr>
            </w:pPr>
          </w:p>
        </w:tc>
        <w:tc>
          <w:tcPr>
            <w:tcW w:w="23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0"/>
              </w:rPr>
              <w:t>Defaults Upon Senior Securities</w:t>
            </w:r>
          </w:p>
        </w:tc>
        <w:tc>
          <w:tcPr>
            <w:tcW w:w="2020" w:type="dxa"/>
            <w:vAlign w:val="bottom"/>
            <w:tcBorders>
              <w:top w:val="single" w:sz="8" w:color="0000EE"/>
            </w:tcBorders>
          </w:tcPr>
          <w:p>
            <w:pPr>
              <w:spacing w:after="0"/>
              <w:rPr>
                <w:sz w:val="19"/>
                <w:szCs w:val="19"/>
                <w:color w:val="auto"/>
              </w:rPr>
            </w:pPr>
          </w:p>
        </w:tc>
        <w:tc>
          <w:tcPr>
            <w:tcW w:w="3880" w:type="dxa"/>
            <w:vAlign w:val="bottom"/>
            <w:gridSpan w:val="8"/>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ITEM 4.</w:t>
            </w:r>
          </w:p>
        </w:tc>
        <w:tc>
          <w:tcPr>
            <w:tcW w:w="400" w:type="dxa"/>
            <w:vAlign w:val="bottom"/>
            <w:gridSpan w:val="2"/>
          </w:tcPr>
          <w:p>
            <w:pPr>
              <w:spacing w:after="0"/>
              <w:rPr>
                <w:sz w:val="19"/>
                <w:szCs w:val="19"/>
                <w:color w:val="auto"/>
              </w:rPr>
            </w:pPr>
          </w:p>
        </w:tc>
        <w:tc>
          <w:tcPr>
            <w:tcW w:w="17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Mine Safety Disclosures</w:t>
            </w:r>
          </w:p>
        </w:tc>
        <w:tc>
          <w:tcPr>
            <w:tcW w:w="6440" w:type="dxa"/>
            <w:vAlign w:val="bottom"/>
            <w:gridSpan w:val="12"/>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EE"/>
              </w:rPr>
              <w:t>ITEM 5.</w:t>
            </w:r>
          </w:p>
        </w:tc>
        <w:tc>
          <w:tcPr>
            <w:tcW w:w="400" w:type="dxa"/>
            <w:vAlign w:val="bottom"/>
            <w:gridSpan w:val="2"/>
          </w:tcPr>
          <w:p>
            <w:pPr>
              <w:spacing w:after="0"/>
              <w:rPr>
                <w:sz w:val="19"/>
                <w:szCs w:val="19"/>
                <w:color w:val="auto"/>
              </w:rPr>
            </w:pPr>
          </w:p>
        </w:tc>
        <w:tc>
          <w:tcPr>
            <w:tcW w:w="8220" w:type="dxa"/>
            <w:vAlign w:val="bottom"/>
            <w:gridSpan w:val="18"/>
          </w:tcPr>
          <w:p>
            <w:pPr>
              <w:spacing w:after="0"/>
              <w:rPr>
                <w:sz w:val="20"/>
                <w:szCs w:val="20"/>
                <w:color w:val="auto"/>
              </w:rPr>
            </w:pPr>
            <w:r>
              <w:rPr>
                <w:rFonts w:ascii="Arial" w:cs="Arial" w:eastAsia="Arial" w:hAnsi="Arial"/>
                <w:sz w:val="18"/>
                <w:szCs w:val="18"/>
                <w:color w:val="0000EE"/>
              </w:rPr>
              <w:t>Other Information</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23"/>
        </w:trPr>
        <w:tc>
          <w:tcPr>
            <w:tcW w:w="6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ITEM 6.</w:t>
            </w:r>
          </w:p>
        </w:tc>
        <w:tc>
          <w:tcPr>
            <w:tcW w:w="400" w:type="dxa"/>
            <w:vAlign w:val="bottom"/>
            <w:gridSpan w:val="2"/>
          </w:tcPr>
          <w:p>
            <w:pPr>
              <w:spacing w:after="0"/>
              <w:rPr>
                <w:sz w:val="19"/>
                <w:szCs w:val="19"/>
                <w:color w:val="auto"/>
              </w:rPr>
            </w:pPr>
          </w:p>
        </w:tc>
        <w:tc>
          <w:tcPr>
            <w:tcW w:w="6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Exhibits</w:t>
            </w:r>
          </w:p>
        </w:tc>
        <w:tc>
          <w:tcPr>
            <w:tcW w:w="660" w:type="dxa"/>
            <w:vAlign w:val="bottom"/>
            <w:tcBorders>
              <w:top w:val="single" w:sz="8" w:color="0000EE"/>
            </w:tcBorders>
            <w:gridSpan w:val="2"/>
          </w:tcPr>
          <w:p>
            <w:pPr>
              <w:spacing w:after="0"/>
              <w:rPr>
                <w:sz w:val="19"/>
                <w:szCs w:val="19"/>
                <w:color w:val="auto"/>
              </w:rPr>
            </w:pPr>
          </w:p>
        </w:tc>
        <w:tc>
          <w:tcPr>
            <w:tcW w:w="6900" w:type="dxa"/>
            <w:vAlign w:val="bottom"/>
            <w:gridSpan w:val="14"/>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23"/>
        </w:trPr>
        <w:tc>
          <w:tcPr>
            <w:tcW w:w="9300" w:type="dxa"/>
            <w:vAlign w:val="bottom"/>
            <w:gridSpan w:val="22"/>
          </w:tcPr>
          <w:p>
            <w:pPr>
              <w:spacing w:after="0"/>
              <w:rPr>
                <w:sz w:val="20"/>
                <w:szCs w:val="20"/>
                <w:color w:val="auto"/>
              </w:rPr>
            </w:pPr>
            <w:r>
              <w:rPr>
                <w:rFonts w:ascii="Arial" w:cs="Arial" w:eastAsia="Arial" w:hAnsi="Arial"/>
                <w:sz w:val="18"/>
                <w:szCs w:val="18"/>
                <w:b w:val="1"/>
                <w:bCs w:val="1"/>
                <w:color w:val="0000EE"/>
              </w:rPr>
              <w:t>SIGNATURES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1256"/>
        </w:trPr>
        <w:tc>
          <w:tcPr>
            <w:tcW w:w="6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 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vMerge w:val="restart"/>
          </w:tcPr>
          <w:p>
            <w:pPr>
              <w:ind w:left="136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3,078</w:t>
            </w:r>
          </w:p>
        </w:tc>
        <w:tc>
          <w:tcPr>
            <w:tcW w:w="120" w:type="dxa"/>
            <w:vAlign w:val="bottom"/>
          </w:tcPr>
          <w:p>
            <w:pPr>
              <w:spacing w:after="0"/>
              <w:rPr>
                <w:sz w:val="18"/>
                <w:szCs w:val="18"/>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and other current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00"/>
              <w:spacing w:after="0"/>
              <w:rPr>
                <w:sz w:val="20"/>
                <w:szCs w:val="20"/>
                <w:color w:val="auto"/>
              </w:rPr>
            </w:pPr>
            <w:r>
              <w:rPr>
                <w:rFonts w:ascii="Arial" w:cs="Arial" w:eastAsia="Arial" w:hAnsi="Arial"/>
                <w:sz w:val="18"/>
                <w:szCs w:val="18"/>
                <w:color w:val="auto"/>
              </w:rPr>
              <w:t>Accrued clinical site costs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Earnout Cash liability</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00"/>
              <w:spacing w:after="0"/>
              <w:rPr>
                <w:sz w:val="20"/>
                <w:szCs w:val="20"/>
                <w:color w:val="auto"/>
              </w:rPr>
            </w:pPr>
            <w:r>
              <w:rPr>
                <w:rFonts w:ascii="Arial" w:cs="Arial" w:eastAsia="Arial" w:hAnsi="Arial"/>
                <w:sz w:val="18"/>
                <w:szCs w:val="18"/>
                <w:color w:val="auto"/>
              </w:rPr>
              <w:t>Warrant liabilities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 payable and accrued interest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w w:val="99"/>
              </w:rPr>
              <w:t>Preferred stock, $0.001 par value, 50,000,000 shares authorized; 0 shares issued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outstanding at June 30, 2022 and December 31, 2021, respectively</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$0.001 par value, 500,000,000 shares authorized; 66,641,314 and</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58,810,550 shares issued and outstanding at June 30, 2022 and December 31, 2021,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228,958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(203,673)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4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45"/>
        </w:trPr>
        <w:tc>
          <w:tcPr>
            <w:tcW w:w="47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2"/>
              <w:spacing w:after="0" w:line="14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1"/>
              <w:spacing w:after="0" w:line="14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Settlement expense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Reimbursement of expenses from Relief Therapeutics</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(42,721)</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Other (income) expenses: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extinguishment of debt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Change in fair value of warrant liabilities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(17,359)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Earnout Cash liability</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other (income) expenses</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(17,115)</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(25,606)</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Deemed dividend</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(255,822)</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(255,940)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(281,428)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65,732,343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41,727,480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64,348,966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38,709,614</w:t>
            </w:r>
          </w:p>
        </w:tc>
        <w:tc>
          <w:tcPr>
            <w:tcW w:w="0" w:type="dxa"/>
            <w:vAlign w:val="bottom"/>
          </w:tcPr>
          <w:p>
            <w:pPr>
              <w:spacing w:after="0"/>
              <w:rPr>
                <w:sz w:val="1"/>
                <w:szCs w:val="1"/>
                <w:color w:val="auto"/>
              </w:rPr>
            </w:pPr>
          </w:p>
        </w:tc>
      </w:tr>
      <w:tr>
        <w:trPr>
          <w:trHeight w:val="230"/>
        </w:trPr>
        <w:tc>
          <w:tcPr>
            <w:tcW w:w="4740" w:type="dxa"/>
            <w:vAlign w:val="bottom"/>
          </w:tcPr>
          <w:p>
            <w:pPr>
              <w:ind w:left="12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65,732,343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42,494,386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64,348,966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39,140,261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NRX PHARMACEUTICALS, INC.</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80" w:type="dxa"/>
            <w:vAlign w:val="bottom"/>
            <w:gridSpan w:val="3"/>
            <w:vMerge w:val="restart"/>
          </w:tcPr>
          <w:p>
            <w:pPr>
              <w:jc w:val="right"/>
              <w:ind w:right="24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Paid-in-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93"/>
              </w:rPr>
              <w:t>Deficit</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2021</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58,810,550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3"/>
              <w:spacing w:after="0"/>
              <w:rPr>
                <w:sz w:val="20"/>
                <w:szCs w:val="20"/>
                <w:color w:val="auto"/>
              </w:rPr>
            </w:pPr>
            <w:r>
              <w:rPr>
                <w:rFonts w:ascii="Arial" w:cs="Arial" w:eastAsia="Arial" w:hAnsi="Arial"/>
                <w:sz w:val="10"/>
                <w:szCs w:val="10"/>
                <w:b w:val="1"/>
                <w:bCs w:val="1"/>
                <w:color w:val="auto"/>
                <w:w w:val="71"/>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59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203,990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(183,243)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20,806</w:t>
            </w:r>
          </w:p>
        </w:tc>
        <w:tc>
          <w:tcPr>
            <w:tcW w:w="0" w:type="dxa"/>
            <w:vAlign w:val="bottom"/>
          </w:tcPr>
          <w:p>
            <w:pPr>
              <w:spacing w:after="0"/>
              <w:rPr>
                <w:sz w:val="1"/>
                <w:szCs w:val="1"/>
                <w:color w:val="auto"/>
              </w:rPr>
            </w:pPr>
          </w:p>
        </w:tc>
      </w:tr>
      <w:tr>
        <w:trPr>
          <w:trHeight w:val="130"/>
        </w:trPr>
        <w:tc>
          <w:tcPr>
            <w:tcW w:w="4380" w:type="dxa"/>
            <w:vAlign w:val="bottom"/>
          </w:tcPr>
          <w:p>
            <w:pPr>
              <w:spacing w:after="0" w:line="130" w:lineRule="exact"/>
              <w:rPr>
                <w:sz w:val="20"/>
                <w:szCs w:val="20"/>
                <w:color w:val="auto"/>
              </w:rPr>
            </w:pPr>
            <w:r>
              <w:rPr>
                <w:rFonts w:ascii="Arial" w:cs="Arial" w:eastAsia="Arial" w:hAnsi="Arial"/>
                <w:sz w:val="14"/>
                <w:szCs w:val="14"/>
                <w:color w:val="auto"/>
                <w:w w:val="96"/>
              </w:rPr>
              <w:t>Common stock and warrants issued in private placement, net of issuance</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22,980</w:t>
            </w:r>
          </w:p>
        </w:tc>
        <w:tc>
          <w:tcPr>
            <w:tcW w:w="0" w:type="dxa"/>
            <w:vAlign w:val="bottom"/>
          </w:tcPr>
          <w:p>
            <w:pPr>
              <w:spacing w:after="0"/>
              <w:rPr>
                <w:sz w:val="1"/>
                <w:szCs w:val="1"/>
                <w:color w:val="auto"/>
              </w:rPr>
            </w:pPr>
          </w:p>
        </w:tc>
      </w:tr>
      <w:tr>
        <w:trPr>
          <w:trHeight w:val="167"/>
        </w:trPr>
        <w:tc>
          <w:tcPr>
            <w:tcW w:w="4380" w:type="dxa"/>
            <w:vAlign w:val="bottom"/>
          </w:tcPr>
          <w:p>
            <w:pPr>
              <w:spacing w:after="0"/>
              <w:rPr>
                <w:sz w:val="20"/>
                <w:szCs w:val="20"/>
                <w:color w:val="auto"/>
              </w:rPr>
            </w:pPr>
            <w:r>
              <w:rPr>
                <w:rFonts w:ascii="Arial" w:cs="Arial" w:eastAsia="Arial" w:hAnsi="Arial"/>
                <w:sz w:val="14"/>
                <w:szCs w:val="14"/>
                <w:color w:val="auto"/>
              </w:rPr>
              <w:t>costs of $2,020</w:t>
            </w:r>
          </w:p>
        </w:tc>
        <w:tc>
          <w:tcPr>
            <w:tcW w:w="840" w:type="dxa"/>
            <w:vAlign w:val="bottom"/>
          </w:tcPr>
          <w:p>
            <w:pPr>
              <w:jc w:val="right"/>
              <w:spacing w:after="0"/>
              <w:rPr>
                <w:sz w:val="20"/>
                <w:szCs w:val="20"/>
                <w:color w:val="auto"/>
              </w:rPr>
            </w:pPr>
            <w:r>
              <w:rPr>
                <w:rFonts w:ascii="Arial" w:cs="Arial" w:eastAsia="Arial" w:hAnsi="Arial"/>
                <w:sz w:val="14"/>
                <w:szCs w:val="14"/>
                <w:color w:val="auto"/>
              </w:rPr>
              <w:t>7,824,727</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22,972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for consulting services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6,037</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1,334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1,334</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(13,448)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(13,448)</w:t>
            </w:r>
          </w:p>
        </w:tc>
        <w:tc>
          <w:tcPr>
            <w:tcW w:w="0" w:type="dxa"/>
            <w:vAlign w:val="bottom"/>
          </w:tcPr>
          <w:p>
            <w:pPr>
              <w:spacing w:after="0"/>
              <w:rPr>
                <w:sz w:val="1"/>
                <w:szCs w:val="1"/>
                <w:color w:val="auto"/>
              </w:rPr>
            </w:pPr>
          </w:p>
        </w:tc>
      </w:tr>
      <w:tr>
        <w:trPr>
          <w:trHeight w:val="142"/>
        </w:trPr>
        <w:tc>
          <w:tcPr>
            <w:tcW w:w="4380" w:type="dxa"/>
            <w:vAlign w:val="bottom"/>
          </w:tcPr>
          <w:p>
            <w:pPr>
              <w:spacing w:after="0" w:line="142" w:lineRule="exact"/>
              <w:rPr>
                <w:sz w:val="20"/>
                <w:szCs w:val="20"/>
                <w:color w:val="auto"/>
              </w:rPr>
            </w:pPr>
            <w:r>
              <w:rPr>
                <w:rFonts w:ascii="Arial" w:cs="Arial" w:eastAsia="Arial" w:hAnsi="Arial"/>
                <w:sz w:val="14"/>
                <w:szCs w:val="14"/>
                <w:b w:val="1"/>
                <w:bCs w:val="1"/>
                <w:color w:val="auto"/>
              </w:rPr>
              <w:t>Balance - March 31, 2022</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66,641,314</w:t>
            </w:r>
          </w:p>
        </w:tc>
        <w:tc>
          <w:tcPr>
            <w:tcW w:w="200" w:type="dxa"/>
            <w:vAlign w:val="bottom"/>
          </w:tcPr>
          <w:p>
            <w:pPr>
              <w:spacing w:after="0"/>
              <w:rPr>
                <w:sz w:val="12"/>
                <w:szCs w:val="12"/>
                <w:color w:val="auto"/>
              </w:rPr>
            </w:pPr>
          </w:p>
        </w:tc>
        <w:tc>
          <w:tcPr>
            <w:tcW w:w="740" w:type="dxa"/>
            <w:vAlign w:val="bottom"/>
          </w:tcPr>
          <w:p>
            <w:pPr>
              <w:jc w:val="right"/>
              <w:ind w:right="623"/>
              <w:spacing w:after="0"/>
              <w:rPr>
                <w:sz w:val="20"/>
                <w:szCs w:val="20"/>
                <w:color w:val="auto"/>
              </w:rPr>
            </w:pPr>
            <w:r>
              <w:rPr>
                <w:rFonts w:ascii="Arial" w:cs="Arial" w:eastAsia="Arial" w:hAnsi="Arial"/>
                <w:sz w:val="10"/>
                <w:szCs w:val="10"/>
                <w:b w:val="1"/>
                <w:bCs w:val="1"/>
                <w:color w:val="auto"/>
                <w:w w:val="71"/>
              </w:rPr>
              <w:t>$</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67</w:t>
            </w:r>
          </w:p>
        </w:tc>
        <w:tc>
          <w:tcPr>
            <w:tcW w:w="1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228,313</w:t>
            </w:r>
          </w:p>
        </w:tc>
        <w:tc>
          <w:tcPr>
            <w:tcW w:w="18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(196,691)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31,689</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issuance costs in connection with Private Placement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(342)</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987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987</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(6,982)</w:t>
            </w:r>
          </w:p>
        </w:tc>
        <w:tc>
          <w:tcPr>
            <w:tcW w:w="0" w:type="dxa"/>
            <w:vAlign w:val="bottom"/>
          </w:tcPr>
          <w:p>
            <w:pPr>
              <w:spacing w:after="0"/>
              <w:rPr>
                <w:sz w:val="1"/>
                <w:szCs w:val="1"/>
                <w:color w:val="auto"/>
              </w:rPr>
            </w:pPr>
          </w:p>
        </w:tc>
      </w:tr>
      <w:tr>
        <w:trPr>
          <w:trHeight w:val="142"/>
        </w:trPr>
        <w:tc>
          <w:tcPr>
            <w:tcW w:w="4380" w:type="dxa"/>
            <w:vAlign w:val="bottom"/>
          </w:tcPr>
          <w:p>
            <w:pPr>
              <w:spacing w:after="0" w:line="142" w:lineRule="exact"/>
              <w:rPr>
                <w:sz w:val="20"/>
                <w:szCs w:val="20"/>
                <w:color w:val="auto"/>
              </w:rPr>
            </w:pPr>
            <w:r>
              <w:rPr>
                <w:rFonts w:ascii="Arial" w:cs="Arial" w:eastAsia="Arial" w:hAnsi="Arial"/>
                <w:sz w:val="14"/>
                <w:szCs w:val="14"/>
                <w:b w:val="1"/>
                <w:bCs w:val="1"/>
                <w:color w:val="auto"/>
              </w:rPr>
              <w:t>Balance - June 30, 2022</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66,641,314</w:t>
            </w: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67</w:t>
            </w:r>
          </w:p>
        </w:tc>
        <w:tc>
          <w:tcPr>
            <w:tcW w:w="1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228,958</w:t>
            </w: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(203,673)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25,352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0"/>
        </w:trPr>
        <w:tc>
          <w:tcPr>
            <w:tcW w:w="4380" w:type="dxa"/>
            <w:vAlign w:val="bottom"/>
          </w:tcPr>
          <w:p>
            <w:pPr>
              <w:spacing w:after="0"/>
              <w:rPr>
                <w:sz w:val="24"/>
                <w:szCs w:val="24"/>
                <w:color w:val="auto"/>
              </w:rPr>
            </w:pPr>
          </w:p>
        </w:tc>
        <w:tc>
          <w:tcPr>
            <w:tcW w:w="1780" w:type="dxa"/>
            <w:vAlign w:val="bottom"/>
            <w:gridSpan w:val="3"/>
            <w:vMerge w:val="restart"/>
          </w:tcPr>
          <w:p>
            <w:pPr>
              <w:jc w:val="right"/>
              <w:ind w:right="24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Paid-in-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93"/>
              </w:rPr>
              <w:t>Deficit</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42"/>
        </w:trPr>
        <w:tc>
          <w:tcPr>
            <w:tcW w:w="4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December 31, 2020</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42,973,462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3"/>
              <w:spacing w:after="0"/>
              <w:rPr>
                <w:sz w:val="20"/>
                <w:szCs w:val="20"/>
                <w:color w:val="auto"/>
              </w:rPr>
            </w:pPr>
            <w:r>
              <w:rPr>
                <w:rFonts w:ascii="Arial" w:cs="Arial" w:eastAsia="Arial" w:hAnsi="Arial"/>
                <w:sz w:val="10"/>
                <w:szCs w:val="10"/>
                <w:b w:val="1"/>
                <w:bCs w:val="1"/>
                <w:color w:val="auto"/>
                <w:w w:val="71"/>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43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46,366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(90,180)</w:t>
            </w:r>
          </w:p>
        </w:tc>
        <w:tc>
          <w:tcPr>
            <w:tcW w:w="200" w:type="dxa"/>
            <w:vAlign w:val="bottom"/>
            <w:gridSpan w:val="2"/>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(43,771)</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Common stock issued</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333,121</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6,927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6,927</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 for exercise of warrant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1,496,216</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Arial" w:cs="Arial" w:eastAsia="Arial" w:hAnsi="Arial"/>
                <w:sz w:val="14"/>
                <w:szCs w:val="14"/>
                <w:color w:val="auto"/>
              </w:rPr>
              <w:t>Reclassification of settlement liability upon issuance of warrant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60,852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60,852</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8"/>
        </w:trPr>
        <w:tc>
          <w:tcPr>
            <w:tcW w:w="43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(25,489)</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(25,489)</w:t>
            </w:r>
          </w:p>
        </w:tc>
        <w:tc>
          <w:tcPr>
            <w:tcW w:w="0" w:type="dxa"/>
            <w:vAlign w:val="bottom"/>
          </w:tcPr>
          <w:p>
            <w:pPr>
              <w:spacing w:after="0"/>
              <w:rPr>
                <w:sz w:val="1"/>
                <w:szCs w:val="1"/>
                <w:color w:val="auto"/>
              </w:rPr>
            </w:pPr>
          </w:p>
        </w:tc>
      </w:tr>
      <w:tr>
        <w:trPr>
          <w:trHeight w:val="142"/>
        </w:trPr>
        <w:tc>
          <w:tcPr>
            <w:tcW w:w="4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March 31, 2021</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44,802,799</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3"/>
              <w:spacing w:after="0"/>
              <w:rPr>
                <w:sz w:val="20"/>
                <w:szCs w:val="20"/>
                <w:color w:val="auto"/>
              </w:rPr>
            </w:pPr>
            <w:r>
              <w:rPr>
                <w:rFonts w:ascii="Arial" w:cs="Arial" w:eastAsia="Arial" w:hAnsi="Arial"/>
                <w:sz w:val="10"/>
                <w:szCs w:val="10"/>
                <w:b w:val="1"/>
                <w:bCs w:val="1"/>
                <w:color w:val="auto"/>
                <w:w w:val="71"/>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122,016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(115,669)</w:t>
            </w:r>
          </w:p>
        </w:tc>
        <w:tc>
          <w:tcPr>
            <w:tcW w:w="200" w:type="dxa"/>
            <w:vAlign w:val="bottom"/>
            <w:gridSpan w:val="2"/>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6,391</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Arial" w:cs="Arial" w:eastAsia="Arial" w:hAnsi="Arial"/>
                <w:sz w:val="14"/>
                <w:szCs w:val="14"/>
                <w:color w:val="auto"/>
              </w:rPr>
              <w:t>Common stock issued</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71,056</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1,562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130"/>
        </w:trPr>
        <w:tc>
          <w:tcPr>
            <w:tcW w:w="4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Effect of Merger and recapitalization, net of redemptions and issuance costs</w:t>
            </w: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of $1,413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2,529,730</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(64,840)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(64,836)</w:t>
            </w:r>
          </w:p>
        </w:tc>
        <w:tc>
          <w:tcPr>
            <w:tcW w:w="0" w:type="dxa"/>
            <w:vAlign w:val="bottom"/>
          </w:tcPr>
          <w:p>
            <w:pPr>
              <w:spacing w:after="0"/>
              <w:rPr>
                <w:sz w:val="1"/>
                <w:szCs w:val="1"/>
                <w:color w:val="auto"/>
              </w:rPr>
            </w:pPr>
          </w:p>
        </w:tc>
      </w:tr>
      <w:tr>
        <w:trPr>
          <w:trHeight w:val="130"/>
        </w:trPr>
        <w:tc>
          <w:tcPr>
            <w:tcW w:w="4380" w:type="dxa"/>
            <w:vAlign w:val="bottom"/>
          </w:tcPr>
          <w:p>
            <w:pPr>
              <w:spacing w:after="0" w:line="130" w:lineRule="exact"/>
              <w:rPr>
                <w:sz w:val="20"/>
                <w:szCs w:val="20"/>
                <w:color w:val="auto"/>
              </w:rPr>
            </w:pPr>
            <w:r>
              <w:rPr>
                <w:rFonts w:ascii="Arial" w:cs="Arial" w:eastAsia="Arial" w:hAnsi="Arial"/>
                <w:sz w:val="14"/>
                <w:szCs w:val="14"/>
                <w:color w:val="auto"/>
                <w:w w:val="94"/>
              </w:rPr>
              <w:t>Common stock issued pursuant to PIPE financing, net of issuance costs of</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80" w:type="dxa"/>
            <w:vAlign w:val="bottom"/>
          </w:tcPr>
          <w:p>
            <w:pPr>
              <w:spacing w:after="0"/>
              <w:rPr>
                <w:sz w:val="20"/>
                <w:szCs w:val="20"/>
                <w:color w:val="auto"/>
              </w:rPr>
            </w:pPr>
            <w:r>
              <w:rPr>
                <w:rFonts w:ascii="Arial" w:cs="Arial" w:eastAsia="Arial" w:hAnsi="Arial"/>
                <w:sz w:val="14"/>
                <w:szCs w:val="14"/>
                <w:color w:val="auto"/>
              </w:rPr>
              <w:t>$1,900</w:t>
            </w:r>
          </w:p>
        </w:tc>
        <w:tc>
          <w:tcPr>
            <w:tcW w:w="840" w:type="dxa"/>
            <w:vAlign w:val="bottom"/>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8,099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8,100</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for advisor services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4,850</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Modification of option awards pursuant to Merger</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Modification of warrants pursuant to Merger</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938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2"/>
        </w:trPr>
        <w:tc>
          <w:tcPr>
            <w:tcW w:w="4380" w:type="dxa"/>
            <w:vAlign w:val="bottom"/>
          </w:tcPr>
          <w:p>
            <w:pPr>
              <w:spacing w:after="0" w:line="142" w:lineRule="exact"/>
              <w:rPr>
                <w:sz w:val="20"/>
                <w:szCs w:val="20"/>
                <w:color w:val="auto"/>
              </w:rPr>
            </w:pPr>
            <w:r>
              <w:rPr>
                <w:rFonts w:ascii="Arial" w:cs="Arial" w:eastAsia="Arial" w:hAnsi="Arial"/>
                <w:sz w:val="14"/>
                <w:szCs w:val="14"/>
                <w:b w:val="1"/>
                <w:bCs w:val="1"/>
                <w:color w:val="auto"/>
              </w:rPr>
              <w:t>Balance - June 30, 2021</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48,603,585</w:t>
            </w:r>
          </w:p>
        </w:tc>
        <w:tc>
          <w:tcPr>
            <w:tcW w:w="200" w:type="dxa"/>
            <w:vAlign w:val="bottom"/>
          </w:tcPr>
          <w:p>
            <w:pPr>
              <w:spacing w:after="0"/>
              <w:rPr>
                <w:sz w:val="12"/>
                <w:szCs w:val="12"/>
                <w:color w:val="auto"/>
              </w:rPr>
            </w:pPr>
          </w:p>
        </w:tc>
        <w:tc>
          <w:tcPr>
            <w:tcW w:w="740" w:type="dxa"/>
            <w:vAlign w:val="bottom"/>
          </w:tcPr>
          <w:p>
            <w:pPr>
              <w:jc w:val="right"/>
              <w:ind w:right="623"/>
              <w:spacing w:after="0"/>
              <w:rPr>
                <w:sz w:val="20"/>
                <w:szCs w:val="20"/>
                <w:color w:val="auto"/>
              </w:rPr>
            </w:pPr>
            <w:r>
              <w:rPr>
                <w:rFonts w:ascii="Arial" w:cs="Arial" w:eastAsia="Arial" w:hAnsi="Arial"/>
                <w:sz w:val="10"/>
                <w:szCs w:val="10"/>
                <w:b w:val="1"/>
                <w:bCs w:val="1"/>
                <w:color w:val="auto"/>
                <w:w w:val="71"/>
              </w:rPr>
              <w:t>$</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49</w:t>
            </w:r>
          </w:p>
        </w:tc>
        <w:tc>
          <w:tcPr>
            <w:tcW w:w="1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75,970</w:t>
            </w:r>
          </w:p>
        </w:tc>
        <w:tc>
          <w:tcPr>
            <w:tcW w:w="18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(115,786)</w:t>
            </w:r>
          </w:p>
        </w:tc>
        <w:tc>
          <w:tcPr>
            <w:tcW w:w="200" w:type="dxa"/>
            <w:vAlign w:val="bottom"/>
            <w:gridSpan w:val="2"/>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(39,767)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NRX PHARMACEUTICALS,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(20,430)</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Arial" w:cs="Arial" w:eastAsia="Arial" w:hAnsi="Arial"/>
                <w:sz w:val="18"/>
                <w:szCs w:val="18"/>
                <w:color w:val="auto"/>
              </w:rPr>
              <w:t>Depreciation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Arial" w:cs="Arial" w:eastAsia="Arial" w:hAnsi="Arial"/>
                <w:sz w:val="18"/>
                <w:szCs w:val="18"/>
                <w:color w:val="auto"/>
              </w:rPr>
              <w:t>Change in fair value of earnout cash liability</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interest expense</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Arial" w:cs="Arial" w:eastAsia="Arial" w:hAnsi="Arial"/>
                <w:sz w:val="18"/>
                <w:szCs w:val="18"/>
                <w:color w:val="auto"/>
              </w:rPr>
              <w:t>Non-cash settlement expense</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consulting expense</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 receivable</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Purchase of computer equipment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for exercise of warrant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Effect of Merger, net of transaction costs</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 payable</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00" w:type="dxa"/>
            <w:vAlign w:val="bottom"/>
          </w:tcPr>
          <w:p>
            <w:pPr>
              <w:spacing w:after="0" w:line="201" w:lineRule="exact"/>
              <w:rPr>
                <w:sz w:val="20"/>
                <w:szCs w:val="20"/>
                <w:color w:val="auto"/>
              </w:rPr>
            </w:pPr>
            <w:r>
              <w:rPr>
                <w:rFonts w:ascii="Arial" w:cs="Arial" w:eastAsia="Arial" w:hAnsi="Arial"/>
                <w:sz w:val="18"/>
                <w:szCs w:val="18"/>
                <w:color w:val="auto"/>
                <w:w w:val="92"/>
              </w:rPr>
              <w:t>Proceeds from issuance of common stock and warrants issued in private placement, net of</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issuance costs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notes payable assumed in Merger</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50"/>
        </w:trPr>
        <w:tc>
          <w:tcPr>
            <w:tcW w:w="67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i w:val="1"/>
                <w:iCs w:val="1"/>
                <w:color w:val="auto"/>
              </w:rPr>
              <w:t>Non-cash investing and 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settlement liability upon issuance of warrant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Reclassification of legacy NeuroRx warrants to warrant liabilities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warrants as offering costs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Extinguishment of Paycheck Protection Program Loan</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settlement of accrued liability</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Business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May 24, 2021 (“Effective Time”), we consummated the business combination (“Merger”) contemplated by the Agreement and Plan of Merger (as amended, the “Merger Agreement”), dated December 13, 2020, by and among our company (formerly known as Big Rock Partners Acquisition Corp. (“BRPA”)), NeuroRx, Inc., a Delaware corporation (“NeuroRx”), and Big Rock Merger Corp., a Delaware corporation and wholly-owned, direct subsidiary of BRPA (“Merger Sub”), pursuant to which Merger Sub was merged with and into NeuroRx, with NeuroRx surviving the Merger. As a result of the Merger, and upon consummation of the Merger and other transactions contemplated by the Merger Agreement, NeuroRx became a wholly-owned, direct subsidiary of BRPA. Upon the closing of the Merger, we changed our name to NRX Pharmaceuticals, Inc., with the stockholders of NeuroRx becoming stockholders of NRX Pharmaceuticals, Inc. Unless the context suggests otherwise, references to “NRx Pharmaceuticals,” “NeuroRx”, “NRXP,” “we,” or the “Company” refer to NRX Pharmaceuticals, Inc. and, where appropriate, its subsidiaries.</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Company is a clinical-stage pharmaceutical company which applies innovative science to known molecules to develop life-saving medicines through its wholly-owned operating subsidiary, NeuroRx. The Company's foundation product, NRX-101 (D-cylcoserine/Lurasidone), for the treatment of bipolar depression in patients with suicidality, has been awarded Fast Track designation, Breakthrough Therapy designation, a Special Protocol Agreement, and a Biomarker Letter of Support by the U.S. Food and Drug Administration (the “FDA”). NRX-101 is covered by multiple U.S. and foreign patents, including a Composition of Matter patent (U.S. Patent No. 10,583,138) that was transferred to NRx Pharmaceuticals by Glytech, LLC. The Company is re-evaluating its respiratory franchise after a National Institute of Health (NIH) Phase III study of the Company’s product for the treatment of acute respiratory distress in Critical COVID-19 patients, ZYESAMI, was stopped due to futility.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Liquidity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June 30, 2022, the Company had $24.5 million in cash. Since inception, the Company has experienced net losses and negative cash flows from operations each fiscal year. The Company has no revenues and expects to continue to incur operating losses for the foreseeable future, and may never become profitable. The Company is dependent on its ability to continue to raise equity and/or debt financing to continue operations.</w:t>
      </w:r>
    </w:p>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August 23, 2021, the Company completed a private placement and issued 2,727,273 shares of common stock and preferred investment options to purchase up to an aggregate of 2,727,273 shares of common stock. The purchase price for one share of common stock and one preferred investment option was $11.00. The preferred investment options have an exercise price of $12.00. The net proceeds to the Company from the Private Placement were approximately $27.4 million.</w:t>
      </w:r>
    </w:p>
    <w:p>
      <w:pPr>
        <w:spacing w:after="0" w:line="15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February 2, 2022, the Company completed a private placement and issued 7,824,727 shares of common stock and preferred investment options to purchase up to an aggregate of 7,824,727 shares of common stock. The purchase price for one share of common stock and one preferred investment option was $3.195. The preferred investment options have an exercise price of $3.07 per share. The net proceeds to the Company were approximately $22.6 million.</w:t>
      </w:r>
    </w:p>
    <w:p>
      <w:pPr>
        <w:spacing w:after="0" w:line="15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believes that it currently has sufficient funds and, if necessary, the ability to reduce expenditures, to support operations through at least the next twelve months from the date the condensed consolidated financial statements are issued. The Company cannot make any assurances that additional financing will be available to it and, if available, on acceptable terms or at all. This could negatively impact the Company’s business and operations and could also lead to the reduction of the Company’s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accompanying unaudited interim condensed financial statements have been prepared in accordance with generally accepted accounting principles in the United States of America (“GAAP”) as determined by the Financial Accounting Standards Board (“FASB”) Accounting Standards Codification (“ASC”) for interim financial information. Accordingly, they do not include all of the information and footnotes required by GAAP for complete financial statements. In the opinion of management, the unaudited interim condensed financial statements reflect all adjustments, which include only normal recurring adjustments, necessary for the fair presentation of the balance sheet, statements of operations and cash flows for the interim periods presented. The results of operations for any interim periods are not necessarily indicative of the results that may be expected for the entire fiscal year or any other interim period.</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Merger was accounted for as a reverse recapitalization in accordance with GAAP (the “Reverse Recapitalization”). Under this method of accounting, BRPA is treated as the “acquired” company and NeuroRx is treated as the acquirer for financial reporting purposes.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Accordingly, for accounting purposes, the Reverse Recapitalization was treated as the equivalent of NeuroRx issuing stock for the net assets of BRPA, accompanied by a recapitalization. The net assets of BRPA are stated at historical cost, with no goodwill or other intangible assets recorded.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consolidated results of operations prior to the Reverse Recapitalization are those of NeuroRx. The shares and corresponding capital amounts and losses per share, prior to the Merger, have been retroactively restated based on shares reflecting the exchange ratio established in the Merger.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liabilities and expenses and the disclosure of contingent assets and liabilities in its financial statements and the reported amounts of expenses during the reporting period. The most significant estimates in the Company’s financial statements relate to the Earnout Cash liability, valuation of common and preferred stock, stock options, warrants,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Certain Risks and Uncertainties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As such, fair value is a market-based measurement that should be determined based on assumptions that market participants would use in pricing an asset or a liability.</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accounting guidance classifies fair value measurements in one of the following three categories for disclosure purposes: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jc w:val="both"/>
        <w:ind w:left="380" w:right="59"/>
        <w:spacing w:after="0" w:line="277" w:lineRule="auto"/>
        <w:rPr>
          <w:sz w:val="20"/>
          <w:szCs w:val="20"/>
          <w:color w:val="auto"/>
        </w:rPr>
      </w:pPr>
      <w:r>
        <w:rPr>
          <w:rFonts w:ascii="Arial" w:cs="Arial" w:eastAsia="Arial" w:hAnsi="Arial"/>
          <w:sz w:val="18"/>
          <w:szCs w:val="18"/>
          <w:color w:val="auto"/>
        </w:rPr>
        <w:t>Level 2: Inputs other than Level 1 prices for similar assets or liabilities that are directly or indirectly observable in the marketplace.</w:t>
      </w:r>
    </w:p>
    <w:p>
      <w:pPr>
        <w:spacing w:after="0" w:line="170" w:lineRule="exact"/>
        <w:rPr>
          <w:sz w:val="20"/>
          <w:szCs w:val="20"/>
          <w:color w:val="auto"/>
        </w:rPr>
      </w:pPr>
    </w:p>
    <w:p>
      <w:pPr>
        <w:jc w:val="both"/>
        <w:ind w:left="380" w:right="59"/>
        <w:spacing w:after="0" w:line="263" w:lineRule="auto"/>
        <w:rPr>
          <w:sz w:val="20"/>
          <w:szCs w:val="20"/>
          <w:color w:val="auto"/>
        </w:rPr>
      </w:pPr>
      <w:r>
        <w:rPr>
          <w:rFonts w:ascii="Arial" w:cs="Arial" w:eastAsia="Arial" w:hAnsi="Arial"/>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 and Off-Balance Sheet Risk</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The Company maintains a portion of its cash and cash equivalent balances in the form of a money market account with a financial institution that management believes to be creditworthy.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time of initial purchase to be cash equivalents, including balances held in the Company’s money market accounts. The Company maintains its cash and cash equivalents with financial institutions, in which balances from time to time may exceed the U.S. federally insured limits. The objectives of the Company’s cash management policy are to safeguard and preserve funds to maintain liquidity sufficient to meet the Company’s cash flow requirements, and to attain a market rate of return.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All stock-based compensation costs are recorded in general and administrative or research and development costs in the consolidated statements of operations based upon the underlying individual’s role at the Company.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Modification of stock options and warrants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 change in any of the terms or conditions of stock options and warrants is accounted for as a modification. For a Type 1 (probable-to-probable) modification, incremental stock-based compensation cost is measured as the excess, if any, of the fair value of the modified option/warrant over the fair value of the original option/warrant immediately before its terms are modified, measured based on the fair value of the shares and other pertinent factors at the modification date. For vested stock options and warrants to board members, we recognize incremental compensation cost in the period the modification occurs. For unvested stock options, we recognize over the remaining requisite service period, the sum of the incremental compensation cost and the remaining unrecognized compensation cost for the original award on the modification date. If the fair value of the modified option is lower than the fair value of the original option immediately before modification, the minimum compensation cost we recognize is the cost of the original award.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480”) and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fair value of the Placement Warrants was estimated using a Black Scholes valuation approach and the fair value of the Substitute Warrants was estimated using a modified Black Scholes valuation approach which applies a probability factor based on the probabilities of achieving Earnout Cash Milestone and/or Earnout Shares Milestone at each reporting period (see Notes 9 and 11).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Income taxes are recorded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Basic loss per share of common stock is computed by dividing net loss attributable to common stockholders by the weighted average number of shares of common stock outstanding for the period. Diluted earnings per share excludes, when applicable, the potential impact of stock options, common stock warrant shares, and other dilutive instruments when their effect would be anti-dilutive in the respective periods.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Basic and diluted loss per share for the current year periods was the same. The following table summarizes the basic and diluted loss per share calculations for dilution for the three and six months ended June 30, 2021 (in thousands, except share and per share amounts):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0"/>
              </w:rPr>
              <w:t>June 30, 2021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Six Months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Net income (loss) - basic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liability - classified warrants under the treasury stock method</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(17,359)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 - diluted</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(17,477)</w:t>
            </w: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Net income (loss) attributable to common stockholders - basic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(255,940)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(281,429)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liability - classified warrants under the treasury stock method</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(17,359)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 attributable to common stock - diluted</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(273,299)</w:t>
            </w: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41,727,480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38,709,614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Incremental effect of liability - classified warrants under the treasury stock method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766,906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Effect of other dilutive securities</w:t>
            </w: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42,494,386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39,140,261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Basic earnings (loss) per share attributable to common stockholders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 attributable to common stockholders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16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4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7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2,706,115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2,919,493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2,706,115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2,919,493</w:t>
            </w:r>
          </w:p>
        </w:tc>
        <w:tc>
          <w:tcPr>
            <w:tcW w:w="2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Common stock warrants</w:t>
            </w: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17,521,753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6,220,562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17,521,753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6,220,562</w:t>
            </w:r>
          </w:p>
        </w:tc>
        <w:tc>
          <w:tcPr>
            <w:tcW w:w="2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issuable pursuant to UPOs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Common stock warrants pursuant to UPOs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Public Rights pursuant to UPOs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Earnout Shares</w:t>
            </w:r>
          </w:p>
        </w:tc>
        <w:tc>
          <w:tcPr>
            <w:tcW w:w="940" w:type="dxa"/>
            <w:vAlign w:val="bottom"/>
          </w:tcPr>
          <w:p>
            <w:pPr>
              <w:jc w:val="right"/>
              <w:spacing w:after="0"/>
              <w:rPr>
                <w:sz w:val="20"/>
                <w:szCs w:val="20"/>
                <w:color w:val="auto"/>
              </w:rPr>
            </w:pPr>
            <w:r>
              <w:rPr>
                <w:rFonts w:ascii="Arial" w:cs="Arial" w:eastAsia="Arial" w:hAnsi="Arial"/>
                <w:sz w:val="18"/>
                <w:szCs w:val="18"/>
                <w:color w:val="auto"/>
                <w:w w:val="93"/>
              </w:rPr>
              <w:t>22,209,280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22,209,280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22,209,280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22,209,280</w:t>
            </w:r>
          </w:p>
        </w:tc>
        <w:tc>
          <w:tcPr>
            <w:tcW w:w="20" w:type="dxa"/>
            <w:vAlign w:val="bottom"/>
          </w:tcPr>
          <w:p>
            <w:pPr>
              <w:spacing w:after="0"/>
              <w:rPr>
                <w:sz w:val="18"/>
                <w:szCs w:val="18"/>
                <w:color w:val="auto"/>
              </w:rPr>
            </w:pPr>
          </w:p>
        </w:tc>
      </w:tr>
      <w:tr>
        <w:trPr>
          <w:trHeight w:val="202"/>
        </w:trPr>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Earnout Shares from exercised Substitute Options and Substitute</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1,229,925</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1,229,925</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864"/>
        </w:trPr>
        <w:tc>
          <w:tcPr>
            <w:tcW w:w="4720" w:type="dxa"/>
            <w:vAlign w:val="bottom"/>
          </w:tcPr>
          <w:p>
            <w:pPr>
              <w:ind w:left="438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7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Since the closing of the Merger, of the 516,025 shares of common stock issued for the exercise of stock options, 185,472 shares of common stock are contingently issuable Earnout Shares and are excluded from the weighted average shares outstanding for computing EPS until the contingent conditions are satisfied. There are 1,044,453 shares of common stock issued pursuant to the GEM warrants which are contingently issuable Earnout Shares and are excluded from the weighted average shares outstanding for computing EPS until the contingent conditions are satisfied.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and are adopted by the Company as of the specified effective date. For the six-months ended June 30, 2022, there were no new accounting pronouncements or updates to recently issued accounting pronouncements disclosed in the Company’s Annual Report on Form 10-K for the year ended December 31, 2021, that management believes materially affect the Company’s present or future results of operations, overall financial condition, liquidity or disclosures.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Reverse Recapitalization</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discussed in Note 1, on May 24, 2021 (the “Closing Date”), BRPA and Merger Sub closed the Merger with NeuroRx, as a result of which NeuroRx became a wholly-owned subsidiary of BRPA. While BRPA was the legal acquirer of NeuroRx in the Merger, for accounting purposes, the Merger is treated as a Reverse Recapitalization whereby NeuroRx is deemed to be the accounting acquirer and the historical financial statements of NeuroRx became the historical financial statements of BRPA (renamed NRX Pharmaceuticals, Inc.) upon the closing of the Merger. Under this method of accounting, BRPA is treated as the “acquired” company and NeuroRx is treated as the acquirer for financial reporting purposes. Accordingly, for accounting purposes, the Merger was treated as the equivalent of NeuroRx issuing stock for the net assets of BRPA, accompanied by a recapitalization. The net assets of BRPA were stated at historical cost, with no goodwill or other intangible assets recorded.</w:t>
      </w:r>
    </w:p>
    <w:p>
      <w:pPr>
        <w:spacing w:after="0" w:line="18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Pursuant to the Merger Agreement, the aggregate consideration payable to stockholders of NeuroRx at the Closing Date consisted of 50,000,000 shares (“Closing Consideration”) of BRPA common stock (“Common Stock”). At the effective time of the Merger (the “Effective Time”) each share of NeuroRx common stock and each share of the NeuroRx convertible preferred stock that was convertible into a share of NeuroRx common stock at a one-to-one ratio pursuant to the NeuroRx certificate of incorporation, was converted into Common Stock equal to 3.16 shares (the “Exchange Ratio”).</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the stockholders of NeuroRx who owned NeuroRx securities immediately prior to the Effective Time received the contingent right to receive the Earnout Shares and Earnout Cash (each as defined below). At the Effective Time, each outstanding share of NeuroRx common stock, including shares of NeuroRx common stock resulting from the conversion of outstanding shares of NeuroRx preferred stock was converted into the right to receive a pro rata portion of the contingent right to receive a pro rata portion of the Earnout Shares and Earnout Cash after consideration of the Substitute Options and Substitute Warrants (as further discussed below).</w:t>
      </w:r>
    </w:p>
    <w:p>
      <w:pPr>
        <w:spacing w:after="0" w:line="19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Pursuant to the terms of the Merger Agreement, NeuroRx’s stockholders who owned NeuroRx securities immediately prior to the Effective Time would have the contingent right to receive their pro rata portion of (i) an aggregate of up to 25,000,000 shares of Common Stock (“Earnout Shares”), less 935,608 and 1,920,492, respectively, which are subject to the terms and conditions of the Substitute Options and Substitute Warrants (each as defined below), if, prior to December 31, 2022, the NRX COVID-19 Drug (as defined in the Merger Agreement) receives emergency use authorization by the FDA and NeuroRx submits and the FDA files for review a new drug application for the NRX COVID-19 Drug (the occurrence of the foregoing, the “Earnout Shares Milestone”), and (ii) an aggregate of $100.0 million in cash (“Earnout Cash”) upon the earlier to occur of (x) FDA approval of the NRX COVID-19 Drug and the listing of the NRX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 (x) or (y), the “Earnout Cash Milestone”). If the Earnout Shares Milestone is achieved, the Earnout Shares will be issued within five (5) Business Days after the occurrence of the Earnout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The Earnout Cash Milestone was recognized as a deemed dividend at the Closing Date and a contingent liability measured at its estimated fair value at the Closing Date and will be remeasured at fair value each period end thereafter until earned or December 31, 2022 (see Note 11). The Earnout Shares Milestone was recognized as a deemed dividend at the Closing date and was classified within equity (see Note 11). The benefit of the contingent right to receive Earnout Cash and Earnout Shares for option and warrant holders occurs through the Option Exchange Ratio (as defined below) and therefore the amount of Earnout Shares and Earnout Cash for common stockholders is approximately 22,209,280 shares and $88.8 million, respectively.</w:t>
      </w:r>
    </w:p>
    <w:p>
      <w:pPr>
        <w:spacing w:after="0" w:line="19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Each option and warrant of NeuroRx that was outstanding and unexercised immediately prior to the Effective Time (whether vested or unvested) was assumed by BRPA and converted into an option or warrant to acquire an adjusted number of shares of Common Stock at an adjusted exercise price per share, in each case, pursuant to the terms of the Merger Agreement (the “Substitute Options” and the “Substitute Warrants,” respectively), based on an exchange ratio of 4.96:1 (the “Option Exchange Ratio”), and would continue to be governed by substantially the same terms and conditions, including vesting, as were applicable to the original instruments.</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Option and Substitute Warrant will be automatically adjusted based on the Merger Agreement such that the number of shares of Common Stock subject to each adjusted Substitute Option or Substitute Warrant, the exercise price per share of each adjusted Substitute Option or Substitute Warrant and the aggregate intrinsic value of each adjusted Substitute Option or Substitute Warrant will equal the respective number of shares, exercise price per share and aggregate intrinsic value that would have resulted following the adjustment of the applicable underlying such option or warrant had the conversion of the legacy NeuroRx option and warrants into the Substitute Options or Substitute Warrants been applied using the Exchange Ratio (3.16:1). If neither the Earnout Shares Milestone nor the Earnout Cash Milestone occurs, each Substitute Option and Substitute Warrant will be adjusted based on the Exchange Ratio. If any Substitute Options or Substitute Warrants are exercised prior to the earlier of (i) the date that both the Earnout Shares Milestone and Earnout Cash Milestone occur and (ii) December 31, 2022, a sufficient number of shares of Common Stock will be held in escrow pending the applicable adjustment to such Substitute Options or Substitute Warrants. Following the determination of that adjustment, NRx Pharmaceuticals will retain any shares forfeited by the option or warrant holder in connection with the adjustment and return any remaining shares to the option or warrant holder.</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connection with the Merger, a number of subscribers (each, a “Subscriber”) purchased from the Company an aggregate of 1,000,000 shares of Common Stock (the “PIPE”), for a purchase price of $10.00 per share and an aggregate purchase price of $10,000,000 (the “PIPE Shares”), pursuant to separate subscription agreements (each, a “Subscription Agreement”) entered into prior to the Closing Date.</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reconciles the elements of the Merger to the Unaudited Condensed Consolidated Statement of Cash Flows for the six months ended June 30, 2021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Recapitalization</w:t>
            </w: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 BRPA trust and cash, net of redemptions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Cash - PIPE financing, net of transaction costs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transaction costs and advisory fees allocated to NRXP equity</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tcPr>
          <w:p>
            <w:pPr>
              <w:ind w:left="20"/>
              <w:spacing w:after="0"/>
              <w:rPr>
                <w:sz w:val="20"/>
                <w:szCs w:val="20"/>
                <w:color w:val="auto"/>
              </w:rPr>
            </w:pPr>
            <w:r>
              <w:rPr>
                <w:rFonts w:ascii="Arial" w:cs="Arial" w:eastAsia="Arial" w:hAnsi="Arial"/>
                <w:sz w:val="18"/>
                <w:szCs w:val="18"/>
                <w:color w:val="auto"/>
              </w:rPr>
              <w:t>Effect of Merger, net of redemptions and transaction costs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438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following table reconciles the elements of the Merger to the Unaudited Condensed Consolidated Statement of Changes in Stockholders’ Equity (Deficit) for the six months ended June 30, 2021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Recapitalization</w:t>
            </w: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BRPA trust and cash, net of redemptions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Non-cash net working capital assumed from BRPA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notes payable assumed from BRPA</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Less: fair value of assumed Placement Warrants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fair value of legacy NeuroRx Warrants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(38,220)</w:t>
            </w: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Less: fair value of Earnout Cash</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(25,520)</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transaction costs and advisory fees allocated to NRXP equity</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09"/>
        </w:trPr>
        <w:tc>
          <w:tcPr>
            <w:tcW w:w="7480" w:type="dxa"/>
            <w:vAlign w:val="bottom"/>
          </w:tcPr>
          <w:p>
            <w:pPr>
              <w:ind w:left="20"/>
              <w:spacing w:after="0"/>
              <w:rPr>
                <w:sz w:val="20"/>
                <w:szCs w:val="20"/>
                <w:color w:val="auto"/>
              </w:rPr>
            </w:pPr>
            <w:r>
              <w:rPr>
                <w:rFonts w:ascii="Arial" w:cs="Arial" w:eastAsia="Arial" w:hAnsi="Arial"/>
                <w:sz w:val="18"/>
                <w:szCs w:val="18"/>
                <w:color w:val="auto"/>
              </w:rPr>
              <w:t>Effect of Merger, net of redemptions and transaction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(64,836)</w:t>
            </w:r>
          </w:p>
        </w:tc>
      </w:tr>
      <w:tr>
        <w:trPr>
          <w:trHeight w:val="20"/>
        </w:trPr>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details the number of shares of common stock issued immediately following the consummation of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Merger:</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7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 of Shares</w:t>
            </w: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outstanding prior to Merger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552,412</w:t>
            </w:r>
          </w:p>
        </w:tc>
      </w:tr>
      <w:tr>
        <w:trPr>
          <w:trHeight w:val="21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BRPA shares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of BRPA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552,196</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BRPA Founder and private shares, net of forfeited shares of 875,216</w:t>
            </w:r>
          </w:p>
        </w:tc>
        <w:tc>
          <w:tcPr>
            <w:tcW w:w="1200" w:type="dxa"/>
            <w:vAlign w:val="bottom"/>
          </w:tcPr>
          <w:p>
            <w:pPr>
              <w:jc w:val="right"/>
              <w:spacing w:after="0"/>
              <w:rPr>
                <w:sz w:val="20"/>
                <w:szCs w:val="20"/>
                <w:color w:val="auto"/>
              </w:rPr>
            </w:pPr>
            <w:r>
              <w:rPr>
                <w:rFonts w:ascii="Arial" w:cs="Arial" w:eastAsia="Arial" w:hAnsi="Arial"/>
                <w:sz w:val="18"/>
                <w:szCs w:val="18"/>
                <w:color w:val="auto"/>
              </w:rPr>
              <w:t>1,260,284</w:t>
            </w: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in PIPE Financing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Shares issued for services</w:t>
            </w:r>
          </w:p>
        </w:tc>
        <w:tc>
          <w:tcPr>
            <w:tcW w:w="120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pursuant to conversion of Public and Private Rights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717,250</w:t>
            </w: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Merger and PIPE financing shares - common stock</w:t>
            </w:r>
          </w:p>
        </w:tc>
        <w:tc>
          <w:tcPr>
            <w:tcW w:w="1200" w:type="dxa"/>
            <w:vAlign w:val="bottom"/>
          </w:tcPr>
          <w:p>
            <w:pPr>
              <w:jc w:val="right"/>
              <w:spacing w:after="0"/>
              <w:rPr>
                <w:sz w:val="20"/>
                <w:szCs w:val="20"/>
                <w:color w:val="auto"/>
              </w:rPr>
            </w:pPr>
            <w:r>
              <w:rPr>
                <w:rFonts w:ascii="Arial" w:cs="Arial" w:eastAsia="Arial" w:hAnsi="Arial"/>
                <w:sz w:val="18"/>
                <w:szCs w:val="18"/>
                <w:color w:val="auto"/>
              </w:rPr>
              <w:t>3,729,730</w:t>
            </w: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NeuroRx shares - common stock (1)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44,873,855</w:t>
            </w: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Total shares of common stock immediately after Merger</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48,603,585</w:t>
            </w:r>
          </w:p>
        </w:tc>
      </w:tr>
      <w:tr>
        <w:trPr>
          <w:trHeight w:val="20"/>
        </w:trPr>
        <w:tc>
          <w:tcPr>
            <w:tcW w:w="7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720" w:right="79" w:hanging="319"/>
        <w:spacing w:after="0" w:line="263"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NeuroRx common stock was determined from the 14,200,586 shares of NeuroRx common stock outstanding immediately prior to the closing of the Merger converted at the Exchange Ratio. All fractional shares were rounded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current assets consisted of the following at the dates indicated (in thousands):</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2021</w:t>
            </w:r>
          </w:p>
        </w:tc>
      </w:tr>
      <w:tr>
        <w:trPr>
          <w:trHeight w:val="142"/>
        </w:trPr>
        <w:tc>
          <w:tcPr>
            <w:tcW w:w="49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Prepaid insurance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6,523</w:t>
            </w:r>
          </w:p>
        </w:tc>
        <w:tc>
          <w:tcPr>
            <w:tcW w:w="2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3,224</w:t>
            </w: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Receivable due from manufacturer</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Other prepaid expenses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legal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Prepaid clinical development expenses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manufacturing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1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5,109</w:t>
            </w:r>
          </w:p>
        </w:tc>
      </w:tr>
      <w:tr>
        <w:trPr>
          <w:trHeight w:val="20"/>
        </w:trPr>
        <w:tc>
          <w:tcPr>
            <w:tcW w:w="4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and other current liabilities consisted of the following at the dates indicated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December 31, 2021</w:t>
            </w:r>
          </w:p>
        </w:tc>
      </w:tr>
      <w:tr>
        <w:trPr>
          <w:trHeight w:val="142"/>
        </w:trPr>
        <w:tc>
          <w:tcPr>
            <w:tcW w:w="4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Accrued research and development expenses</w:t>
            </w:r>
          </w:p>
        </w:tc>
        <w:tc>
          <w:tcPr>
            <w:tcW w:w="1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employee expenses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Professional services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accrued expenses</w:t>
            </w:r>
          </w:p>
        </w:tc>
        <w:tc>
          <w:tcPr>
            <w:tcW w:w="1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13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r>
      <w:tr>
        <w:trPr>
          <w:trHeight w:val="20"/>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Notes Payable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Relief Therapeutics Loan</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April 6, 2020, the Company entered into a loan agreement (the “Relief Therapeutics Loan”) with Relief Therapeutics Holding S.A. (“Relief Therapeutics”) in the amount of $0.5 million. The Relief Therapeutics Loan matured on April 6, 2022 and was bearing interest at 2% per annum payable in arrears. The Relief Therapeutics Loan principal and accrued interest were paid in full on April 6, 2022 in the amount of $0.5 million and less than $0.1 million, respectively.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leases office space on a month-to-month basis. The rent expense for the three months ended June 30, 2022 and 2021 was less than $0.1 million and less than $0.1 million, respectively, and for the six months ended June 30, 2022 and 2021 was less than $0.1 million and $0.1 million,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Sponsored Research Agreement with National Jewish Health</w:t>
      </w:r>
    </w:p>
    <w:p>
      <w:pPr>
        <w:spacing w:after="0" w:line="22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On February 8, 2021, the Company entered into a Sponsored Research Agreement (“Research Agreement”) with National Jewish Health (“NJ Health”), a Colorado not-for-profit institution. Under the terms of the Research Agreement, the Company agreed to sponsor a research study at NJ Health relating to the impact of the Company’s' Aviptadil on propagation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of SARS-CoV-2 in alveolar type II cells in vitro (the “Study”). In return for performance of the Study under the Research Agreement, the Company has committed to pay NJ Health approximately $0.4 million upon finalization of the work. As of June 30, 2022, the Company has paid NJ Health $0.3 million of the total committed amount.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Relief Therapeutics Collaboration Agreement</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September 18, 2020, the Company entered into a collaboration agreement (the “Collaboration Agreement”) with Relief Therapeutics for the clinical development and, if approved, the sale of Aviptadil. The Collaboration Agreement provides for funding by Relief Therapeutics of certain clinical trials, formulation and manufacturing of Aviptadil, as well as establishing specified sales territories for each party and share of the profits in those territories for “Product” as defined in the Collaboration Agreement. Relief Therapeutics reimbursed the Company $10.9 million but has subsequently declined to reimburse the Company for additional costs of research and development. The Company advised Relief Therapeutics that the Company is funding those costs with other capital. On October 6, 2021, Relief Therapeutics filed a lawsuit against the Company and its former CEO claiming that the Company failed to honor its obligations under the Collaboration Agreement. Relief Therapeutics’ complaint seeks several remedies, including damages for alleged breaches of the terms of the Collaboration Agreement. The Company believes the lawsuit is baseless and without merit. On January 10, 2022, the Company filed a complaint in New York State Court, claiming Relief Therapeutics breached and repudiated the Collaboration Agreement. The Company’s complaint seeks damages of at least $185.0 million. Efforts to resolve the litigation through mediation have not been successful, but the parties continue to seek a mutually acceptable resolution to the claims. If such a resolution cannot be found, the Company intends to defend itself vigorously and to prosecute its claims against Relief Therapeutics.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From time to time the Company is involved in litigation, claims, and other proceedings arising in the ordinary course of business. Litigation and other disputes are inherently unpredictable and subject to substantial uncertainties and unfavorable resolutions could occur.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Subscription Facility Agreement — GEM</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NeuroRx previously entered into a share subscription facility agreement (“GEM Agreement”) with GEM Global Yield LLC SCS and GEM Yield Bahamas Limited (collectively, referred to as “GEM”) with a three-year term which expires in October 2022. Subject to the successful listing of the shares of NeuroRx on an Exchange (any nationally recognized stock exchange or exchange platform in the world on which the Company will list its shares), GEM grants NeuroRx an option to require GEM to subscribe for shares from the Company for up to an aggregate value of approximately $95.6 million. The agreement also included certain provisions which would not meet the U.S. requirements to issue registered shares thus preventing its usage. If NeuroRx was listed or completes a private transaction which results in a change of control of the Company, NeuroRx would issue GEM a warrant and pay a commitment fee of $1.9 million. Absent a listing of NeuroRx shares or a private transaction with a change of control during the three-year term, NeuroRx would have no obligations under the agreement. The reverse merger contemplated by the Merger Agreement would not have resulted in a listing of NeuroRx shares or a change in control.</w:t>
      </w:r>
    </w:p>
    <w:p>
      <w:pPr>
        <w:spacing w:after="0" w:line="18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November 2020, GEM introduced NeuroRx to BRPA. To resolve uncertainties around the application of the GEM Agreement post-Merger, NeuroRx and GEM agreed in March 2021 to issue a warrant to GEM and for the parties to use their good faith efforts to amend the GEM Agreement to meet U.S. requirements to issue registered shares. The warrant was not conditional upon any further events or completion of the merger.</w:t>
      </w:r>
    </w:p>
    <w:p>
      <w:pPr>
        <w:spacing w:after="0" w:line="18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warrant was issued March 28, 2021, for 3,329,812 shares of NeuroRx common stock at an exercise price of $3.19 per share (the “GEM Warrant”) and the parties agreed that GEM would immediately partially exercise the warrant for the purchase of 1,496,216 shares (“Initial Exercised Shares”) for $7,500,018. The GEM Warrant will be valid for a period 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three years from the date NeuroRx’s stock is listed for trading on a national securities exchange or consummation of a reverse merger transaction of the type contemplated by the Merger Agreement.</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of December 31, 2020, the Company recognized a contingent liability for its obligation to issue to GEM certain equity instruments at a discounted per share price. Specifically, as the amount was deemed probable and estimable at December 31, 2020, NeuroRx recorded a liability and settlement expense of $39,486,139 to reflect the fair value of the expected GEM Warrant to be issued. On March 28, 2021, when the GEM Warrant was issued, the Company recorded an additional charge of $21,365,641 to reflect the increased fair value of the GEM Warrant on its grant date. Upon issuance, the GEM Warrant was equity classified and was determined to be within the scope of ASC 718, Share-Based Payments (“ASC 718”).</w:t>
      </w:r>
    </w:p>
    <w:p>
      <w:pPr>
        <w:spacing w:after="0" w:line="19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NeuroRx was required to register the Initial Exercised Shares on (a) the same registration statement on Form S-4 (or such other registration statement, if changed) in connection with the Merger, or (b) such other registration statement in connection with any other transaction which results in a public listing of NeuroRx. In addition, no later than 90 days following the consummation of the Big Rock merger, the Company was required to file with the SEC a registration statement to register under the Securities Act the resale by GEM of all shares issuable under the GEM Warrant other than the Initial Exercised Shares, which was filed with the Company's S-1 in July 2021. The GEM Warrant also includes “piggyback” registration rights.</w:t>
      </w:r>
    </w:p>
    <w:p>
      <w:pPr>
        <w:spacing w:after="0" w:line="195"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The GEM Warrants that were not exercised as of the Merger were modified and became Substitute Warrants (1,833,596 shares, adjusted for the Merger as discussed in Note 11). These Substitute Warrants were liability classified (see Note 9). The changes in fair value of these Substitute Warrants were recognized as a gain or loss in the statement of operations until these Substitute Warrants were exercised in July 2021, at which time they were reclassified to additional paid-in capital.</w:t>
      </w:r>
    </w:p>
    <w:p>
      <w:pPr>
        <w:spacing w:after="0" w:line="15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August 12, 2022, the Company received a demand for arbitration (the “Demand”) from GEM. The Demand claims that the Company’s subsidiary, NeuroRx, failed to satisfy its obligation to pay GEM a commitment fee in the amount of HK$15,000,000 (approximately US$1,914,087 at current exchange rates) pursuant to the GEM Agreement. NeuroRx expects to vigorously defend its position that payment of the commitment fee is neither due nor owing under the terms of the Agreement.</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Upon closing of the Merger, pursuant to the terms of the Second Amended and Restated Certificate of Incorporation, the Company authorized 500,000,000 shares of common stock with a par value $0.001. As discussed in Note 4, we have retroactively adjusted the shares issued and outstanding prior to May 24, 2021 to give effect to the Exchange Ratio established in the Merger Agreement to determine the number of shares of common stock into which they were converted.</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sold 65,526 shares of common stock during the three months ended June 30, 2021, and received gross proceeds of $1.4 million.</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sold 7,824,727 and 1,894,863 shares of common stock during the six months ended June 30, 2022 and 2021, respectively, and received gross proceeds of $23.0 million and $16.0 million,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Upon closing of the Merger, pursuant to the terms of the Second Amended and Restated Certificate of Incorporation, the Company authorized 50,000,000 shares of preferred stock with a par value $0.001. The Company has no shares of preferred stock outstanding.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Substitute Warrants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As discussed in Note 4, in connection with the Merger, each warrant of NeuroRx that was outstanding and unexercised immediately prior to the Effective Time (whether vested or unvested) was assumed by BRPA and converted into the Substitute Warrants, based on the Option Exchange Ratio (of 4.96), and will continue to be governed by substantially the same terms and conditions, including vesting, as were applicable to the former warrant. Each Substitute Warrant will be exercisable for a number of whole shares of Common Stock equal to the product of the number of shares of NeuroRx common stock underlying such NeuroRx warrant multiplied by the Option Exchange Ratio, and the per share exercise price of such Substitute Warrant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Warrant that is vested immediately following the Effective Time will equal the percentage of total shares of NeuroRx common stock subject to each NeuroRx warrant that is vested immediately prior to the Effective Time.</w:t>
      </w:r>
    </w:p>
    <w:p>
      <w:pPr>
        <w:spacing w:after="0" w:line="17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Warrant will be adjusted such that the number of shares of Common Stock subject to each adjusted Substitute Warrant, the exercise price per share of each adjusted Substitute Warrant and the aggregate intrinsic value of each adjusted Substitute Warrant will equal the respective number of shares, exercise price per share and aggregate intrinsic value that would have resulted following the adjustment of the applicable underlying Substitute Warrant had the conversion of NeuroRx warrants into the Substitute Warrants been applied using the Exchange Ratio (3.16:1) as adjusted accordingly to reflect the impact of the respective milestone not being met. If neither the Earnout Shares Milestone nor the Earnout Cash Milestone occurs, each Substitute Warrant will be adjusted based on the Exchange Ratio.</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any Substitute Warrants are exercised prior to the earlier of (i) the date that both the Earnout Shares Milestone and Earnout Cash Milestone occur and (ii) December 31, 2022, a sufficient number of shares of Common Stock will be held back pending the applicable adjustment to such Substitute Warrants. Following the determination of that adjustment, NRx Pharmaceuticals will retain any shares forfeited by the warrant holder in connection with the adjustment and return any remaining shares to the warrant holder.</w:t>
      </w:r>
    </w:p>
    <w:p>
      <w:pPr>
        <w:spacing w:after="0" w:line="18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Upon the closing of the Merger, all outstanding and unexercised NeuroRx warrants became warrants to purchase an aggregate 4,909,066 shares of the Company’s common stock with an average exercise price of $2.45 per share.</w:t>
      </w:r>
    </w:p>
    <w:p>
      <w:pPr>
        <w:spacing w:after="0" w:line="14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With respect to warrants held by certain members of our Board of Directors, the Substitute Warrants were determined to be within the scope of ASC 718. For the portion of the warrants subject to the base Exchange Ratio (3.16:1), the warrants were fully vested and therefore the incremental fair value of these Substitute Warrants at the date of the modification date was immediately recognized as compensation expense. For the incremental portion of the warrants with a performance-based vesting conditions (i.e., the achievement of the Earnout Cash Milestone and/or Earnout Shares Milestone), the Company determined it was not probable that the Earnout Cash Milestone or Earnout Shares Milestone would be met on the Effective Date and at June 30, 2022 and therefore no expense has been recognized for this portion. Accordingly, the Company will only recognize incremental compensation cost related to the portion of the Substitute Warrants subject to service-based vesting conditions only. The Company will reevaluate the probability of the Earnout Cash Milestone and/or Earnout Shares Milestone being met and recognize any unamortized incremental compensation cost accordingly in the period during which it becomes probable the milestones will be met. The Company recognized incremental compensation in the second quarter of 2021 on the modification date totaling $2.3 million which was recognized in general and administrative in the Unaudited Condensed Consolidated Statement of Operations. Unamortized compensation costs related to performance-based vesting conditions of these Substitute Warrants as of the modification date was $23.8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For any remaining outstanding warrants, as the warrant holders were no longer providing services at the date of the modification, in accordance with ASC 815, the Company concluded that the provisions in the Merger Agreement related to the Earnout Shares Milestone and the Earnout Cash Milestone and the contingent right to receive additional shares for these provisions precluded these Substitute Warrants from being accounted for as components of equity. As these Substitute Warrants meet the definition of a derivative as contemplated in ASC 815, the Substitute Warrants should be recorded as derivative liabilities on the balance sheet and measured at fair value at inception (on the date of the Merger) and at each reporting date in accordance with ASC 820, Fair Value Measurement, with changes in fair value recognized in the Statements of Operations in the period of change. On May 24, 2021, the Company recorded a warrant liability of $53.3 million for the Substitute Warrants, reclassified out of additional-paid in capital $38.2 million representing the fair value of these NeuroRx warrants immediately before the modification as a result of the Merger, and recognized a loss of $15.1 million for the incremental fair value of these Substitute Warrants which is recorded in the Change in fair value of warrant liabilities on the Condensed Consolidated Statement of Operations.</w:t>
      </w:r>
    </w:p>
    <w:p>
      <w:pPr>
        <w:spacing w:after="0" w:line="17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recognized a gain on the change in fair value of the Substitute Warrants for the three and six months ended June 30, 2022 and $0.1 million and $0.2 million, respectively. The Company recognized a gain on the change in fair value of the Substitute Warrants for the three and six months ended June 30, 2021 of $15.9 million. Refer to Note 11 for further discussion of fair value measurement of the warrant liabilities.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discussed above the GEM Substitute Warrants were exercised in July 2021, and changes in the fair value of the warrant liability through the date of exercise were recognized in the statement of operations and upon exercise any remaining instruments were reclassified to additional paid-in capital and includes associated escrow shares for the contingent earnouts.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fair value of the original NeuroRx warrants and Substitute Warrants as of the Merger Date was determined using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Black-Scholes option-pricing model with the following assumptions for each:</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Original Warrants</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Substitute Warrants</w:t>
            </w:r>
          </w:p>
        </w:tc>
      </w:tr>
      <w:tr>
        <w:trPr>
          <w:trHeight w:val="210"/>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Strike price</w:t>
            </w:r>
          </w:p>
        </w:tc>
        <w:tc>
          <w:tcPr>
            <w:tcW w:w="1140" w:type="dxa"/>
            <w:vAlign w:val="bottom"/>
            <w:tcBorders>
              <w:top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90"/>
              </w:rPr>
              <w:t>$7.58-$15.84</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color w:val="auto"/>
                <w:w w:val="91"/>
              </w:rPr>
              <w:t>$1.53-$3.19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rPr>
              <w:t>Volatility rate</w:t>
            </w:r>
          </w:p>
        </w:tc>
        <w:tc>
          <w:tcPr>
            <w:tcW w:w="1140" w:type="dxa"/>
            <w:vAlign w:val="bottom"/>
          </w:tcPr>
          <w:p>
            <w:pPr>
              <w:jc w:val="center"/>
              <w:ind w:left="33"/>
              <w:spacing w:after="0"/>
              <w:rPr>
                <w:sz w:val="20"/>
                <w:szCs w:val="20"/>
                <w:color w:val="auto"/>
              </w:rPr>
            </w:pPr>
            <w:r>
              <w:rPr>
                <w:rFonts w:ascii="Arial" w:cs="Arial" w:eastAsia="Arial" w:hAnsi="Arial"/>
                <w:sz w:val="18"/>
                <w:szCs w:val="18"/>
                <w:color w:val="auto"/>
                <w:w w:val="90"/>
              </w:rPr>
              <w:t>80.0%</w:t>
            </w:r>
          </w:p>
        </w:tc>
        <w:tc>
          <w:tcPr>
            <w:tcW w:w="140" w:type="dxa"/>
            <w:vAlign w:val="bottom"/>
          </w:tcPr>
          <w:p>
            <w:pPr>
              <w:spacing w:after="0"/>
              <w:rPr>
                <w:sz w:val="18"/>
                <w:szCs w:val="18"/>
                <w:color w:val="auto"/>
              </w:rPr>
            </w:pPr>
          </w:p>
        </w:tc>
        <w:tc>
          <w:tcPr>
            <w:tcW w:w="1280" w:type="dxa"/>
            <w:vAlign w:val="bottom"/>
          </w:tcPr>
          <w:p>
            <w:pPr>
              <w:jc w:val="center"/>
              <w:ind w:left="73"/>
              <w:spacing w:after="0"/>
              <w:rPr>
                <w:sz w:val="20"/>
                <w:szCs w:val="20"/>
                <w:color w:val="auto"/>
              </w:rPr>
            </w:pPr>
            <w:r>
              <w:rPr>
                <w:rFonts w:ascii="Arial" w:cs="Arial" w:eastAsia="Arial" w:hAnsi="Arial"/>
                <w:sz w:val="18"/>
                <w:szCs w:val="18"/>
                <w:color w:val="auto"/>
                <w:w w:val="93"/>
              </w:rPr>
              <w:t>80.0%</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14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2"/>
              </w:rPr>
              <w:t>0.03%-0.32%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2"/>
              </w:rPr>
              <w:t>0.03%-0.32%</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140" w:type="dxa"/>
            <w:vAlign w:val="bottom"/>
          </w:tcPr>
          <w:p>
            <w:pPr>
              <w:jc w:val="center"/>
              <w:ind w:left="53"/>
              <w:spacing w:after="0"/>
              <w:rPr>
                <w:sz w:val="20"/>
                <w:szCs w:val="20"/>
                <w:color w:val="auto"/>
              </w:rPr>
            </w:pPr>
            <w:r>
              <w:rPr>
                <w:rFonts w:ascii="Arial" w:cs="Arial" w:eastAsia="Arial" w:hAnsi="Arial"/>
                <w:sz w:val="18"/>
                <w:szCs w:val="18"/>
                <w:color w:val="auto"/>
                <w:w w:val="89"/>
              </w:rPr>
              <w:t>0.57-3.69</w:t>
            </w:r>
          </w:p>
        </w:tc>
        <w:tc>
          <w:tcPr>
            <w:tcW w:w="140" w:type="dxa"/>
            <w:vAlign w:val="bottom"/>
          </w:tcPr>
          <w:p>
            <w:pPr>
              <w:spacing w:after="0"/>
              <w:rPr>
                <w:sz w:val="18"/>
                <w:szCs w:val="18"/>
                <w:color w:val="auto"/>
              </w:rPr>
            </w:pPr>
          </w:p>
        </w:tc>
        <w:tc>
          <w:tcPr>
            <w:tcW w:w="1280" w:type="dxa"/>
            <w:vAlign w:val="bottom"/>
          </w:tcPr>
          <w:p>
            <w:pPr>
              <w:jc w:val="center"/>
              <w:ind w:left="73"/>
              <w:spacing w:after="0"/>
              <w:rPr>
                <w:sz w:val="20"/>
                <w:szCs w:val="20"/>
                <w:color w:val="auto"/>
              </w:rPr>
            </w:pPr>
            <w:r>
              <w:rPr>
                <w:rFonts w:ascii="Arial" w:cs="Arial" w:eastAsia="Arial" w:hAnsi="Arial"/>
                <w:sz w:val="18"/>
                <w:szCs w:val="18"/>
                <w:color w:val="auto"/>
                <w:w w:val="89"/>
              </w:rPr>
              <w:t>0.57-3.69</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2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Assumed Public Warrants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the Merger, the Company had 3,450,000 Public Warrants outstanding. Each Public Warrant entitles the holder to purchase one share of Common Stock at an exercise price of $11.50 per share. The Public Warrants became exercisable at the Effective Time and expire five years after the Effective Time or earlier upon their redemption or liquidation of the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44"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15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 and</w:t>
      </w:r>
    </w:p>
    <w:p>
      <w:pPr>
        <w:spacing w:after="0" w:line="10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above conditions have not been met to redeem the Public Warrants. If the Company calls the Public Warrants for redemption, management will have the option to require all holders that wish to exercise the Public Warrants to do so on a “cashless basis,” as described in the warrant agreement.</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three and six months ended June 30, 2022, no Public Warrants were exercised.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Assumed Placement Warrants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Prior to the Merger, the Company had outstanding 136,250 Placement Warrants. The Placement Warrants are identical to the Public Warrants except that the Placement Warrants (i) are not redeemable by the Company and (ii) may be exercised for cash or on a cashless basis, so long as they are held by the initial purchaser or any of its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6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Placement Warrants are not indexed to the Company’s common shares in the manner contemplated by ASC 815-40-15 because the holder of the instrument is not an input into the pricing of a fixed-for-fixed option on equity shares. The Company classifies the Placement Warrants as derivative liabilities in its Unaudited Condensed Consolidated Balance Sheet as of June 30, 2022. The Company measures the fair value of the warrants at the end of each reporting period and recognizes changes in the fair value from the prior period in the Company’s operating results for the current period.</w:t>
      </w:r>
    </w:p>
    <w:p>
      <w:pPr>
        <w:spacing w:after="0" w:line="16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recognized a gain on the change in fair value of the Placement Warrants for the three months ended June 30, 2022 and 2021 of $0.1 million and $1.5 million, respectively. The Company recognized a gain on the change in fair value of the Placement Warrants for the six months ended June 30, 2022 and 2021 of $0.1 million and $1.5 million, respectively. Refer to Note 11 for discussion of fair value measurement of the warrant liabilities.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activity for all warrants for the respective periods.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Aggregate</w:t>
            </w:r>
          </w:p>
        </w:tc>
      </w:tr>
      <w:tr>
        <w:trPr>
          <w:trHeight w:val="216"/>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Intrinsic Value</w:t>
            </w:r>
          </w:p>
        </w:tc>
      </w:tr>
      <w:tr>
        <w:trPr>
          <w:trHeight w:val="201"/>
        </w:trPr>
        <w:tc>
          <w:tcPr>
            <w:tcW w:w="406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Warrants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(in thousands)</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9,305,790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r>
      <w:tr>
        <w:trPr>
          <w:trHeight w:val="210"/>
        </w:trPr>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Issued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8,215,963</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17,521,753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Investment Options (included in above warrants table)</w:t>
      </w:r>
    </w:p>
    <w:p>
      <w:pPr>
        <w:spacing w:after="0" w:line="14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February 2, 2022, the Company completed a private placement and issued 7,824,727 shares of common stock and Preferred Investment Options to purchase up to an aggregate of 7,824,727 shares of common stock. The Preferred Investment Options have an exercise price of $3.07 per share and may be exercised any time on or after August 2, 2022.</w:t>
      </w:r>
    </w:p>
    <w:p>
      <w:pPr>
        <w:spacing w:after="0" w:line="8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form of the Preferred Investment Option is a warrant. The measurement of fair value was determined utilizing a Black-Scholes model considering all relevant assumptions current at February 2, 2022, the date of issuance (i.e., share price of $2.94, exercise price of $3.07, term of five years beginning August 2, 2022, volatility of 82.8%, risk-free rate of 1.60%, and expected dividend rate of 0%). The grant date fair value of these Preferred Investment Options was estimated to be $15.5 million on February 2, 2022 and is reflected within additional paid-in capital as of June 30, 2022.</w:t>
      </w:r>
    </w:p>
    <w:p>
      <w:pPr>
        <w:spacing w:after="0" w:line="10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addition, on February 2, 2022, the Company issued fully vested Preferred Investment Options to the placement agent with an exercise price of $3.99. As these Preferred Investment Options were issued for services provided in facilitating the private placement, the Company recorded the fair value of such Preferred Investment Options as a cost of capital on the issuance date. The measurement of fair value was determined utilizing a Black-Scholes model considering all relevant assumptions current at February 2, 2022, the date of issuance (i.e., share price of $2.94, exercise price of $3.99, term of five years beginning August 2, 2022, volatility of 82.8%, risk-free rate of 1.60%, and expected dividend rate of 0%).</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Omnibus Incentive Plan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3,472,000.</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(the “Substitute Options”), based on the Option Exchange Ratio (of 4.96), and will continue to be governed by substantially the same terms and conditions, including vesting, as were applicable to the former option. Each Substitute Option will be exercisable for a number of whole shares of Common Stock equal to the product of the number of shares of NeuroRx common stock underlying such NeuroRx option multiplied by the Option Exchange Ratio, and the per share exercise price of such Substitute Option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Option that is vested immediately following the Effective Time will equal the percentage of total shares of NeuroRx common stock subject to each NeuroRx option that is vested immediately prior to the Effective Time.</w:t>
      </w:r>
    </w:p>
    <w:p>
      <w:pPr>
        <w:spacing w:after="0" w:line="17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Option will be adjusted such that the number of shares of Common Stock subject to each adjusted Substitute Option, the exercise price per share of each adjusted Substitute Option and the aggregate intrinsic value of each adjusted Substitute Option will equal the respective number of shares, exercise price per share and aggregate intrinsic value that would have resulted following the adjustment of the applicable underlying Substitute Option had the conversion of NeuroRx options into the Substitute Options been applied using the Exchange Ratio as adjusted accordingly to reflect the impact of the respective milestone not being met. If neither the Earnout Shares Milestone nor the Earnout Cash Milestone occurs, each Substitute Option will be adjusted based on the Exchange Ratio.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stated in the Merger Agreement, if any Substitute Options are exercised prior to the earlier of (i) the date that both the Earnout Shares Milestone and Earnout Cash Milestone occur and (ii) December 31, 2022, a sufficient number of shares of Common Stock will be held back pending the applicable adjustment to such Substitute Options. Following the determination of that adjustment, NRx Pharmaceuticals will retain any shares forfeited by the option holder in connection with the adjustment and return any remaining shares to the option holder.</w:t>
      </w:r>
    </w:p>
    <w:p>
      <w:pPr>
        <w:spacing w:after="0" w:line="18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Upon the closing of the Merger, the outstanding and unexercised NeuroRx stock options became options to purchase an aggregate 2,895,423 shares of the Company’s Common Stock at an average exercise price of $5.10 per share. The Company accounted for the Substitute Options as a modification of the existing options. Incremental compensation costs, measured as the excess, if any, of the fair value of the modified options over the fair value of the original options immediately before its terms are modified, is measured based on the fair value of the underlying shares and other pertinent factors at the modification date. The fair value of the original NeuroRx options and Substitute Options was determined using the Black-Scholes option-pricing model with the following assumptions for each: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Original Options</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Substitute Options</w:t>
            </w:r>
          </w:p>
        </w:tc>
      </w:tr>
      <w:tr>
        <w:trPr>
          <w:trHeight w:val="209"/>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Strike price</w:t>
            </w:r>
          </w:p>
        </w:tc>
        <w:tc>
          <w:tcPr>
            <w:tcW w:w="1140" w:type="dxa"/>
            <w:vAlign w:val="bottom"/>
            <w:tcBorders>
              <w:top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90"/>
              </w:rPr>
              <w:t>$1.00-$72.30</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90"/>
              </w:rPr>
              <w:t>$0.20-$14.58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Volatility rate</w:t>
            </w:r>
          </w:p>
        </w:tc>
        <w:tc>
          <w:tcPr>
            <w:tcW w:w="1140" w:type="dxa"/>
            <w:vAlign w:val="bottom"/>
          </w:tcPr>
          <w:p>
            <w:pPr>
              <w:jc w:val="center"/>
              <w:ind w:left="33"/>
              <w:spacing w:after="0"/>
              <w:rPr>
                <w:sz w:val="20"/>
                <w:szCs w:val="20"/>
                <w:color w:val="auto"/>
              </w:rPr>
            </w:pPr>
            <w:r>
              <w:rPr>
                <w:rFonts w:ascii="Arial" w:cs="Arial" w:eastAsia="Arial" w:hAnsi="Arial"/>
                <w:sz w:val="18"/>
                <w:szCs w:val="18"/>
                <w:color w:val="auto"/>
                <w:w w:val="90"/>
              </w:rPr>
              <w:t>80.0%</w:t>
            </w:r>
          </w:p>
        </w:tc>
        <w:tc>
          <w:tcPr>
            <w:tcW w:w="160" w:type="dxa"/>
            <w:vAlign w:val="bottom"/>
          </w:tcPr>
          <w:p>
            <w:pPr>
              <w:spacing w:after="0"/>
              <w:rPr>
                <w:sz w:val="18"/>
                <w:szCs w:val="18"/>
                <w:color w:val="auto"/>
              </w:rPr>
            </w:pPr>
          </w:p>
        </w:tc>
        <w:tc>
          <w:tcPr>
            <w:tcW w:w="1180" w:type="dxa"/>
            <w:vAlign w:val="bottom"/>
          </w:tcPr>
          <w:p>
            <w:pPr>
              <w:jc w:val="center"/>
              <w:ind w:left="53"/>
              <w:spacing w:after="0"/>
              <w:rPr>
                <w:sz w:val="20"/>
                <w:szCs w:val="20"/>
                <w:color w:val="auto"/>
              </w:rPr>
            </w:pPr>
            <w:r>
              <w:rPr>
                <w:rFonts w:ascii="Arial" w:cs="Arial" w:eastAsia="Arial" w:hAnsi="Arial"/>
                <w:sz w:val="18"/>
                <w:szCs w:val="18"/>
                <w:color w:val="auto"/>
                <w:w w:val="93"/>
              </w:rPr>
              <w:t>80.0%</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14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2"/>
              </w:rPr>
              <w:t>0.07%-0.79%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2"/>
              </w:rPr>
              <w:t>0.07%-0.79%</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140" w:type="dxa"/>
            <w:vAlign w:val="bottom"/>
          </w:tcPr>
          <w:p>
            <w:pPr>
              <w:jc w:val="center"/>
              <w:ind w:left="53"/>
              <w:spacing w:after="0"/>
              <w:rPr>
                <w:sz w:val="20"/>
                <w:szCs w:val="20"/>
                <w:color w:val="auto"/>
              </w:rPr>
            </w:pPr>
            <w:r>
              <w:rPr>
                <w:rFonts w:ascii="Arial" w:cs="Arial" w:eastAsia="Arial" w:hAnsi="Arial"/>
                <w:sz w:val="18"/>
                <w:szCs w:val="18"/>
                <w:color w:val="auto"/>
                <w:w w:val="89"/>
              </w:rPr>
              <w:t>0.18-5.99</w:t>
            </w:r>
          </w:p>
        </w:tc>
        <w:tc>
          <w:tcPr>
            <w:tcW w:w="160" w:type="dxa"/>
            <w:vAlign w:val="bottom"/>
          </w:tcPr>
          <w:p>
            <w:pPr>
              <w:spacing w:after="0"/>
              <w:rPr>
                <w:sz w:val="18"/>
                <w:szCs w:val="18"/>
                <w:color w:val="auto"/>
              </w:rPr>
            </w:pPr>
          </w:p>
        </w:tc>
        <w:tc>
          <w:tcPr>
            <w:tcW w:w="1180" w:type="dxa"/>
            <w:vAlign w:val="bottom"/>
          </w:tcPr>
          <w:p>
            <w:pPr>
              <w:jc w:val="center"/>
              <w:ind w:left="53"/>
              <w:spacing w:after="0"/>
              <w:rPr>
                <w:sz w:val="20"/>
                <w:szCs w:val="20"/>
                <w:color w:val="auto"/>
              </w:rPr>
            </w:pPr>
            <w:r>
              <w:rPr>
                <w:rFonts w:ascii="Arial" w:cs="Arial" w:eastAsia="Arial" w:hAnsi="Arial"/>
                <w:sz w:val="18"/>
                <w:szCs w:val="18"/>
                <w:color w:val="auto"/>
                <w:w w:val="89"/>
              </w:rPr>
              <w:t>0.18-5.99</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jc w:val="both"/>
        <w:ind w:left="60" w:right="79"/>
        <w:spacing w:after="0" w:line="272" w:lineRule="auto"/>
        <w:rPr>
          <w:sz w:val="20"/>
          <w:szCs w:val="20"/>
          <w:color w:val="auto"/>
        </w:rPr>
      </w:pPr>
      <w:r>
        <w:rPr>
          <w:rFonts w:ascii="Arial" w:cs="Arial" w:eastAsia="Arial" w:hAnsi="Arial"/>
          <w:sz w:val="17"/>
          <w:szCs w:val="17"/>
          <w:color w:val="auto"/>
        </w:rPr>
        <w:t>The Substitute Options contain both service-based and performance-based vesting conditions (i.e., the achievement of the Earnout Cash Milestone and/or Earnout Shares Milestone). The Company determined it was not probable that the Earnout Cash Milestone or Earnout Shares Milestone would be met on the Effective Date and at June 30, 2022. Accordingly, the Company will only recognize incremental compensation cost related to the portion of the Substitute Options subject to service-based vesting conditions only. The Company will reevaluate the probability of the Earnout Cash Milestone and/or Earnout Shares Milestone being met and recognize any unamortized incremental compensation cost accordingly in the period during which it becomes probable the milestones will be met.</w:t>
      </w:r>
    </w:p>
    <w:p>
      <w:pPr>
        <w:spacing w:after="0" w:line="17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unvested Substitute Options, the Company will recognize incremental compensation over the remaining requisite service period, the sum of the incremental compensation cost and the remaining unrecognized compensation cost for the original award on the modification date, taking into consideration the probability of the achievement of the Earnout Cash Milestone and/or Earnout Shares Milestone. Incremental compensation costs related to unvested Substitute Options as of the modification date was $25.9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 xml:space="preserve">At the Effective Time, the Company adopted the 2021 Omnibus Incentive Plan (the “2021 Plan”). As of June 30, 2022, 6,049,178 shares of Common Stock are authorized for issuance pursuant to awards under the 2021 Plan. As of January 1, 2022, 676,129 shares were added to the 2021 Plan under </w:t>
      </w:r>
      <w:r>
        <w:rPr>
          <w:rFonts w:ascii="Arial" w:cs="Arial" w:eastAsia="Arial" w:hAnsi="Arial"/>
          <w:sz w:val="16"/>
          <w:szCs w:val="16"/>
          <w:color w:val="231F20"/>
        </w:rPr>
        <w:t>an evergreen feature that automatically increases the reserve with</w:t>
      </w:r>
      <w:r>
        <w:rPr>
          <w:rFonts w:ascii="Arial" w:cs="Arial" w:eastAsia="Arial" w:hAnsi="Arial"/>
          <w:sz w:val="16"/>
          <w:szCs w:val="16"/>
          <w:color w:val="auto"/>
        </w:rPr>
        <w:t xml:space="preserve"> </w:t>
      </w:r>
      <w:r>
        <w:rPr>
          <w:rFonts w:ascii="Arial" w:cs="Arial" w:eastAsia="Arial" w:hAnsi="Arial"/>
          <w:sz w:val="16"/>
          <w:szCs w:val="16"/>
          <w:color w:val="231F20"/>
        </w:rPr>
        <w:t xml:space="preserve">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w:t>
      </w:r>
      <w:r>
        <w:rPr>
          <w:rFonts w:ascii="Arial" w:cs="Arial" w:eastAsia="Arial" w:hAnsi="Arial"/>
          <w:sz w:val="16"/>
          <w:szCs w:val="16"/>
          <w:color w:val="000000"/>
        </w:rPr>
        <w:t>The Substitute Options do not reduce the number of shares authorized for grant under the 2021 Plan. As of June</w:t>
      </w:r>
      <w:r>
        <w:rPr>
          <w:rFonts w:ascii="Arial" w:cs="Arial" w:eastAsia="Arial" w:hAnsi="Arial"/>
          <w:sz w:val="16"/>
          <w:szCs w:val="16"/>
          <w:color w:val="231F20"/>
        </w:rPr>
        <w:t xml:space="preserve"> </w:t>
      </w:r>
      <w:r>
        <w:rPr>
          <w:rFonts w:ascii="Arial" w:cs="Arial" w:eastAsia="Arial" w:hAnsi="Arial"/>
          <w:sz w:val="16"/>
          <w:szCs w:val="16"/>
          <w:color w:val="000000"/>
        </w:rPr>
        <w:t>30, 2022, 4,953,290 shares have been awarded and 1,095,888 shares remain available for issuance under the 2021 Plan. The 2021 Plan permits the granting of incentive stock options, restricted stock awards, other stock-based award or other cash-based awards to employees, directors, and non-employee consultants.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Option Awards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as well as historical volatility of a publicly traded set of peer companies.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FDA for NRX-101, or b) immediately preceding a change in control of the Company, whichever occurs first.</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grant date fair value of employee and non-employee stock option awards is determined using the Black Scholes option-pricing model. The following assumptions were used during the following periods: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2022</w:t>
            </w:r>
          </w:p>
        </w:tc>
        <w:tc>
          <w:tcPr>
            <w:tcW w:w="1300" w:type="dxa"/>
            <w:vAlign w:val="bottom"/>
          </w:tcPr>
          <w:p>
            <w:pPr>
              <w:ind w:left="80"/>
              <w:spacing w:after="0"/>
              <w:rPr>
                <w:sz w:val="20"/>
                <w:szCs w:val="20"/>
                <w:color w:val="auto"/>
              </w:rPr>
            </w:pPr>
            <w:r>
              <w:rPr>
                <w:rFonts w:ascii="Arial" w:cs="Arial" w:eastAsia="Arial" w:hAnsi="Arial"/>
                <w:sz w:val="14"/>
                <w:szCs w:val="14"/>
                <w:b w:val="1"/>
                <w:bCs w:val="1"/>
                <w:color w:val="auto"/>
                <w:w w:val="95"/>
              </w:rPr>
              <w:t>December 31, 2021</w:t>
            </w:r>
          </w:p>
        </w:tc>
      </w:tr>
      <w:tr>
        <w:trPr>
          <w:trHeight w:val="142"/>
        </w:trPr>
        <w:tc>
          <w:tcPr>
            <w:tcW w:w="608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28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89"/>
              </w:rPr>
              <w:t>$0.51-$3.10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0"/>
              </w:rPr>
              <w:t>$6.44-$23.41</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Risk-free rate of interest</w:t>
            </w:r>
          </w:p>
        </w:tc>
        <w:tc>
          <w:tcPr>
            <w:tcW w:w="1280" w:type="dxa"/>
            <w:vAlign w:val="bottom"/>
          </w:tcPr>
          <w:p>
            <w:pPr>
              <w:jc w:val="center"/>
              <w:ind w:left="95"/>
              <w:spacing w:after="0"/>
              <w:rPr>
                <w:sz w:val="20"/>
                <w:szCs w:val="20"/>
                <w:color w:val="auto"/>
              </w:rPr>
            </w:pPr>
            <w:r>
              <w:rPr>
                <w:rFonts w:ascii="Arial" w:cs="Arial" w:eastAsia="Arial" w:hAnsi="Arial"/>
                <w:sz w:val="18"/>
                <w:szCs w:val="18"/>
                <w:color w:val="auto"/>
                <w:w w:val="90"/>
              </w:rPr>
              <w:t>1.80%-3.61%</w:t>
            </w:r>
          </w:p>
        </w:tc>
        <w:tc>
          <w:tcPr>
            <w:tcW w:w="240" w:type="dxa"/>
            <w:vAlign w:val="bottom"/>
          </w:tcPr>
          <w:p>
            <w:pPr>
              <w:spacing w:after="0"/>
              <w:rPr>
                <w:sz w:val="18"/>
                <w:szCs w:val="18"/>
                <w:color w:val="auto"/>
              </w:rPr>
            </w:pPr>
          </w:p>
        </w:tc>
        <w:tc>
          <w:tcPr>
            <w:tcW w:w="1300" w:type="dxa"/>
            <w:vAlign w:val="bottom"/>
          </w:tcPr>
          <w:p>
            <w:pPr>
              <w:jc w:val="center"/>
              <w:ind w:left="93"/>
              <w:spacing w:after="0"/>
              <w:rPr>
                <w:sz w:val="20"/>
                <w:szCs w:val="20"/>
                <w:color w:val="auto"/>
              </w:rPr>
            </w:pPr>
            <w:r>
              <w:rPr>
                <w:rFonts w:ascii="Arial" w:cs="Arial" w:eastAsia="Arial" w:hAnsi="Arial"/>
                <w:sz w:val="18"/>
                <w:szCs w:val="18"/>
                <w:color w:val="auto"/>
                <w:w w:val="92"/>
              </w:rPr>
              <w:t>0.69%-1.45%</w:t>
            </w: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28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89"/>
              </w:rPr>
              <w:t>5.5-6.5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0"/>
              </w:rPr>
              <w:t>5.25-6.5</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1280" w:type="dxa"/>
            <w:vAlign w:val="bottom"/>
          </w:tcPr>
          <w:p>
            <w:pPr>
              <w:jc w:val="center"/>
              <w:ind w:left="75"/>
              <w:spacing w:after="0"/>
              <w:rPr>
                <w:sz w:val="20"/>
                <w:szCs w:val="20"/>
                <w:color w:val="auto"/>
              </w:rPr>
            </w:pPr>
            <w:r>
              <w:rPr>
                <w:rFonts w:ascii="Arial" w:cs="Arial" w:eastAsia="Arial" w:hAnsi="Arial"/>
                <w:sz w:val="18"/>
                <w:szCs w:val="18"/>
                <w:color w:val="auto"/>
                <w:w w:val="91"/>
              </w:rPr>
              <w:t>94.9%-104.1%</w:t>
            </w:r>
          </w:p>
        </w:tc>
        <w:tc>
          <w:tcPr>
            <w:tcW w:w="240" w:type="dxa"/>
            <w:vAlign w:val="bottom"/>
          </w:tcPr>
          <w:p>
            <w:pPr>
              <w:spacing w:after="0"/>
              <w:rPr>
                <w:sz w:val="18"/>
                <w:szCs w:val="18"/>
                <w:color w:val="auto"/>
              </w:rPr>
            </w:pPr>
          </w:p>
        </w:tc>
        <w:tc>
          <w:tcPr>
            <w:tcW w:w="1300" w:type="dxa"/>
            <w:vAlign w:val="bottom"/>
          </w:tcPr>
          <w:p>
            <w:pPr>
              <w:jc w:val="center"/>
              <w:ind w:left="93"/>
              <w:spacing w:after="0"/>
              <w:rPr>
                <w:sz w:val="20"/>
                <w:szCs w:val="20"/>
                <w:color w:val="auto"/>
              </w:rPr>
            </w:pPr>
            <w:r>
              <w:rPr>
                <w:rFonts w:ascii="Arial" w:cs="Arial" w:eastAsia="Arial" w:hAnsi="Arial"/>
                <w:sz w:val="18"/>
                <w:szCs w:val="18"/>
                <w:color w:val="auto"/>
                <w:w w:val="92"/>
              </w:rPr>
              <w:t>80.0%-85.9%</w:t>
            </w: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88"/>
              </w:rPr>
              <w:t>—</w:t>
            </w:r>
          </w:p>
        </w:tc>
      </w:tr>
    </w:tbl>
    <w:p>
      <w:pPr>
        <w:spacing w:after="0" w:line="200" w:lineRule="exact"/>
        <w:rPr>
          <w:sz w:val="20"/>
          <w:szCs w:val="20"/>
          <w:color w:val="auto"/>
        </w:rPr>
      </w:pPr>
    </w:p>
    <w:p>
      <w:pPr>
        <w:spacing w:after="0" w:line="21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summarizes the Company’s employee and non-employee stock option activity under the Plan for the following periods: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Weighted</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exercise price</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term (years)</w:t>
            </w:r>
          </w:p>
        </w:tc>
        <w:tc>
          <w:tcPr>
            <w:tcW w:w="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2,400,315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552,000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Outstanding as of March 31, 2022</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2,906,948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Granted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tcPr>
          <w:p>
            <w:pPr>
              <w:jc w:val="right"/>
              <w:spacing w:after="0"/>
              <w:rPr>
                <w:sz w:val="20"/>
                <w:szCs w:val="20"/>
                <w:color w:val="auto"/>
              </w:rPr>
            </w:pPr>
            <w:r>
              <w:rPr>
                <w:rFonts w:ascii="Arial" w:cs="Arial" w:eastAsia="Arial" w:hAnsi="Arial"/>
                <w:sz w:val="18"/>
                <w:szCs w:val="18"/>
                <w:color w:val="auto"/>
              </w:rPr>
              <w:t>(550,833)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June 30,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2,706,115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Options vested and exercisable as of June 30, 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1,361,446</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weighted average grant date fair value per share for employee stock and non-employee option grants during the three and six months ended June 30, 2022, was $1.55 and $0.16, respectively. The weighted average grant date fair value per share for employee stock and non-employee option grants during the three months ended and six months ended June 30, 2021, was $14.31 and $18.37, respectively. At June 30, 2022, the total unrecognized compensation related to unvested employee and non-employee stock option awards granted, including unrecognized compensation costs related to Substitute Options of $25.9 million, was $28.5 million, of which the Company expects to recognize $4.0 million over a weighted-average period of approximately 1.8 years.</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summarizes the Company’s recognition of stock-based compensation for the following periods (in thousands):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42"/>
        </w:trPr>
        <w:tc>
          <w:tcPr>
            <w:tcW w:w="5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4,439</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10"/>
        </w:trPr>
        <w:tc>
          <w:tcPr>
            <w:tcW w:w="50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4,283</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4,655</w:t>
            </w: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Fair value measurements discussed herein are based upon certain market assumptions and pertinent information available to management as of and during the six months ended June 30, 2022 and the year ended December 31, 2021. The carrying amount of accounts payable approximated fair value as they are short term in nature. The fair value of warrants issued for settlement and services are estimated based on the Black-Scholes model during the six months ended June 30, 2022 and the year ended December 31, 2021. The carrying value of notes payable approximated the estimated fair values due to their recent issuances.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on a Recurring Basis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Earnout Cash contingent consideration represent Level 3 measurements. The following table presents information about the Company’s assets and liabilities that are measured at fair value on a recurring basis at June 30, 2022 and December 31, 2021, and indicates the fair value hierarchy of the valuation inputs the Company utilized to determine such fair value (in thousands):</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1"/>
              </w:rPr>
              <w:t>June 30</w:t>
            </w:r>
          </w:p>
        </w:tc>
        <w:tc>
          <w:tcPr>
            <w:tcW w:w="18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5800" w:type="dxa"/>
            <w:vAlign w:val="bottom"/>
            <w:gridSpan w:val="3"/>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9"/>
              <w:spacing w:after="0" w:line="142"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780" w:type="dxa"/>
            <w:vAlign w:val="bottom"/>
            <w:gridSpan w:val="2"/>
          </w:tcPr>
          <w:p>
            <w:pPr>
              <w:ind w:left="80"/>
              <w:spacing w:after="0"/>
              <w:rPr>
                <w:sz w:val="20"/>
                <w:szCs w:val="20"/>
                <w:color w:val="auto"/>
              </w:rPr>
            </w:pPr>
            <w:r>
              <w:rPr>
                <w:rFonts w:ascii="Arial" w:cs="Arial" w:eastAsia="Arial" w:hAnsi="Arial"/>
                <w:sz w:val="18"/>
                <w:szCs w:val="18"/>
                <w:color w:val="auto"/>
              </w:rPr>
              <w:t>Money Market Account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23,500</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80"/>
              <w:spacing w:after="0"/>
              <w:rPr>
                <w:sz w:val="20"/>
                <w:szCs w:val="20"/>
                <w:color w:val="auto"/>
              </w:rPr>
            </w:pPr>
            <w:r>
              <w:rPr>
                <w:rFonts w:ascii="Arial" w:cs="Arial" w:eastAsia="Arial" w:hAnsi="Arial"/>
                <w:sz w:val="18"/>
                <w:szCs w:val="18"/>
                <w:color w:val="auto"/>
              </w:rPr>
              <w:t>Warrant liabilities (Note 10)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Earnout Cash liability (Note 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Warrant liabilities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 utilizes a Black-Scholes model approach to value the Placement Warrants at each reporting period, with changes in fair value recognized in the statement of operations. The Company uses a modified Black-Scholes model approach for the Substitute Warrants which applies a probability factor based on the probabilities of achievement of the Earnout Cash Milestone and/or Earnout Shares Milestone at each reporting period, with changes in fair value recognized in the statement of operations. The estimated fair value of the warrant liabilities is determined using Level 3 inputs. Inherent in a Black Scholes options pricing model are assumptions related to expected share-price volatility, expected life, risk-free interest rate and dividend yield. The Company estimates the volatility of its common stock based on historical and peer company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significant inputs used in the Black-Scholes model to measure the warrant liabilities that are categorized within Level 3 of the fair value hierarchy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2022</w:t>
            </w:r>
          </w:p>
        </w:tc>
      </w:tr>
      <w:tr>
        <w:trPr>
          <w:trHeight w:val="209"/>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 on valuation date</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0.60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11.50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Dividend yield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432"/>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 reconciliation of warrant liabilities is included below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0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09"/>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Earnout Cash liability</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fair value of the Earnout Cash liability has been estimated using probability-weighted discounted cash flow models (DCFs) with significant inputs that are not observable in the market and thus represents a Level 3 fair value measurement as defined in ASC 820. The most significant inputs include whether (a) if the Company files an NDA, that the FDA approves the Company’s NDA for ZYESAMI and/or NRX-101, (b) if such approval is granted, whether such approval will be received on or before December 31, 2022, and (c) if such approval is granted, whether ZYESAMI and/or NRX-101 will be listed in the FDA’s Orange Book on or before December 31, 2022. The DCFs incorporate Level 3 inputs including estimated discount rates that the Company believes market participants would consider relevant in pricing and the projected timing and amount of cash flows, which are estimated and developed, considering the uncertainties associated with the obligations. Because (i) ZYESAMI NIH Phase III trial was stopped due to futility, and (ii) NRX-101 Phase III trial has not yet started, management estimated the probability as of June 30, 2022 of achieving the required milestones for payment of the Earnout Cash to be de minimis and therefore, the June 30, 2022 Earnout Cash liability was reduced to zero.</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reconciliation of the Earnout Cash liability is included below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30, 2022</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r>
      <w:tr>
        <w:trPr>
          <w:trHeight w:val="216"/>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2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2022</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r>
      <w:tr>
        <w:trPr>
          <w:trHeight w:val="216"/>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2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w:t>
            </w:r>
          </w:p>
        </w:tc>
      </w:tr>
      <w:tr>
        <w:trPr>
          <w:trHeight w:val="210"/>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2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recorded no provision or benefit for income tax expense for the three and six months ended June 30, 2022 and 2021,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no open tax audits with any taxing authority as of June 30, 2022.</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licenses patents that are owned by Glytech, LLC (“Glytech”), pursuant to a license agreement (the “Glytech Agreement”). Glytech is owned by a co-founder and former director of the Company. The Glytech Agreement requires that the Company pay Glytech for ongoing scientific support and also reimburse Glytech for expenses of obtaining and maintaining patents that are licensed to NRx Pharmaceuticals. During the three months ended June 30, 2022 and 2021 the Company paid a co-founder $0.1 million and $0.1 million, respectively, and during the six months ended June 30, 2022 and 2021, $0.1 million and $0.1 million, respectively, for continuing technology support services and reimbursed expenses. These support services are ongoing.</w:t>
      </w:r>
    </w:p>
    <w:p>
      <w:pPr>
        <w:spacing w:after="0" w:line="17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The Company had the right to acquire the Excluded Technology for no additional consideration if certain conditions were satisfied prior to August 6, 2022, but the conditions were not satisfied and the Company is currently in discussions with Glytech to extend its right to acquire the Excluded Technology.</w:t>
      </w:r>
    </w:p>
    <w:p>
      <w:pPr>
        <w:spacing w:after="0" w:line="18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Chief Scientist of the Company, Dr. Jonathan Javitt, is a major shareholder in the Company and a member of the Board of Directors. Therefore, his services are deemed to be a related party transaction. He served the Company on a full-time basis as CEO under an employment agreement with the Company until March 8, 2022 and currently serves under a Consulting Agreement with the Company as Chief Scientist thereafter and received compensation of $0.1 million and $0.1 million during the three months ended June 30, 2022 and 2021, respectively, and $0.4 million and $0.3 million during the six months ended June 30, 2022 and 2021, respectively. These services are ongoing.</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Zachary Javitt is the son of Dr. Jonathan Javitt. Zachary Javitt provides services related to website, IT, and marketing support under the supervision of the Company’s CEO and the Company’s Senior Director of Global Communications, who are responsible for assuring that the services are provided on financial terms that are at market. The Company paid this family member a total of less than $0.1 million and less than $0.1 million during the three months ended June 30, 2022 and 2021, respectively, and $0.1 million and less than $0.1 million during the six months ended June 30, 2022 and 2021, respectively. These services are ongoing.</w:t>
      </w:r>
    </w:p>
    <w:p>
      <w:pPr>
        <w:spacing w:after="0" w:line="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addition, the Company paid PillTracker for digital health product development required to track the use of Aviptadil in clinical trials. Zachary Javitt and Jonathan Javitt are the chief executive officer and board chairman, respectively, of PillTracker. PillTracker agreements and transactions are submitted to the General Counsel of the Company and the Chair of the Audit Committee for approval in accordance with the terms of the Company’s Related Person Transactions Policy. The Master Service Agreement dated April 1, 2020 (“MSA”), and all work orders thereunder, have been suspended by mutual agreement pending the Company’s re-evaluation of its respiratory franchise. NRx Pharmaceuticals paid PillTracker $0.0 million and $0.3 million during the three months ended June 30, 2022 and 2021, respectively, and $0.2 million and $0.4 million during the six months ended June 30, 2022 and 2021, respectively.</w:t>
      </w:r>
    </w:p>
    <w:p>
      <w:pPr>
        <w:spacing w:after="0" w:line="165"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Included in accounts payable were less than $0.1 million and $0.1 million due to the above related parties as of June 30, 2022 and December 31, 2021, respectively.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Subsequent Events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Appointment of Stephen Willard as Chief Executive Officer and Director</w:t>
      </w:r>
    </w:p>
    <w:p>
      <w:pPr>
        <w:spacing w:after="0" w:line="16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July 12, 2022, the Board of Directors of the Company (the “Board”) appointed Stephen Willard, 61, to serve as the Chief Executive Officer of the Company with immediate effect. At the same time, the Board appointed Mr. Willard as a Class III director to fill the vacancy created by the resignation of H.R. McMaster in May 2022. Pursuant to the terms of the employment agreement, Mr. Willard was granted an award of 1,000,000 restricted shares of the Company (“Restricted Stock”) pursuant to a separate Restricted Stock Award Agreement (the “RSA”). The Restricted Stock will vest in approximately equal installments over three (3) years from the Effective Date, subject generally to Mr. Willard’s continued service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NRx Pharmaceuticals’ financial condition and plan of operations together with NRx Pharmaceuticals' unaudited, condensed consolidated financial statements and the related notes appearing elsewhere herein.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herein.</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May 24, 2021, Big Rock Partners Acquisition Group (“BRPA”), a special purpose acquisition company, consummated the Agreement and Plan of Merger (as amended, the “Merger Agreement”) with NeuroRx, Inc., a Delaware corporation (“NeuroRx”), and Big Rock Merger Corp., a Delaware corporation and wholly-owned, direct subsidiary of BRPA (“Merger Sub”). Pursuant to the Merger Agreement, on May 24, 2021 (the “Closing Date”), which has been accounted for as a reverse recapitalization, Merger Sub was merged with and into NeuroRx, with NeuroRx surviving the merger (the “Merger” and, together with the other transactions contemplated by the Merger Agreement, the “Business Combination”). On the Closing Date, BRPA changed its name to NRX Pharmaceuticals, Inc. (“NRx Pharmaceuticals” or the “Company”).</w:t>
      </w:r>
    </w:p>
    <w:p>
      <w:pPr>
        <w:spacing w:after="0" w:line="99"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8"/>
          <w:szCs w:val="18"/>
          <w:color w:val="auto"/>
        </w:rPr>
        <w:t>NRx Pharmaceuticals is a clinical stage pharmaceutical company that is developing, through its wholly-owned operating subsidiary, NeuroRx, NRX-100 and NRX-101, the first oral therapeutic for the treatment of Bipolar Depression in patients with Acute Suicidal Ideation and Behavior (ASIB) and Sub-Acute Suicidal Ideation and Behavior (“SSIB”), and ZYESAMI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(aviptadil), an intravenous and inhaled drug to treat respiratory failure in COVID-19 and potentially other respiratory disorders.</w:t>
      </w:r>
    </w:p>
    <w:p>
      <w:pPr>
        <w:spacing w:after="0" w:line="13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NRX-100 and NRX-101 were developed based upon 30 years of basic science and clinical expertise contributed by Dr. Daniel Javitt, MD, PhD, related to the role of the brain’s N-methyl-D-aspartate (“NMDA”) receptor in regulating human thought processes in general and in regulating depression and suicidality. The NRX-100 and NRX-101 therapy begins with a single dose of ketamine (NRX-100), a Food &amp; Drug Administration (“FDA”) approved anesthetic, followed by approximately six weeks of daily oral NRX-101. NRX-101 is being developed as a rapid-onset and sustained treatment for bipolar depression with ASIB and SSIB. NRX-101 combines d-Cycloserine, a NMDA receptor modulator, and lurasidone, a 5-HT2a receptor antagonist.</w:t>
      </w:r>
    </w:p>
    <w:p>
      <w:pPr>
        <w:spacing w:after="0" w:line="11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NRX-101 has been awarded Fast Track designation, Breakthrough Therapy designation, a Biomarker Letter of Support, and a Special Protocol Agreement by the FDA. Peer-reviewed and published results from Phase II clinical studies demonstrate a significant decline and stabilization in symptoms of depression and suicidality following administration of DCS in combination with antidepressants.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Phase 2a combination study of DCS and 5HT2a included mild sedation, headaches and hypomania. Breakthrough Therapy designation was awarded based on data from the STABIL-B study (NCT02974010) that demonstrated a statistically significant advantage of NRX-101 vs. lurasidone (the active ingredient used in the market leading branded bipolar depression agent) in maintaining remission from depression and suicidality following a single stabilizing dose of ketamine. NRx Pharmaceuticals initiated a Phase II clinical study of Bipolar Depression with Subacute Suicidal Ideation and Behavior (SSIB) in the second quarter of 2022 for which enrollment has begun. The Company plans to initiate a registrational study for Bipolar Depression in patients with ASIB in the latter part of 2022.</w:t>
      </w:r>
    </w:p>
    <w:p>
      <w:pPr>
        <w:spacing w:after="0" w:line="10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March 2020, NRx Pharmaceuticals initiated development of RLF-100 (aviptadil acetate) (now reformulated as ZYESAMI by NRx Pharmaceuticals) in partnership with Relief Therapeutics Holding AG. ZYESAMI is based on 50 years of research, pioneered by Professor Sami Said, on the role of Vasoactive Intestinal Peptide/Aviptadil in preventing and treating acute lung injury. Development work on ZYESAMI has been suspended following a decision by the National Institute of Health (NIH) in May 2022 to stop its ACTIV-3b Critical Care Study evaluating ZYESAMI due to futility. The Company is re-evaluating its respiratory franchise but has no plans to invest further resources in ZYESAMI.</w:t>
      </w:r>
    </w:p>
    <w:p>
      <w:pPr>
        <w:spacing w:after="0" w:line="9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Since inception, NRx Pharmaceuticals has incurred significant operating losses. For the three months ended June 30, 2022 and 2021, NRx Pharmaceuticals’ net loss was $7.0 million and $0.1 million, respectively. For the six months ended June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30, 2022 and 2021, NRx Pharmaceuticals’ net loss was $20.4 million and $25.6 million, respectively. As of June 30, 2022, NRx Pharmaceuticals had an accumulated deficit of $203.7 million.</w:t>
      </w:r>
    </w:p>
    <w:p>
      <w:pPr>
        <w:spacing w:after="0" w:line="3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NRx Pharmaceuticals’ research and development expenses consist primarily of costs associated with NRx Pharmaceuticals’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General and administrative expense consists primarily of salaries, stock-based compensation, consultant fees, and professional fees for legal and accounting services.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Settlement Expense</w:t>
      </w:r>
    </w:p>
    <w:p>
      <w:pPr>
        <w:spacing w:after="0" w:line="15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Settlement expense consists primarily of settlement expenses related to the GEM Warrant. See Note 8 “Commitments and Contingencies – Share Subscription Facility Agreement – GEM” of the notes to the Company’s unaudited condensed consolidated financial statements included elsewhere in this report for further information.</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Reimbursement of expenses from Relief Therapeutics</w:t>
      </w:r>
    </w:p>
    <w:p>
      <w:pPr>
        <w:spacing w:after="0" w:line="15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Reimbursement of expenses from Relief Therapeutics consisted of reimbursable expenses as part of the Collaboration Agreement. See Note 8 “Commitments and Contingencies – Relief Therapeutics Collaboration Agreement” of the notes to the Company’s unaudited condensed consolidated financial statements included elsewhere in this report for further information.</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three months ended June 30, 2022 and 2021</w:t>
      </w:r>
    </w:p>
    <w:p>
      <w:pPr>
        <w:spacing w:after="0" w:line="14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sets forth NRx Pharmaceuticals’ selected statements of operations data for the following periods (in thousands):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1"/>
              </w:rPr>
              <w:t>Three months ended June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2,958</w:t>
            </w:r>
          </w:p>
        </w:tc>
        <w:tc>
          <w:tcPr>
            <w:tcW w:w="4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4,659</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operations</w:t>
            </w:r>
          </w:p>
        </w:tc>
        <w:tc>
          <w:tcPr>
            <w:tcW w:w="1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(17,117)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Change in fair value of warrant liabilities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(17,359)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fair value of Earnout Cash liability</w:t>
            </w:r>
          </w:p>
        </w:tc>
        <w:tc>
          <w:tcPr>
            <w:tcW w:w="1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other (income) expenses</w:t>
            </w: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(16,999)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 xml:space="preserve">For the three months ended June 30, 2022, NRx Pharmaceuticals recorded $3.0 million of research and development expenses compared to $4.7 million for the three months ended June 30, 2021. The decrease of $1.7 million related primarily to a decrease of $2.1 million in </w:t>
      </w:r>
      <w:r>
        <w:rPr>
          <w:rFonts w:ascii="Arial" w:cs="Arial" w:eastAsia="Arial" w:hAnsi="Arial"/>
          <w:sz w:val="16"/>
          <w:szCs w:val="16"/>
          <w:color w:val="231F20"/>
        </w:rPr>
        <w:t>clinical trials and development expenses related to ZYESAMI, partially offset by an</w:t>
      </w:r>
      <w:r>
        <w:rPr>
          <w:rFonts w:ascii="Arial" w:cs="Arial" w:eastAsia="Arial" w:hAnsi="Arial"/>
          <w:sz w:val="16"/>
          <w:szCs w:val="16"/>
          <w:color w:val="auto"/>
        </w:rPr>
        <w:t xml:space="preserve"> </w:t>
      </w:r>
      <w:r>
        <w:rPr>
          <w:rFonts w:ascii="Arial" w:cs="Arial" w:eastAsia="Arial" w:hAnsi="Arial"/>
          <w:sz w:val="16"/>
          <w:szCs w:val="16"/>
          <w:color w:val="231F20"/>
        </w:rPr>
        <w:t xml:space="preserve">increase </w:t>
      </w:r>
      <w:r>
        <w:rPr>
          <w:rFonts w:ascii="Arial" w:cs="Arial" w:eastAsia="Arial" w:hAnsi="Arial"/>
          <w:sz w:val="16"/>
          <w:szCs w:val="16"/>
          <w:color w:val="000000"/>
        </w:rPr>
        <w:t>of less than $0.4 million in other regulatory and process development expenses related principally to ZYESAMI.</w:t>
      </w:r>
      <w:r>
        <w:rPr>
          <w:rFonts w:ascii="Arial" w:cs="Arial" w:eastAsia="Arial" w:hAnsi="Arial"/>
          <w:sz w:val="16"/>
          <w:szCs w:val="16"/>
          <w:color w:val="231F20"/>
        </w:rPr>
        <w:t xml:space="preserve"> </w:t>
      </w:r>
      <w:r>
        <w:rPr>
          <w:rFonts w:ascii="Arial" w:cs="Arial" w:eastAsia="Arial" w:hAnsi="Arial"/>
          <w:sz w:val="16"/>
          <w:szCs w:val="16"/>
          <w:color w:val="000000"/>
        </w:rPr>
        <w:t>The $3.0 million and $4.7 million of research and development expenses for the three months ended June 30, 2022 and 2021, respectively, include $0.2 million and less than $0.2 million, respectively, of non-cash stock-based compensation.</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For the three months ended June 30, 2022, NRx Pharmaceuticals recorded $6.6 million of general and administrative expenses compared to $12.5 million for the three months ended June 30, 2021. The decrease of $5.8 million was primarily, related to a decrease of $3.3 million in stock-based compensation expense and a decrease of $4.4 million of consultant fees, partially offset by an increase of $1.4 million in insurance expense and $0.2 million in other general and administrative expense. The $6.6 million and $12.5 million of general and administrative expenses for the three months ended June 30, 2022 and 2021, respectively, include $1.7 million and $4.1 million, respectively, of non-cash stock-based compensation.</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For the three months ended June 30, 2022, NRx Pharmaceuticals recorded less than $0.1 million of interest income. The increase of less than $0.1 million related primarily to the earned interest income on the money market account.</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14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three months ended June 30, 2022, NRx Pharmaceuticals recorded a gain of $0.1 million related to the change in fair value of the warrant liabilities compared to a gain of $17.4 million for the three months ended June 30, 2021. The decrease of $17.3 million related to the decrease in the fair value of certain Substitute Warrants and the Placement Warrants assumed pursuant to the Merger Agreement.</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Earnout Cash liability</w:t>
      </w:r>
    </w:p>
    <w:p>
      <w:pPr>
        <w:spacing w:after="0" w:line="15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three months ended June 30, 2022, NRx Pharmaceuticals recorded a gain of $2.5 million related to the change in fair value of the Earnout Cash liability compared to a loss of $0.4 million for the three months ended June 30, 2021. The decrease of $2.8 million is related to the decrease in the fair value of the Earnout Cash liability pursuant to the Merger Agreement.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six months ended June 30, 2022 and 2021</w:t>
      </w:r>
    </w:p>
    <w:p>
      <w:pPr>
        <w:spacing w:after="0" w:line="1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sets forth NRx Pharmaceuticals’ selected statements of operations data for the following periods (in thousands):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342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43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Dollars</w:t>
            </w:r>
          </w:p>
        </w:tc>
        <w:tc>
          <w:tcPr>
            <w:tcW w:w="20" w:type="dxa"/>
            <w:vAlign w:val="bottom"/>
          </w:tcPr>
          <w:p>
            <w:pPr>
              <w:spacing w:after="0"/>
              <w:rPr>
                <w:sz w:val="12"/>
                <w:szCs w:val="12"/>
                <w:color w:val="auto"/>
              </w:rPr>
            </w:pPr>
          </w:p>
        </w:tc>
      </w:tr>
      <w:tr>
        <w:trPr>
          <w:trHeight w:val="129"/>
        </w:trPr>
        <w:tc>
          <w:tcPr>
            <w:tcW w:w="4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8,441</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7,568</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16,864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Settlement expense</w:t>
            </w:r>
          </w:p>
        </w:tc>
        <w:tc>
          <w:tcPr>
            <w:tcW w:w="9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(21,366)</w:t>
            </w: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Reimbursement of expenses from Relief Therapeutics</w:t>
            </w: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18"/>
                <w:szCs w:val="18"/>
                <w:color w:val="auto"/>
              </w:rPr>
            </w:pPr>
          </w:p>
        </w:tc>
      </w:tr>
      <w:tr>
        <w:trPr>
          <w:trHeight w:val="210"/>
        </w:trPr>
        <w:tc>
          <w:tcPr>
            <w:tcW w:w="4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25,305</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42,721</w:t>
            </w:r>
          </w:p>
        </w:tc>
        <w:tc>
          <w:tcPr>
            <w:tcW w:w="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(17,416)</w:t>
            </w:r>
          </w:p>
        </w:tc>
        <w:tc>
          <w:tcPr>
            <w:tcW w:w="20" w:type="dxa"/>
            <w:vAlign w:val="bottom"/>
          </w:tcPr>
          <w:p>
            <w:pPr>
              <w:spacing w:after="0"/>
              <w:rPr>
                <w:sz w:val="18"/>
                <w:szCs w:val="18"/>
                <w:color w:val="auto"/>
              </w:rPr>
            </w:pPr>
          </w:p>
        </w:tc>
      </w:tr>
      <w:tr>
        <w:trPr>
          <w:trHeight w:val="209"/>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(25,305)</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(42,721)</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17,416</w:t>
            </w:r>
          </w:p>
        </w:tc>
        <w:tc>
          <w:tcPr>
            <w:tcW w:w="20" w:type="dxa"/>
            <w:vAlign w:val="bottom"/>
          </w:tcPr>
          <w:p>
            <w:pPr>
              <w:spacing w:after="0"/>
              <w:rPr>
                <w:sz w:val="18"/>
                <w:szCs w:val="18"/>
                <w:color w:val="auto"/>
              </w:rPr>
            </w:pPr>
          </w:p>
        </w:tc>
      </w:tr>
      <w:tr>
        <w:trPr>
          <w:trHeight w:val="210"/>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Gain on extinguishment of debt</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(17,359)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17,086</w:t>
            </w:r>
          </w:p>
        </w:tc>
        <w:tc>
          <w:tcPr>
            <w:tcW w:w="2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Change in fair value of Earnout Cash liability</w:t>
            </w:r>
          </w:p>
        </w:tc>
        <w:tc>
          <w:tcPr>
            <w:tcW w:w="9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(4,582)</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(4,937)</w:t>
            </w:r>
          </w:p>
        </w:tc>
        <w:tc>
          <w:tcPr>
            <w:tcW w:w="20" w:type="dxa"/>
            <w:vAlign w:val="bottom"/>
          </w:tcPr>
          <w:p>
            <w:pPr>
              <w:spacing w:after="0"/>
              <w:rPr>
                <w:sz w:val="18"/>
                <w:szCs w:val="18"/>
                <w:color w:val="auto"/>
              </w:rPr>
            </w:pPr>
          </w:p>
        </w:tc>
      </w:tr>
      <w:tr>
        <w:trPr>
          <w:trHeight w:val="209"/>
        </w:trPr>
        <w:tc>
          <w:tcPr>
            <w:tcW w:w="43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other (income) expenses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20" w:type="dxa"/>
            <w:vAlign w:val="bottom"/>
          </w:tcPr>
          <w:p>
            <w:pPr>
              <w:spacing w:after="0"/>
              <w:rPr>
                <w:sz w:val="18"/>
                <w:szCs w:val="18"/>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(20,430)</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(25,606)</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2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the six months ended June 30, 2022, NRx Pharmaceuticals recorded $8.4 million of research and development expenses compared to $7.6 million for the six months ended June 30, 2021. The increase of $0.9 million related primarily to an increase of $0.7 million in other regulatory and process development expenses, and an increase of $0.2 million in stock-based compensation expense, and an increase of less than $0.1 million in clinical trials and development expenses related to ZYESAMI. The $8.4 million and $7.6 million of research and development expenses for the six months ended June 30, 2022 and 2021, respectively, include $0.4 million and $0.2 million, respectively, of non-cash stock-based compensation.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the six months ended June 30, 2022, NRx Pharmaceuticals recorded $16.9 million of general and administrative expenses compared to $14.6 million for the six months ended June 30, 2021. The increase of $2.3 million was primarily, related to an increase of $4.1 million in legal, professional and accounting fees, an increase of $3.7 million in insurance expense, an increase in $0.7 million in other general and administrative expenses, an increase of $0.3 million for employee expenses, partially offset by a decrease of $3.9 million of consultant fees and a decrease of $2.6 million in stock-based compensation expense. The $16.9 million and $14.6 million of general and administrative expenses for the six months ended June 30, 2022 and 2021, respectively, include $1.9 million and $4.4 million, respectively, of non-cash stock-based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Settlement expense</w:t>
      </w:r>
    </w:p>
    <w:p>
      <w:pPr>
        <w:spacing w:after="0" w:line="15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six months ended June 30, 2022, NRx Pharmaceuticals recorded no settlement expense compared to $21.4 million of settlement expense for the six months ended June 30, 2021 related to the GEM Warrant reflecting the incremental value through the date of issuance.</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Reimbursement of expenses from Relief Therapeutics</w:t>
      </w:r>
    </w:p>
    <w:p>
      <w:pPr>
        <w:spacing w:after="0" w:line="14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For the six months ended June 30, 2022, NRx Pharmaceuticals recorded no reimbursement of expenses from Relief Therapeutics compared to $0.8 million of reimbursement of expenses from Relief Therapeutics for the six months ended June 30, 2021.</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Gain on extinguishment of debt</w:t>
      </w:r>
    </w:p>
    <w:p>
      <w:pPr>
        <w:spacing w:after="0" w:line="14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six months ended June 30, 2022, NRx Pharmaceuticals recorded no gain on extinguishment of debt compared to $0.1 million for the six months ended June 30, 2021. The decrease of $0.1 million related to the forgiveness of the PPP Loan which resulted in a gain on extinguishment for the outstanding principal and accrued and unpaid interest for the six months ended June 30, 2021.</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For the six months ended June 30, 2022, NRx Pharmaceuticals recorded less than $0.1 million of interest income. The increase of less than $0.1 million related primarily to the earned interest income on the money market account.</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15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six months ended June 30, 2022, NRx Pharmaceuticals recorded a gain of $0.3 million related to the change in fair value of the warrant liabilities compared to a gain of $17.4 million for the six months ended June 30, 2021. The decrease of $17.1 million related to the decrease in the fair value of certain Substitute Warrants and the Placement Warrants assumed pursuant to the Merger Agreement.</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Earnout Cash liability</w:t>
      </w:r>
    </w:p>
    <w:p>
      <w:pPr>
        <w:spacing w:after="0" w:line="14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For the six months ended June 30, 2022, NRx Pharmaceuticals recorded a gain of $4.6 million related to the change in fair value of the Earnout Cash liability compared to a loss of $0.4 million for the six months ended June 30, 2021. The decrease of $4.6 million is related to the decrease in the fair value of the Earnout Cash liability pursuant to the Merger Agreement.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NRx Pharmaceuticals has generated no revenues, has incurred operating losses since inception, and expects to continue to incur significant operating losses for the foreseeable future and may never become profitable. Until such time as NRx Pharmaceuticals is able to establish a revenue stream from the sale of its therapeutic products, NRx Pharmaceuticals is dependent upon obtaining necessary equity and/or debt financing to continue operations. NRx Pharmaceuticals cannot make any assurances that sales of NRX-101 will commence in the near term or that additional financings will be available to it and, if available, on acceptable terms or at all. This could negatively impact NRx Pharmaceuticals' business and operations and could also lead to the reduction of NRx Pharmaceuticals' operations.</w:t>
      </w:r>
    </w:p>
    <w:p>
      <w:pPr>
        <w:spacing w:after="0" w:line="9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NRx Pharmaceuticals believes that it currently has sufficient funds and, if necessary, the ability to reduce expenditures, to support operations through at least the next twelve months from the date hereof. NRx Pharmaceuticals is dependent upon obtaining necessary equity and/or debt financing to continue operating. NRx Pharmaceuticals cannot make any assurances that additional financing will be available to it and, if available, on acceptable terms or at all. This could negatively affect the Company’s business and operations and could also lead to the reduction of the Company's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Private Placement</w:t>
      </w:r>
    </w:p>
    <w:p>
      <w:pPr>
        <w:spacing w:after="0" w:line="15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February 2, 2022, the Company completed a private placement and issued 7,824,727 shares of common stock and Preferred Investment Options to purchase up to an aggregate of 7,824,727 shares of common stock. The Preferred Investment Options have an exercise price of $3.07 per share and may be exercised any time on or after August 2, 2022.</w:t>
      </w:r>
    </w:p>
    <w:p>
      <w:pPr>
        <w:spacing w:after="0" w:line="8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form of the Preferred Investment Option is a warrant. The measurement of fair value was determined utilizing a Black-Scholes model considering all relevant assumptions current at February 2, 2022, the date of issuance (i.e., share price of $2.94, exercise price of $3.07, term of five years beginning August 2, 2022, volatility of 82.8%, risk-free rate of 1.60%, and expected dividend rate of 0%). The grant date fair value of these Preferred Investment Options was estimated to be $15.5 million on February 2, 2022 and is reflected within additional paid-in capital as of June 30, 2022.</w:t>
      </w:r>
    </w:p>
    <w:p>
      <w:pPr>
        <w:spacing w:after="0" w:line="9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addition, on February 2, 2022, the Company issued fully vested Preferred Investment Options to the placement agent with an exercise price of $3.99. As these Preferred Investment Options were issued for services provided in facilitating the private placement, the Company recorded the fair value of such Preferred Investment Options as a cost of capital on the issuance date. The measurement of fair value was determined utilizing a Black-Scholes model considering all relevant assumptions current at February 2, 2022, the date of issuance (i.e., share price of $2.94, exercise price of $3.99, term of five years beginning August 2, 2022, volatility of 82.8%, risk-free rate of 1.60%, and expected dividend rate of 0%).</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Recapitalization Merger and Subsequent Equity Issuances</w:t>
      </w:r>
    </w:p>
    <w:p>
      <w:pPr>
        <w:spacing w:after="0" w:line="15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Pursuant to the terms of the Merger Agreement, NeuroRx’s securityholders (including option holders and warrant holders) who own NeuroRx securities immediately prior to the Effective Time will have the contingent right to receive their pro rata portion of (i) an aggregate of 25,000,000 shares of Common Stock (“Earnout Shares”) if, prior to December 31, 2022, the NeuroRx COVID-19 Drug (i.e., ZYESAMI) receives emergency use authorization by the Food and Drug Administration (“FDA”) and NeuroRx submits and the FDA files for review a new drug application for the NeuroRx COVID-19 Drug (i.e., ZYESAMI) (the occurrence of the foregoing, the “Earnout Shares Milestone”), and (ii) an aggregate of $100.0 million in cash (“Earnout Cash”) upon the earlier to occur of (x) FDA approval of the NeuroRx COVID-19 Drug (i.e., ZYESAMI) and the listing of the NeuroRx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w:t>
      </w:r>
    </w:p>
    <w:p>
      <w:pPr>
        <w:spacing w:after="0" w:line="5" w:lineRule="exact"/>
        <w:rPr>
          <w:sz w:val="20"/>
          <w:szCs w:val="20"/>
          <w:color w:val="auto"/>
        </w:rPr>
      </w:pPr>
    </w:p>
    <w:p>
      <w:pPr>
        <w:jc w:val="both"/>
        <w:ind w:left="60" w:right="59" w:hanging="10"/>
        <w:spacing w:after="0" w:line="285" w:lineRule="auto"/>
        <w:tabs>
          <w:tab w:leader="none" w:pos="326" w:val="left"/>
        </w:tabs>
        <w:numPr>
          <w:ilvl w:val="0"/>
          <w:numId w:val="5"/>
        </w:numPr>
        <w:rPr>
          <w:rFonts w:ascii="Arial" w:cs="Arial" w:eastAsia="Arial" w:hAnsi="Arial"/>
          <w:sz w:val="16"/>
          <w:szCs w:val="16"/>
          <w:color w:val="auto"/>
        </w:rPr>
      </w:pPr>
      <w:r>
        <w:rPr>
          <w:rFonts w:ascii="Arial" w:cs="Arial" w:eastAsia="Arial" w:hAnsi="Arial"/>
          <w:sz w:val="16"/>
          <w:szCs w:val="16"/>
          <w:color w:val="auto"/>
        </w:rPr>
        <w:t>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At June 30, 2022, the fair value of the Earnout Cash liability has been estimated to be $0 million. Upon closing of the Merger, the estimated fair value of the Earnout Shares was $255.8 million with such amount recognized as a deemed dividend. As the Company is in an accumulated deficit position as of the measurement date, the resulting deemed dividend is recorded as a reduction of additional paid-in capital with a corresponding offset recorded to additional paid-in capital (i.e., net impact to additional paid-in capital of $0). The benefit of the contingent right to receive Earnout Cash for option and warrant holders occurs through the Option Exchange Ratio and therefore the amount of Earnout Cash for common stockholders is approximately $0 million.</w:t>
      </w:r>
    </w:p>
    <w:p>
      <w:pPr>
        <w:spacing w:after="0" w:line="9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connection with the Merger, a number of subscribers (each, a “Subscriber”) purchased from the Company an aggregate of 1,000,000 shares of Common Stock (the “PIPE”), for a purchase price of $10.00 per share and an aggregate purchase price of $10.0 million (the “PIPE Shares”), pursuant to separate subscription agreements (each, a “Subscription Agreement”) entered into prior to the Closing Date. The Company received $8.1 million in net proceeds after transaction costs from the sale of PIPE Shares.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selected financial information and statistics for each of the periods shown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June 30, 2022</w:t>
            </w:r>
          </w:p>
        </w:tc>
        <w:tc>
          <w:tcPr>
            <w:tcW w:w="300" w:type="dxa"/>
            <w:vAlign w:val="bottom"/>
          </w:tcPr>
          <w:p>
            <w:pPr>
              <w:spacing w:after="0"/>
              <w:rPr>
                <w:sz w:val="14"/>
                <w:szCs w:val="14"/>
                <w:color w:val="auto"/>
              </w:rPr>
            </w:pPr>
          </w:p>
        </w:tc>
        <w:tc>
          <w:tcPr>
            <w:tcW w:w="1660" w:type="dxa"/>
            <w:vAlign w:val="bottom"/>
          </w:tcPr>
          <w:p>
            <w:pPr>
              <w:jc w:val="right"/>
              <w:ind w:right="313"/>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180"/>
        </w:trPr>
        <w:tc>
          <w:tcPr>
            <w:tcW w:w="4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5"/>
              </w:rPr>
              <w:t>(Unaudited)</w:t>
            </w:r>
          </w:p>
        </w:tc>
        <w:tc>
          <w:tcPr>
            <w:tcW w:w="3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27,605</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32,433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32,729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cash liability</w:t>
            </w: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7,081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20,806</w:t>
            </w:r>
          </w:p>
        </w:tc>
        <w:tc>
          <w:tcPr>
            <w:tcW w:w="0" w:type="dxa"/>
            <w:vAlign w:val="bottom"/>
          </w:tcPr>
          <w:p>
            <w:pPr>
              <w:spacing w:after="0"/>
              <w:rPr>
                <w:sz w:val="1"/>
                <w:szCs w:val="1"/>
                <w:color w:val="auto"/>
              </w:rPr>
            </w:pPr>
          </w:p>
        </w:tc>
      </w:tr>
      <w:tr>
        <w:trPr>
          <w:trHeight w:val="432"/>
        </w:trPr>
        <w:tc>
          <w:tcPr>
            <w:tcW w:w="4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2022</w:t>
            </w:r>
          </w:p>
        </w:tc>
        <w:tc>
          <w:tcPr>
            <w:tcW w:w="3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Cash Flow Data:</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(25,171)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(14,409)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22,120</w:t>
            </w: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25,939</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(decrease) increase in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During the six months ended June 30, 2022, operating activities used $25.2 million of cash, primarily resulting from a net loss of $20.4 million, increased by net non-cash gains of $2.5 million, including $4.6 million of gain from the change in fair value of earn out liability and $0.3 million of gain from the change in fair value of warrant liabilities, partially offset by $2.3 million of stock-based compensation expense, and an increase in net operating assets of $2.2 million.</w:t>
      </w:r>
    </w:p>
    <w:p>
      <w:pPr>
        <w:spacing w:after="0" w:line="9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During the six months ended June 30, 2021, operating activities used $14.4 million of cash, primarily resulting from a net loss of $25.6 million, reduced by non-cash charges of $13.8 million, including $21.4 million of non-cash settlement expense related to the GEM Warrant, $4.7 million of stock-based compensation expense, $0.4 million of change in fair value of earnout cash liability, partially offset by a gain on extinguishment of debt of $0.1 million and $17.4 million in gain from the change in fair value of warrant liability and an increase in net operating assets of $2.6 million.</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During the six months ended June 30, 2022, financing activities provided $22.1 million of cash resulting from $22.6 million in net proceeds received by the Company from the issuance of common stock and preferred investment options in a private placement partially offset by $0.5 million of repayment of Relief Therapeutics loan.</w:t>
      </w:r>
    </w:p>
    <w:p>
      <w:pPr>
        <w:spacing w:after="0" w:line="9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six months ended June 30, 2021, financing activities provided $25.9 million of cash, primarily resulting from $11.1 million for the effect of the merger, net of transaction costs, $8.5 million of proceeds from the issuance of shares of NeuroRx common stock and $7.5 million of proceeds from the issuance of NeuroRx common stock for the exercise of the GEM Warrants.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See Note 8, Commitments and Contingencies, of the notes to NRx Pharmaceuticals’ unaudited condensed consolidated financial statements as of and for the three months ended months ended and six months ended June 30, 2022 included elsewhere in this report for further discussion of NRx Pharmaceuticals' commitments and contingencies.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Milestone Payments</w:t>
      </w:r>
    </w:p>
    <w:p>
      <w:pPr>
        <w:spacing w:after="0" w:line="15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NRx Pharmaceuticals is not party to any off-balance sheet transactions. NRx Pharmaceuticals has no guarantees or obligations other than those which arise out of normal business operations.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NRx Pharmaceuticals' management’s discussion and analysis of its financial condition and results of operations is based on its financial statements, which have been prepared in accordance with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Pharmaceuticals evaluates its estimates and judgments on an ongoing basis. The most significant estimates relate to the Earnout Cash Liability, stock-based compensation, and the valuation of warrants.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1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NRx Pharmaceuticals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NRx Pharmaceuticals applies those principles. While its significant accounting policies are more fully described in Note 3 to its financial statements, NRx Pharmaceuticals believes the following are the critical accounting policies used in the preparation of its financial statements that require significant estimates and judgments.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Earnout Cash Liability</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fair value of the Earnout Cash liability has been estimated using probability-weighted discounted cash flow models (DCFs) with significant inputs that are not observable in the market and thus represents a Level 3 fair value measurement as defined in ASC 820. The most significant inputs include whether (a) the FDA approves the Company’s NDAs for ZYESAMI and/or NRX-101, (b) if such approval is granted, whether such approval will be received on or before December 31, 2022, and (c) if such approval is granted, whether ZYESAMI and/or NRX-101 will be listed in the FDA’s Orange Book on or before December 31, 2022. The DCFs incorporate Level 3 inputs including estimated discount rates that we believe market participants would consider relevant in pricing and the projected timing and amount of cash flows, which are estimated and developed in consideration of the uncertainties associated with the obligations. Because: (i) ZYESAMI NIH Phase III trial was stopped due to futility, and (ii) NRX-101 Phase III trial has not yet started, management estimated the probability as of June 30, 2022 of achieving the required milestones for payment of the Earnout Cash to be de minimis and therefore, the June 30, 2022 Earnout Cash liability was reduced to zero. Changes in the estimated fair value of the Earnout Cash Liability are recognized as a gain or loss in the statements of operations.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common and preferred stock</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the Merger, in order to determine the fair value of shares of its common stock, the Company's board of directors considered, among other things, contemporaneous valuations of its common stock and preferred stock based on arms-length transactions with third party investors. Subsequent to the Merger, the Board determines the fair value of the Common Stock based on the closing market price on the date of grant.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The straight-line method of expense recognition is applied to awards with service-only conditions. We account for forfeitures as they occur.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7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Evaluation of Disclosure Controls and Procedures</w:t>
      </w:r>
    </w:p>
    <w:p>
      <w:pPr>
        <w:spacing w:after="0" w:line="15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Chief Executive Officer and Chief Financial Officer (“certifying officers”) have conducted an evaluation of the effectiveness of the design and operation of our disclosure controls and procedures (as defined in Rules 13a-15(e) and 15d-15(e) under the Securities Exchange Act of 1934, as amended (the Exchange Act)) as of June 30, 2022. Our certifying officers concluded that, as a result of the material weakness in internal control over financial reporting as described below, our disclosure controls and procedures were not effective as of June 30, 2022.</w:t>
      </w:r>
    </w:p>
    <w:p>
      <w:pPr>
        <w:spacing w:after="0" w:line="1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submits under the Exchange Act is accumulated and communicated to the issuer’s management, including its Chief Executive Officer and Chief Financial Officer, or persons performing similar functions, as appropriate to allow timely decisions regarding required disclosure.</w:t>
      </w:r>
    </w:p>
    <w:p>
      <w:pPr>
        <w:spacing w:after="0" w:line="21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material weakness was due to ineffective risk assessment related to review procedures for complex transactions. This led to a deficiency in the design and implementation of appropriate review controls for complex warrant transactions. The material weakness resulted in a restatement of its financial statements to reclassify the Company’s Substitute Warrants as described in the Explanatory Note to this Quarterly Report.</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7"/>
          <w:szCs w:val="17"/>
          <w:color w:val="auto"/>
        </w:rPr>
        <w:t>In light of the restatement of our financial statements included in this amendment, we plan to enhance our processes to identify and appropriately apply applicable accounting requirements to better evaluate and understand the nuances of the complex accounting standards that apply to our financial statements. Management is in the process of implementing remediation procedures to address the control deficiency that led to the material weakness. The remediation plan included, but is not limited to, the implementation of additional review procedures regarding the method for accounting for warrants issued in connection with an equity transaction.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October 6, 2021, Relief Therapeutics Holding AG (“Relief Therapeutics”) filed a complaint (the “Complaint”) in New York State Court (the “NYS Court”), claiming that the Company failed to honor its obligations under the collaboration agreement dated September 18, 2020 (the “Collaboration Agreement”). The Complaint seeks several remedies, including damages for alleged breaches of the terms of the Collaboration Agreement. The Company believes that the claims are baseless and without merit. On January 10, 2022, the Company filed a complaint in NYS Court, claiming Relief Therapeutics breached and repudiated the Collaboration Agreement. The Company’s complaint seeks damages of at least $185 million. Efforts to resolve the litigation through mediation have not been successful, but the parties continue to seek a mutually acceptable resolution to the claims. If such a resolution cannot be found, the Company intends to defend itself vigorously and to prosecute its claims against Relief Therapeutics. There can be no assurance, however, that we will be successful in our claims or in our opposition to Relief Therapeutics’ claims.</w:t>
      </w:r>
    </w:p>
    <w:p>
      <w:pPr>
        <w:spacing w:after="0" w:line="18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June 13, 2022, the plaintiffs in the securities class action lawsuit captioned “Dal Bosco v. NRx Pharmaceuticals, Inc. et al.” filed a notice in the U.S. District Court for the District of Delaware voluntarily dismissing the action against NRx Pharmaceuticals and its former officers.</w:t>
      </w:r>
    </w:p>
    <w:p>
      <w:pPr>
        <w:spacing w:after="0" w:line="184"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On August 12, 2022, the Company received a demand for arbitration (the “Demand”) from GEM Yield Bahamas Limited and GEM Global Yield LLC SCS (collectively, “GEM”). The Demand claims that the Company’s subsidiary, NeuroRx, Inc. (“NeuroRx"), failed to satisfy its obligation to pay GEM a commitment fee in the amount of HK$ 15,000,000 (approximately US$1,914,087 at current exchange rates) pursuant to a Share Subscription Facility Agreement, executed on October 18, 2019, by and among NeuroRx and GEM (the “Agreement”). NeuroRx expects to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vigorously defend its position that payment of the commitment fee is neither due nor owing under the terms of the Agreement.</w:t>
      </w:r>
    </w:p>
    <w:p>
      <w:pPr>
        <w:spacing w:after="0" w:line="170"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In addition to the matters described above, we may become involved in various legal actions incidental to our business. As of the date hereof, we are not involved in any other legal proceedings that we believe could have a material adverse effect on our financial position or results of operations, but regardless of the outcome, litigation can have an adverse impact on the Company because of defense and settlement costs, and diversion of management resources.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have disclosed the risk factors that materially affect our business, financial condition or results of operations under the heading “Risk Factors” in our Annual Report on Form 10-K for the year ended December 31, 2021 filed with the SEC on March 31, 2022 (the “Annual Report on Form 10-K”). There have been no material changes from the risk factors previously disclosed. You should carefully consider the risk factors set forth in the Annual Report on Form 10-K and other information set forth elsewhere in this Quarterly Report on Form 10-Q. You should be aware that these risk factors and other information may not describe every risk that we face. Additional risks and uncertainties not currently known to us, or that we currently deem to be immaterial, or may not be able to assess, also may materially adversely affect our business, financial condition and/or operating results.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 Use of Proceeds from Public Offering of Common Stock</w:t>
      </w:r>
    </w:p>
    <w:p>
      <w:pPr>
        <w:spacing w:after="0" w:line="14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February 2, 2022, the Company completed a Private Placement and issued 7,824,727 shares of Common Stock for a purchase price of $3.195 per share and the Preferred Investment Options to purchase up to an aggregate of 7,824,727 shares of common stock for a purchase price of $3.07 per share from August 2, 2022 through August 2, 2027 (collectively, the “Securities”). The aggregate gross proceeds to the Company from the Private Placement were approximately $25.0 million, before deducting placement agent fees and other offering expenses. In connection with this Private Placement, the Company entered into a Registration Rights Agreement with the purchasers of the Securities. The Company’s registration statement on Form S-3 to register the Securities was declared effective on June 21, 2022.</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5"/>
          </w:tcPr>
          <w:p>
            <w:pPr>
              <w:ind w:left="23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0000EE"/>
                <w:w w:val="92"/>
              </w:rPr>
              <w:t>Executive Employment Agreement, dated [June 13], 2022, between NRx Pharmaceuticals, Inc. and Seth</w:t>
            </w: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Van Voorhees.</w:t>
            </w:r>
          </w:p>
        </w:tc>
        <w:tc>
          <w:tcPr>
            <w:tcW w:w="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0000EE"/>
                <w:w w:val="95"/>
              </w:rPr>
              <w:t>Certification of Principal Executive Officer pursuant to Section 302 of the Sarbanes-Oxley Act of 2002.</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4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 of Principal Financial Officer pursuant to Section 302 of the Sarbanes-Oxley Act of 2002.</w:t>
            </w:r>
          </w:p>
        </w:tc>
        <w:tc>
          <w:tcPr>
            <w:tcW w:w="20" w:type="dxa"/>
            <w:vAlign w:val="bottom"/>
            <w:tcBorders>
              <w:top w:val="single" w:sz="8" w:color="0000EE"/>
            </w:tcBorders>
          </w:tcPr>
          <w:p>
            <w:pPr>
              <w:spacing w:after="0"/>
              <w:rPr>
                <w:sz w:val="24"/>
                <w:szCs w:val="24"/>
                <w:color w:val="auto"/>
              </w:rPr>
            </w:pPr>
          </w:p>
        </w:tc>
        <w:tc>
          <w:tcPr>
            <w:tcW w:w="26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0000EE"/>
                <w:w w:val="95"/>
              </w:rPr>
              <w:t>Certification of Principal Executive Officer pursuant to Section 906 of the Sarbanes-Oxley Act of 2002.</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74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of Principal Financial Officer pursuant to Section 906 of the Sarbanes-Oxley Act of 2002.</w:t>
            </w:r>
          </w:p>
        </w:tc>
        <w:tc>
          <w:tcPr>
            <w:tcW w:w="40" w:type="dxa"/>
            <w:vAlign w:val="bottom"/>
            <w:tcBorders>
              <w:top w:val="single" w:sz="8" w:color="0000EE"/>
            </w:tcBorders>
            <w:gridSpan w:val="2"/>
          </w:tcPr>
          <w:p>
            <w:pPr>
              <w:spacing w:after="0"/>
              <w:rPr>
                <w:sz w:val="24"/>
                <w:szCs w:val="24"/>
                <w:color w:val="auto"/>
              </w:rPr>
            </w:pPr>
          </w:p>
        </w:tc>
        <w:tc>
          <w:tcPr>
            <w:tcW w:w="260" w:type="dxa"/>
            <w:vAlign w:val="bottom"/>
            <w:gridSpan w:val="2"/>
          </w:tcPr>
          <w:p>
            <w:pPr>
              <w:spacing w:after="0"/>
              <w:rPr>
                <w:sz w:val="24"/>
                <w:szCs w:val="24"/>
                <w:color w:val="auto"/>
              </w:rPr>
            </w:pPr>
          </w:p>
        </w:tc>
      </w:tr>
      <w:tr>
        <w:trPr>
          <w:trHeight w:val="438"/>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auto"/>
                <w:w w:val="96"/>
              </w:rPr>
              <w:t>Interactive data files pursuant to Rule 405 of Regulation S-T formatted in Inline XBRL: (i) Condensed</w:t>
            </w: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auto"/>
                <w:w w:val="94"/>
              </w:rPr>
              <w:t>Consolidated Balance Sheets as of June 30, 2022 (Unaudited) and December 31, 2021; (ii) Unaudited</w:t>
            </w: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auto"/>
                <w:w w:val="90"/>
              </w:rPr>
              <w:t>Condensed Consolidated Statements of Operations for the three and six months ended June 30, 2022 and</w:t>
            </w:r>
          </w:p>
        </w:tc>
      </w:tr>
      <w:tr>
        <w:trPr>
          <w:trHeight w:val="230"/>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auto"/>
                <w:w w:val="93"/>
              </w:rPr>
              <w:t>2021 ; (iii) Unaudited Condensed Consolidated Statements of Changes in Stockholders' Equity (Deficit)</w:t>
            </w:r>
          </w:p>
        </w:tc>
      </w:tr>
    </w:tbl>
    <w:p>
      <w:pPr>
        <w:ind w:left="1240" w:right="239"/>
        <w:spacing w:after="0" w:line="255" w:lineRule="auto"/>
        <w:rPr>
          <w:sz w:val="20"/>
          <w:szCs w:val="20"/>
          <w:color w:val="auto"/>
        </w:rPr>
      </w:pPr>
      <w:r>
        <w:rPr>
          <w:rFonts w:ascii="Arial" w:cs="Arial" w:eastAsia="Arial" w:hAnsi="Arial"/>
          <w:sz w:val="18"/>
          <w:szCs w:val="18"/>
          <w:color w:val="auto"/>
        </w:rPr>
        <w:t>for the six months ended June 30, 2022 and 2021; (iv) Unaudited Condensed Consolidated Statements of Cash Flows for the six months ended June 30, 2022 and 2021; and (v) Notes to Unaudited Financial Statements</w:t>
      </w:r>
    </w:p>
    <w:p>
      <w:pPr>
        <w:spacing w:after="0" w:line="190" w:lineRule="exact"/>
        <w:rPr>
          <w:sz w:val="20"/>
          <w:szCs w:val="20"/>
          <w:color w:val="auto"/>
        </w:rPr>
      </w:pPr>
    </w:p>
    <w:p>
      <w:pPr>
        <w:ind w:left="1240" w:hanging="1184"/>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contained in Exhibit 101)</w:t>
      </w:r>
    </w:p>
    <w:p>
      <w:pPr>
        <w:spacing w:after="0" w:line="225" w:lineRule="exact"/>
        <w:rPr>
          <w:rFonts w:ascii="Arial" w:cs="Arial" w:eastAsia="Arial" w:hAnsi="Arial"/>
          <w:sz w:val="18"/>
          <w:szCs w:val="18"/>
          <w:color w:val="auto"/>
        </w:rPr>
      </w:pPr>
    </w:p>
    <w:p>
      <w:pPr>
        <w:ind w:left="200" w:hanging="150"/>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0" w:right="59" w:hanging="10"/>
        <w:spacing w:after="0" w:line="250" w:lineRule="auto"/>
        <w:tabs>
          <w:tab w:leader="none" w:pos="2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 w:lineRule="exact"/>
        <w:rPr>
          <w:rFonts w:ascii="Arial" w:cs="Arial" w:eastAsia="Arial" w:hAnsi="Arial"/>
          <w:sz w:val="18"/>
          <w:szCs w:val="18"/>
          <w:color w:val="auto"/>
        </w:rPr>
      </w:pPr>
    </w:p>
    <w:p>
      <w:pPr>
        <w:jc w:val="both"/>
        <w:ind w:left="60" w:right="59"/>
        <w:spacing w:after="0" w:line="253" w:lineRule="auto"/>
        <w:rPr>
          <w:rFonts w:ascii="Arial" w:cs="Arial" w:eastAsia="Arial" w:hAnsi="Arial"/>
          <w:sz w:val="18"/>
          <w:szCs w:val="18"/>
          <w:color w:val="auto"/>
        </w:rPr>
      </w:pPr>
      <w:r>
        <w:rPr>
          <w:rFonts w:ascii="Arial" w:cs="Arial" w:eastAsia="Arial" w:hAnsi="Arial"/>
          <w:sz w:val="18"/>
          <w:szCs w:val="18"/>
          <w:color w:val="auto"/>
        </w:rPr>
        <w:t>* 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NRX PHARMACEUTICALS, INC.</w:t>
      </w:r>
    </w:p>
    <w:p>
      <w:pPr>
        <w:spacing w:after="0" w:line="200" w:lineRule="exact"/>
        <w:rPr>
          <w:sz w:val="20"/>
          <w:szCs w:val="20"/>
          <w:color w:val="auto"/>
        </w:rPr>
      </w:pPr>
    </w:p>
    <w:p>
      <w:pPr>
        <w:spacing w:after="0" w:line="363" w:lineRule="exact"/>
        <w:rPr>
          <w:sz w:val="20"/>
          <w:szCs w:val="20"/>
          <w:color w:val="auto"/>
        </w:rPr>
      </w:pPr>
    </w:p>
    <w:p>
      <w:pPr>
        <w:ind w:left="60"/>
        <w:spacing w:after="0"/>
        <w:tabs>
          <w:tab w:leader="none" w:pos="4420" w:val="left"/>
          <w:tab w:leader="none" w:pos="492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Seth Van Voorhees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31750</wp:posOffset>
            </wp:positionV>
            <wp:extent cx="2871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Seth Van Voorhees</w:t>
      </w:r>
    </w:p>
    <w:p>
      <w:pPr>
        <w:spacing w:after="0" w:line="5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w:t>
      </w:r>
    </w:p>
    <w:p>
      <w:pPr>
        <w:spacing w:after="0" w:line="5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161616"/>
        </w:rPr>
        <w:t>Exhibit 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161616"/>
        </w:rPr>
        <w:t>EXECUTIVE EMPLOYMENT AGREEMENT</w:t>
      </w:r>
    </w:p>
    <w:p>
      <w:pPr>
        <w:spacing w:after="0" w:line="239" w:lineRule="exact"/>
        <w:rPr>
          <w:sz w:val="20"/>
          <w:szCs w:val="20"/>
          <w:color w:val="auto"/>
        </w:rPr>
      </w:pPr>
    </w:p>
    <w:p>
      <w:pPr>
        <w:jc w:val="both"/>
        <w:ind w:left="760"/>
        <w:spacing w:after="0"/>
        <w:rPr>
          <w:sz w:val="20"/>
          <w:szCs w:val="20"/>
          <w:color w:val="auto"/>
        </w:rPr>
      </w:pPr>
      <w:r>
        <w:rPr>
          <w:rFonts w:ascii="Arial" w:cs="Arial" w:eastAsia="Arial" w:hAnsi="Arial"/>
          <w:sz w:val="22"/>
          <w:szCs w:val="22"/>
          <w:color w:val="161616"/>
        </w:rPr>
        <w:t xml:space="preserve">This Executive Employment Agreement (this </w:t>
      </w:r>
      <w:r>
        <w:rPr>
          <w:rFonts w:ascii="Arial" w:cs="Arial" w:eastAsia="Arial" w:hAnsi="Arial"/>
          <w:sz w:val="22"/>
          <w:szCs w:val="22"/>
          <w:color w:val="343434"/>
        </w:rPr>
        <w:t>“</w:t>
      </w:r>
      <w:r>
        <w:rPr>
          <w:rFonts w:ascii="Arial" w:cs="Arial" w:eastAsia="Arial" w:hAnsi="Arial"/>
          <w:sz w:val="22"/>
          <w:szCs w:val="22"/>
          <w:color w:val="161616"/>
        </w:rPr>
        <w:t>Agreement</w:t>
      </w:r>
      <w:r>
        <w:rPr>
          <w:rFonts w:ascii="Arial" w:cs="Arial" w:eastAsia="Arial" w:hAnsi="Arial"/>
          <w:sz w:val="22"/>
          <w:szCs w:val="22"/>
          <w:color w:val="343434"/>
        </w:rPr>
        <w:t>”</w:t>
      </w:r>
      <w:r>
        <w:rPr>
          <w:rFonts w:ascii="Arial" w:cs="Arial" w:eastAsia="Arial" w:hAnsi="Arial"/>
          <w:sz w:val="22"/>
          <w:szCs w:val="22"/>
          <w:color w:val="161616"/>
        </w:rPr>
        <w:t>) is made and entered into by and between NRx Pharmaceuticals</w:t>
      </w:r>
      <w:r>
        <w:rPr>
          <w:rFonts w:ascii="Arial" w:cs="Arial" w:eastAsia="Arial" w:hAnsi="Arial"/>
          <w:sz w:val="22"/>
          <w:szCs w:val="22"/>
          <w:color w:val="343434"/>
        </w:rPr>
        <w:t>,</w:t>
      </w:r>
      <w:r>
        <w:rPr>
          <w:rFonts w:ascii="Arial" w:cs="Arial" w:eastAsia="Arial" w:hAnsi="Arial"/>
          <w:sz w:val="22"/>
          <w:szCs w:val="22"/>
          <w:color w:val="161616"/>
        </w:rPr>
        <w:t xml:space="preserve"> Inc.</w:t>
      </w:r>
      <w:r>
        <w:rPr>
          <w:rFonts w:ascii="Arial" w:cs="Arial" w:eastAsia="Arial" w:hAnsi="Arial"/>
          <w:sz w:val="22"/>
          <w:szCs w:val="22"/>
          <w:color w:val="343434"/>
        </w:rPr>
        <w:t>,</w:t>
      </w:r>
      <w:r>
        <w:rPr>
          <w:rFonts w:ascii="Arial" w:cs="Arial" w:eastAsia="Arial" w:hAnsi="Arial"/>
          <w:sz w:val="22"/>
          <w:szCs w:val="22"/>
          <w:color w:val="161616"/>
        </w:rPr>
        <w:t xml:space="preserve"> a Delaware corporation (the </w:t>
      </w:r>
      <w:r>
        <w:rPr>
          <w:rFonts w:ascii="Arial" w:cs="Arial" w:eastAsia="Arial" w:hAnsi="Arial"/>
          <w:sz w:val="22"/>
          <w:szCs w:val="22"/>
          <w:color w:val="343434"/>
        </w:rPr>
        <w:t>“</w:t>
      </w:r>
      <w:r>
        <w:rPr>
          <w:rFonts w:ascii="Arial" w:cs="Arial" w:eastAsia="Arial" w:hAnsi="Arial"/>
          <w:sz w:val="22"/>
          <w:szCs w:val="22"/>
          <w:color w:val="161616"/>
        </w:rPr>
        <w:t>Company”) and Seth Van Voorhees (“Executive”) effective as of June 13</w:t>
      </w:r>
      <w:r>
        <w:rPr>
          <w:rFonts w:ascii="Arial" w:cs="Arial" w:eastAsia="Arial" w:hAnsi="Arial"/>
          <w:sz w:val="22"/>
          <w:szCs w:val="22"/>
          <w:color w:val="343434"/>
        </w:rPr>
        <w:t>,</w:t>
      </w:r>
      <w:r>
        <w:rPr>
          <w:rFonts w:ascii="Arial" w:cs="Arial" w:eastAsia="Arial" w:hAnsi="Arial"/>
          <w:sz w:val="22"/>
          <w:szCs w:val="22"/>
          <w:color w:val="161616"/>
        </w:rPr>
        <w:t xml:space="preserve">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61616"/>
        </w:rPr>
        <w:t>RECITALS:</w:t>
      </w:r>
    </w:p>
    <w:p>
      <w:pPr>
        <w:spacing w:after="0" w:line="247" w:lineRule="exact"/>
        <w:rPr>
          <w:sz w:val="20"/>
          <w:szCs w:val="20"/>
          <w:color w:val="auto"/>
        </w:rPr>
      </w:pPr>
    </w:p>
    <w:p>
      <w:pPr>
        <w:jc w:val="both"/>
        <w:ind w:left="760" w:firstLine="2"/>
        <w:spacing w:after="0" w:line="334" w:lineRule="auto"/>
        <w:rPr>
          <w:sz w:val="20"/>
          <w:szCs w:val="20"/>
          <w:color w:val="auto"/>
        </w:rPr>
      </w:pPr>
      <w:r>
        <w:rPr>
          <w:rFonts w:ascii="Arial" w:cs="Arial" w:eastAsia="Arial" w:hAnsi="Arial"/>
          <w:sz w:val="19"/>
          <w:szCs w:val="19"/>
          <w:b w:val="1"/>
          <w:bCs w:val="1"/>
          <w:color w:val="161616"/>
        </w:rPr>
        <w:t xml:space="preserve">WHEREAS </w:t>
      </w:r>
      <w:r>
        <w:rPr>
          <w:rFonts w:ascii="Arial" w:cs="Arial" w:eastAsia="Arial" w:hAnsi="Arial"/>
          <w:sz w:val="19"/>
          <w:szCs w:val="19"/>
          <w:b w:val="1"/>
          <w:bCs w:val="1"/>
          <w:color w:val="343434"/>
        </w:rPr>
        <w:t>,</w:t>
      </w:r>
      <w:r>
        <w:rPr>
          <w:rFonts w:ascii="Arial" w:cs="Arial" w:eastAsia="Arial" w:hAnsi="Arial"/>
          <w:sz w:val="19"/>
          <w:szCs w:val="19"/>
          <w:b w:val="1"/>
          <w:bCs w:val="1"/>
          <w:color w:val="161616"/>
        </w:rPr>
        <w:t xml:space="preserve"> </w:t>
      </w:r>
      <w:r>
        <w:rPr>
          <w:rFonts w:ascii="Arial" w:cs="Arial" w:eastAsia="Arial" w:hAnsi="Arial"/>
          <w:sz w:val="19"/>
          <w:szCs w:val="19"/>
          <w:color w:val="161616"/>
        </w:rPr>
        <w:t>subject to the terms and conditions hereinafter set forth, the Company wishes to employ</w:t>
      </w:r>
      <w:r>
        <w:rPr>
          <w:rFonts w:ascii="Arial" w:cs="Arial" w:eastAsia="Arial" w:hAnsi="Arial"/>
          <w:sz w:val="19"/>
          <w:szCs w:val="19"/>
          <w:b w:val="1"/>
          <w:bCs w:val="1"/>
          <w:color w:val="161616"/>
        </w:rPr>
        <w:t xml:space="preserve"> </w:t>
      </w:r>
      <w:r>
        <w:rPr>
          <w:rFonts w:ascii="Arial" w:cs="Arial" w:eastAsia="Arial" w:hAnsi="Arial"/>
          <w:sz w:val="19"/>
          <w:szCs w:val="19"/>
          <w:color w:val="161616"/>
        </w:rPr>
        <w:t>Executive as its Chief Financial Officer and Treasurer and Executive wishes to accept such employment;</w:t>
      </w:r>
    </w:p>
    <w:p>
      <w:pPr>
        <w:spacing w:after="0" w:line="121" w:lineRule="exact"/>
        <w:rPr>
          <w:sz w:val="20"/>
          <w:szCs w:val="20"/>
          <w:color w:val="auto"/>
        </w:rPr>
      </w:pPr>
    </w:p>
    <w:p>
      <w:pPr>
        <w:jc w:val="both"/>
        <w:ind w:left="760" w:right="20" w:firstLine="1"/>
        <w:spacing w:after="0" w:line="256" w:lineRule="auto"/>
        <w:rPr>
          <w:sz w:val="20"/>
          <w:szCs w:val="20"/>
          <w:color w:val="auto"/>
        </w:rPr>
      </w:pPr>
      <w:r>
        <w:rPr>
          <w:rFonts w:ascii="Arial" w:cs="Arial" w:eastAsia="Arial" w:hAnsi="Arial"/>
          <w:sz w:val="22"/>
          <w:szCs w:val="22"/>
          <w:b w:val="1"/>
          <w:bCs w:val="1"/>
          <w:color w:val="161616"/>
        </w:rPr>
        <w:t>NOW, THEREFORE</w:t>
      </w:r>
      <w:r>
        <w:rPr>
          <w:rFonts w:ascii="Arial" w:cs="Arial" w:eastAsia="Arial" w:hAnsi="Arial"/>
          <w:sz w:val="22"/>
          <w:szCs w:val="22"/>
          <w:b w:val="1"/>
          <w:bCs w:val="1"/>
          <w:color w:val="343434"/>
        </w:rPr>
        <w:t>,</w:t>
      </w:r>
      <w:r>
        <w:rPr>
          <w:rFonts w:ascii="Arial" w:cs="Arial" w:eastAsia="Arial" w:hAnsi="Arial"/>
          <w:sz w:val="22"/>
          <w:szCs w:val="22"/>
          <w:b w:val="1"/>
          <w:bCs w:val="1"/>
          <w:color w:val="161616"/>
        </w:rPr>
        <w:t xml:space="preserve"> </w:t>
      </w:r>
      <w:r>
        <w:rPr>
          <w:rFonts w:ascii="Arial" w:cs="Arial" w:eastAsia="Arial" w:hAnsi="Arial"/>
          <w:sz w:val="22"/>
          <w:szCs w:val="22"/>
          <w:color w:val="161616"/>
        </w:rPr>
        <w:t>in consideration of the foregoing premises and the mutual promises</w:t>
      </w:r>
      <w:r>
        <w:rPr>
          <w:rFonts w:ascii="Arial" w:cs="Arial" w:eastAsia="Arial" w:hAnsi="Arial"/>
          <w:sz w:val="22"/>
          <w:szCs w:val="22"/>
          <w:color w:val="343434"/>
        </w:rPr>
        <w:t>,</w:t>
      </w:r>
      <w:r>
        <w:rPr>
          <w:rFonts w:ascii="Arial" w:cs="Arial" w:eastAsia="Arial" w:hAnsi="Arial"/>
          <w:sz w:val="22"/>
          <w:szCs w:val="22"/>
          <w:b w:val="1"/>
          <w:bCs w:val="1"/>
          <w:color w:val="161616"/>
        </w:rPr>
        <w:t xml:space="preserve"> </w:t>
      </w:r>
      <w:r>
        <w:rPr>
          <w:rFonts w:ascii="Arial" w:cs="Arial" w:eastAsia="Arial" w:hAnsi="Arial"/>
          <w:sz w:val="22"/>
          <w:szCs w:val="22"/>
          <w:color w:val="161616"/>
        </w:rPr>
        <w:t>terms</w:t>
      </w:r>
      <w:r>
        <w:rPr>
          <w:rFonts w:ascii="Arial" w:cs="Arial" w:eastAsia="Arial" w:hAnsi="Arial"/>
          <w:sz w:val="22"/>
          <w:szCs w:val="22"/>
          <w:color w:val="343434"/>
        </w:rPr>
        <w:t>,</w:t>
      </w:r>
      <w:r>
        <w:rPr>
          <w:rFonts w:ascii="Arial" w:cs="Arial" w:eastAsia="Arial" w:hAnsi="Arial"/>
          <w:sz w:val="22"/>
          <w:szCs w:val="22"/>
          <w:b w:val="1"/>
          <w:bCs w:val="1"/>
          <w:color w:val="161616"/>
        </w:rPr>
        <w:t xml:space="preserve"> </w:t>
      </w:r>
      <w:r>
        <w:rPr>
          <w:rFonts w:ascii="Arial" w:cs="Arial" w:eastAsia="Arial" w:hAnsi="Arial"/>
          <w:sz w:val="22"/>
          <w:szCs w:val="22"/>
          <w:color w:val="161616"/>
        </w:rPr>
        <w:t>provisions and conditions set forth in this Agreement</w:t>
      </w:r>
      <w:r>
        <w:rPr>
          <w:rFonts w:ascii="Arial" w:cs="Arial" w:eastAsia="Arial" w:hAnsi="Arial"/>
          <w:sz w:val="22"/>
          <w:szCs w:val="22"/>
          <w:color w:val="343434"/>
        </w:rPr>
        <w:t>,</w:t>
      </w:r>
      <w:r>
        <w:rPr>
          <w:rFonts w:ascii="Arial" w:cs="Arial" w:eastAsia="Arial" w:hAnsi="Arial"/>
          <w:sz w:val="22"/>
          <w:szCs w:val="22"/>
          <w:color w:val="161616"/>
        </w:rPr>
        <w:t xml:space="preserve"> the parties hereby agree:</w:t>
      </w:r>
    </w:p>
    <w:p>
      <w:pPr>
        <w:spacing w:after="0" w:line="203" w:lineRule="exact"/>
        <w:rPr>
          <w:sz w:val="20"/>
          <w:szCs w:val="20"/>
          <w:color w:val="auto"/>
        </w:rPr>
      </w:pPr>
    </w:p>
    <w:p>
      <w:pPr>
        <w:jc w:val="both"/>
        <w:ind w:left="760" w:firstLine="9"/>
        <w:spacing w:after="0" w:line="275" w:lineRule="auto"/>
        <w:tabs>
          <w:tab w:leader="none" w:pos="1407" w:val="left"/>
        </w:tabs>
        <w:numPr>
          <w:ilvl w:val="0"/>
          <w:numId w:val="8"/>
        </w:numPr>
        <w:rPr>
          <w:rFonts w:ascii="Arial" w:cs="Arial" w:eastAsia="Arial" w:hAnsi="Arial"/>
          <w:sz w:val="19"/>
          <w:szCs w:val="19"/>
          <w:color w:val="161616"/>
        </w:rPr>
      </w:pPr>
      <w:r>
        <w:rPr>
          <w:rFonts w:ascii="Arial" w:cs="Arial" w:eastAsia="Arial" w:hAnsi="Arial"/>
          <w:sz w:val="19"/>
          <w:szCs w:val="19"/>
          <w:b w:val="1"/>
          <w:bCs w:val="1"/>
          <w:u w:val="single" w:color="auto"/>
          <w:color w:val="161616"/>
        </w:rPr>
        <w:t>Employment.</w:t>
      </w:r>
      <w:r>
        <w:rPr>
          <w:rFonts w:ascii="Arial" w:cs="Arial" w:eastAsia="Arial" w:hAnsi="Arial"/>
          <w:sz w:val="19"/>
          <w:szCs w:val="19"/>
          <w:b w:val="1"/>
          <w:bCs w:val="1"/>
          <w:color w:val="161616"/>
        </w:rPr>
        <w:t xml:space="preserve"> </w:t>
      </w:r>
      <w:r>
        <w:rPr>
          <w:rFonts w:ascii="Arial" w:cs="Arial" w:eastAsia="Arial" w:hAnsi="Arial"/>
          <w:sz w:val="19"/>
          <w:szCs w:val="19"/>
          <w:color w:val="161616"/>
        </w:rPr>
        <w:t>Subject to the terms and conditions set forth in this Agreement, the Company</w:t>
      </w:r>
      <w:r>
        <w:rPr>
          <w:rFonts w:ascii="Arial" w:cs="Arial" w:eastAsia="Arial" w:hAnsi="Arial"/>
          <w:sz w:val="19"/>
          <w:szCs w:val="19"/>
          <w:b w:val="1"/>
          <w:bCs w:val="1"/>
          <w:color w:val="161616"/>
        </w:rPr>
        <w:t xml:space="preserve"> </w:t>
      </w:r>
      <w:r>
        <w:rPr>
          <w:rFonts w:ascii="Arial" w:cs="Arial" w:eastAsia="Arial" w:hAnsi="Arial"/>
          <w:sz w:val="19"/>
          <w:szCs w:val="19"/>
          <w:color w:val="161616"/>
        </w:rPr>
        <w:t>hereby offers, and Executive hereby accepts</w:t>
      </w:r>
      <w:r>
        <w:rPr>
          <w:rFonts w:ascii="Arial" w:cs="Arial" w:eastAsia="Arial" w:hAnsi="Arial"/>
          <w:sz w:val="19"/>
          <w:szCs w:val="19"/>
          <w:color w:val="343434"/>
        </w:rPr>
        <w:t>,</w:t>
      </w:r>
      <w:r>
        <w:rPr>
          <w:rFonts w:ascii="Arial" w:cs="Arial" w:eastAsia="Arial" w:hAnsi="Arial"/>
          <w:sz w:val="19"/>
          <w:szCs w:val="19"/>
          <w:color w:val="161616"/>
        </w:rPr>
        <w:t xml:space="preserve"> employment by the Company as the Company</w:t>
      </w:r>
      <w:r>
        <w:rPr>
          <w:rFonts w:ascii="Arial" w:cs="Arial" w:eastAsia="Arial" w:hAnsi="Arial"/>
          <w:sz w:val="19"/>
          <w:szCs w:val="19"/>
          <w:color w:val="343434"/>
        </w:rPr>
        <w:t>’</w:t>
      </w:r>
      <w:r>
        <w:rPr>
          <w:rFonts w:ascii="Arial" w:cs="Arial" w:eastAsia="Arial" w:hAnsi="Arial"/>
          <w:sz w:val="19"/>
          <w:szCs w:val="19"/>
          <w:color w:val="161616"/>
        </w:rPr>
        <w:t>s Chief Financial Officer and Treasurer on the terms and conditions set forth in this Agreement. Executive’s primary workplace, as assigned by the Company and per the requirements of the Company</w:t>
      </w:r>
      <w:r>
        <w:rPr>
          <w:rFonts w:ascii="Arial" w:cs="Arial" w:eastAsia="Arial" w:hAnsi="Arial"/>
          <w:sz w:val="19"/>
          <w:szCs w:val="19"/>
          <w:color w:val="343434"/>
        </w:rPr>
        <w:t>,</w:t>
      </w:r>
      <w:r>
        <w:rPr>
          <w:rFonts w:ascii="Arial" w:cs="Arial" w:eastAsia="Arial" w:hAnsi="Arial"/>
          <w:sz w:val="19"/>
          <w:szCs w:val="19"/>
          <w:color w:val="161616"/>
        </w:rPr>
        <w:t xml:space="preserve"> shall be his home in Short Hills</w:t>
      </w:r>
      <w:r>
        <w:rPr>
          <w:rFonts w:ascii="Arial" w:cs="Arial" w:eastAsia="Arial" w:hAnsi="Arial"/>
          <w:sz w:val="19"/>
          <w:szCs w:val="19"/>
          <w:color w:val="343434"/>
        </w:rPr>
        <w:t>,</w:t>
      </w:r>
      <w:r>
        <w:rPr>
          <w:rFonts w:ascii="Arial" w:cs="Arial" w:eastAsia="Arial" w:hAnsi="Arial"/>
          <w:sz w:val="19"/>
          <w:szCs w:val="19"/>
          <w:color w:val="161616"/>
        </w:rPr>
        <w:t xml:space="preserve"> New Jersey</w:t>
      </w:r>
      <w:r>
        <w:rPr>
          <w:rFonts w:ascii="Arial" w:cs="Arial" w:eastAsia="Arial" w:hAnsi="Arial"/>
          <w:sz w:val="19"/>
          <w:szCs w:val="19"/>
          <w:color w:val="343434"/>
        </w:rPr>
        <w:t>,</w:t>
      </w:r>
      <w:r>
        <w:rPr>
          <w:rFonts w:ascii="Arial" w:cs="Arial" w:eastAsia="Arial" w:hAnsi="Arial"/>
          <w:sz w:val="19"/>
          <w:szCs w:val="19"/>
          <w:color w:val="161616"/>
        </w:rPr>
        <w:t xml:space="preserve"> and Executive may conduct business from home</w:t>
      </w:r>
      <w:r>
        <w:rPr>
          <w:rFonts w:ascii="Arial" w:cs="Arial" w:eastAsia="Arial" w:hAnsi="Arial"/>
          <w:sz w:val="19"/>
          <w:szCs w:val="19"/>
          <w:color w:val="343434"/>
        </w:rPr>
        <w:t>,</w:t>
      </w:r>
      <w:r>
        <w:rPr>
          <w:rFonts w:ascii="Arial" w:cs="Arial" w:eastAsia="Arial" w:hAnsi="Arial"/>
          <w:sz w:val="19"/>
          <w:szCs w:val="19"/>
          <w:color w:val="161616"/>
        </w:rPr>
        <w:t xml:space="preserve"> including confidential tele</w:t>
      </w:r>
      <w:r>
        <w:rPr>
          <w:rFonts w:ascii="Arial" w:cs="Arial" w:eastAsia="Arial" w:hAnsi="Arial"/>
          <w:sz w:val="19"/>
          <w:szCs w:val="19"/>
          <w:color w:val="343434"/>
        </w:rPr>
        <w:t>/</w:t>
      </w:r>
      <w:r>
        <w:rPr>
          <w:rFonts w:ascii="Arial" w:cs="Arial" w:eastAsia="Arial" w:hAnsi="Arial"/>
          <w:sz w:val="19"/>
          <w:szCs w:val="19"/>
          <w:color w:val="161616"/>
        </w:rPr>
        <w:t>videoconferences and safekeeping of confidential documents. Executive confirms that he is able to do so and that the Company is not liable for any expenses for the maintenance of such home office. Executive is also solel</w:t>
      </w:r>
      <w:r>
        <w:rPr>
          <w:rFonts w:ascii="Arial" w:cs="Arial" w:eastAsia="Arial" w:hAnsi="Arial"/>
          <w:sz w:val="19"/>
          <w:szCs w:val="19"/>
          <w:color w:val="343434"/>
        </w:rPr>
        <w:t>y</w:t>
      </w:r>
      <w:r>
        <w:rPr>
          <w:rFonts w:ascii="Arial" w:cs="Arial" w:eastAsia="Arial" w:hAnsi="Arial"/>
          <w:sz w:val="19"/>
          <w:szCs w:val="19"/>
          <w:color w:val="161616"/>
        </w:rPr>
        <w:t xml:space="preserve"> responsible for compliance with local ordinances and payment of any fees that may arise from home office-based work.</w:t>
      </w:r>
    </w:p>
    <w:p>
      <w:pPr>
        <w:spacing w:after="0" w:line="176" w:lineRule="exact"/>
        <w:rPr>
          <w:rFonts w:ascii="Arial" w:cs="Arial" w:eastAsia="Arial" w:hAnsi="Arial"/>
          <w:sz w:val="19"/>
          <w:szCs w:val="19"/>
          <w:color w:val="161616"/>
        </w:rPr>
      </w:pPr>
    </w:p>
    <w:p>
      <w:pPr>
        <w:jc w:val="both"/>
        <w:ind w:left="760" w:firstLine="12"/>
        <w:spacing w:after="0" w:line="247" w:lineRule="auto"/>
        <w:tabs>
          <w:tab w:leader="none" w:pos="1415" w:val="left"/>
        </w:tabs>
        <w:numPr>
          <w:ilvl w:val="0"/>
          <w:numId w:val="8"/>
        </w:numPr>
        <w:rPr>
          <w:rFonts w:ascii="Arial" w:cs="Arial" w:eastAsia="Arial" w:hAnsi="Arial"/>
          <w:sz w:val="21"/>
          <w:szCs w:val="21"/>
          <w:color w:val="161616"/>
        </w:rPr>
      </w:pPr>
      <w:r>
        <w:rPr>
          <w:rFonts w:ascii="Arial" w:cs="Arial" w:eastAsia="Arial" w:hAnsi="Arial"/>
          <w:sz w:val="21"/>
          <w:szCs w:val="21"/>
          <w:b w:val="1"/>
          <w:bCs w:val="1"/>
          <w:u w:val="single" w:color="auto"/>
          <w:color w:val="161616"/>
        </w:rPr>
        <w:t>Term.</w:t>
      </w:r>
      <w:r>
        <w:rPr>
          <w:rFonts w:ascii="Arial" w:cs="Arial" w:eastAsia="Arial" w:hAnsi="Arial"/>
          <w:sz w:val="21"/>
          <w:szCs w:val="21"/>
          <w:b w:val="1"/>
          <w:bCs w:val="1"/>
          <w:color w:val="161616"/>
        </w:rPr>
        <w:t xml:space="preserve"> </w:t>
      </w:r>
      <w:r>
        <w:rPr>
          <w:rFonts w:ascii="Arial" w:cs="Arial" w:eastAsia="Arial" w:hAnsi="Arial"/>
          <w:sz w:val="21"/>
          <w:szCs w:val="21"/>
          <w:color w:val="161616"/>
        </w:rPr>
        <w:t>Subject to earlier termination as hereafter provided</w:t>
      </w:r>
      <w:r>
        <w:rPr>
          <w:rFonts w:ascii="Arial" w:cs="Arial" w:eastAsia="Arial" w:hAnsi="Arial"/>
          <w:sz w:val="21"/>
          <w:szCs w:val="21"/>
          <w:color w:val="343434"/>
        </w:rPr>
        <w:t>,</w:t>
      </w:r>
      <w:r>
        <w:rPr>
          <w:rFonts w:ascii="Arial" w:cs="Arial" w:eastAsia="Arial" w:hAnsi="Arial"/>
          <w:sz w:val="21"/>
          <w:szCs w:val="21"/>
          <w:b w:val="1"/>
          <w:bCs w:val="1"/>
          <w:color w:val="161616"/>
        </w:rPr>
        <w:t xml:space="preserve"> </w:t>
      </w:r>
      <w:r>
        <w:rPr>
          <w:rFonts w:ascii="Arial" w:cs="Arial" w:eastAsia="Arial" w:hAnsi="Arial"/>
          <w:sz w:val="21"/>
          <w:szCs w:val="21"/>
          <w:color w:val="161616"/>
        </w:rPr>
        <w:t>this Agreement shall have an original</w:t>
      </w:r>
      <w:r>
        <w:rPr>
          <w:rFonts w:ascii="Arial" w:cs="Arial" w:eastAsia="Arial" w:hAnsi="Arial"/>
          <w:sz w:val="21"/>
          <w:szCs w:val="21"/>
          <w:b w:val="1"/>
          <w:bCs w:val="1"/>
          <w:color w:val="161616"/>
        </w:rPr>
        <w:t xml:space="preserve"> </w:t>
      </w:r>
      <w:r>
        <w:rPr>
          <w:rFonts w:ascii="Arial" w:cs="Arial" w:eastAsia="Arial" w:hAnsi="Arial"/>
          <w:sz w:val="21"/>
          <w:szCs w:val="21"/>
          <w:color w:val="161616"/>
        </w:rPr>
        <w:t>term of two (2) years commencing on June 13</w:t>
      </w:r>
      <w:r>
        <w:rPr>
          <w:rFonts w:ascii="Arial" w:cs="Arial" w:eastAsia="Arial" w:hAnsi="Arial"/>
          <w:sz w:val="21"/>
          <w:szCs w:val="21"/>
          <w:color w:val="343434"/>
        </w:rPr>
        <w:t>,</w:t>
      </w:r>
      <w:r>
        <w:rPr>
          <w:rFonts w:ascii="Arial" w:cs="Arial" w:eastAsia="Arial" w:hAnsi="Arial"/>
          <w:sz w:val="21"/>
          <w:szCs w:val="21"/>
          <w:color w:val="161616"/>
        </w:rPr>
        <w:t xml:space="preserve"> 2022 (the “Effective Date”) and shall be automatically extended thereafter for successive terms of one (1) year each</w:t>
      </w:r>
      <w:r>
        <w:rPr>
          <w:rFonts w:ascii="Arial" w:cs="Arial" w:eastAsia="Arial" w:hAnsi="Arial"/>
          <w:sz w:val="21"/>
          <w:szCs w:val="21"/>
          <w:color w:val="343434"/>
        </w:rPr>
        <w:t>,</w:t>
      </w:r>
      <w:r>
        <w:rPr>
          <w:rFonts w:ascii="Arial" w:cs="Arial" w:eastAsia="Arial" w:hAnsi="Arial"/>
          <w:sz w:val="21"/>
          <w:szCs w:val="21"/>
          <w:color w:val="161616"/>
        </w:rPr>
        <w:t xml:space="preserve"> unless Company provides Executive with notice of non-renewal at least sixty (60) days prior to the expiration of such term or unless Executive’s employment with the Company is terminated in accordance with the provisions of Section 5 hereof. The term of this Agreement, as from time to time extended or renewed</w:t>
      </w:r>
      <w:r>
        <w:rPr>
          <w:rFonts w:ascii="Arial" w:cs="Arial" w:eastAsia="Arial" w:hAnsi="Arial"/>
          <w:sz w:val="21"/>
          <w:szCs w:val="21"/>
          <w:color w:val="343434"/>
        </w:rPr>
        <w:t>,</w:t>
      </w:r>
      <w:r>
        <w:rPr>
          <w:rFonts w:ascii="Arial" w:cs="Arial" w:eastAsia="Arial" w:hAnsi="Arial"/>
          <w:sz w:val="21"/>
          <w:szCs w:val="21"/>
          <w:color w:val="161616"/>
        </w:rPr>
        <w:t xml:space="preserve"> is hereafter referred to as “the term of this Agreement” or “the term hereof.</w:t>
      </w:r>
      <w:r>
        <w:rPr>
          <w:rFonts w:ascii="Arial" w:cs="Arial" w:eastAsia="Arial" w:hAnsi="Arial"/>
          <w:sz w:val="21"/>
          <w:szCs w:val="21"/>
          <w:color w:val="343434"/>
        </w:rPr>
        <w:t>”</w:t>
      </w:r>
    </w:p>
    <w:p>
      <w:pPr>
        <w:spacing w:after="0" w:line="204" w:lineRule="exact"/>
        <w:rPr>
          <w:rFonts w:ascii="Arial" w:cs="Arial" w:eastAsia="Arial" w:hAnsi="Arial"/>
          <w:sz w:val="21"/>
          <w:szCs w:val="21"/>
          <w:color w:val="161616"/>
        </w:rPr>
      </w:pPr>
    </w:p>
    <w:p>
      <w:pPr>
        <w:ind w:left="1420" w:hanging="656"/>
        <w:spacing w:after="0"/>
        <w:tabs>
          <w:tab w:leader="none" w:pos="1420" w:val="left"/>
        </w:tabs>
        <w:numPr>
          <w:ilvl w:val="0"/>
          <w:numId w:val="8"/>
        </w:numPr>
        <w:rPr>
          <w:rFonts w:ascii="Arial" w:cs="Arial" w:eastAsia="Arial" w:hAnsi="Arial"/>
          <w:sz w:val="22"/>
          <w:szCs w:val="22"/>
          <w:color w:val="161616"/>
        </w:rPr>
      </w:pPr>
      <w:r>
        <w:rPr>
          <w:rFonts w:ascii="Arial" w:cs="Arial" w:eastAsia="Arial" w:hAnsi="Arial"/>
          <w:sz w:val="22"/>
          <w:szCs w:val="22"/>
          <w:b w:val="1"/>
          <w:bCs w:val="1"/>
          <w:u w:val="single" w:color="auto"/>
          <w:color w:val="161616"/>
        </w:rPr>
        <w:t>Capacity and Performance.</w:t>
      </w:r>
    </w:p>
    <w:p>
      <w:pPr>
        <w:spacing w:after="0" w:line="64" w:lineRule="exact"/>
        <w:rPr>
          <w:sz w:val="20"/>
          <w:szCs w:val="20"/>
          <w:color w:val="auto"/>
        </w:rPr>
      </w:pPr>
    </w:p>
    <w:p>
      <w:pPr>
        <w:jc w:val="both"/>
        <w:ind w:left="780" w:hanging="12"/>
        <w:spacing w:after="0" w:line="282" w:lineRule="auto"/>
        <w:tabs>
          <w:tab w:leader="none" w:pos="1162" w:val="left"/>
        </w:tabs>
        <w:numPr>
          <w:ilvl w:val="0"/>
          <w:numId w:val="9"/>
        </w:numPr>
        <w:rPr>
          <w:rFonts w:ascii="Arial" w:cs="Arial" w:eastAsia="Arial" w:hAnsi="Arial"/>
          <w:sz w:val="19"/>
          <w:szCs w:val="19"/>
          <w:color w:val="161616"/>
        </w:rPr>
      </w:pPr>
      <w:r>
        <w:rPr>
          <w:rFonts w:ascii="Arial" w:cs="Arial" w:eastAsia="Arial" w:hAnsi="Arial"/>
          <w:sz w:val="19"/>
          <w:szCs w:val="19"/>
          <w:color w:val="161616"/>
        </w:rPr>
        <w:t>During the term of this Agreement</w:t>
      </w:r>
      <w:r>
        <w:rPr>
          <w:rFonts w:ascii="Arial" w:cs="Arial" w:eastAsia="Arial" w:hAnsi="Arial"/>
          <w:sz w:val="19"/>
          <w:szCs w:val="19"/>
          <w:color w:val="343434"/>
        </w:rPr>
        <w:t>,</w:t>
      </w:r>
      <w:r>
        <w:rPr>
          <w:rFonts w:ascii="Arial" w:cs="Arial" w:eastAsia="Arial" w:hAnsi="Arial"/>
          <w:sz w:val="19"/>
          <w:szCs w:val="19"/>
          <w:color w:val="161616"/>
        </w:rPr>
        <w:t xml:space="preserve"> Executive shall serve the Company as its Chief Financial Officer and Treasurer, initially reporting to the Company</w:t>
      </w:r>
      <w:r>
        <w:rPr>
          <w:rFonts w:ascii="Arial" w:cs="Arial" w:eastAsia="Arial" w:hAnsi="Arial"/>
          <w:sz w:val="19"/>
          <w:szCs w:val="19"/>
          <w:color w:val="343434"/>
        </w:rPr>
        <w:t>’</w:t>
      </w:r>
      <w:r>
        <w:rPr>
          <w:rFonts w:ascii="Arial" w:cs="Arial" w:eastAsia="Arial" w:hAnsi="Arial"/>
          <w:sz w:val="19"/>
          <w:szCs w:val="19"/>
          <w:color w:val="161616"/>
        </w:rPr>
        <w:t>s Interim Chief Executive Officer or Chief Executive Officer (“CEO”) or such other individuals as may be designated by him or by the Board of Directors (“Board”) of the Company. Executive shall assume his duties</w:t>
      </w:r>
      <w:r>
        <w:rPr>
          <w:rFonts w:ascii="Arial" w:cs="Arial" w:eastAsia="Arial" w:hAnsi="Arial"/>
          <w:sz w:val="19"/>
          <w:szCs w:val="19"/>
          <w:color w:val="343434"/>
        </w:rPr>
        <w:t>,</w:t>
      </w:r>
      <w:r>
        <w:rPr>
          <w:rFonts w:ascii="Arial" w:cs="Arial" w:eastAsia="Arial" w:hAnsi="Arial"/>
          <w:sz w:val="19"/>
          <w:szCs w:val="19"/>
          <w:color w:val="161616"/>
        </w:rPr>
        <w:t xml:space="preserve"> following a handover period from the previous chief financial officer, on a date to be agreed</w:t>
      </w:r>
      <w:r>
        <w:rPr>
          <w:rFonts w:ascii="Arial" w:cs="Arial" w:eastAsia="Arial" w:hAnsi="Arial"/>
          <w:sz w:val="19"/>
          <w:szCs w:val="19"/>
          <w:color w:val="343434"/>
        </w:rPr>
        <w:t>,</w:t>
      </w:r>
      <w:r>
        <w:rPr>
          <w:rFonts w:ascii="Arial" w:cs="Arial" w:eastAsia="Arial" w:hAnsi="Arial"/>
          <w:sz w:val="19"/>
          <w:szCs w:val="19"/>
          <w:color w:val="161616"/>
        </w:rPr>
        <w:t xml:space="preserve"> but no later than July 18</w:t>
      </w:r>
      <w:r>
        <w:rPr>
          <w:rFonts w:ascii="Arial" w:cs="Arial" w:eastAsia="Arial" w:hAnsi="Arial"/>
          <w:sz w:val="19"/>
          <w:szCs w:val="19"/>
          <w:color w:val="343434"/>
        </w:rPr>
        <w:t>,</w:t>
      </w:r>
      <w:r>
        <w:rPr>
          <w:rFonts w:ascii="Arial" w:cs="Arial" w:eastAsia="Arial" w:hAnsi="Arial"/>
          <w:sz w:val="19"/>
          <w:szCs w:val="19"/>
          <w:color w:val="161616"/>
        </w:rPr>
        <w:t xml:space="preserve"> 2022.</w:t>
      </w:r>
    </w:p>
    <w:p>
      <w:pPr>
        <w:spacing w:after="0" w:line="174" w:lineRule="exact"/>
        <w:rPr>
          <w:rFonts w:ascii="Arial" w:cs="Arial" w:eastAsia="Arial" w:hAnsi="Arial"/>
          <w:sz w:val="19"/>
          <w:szCs w:val="19"/>
          <w:color w:val="161616"/>
        </w:rPr>
      </w:pPr>
    </w:p>
    <w:p>
      <w:pPr>
        <w:jc w:val="both"/>
        <w:ind w:left="780" w:right="20" w:hanging="9"/>
        <w:spacing w:after="0" w:line="297" w:lineRule="auto"/>
        <w:tabs>
          <w:tab w:leader="none" w:pos="1177" w:val="left"/>
        </w:tabs>
        <w:numPr>
          <w:ilvl w:val="0"/>
          <w:numId w:val="9"/>
        </w:numPr>
        <w:rPr>
          <w:rFonts w:ascii="Arial" w:cs="Arial" w:eastAsia="Arial" w:hAnsi="Arial"/>
          <w:sz w:val="19"/>
          <w:szCs w:val="19"/>
          <w:color w:val="161616"/>
        </w:rPr>
      </w:pPr>
      <w:r>
        <w:rPr>
          <w:rFonts w:ascii="Arial" w:cs="Arial" w:eastAsia="Arial" w:hAnsi="Arial"/>
          <w:sz w:val="19"/>
          <w:szCs w:val="19"/>
          <w:color w:val="161616"/>
        </w:rPr>
        <w:t>During the term hereof</w:t>
      </w:r>
      <w:r>
        <w:rPr>
          <w:rFonts w:ascii="Arial" w:cs="Arial" w:eastAsia="Arial" w:hAnsi="Arial"/>
          <w:sz w:val="19"/>
          <w:szCs w:val="19"/>
          <w:color w:val="343434"/>
        </w:rPr>
        <w:t>,</w:t>
      </w:r>
      <w:r>
        <w:rPr>
          <w:rFonts w:ascii="Arial" w:cs="Arial" w:eastAsia="Arial" w:hAnsi="Arial"/>
          <w:sz w:val="19"/>
          <w:szCs w:val="19"/>
          <w:color w:val="161616"/>
        </w:rPr>
        <w:t xml:space="preserve"> Executive shall be employed by the Company on a full-time basis and shall perform the duties of his position and such other duties on behalf of the Company</w:t>
      </w:r>
      <w:r>
        <w:rPr>
          <w:rFonts w:ascii="Arial" w:cs="Arial" w:eastAsia="Arial" w:hAnsi="Arial"/>
          <w:sz w:val="19"/>
          <w:szCs w:val="19"/>
          <w:color w:val="545454"/>
        </w:rPr>
        <w:t>,</w:t>
      </w:r>
      <w:r>
        <w:rPr>
          <w:rFonts w:ascii="Arial" w:cs="Arial" w:eastAsia="Arial" w:hAnsi="Arial"/>
          <w:sz w:val="19"/>
          <w:szCs w:val="19"/>
          <w:color w:val="161616"/>
        </w:rPr>
        <w:t xml:space="preserve"> reasonably consistent with his position, as may be designated from time to time by the CEO or the Company</w:t>
      </w:r>
      <w:r>
        <w:rPr>
          <w:rFonts w:ascii="Arial" w:cs="Arial" w:eastAsia="Arial" w:hAnsi="Arial"/>
          <w:sz w:val="19"/>
          <w:szCs w:val="19"/>
          <w:color w:val="343434"/>
        </w:rPr>
        <w:t>’</w:t>
      </w:r>
      <w:r>
        <w:rPr>
          <w:rFonts w:ascii="Arial" w:cs="Arial" w:eastAsia="Arial" w:hAnsi="Arial"/>
          <w:sz w:val="19"/>
          <w:szCs w:val="19"/>
          <w:color w:val="161616"/>
        </w:rPr>
        <w:t>s Board.</w:t>
      </w:r>
    </w:p>
    <w:p>
      <w:pPr>
        <w:spacing w:after="0" w:line="174" w:lineRule="exact"/>
        <w:rPr>
          <w:rFonts w:ascii="Arial" w:cs="Arial" w:eastAsia="Arial" w:hAnsi="Arial"/>
          <w:sz w:val="19"/>
          <w:szCs w:val="19"/>
          <w:color w:val="161616"/>
        </w:rPr>
      </w:pPr>
    </w:p>
    <w:p>
      <w:pPr>
        <w:jc w:val="both"/>
        <w:ind w:left="780" w:hanging="3"/>
        <w:spacing w:after="0" w:line="297" w:lineRule="auto"/>
        <w:tabs>
          <w:tab w:leader="none" w:pos="1166" w:val="left"/>
        </w:tabs>
        <w:numPr>
          <w:ilvl w:val="0"/>
          <w:numId w:val="9"/>
        </w:numPr>
        <w:rPr>
          <w:rFonts w:ascii="Arial" w:cs="Arial" w:eastAsia="Arial" w:hAnsi="Arial"/>
          <w:sz w:val="19"/>
          <w:szCs w:val="19"/>
          <w:color w:val="161616"/>
        </w:rPr>
      </w:pPr>
      <w:r>
        <w:rPr>
          <w:rFonts w:ascii="Arial" w:cs="Arial" w:eastAsia="Arial" w:hAnsi="Arial"/>
          <w:sz w:val="19"/>
          <w:szCs w:val="19"/>
          <w:color w:val="161616"/>
        </w:rPr>
        <w:t>During the term hereof, Executive shall devote his commercially reasonable full time efforts</w:t>
      </w:r>
      <w:r>
        <w:rPr>
          <w:rFonts w:ascii="Arial" w:cs="Arial" w:eastAsia="Arial" w:hAnsi="Arial"/>
          <w:sz w:val="19"/>
          <w:szCs w:val="19"/>
          <w:color w:val="343434"/>
        </w:rPr>
        <w:t>,</w:t>
      </w:r>
      <w:r>
        <w:rPr>
          <w:rFonts w:ascii="Arial" w:cs="Arial" w:eastAsia="Arial" w:hAnsi="Arial"/>
          <w:sz w:val="19"/>
          <w:szCs w:val="19"/>
          <w:color w:val="161616"/>
        </w:rPr>
        <w:t xml:space="preserve"> business judgment, skill and knowledge to the advancement of the business and interests of the Company and to the discharge of his duties and responsibilities hereunder. Executive shall not engage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1 </w:t>
      </w:r>
      <w:r>
        <w:rPr>
          <w:rFonts w:ascii="Arial" w:cs="Arial" w:eastAsia="Arial" w:hAnsi="Arial"/>
          <w:sz w:val="21"/>
          <w:szCs w:val="21"/>
          <w:color w:val="161616"/>
        </w:rPr>
        <w:t>|</w:t>
      </w:r>
      <w:r>
        <w:rPr>
          <w:rFonts w:ascii="Arial" w:cs="Arial" w:eastAsia="Arial" w:hAnsi="Arial"/>
          <w:sz w:val="21"/>
          <w:szCs w:val="21"/>
          <w:b w:val="1"/>
          <w:bCs w:val="1"/>
          <w:color w:val="auto"/>
        </w:rPr>
        <w:t xml:space="preserve"> </w:t>
      </w:r>
      <w:r>
        <w:rPr>
          <w:rFonts w:ascii="Arial" w:cs="Arial" w:eastAsia="Arial" w:hAnsi="Arial"/>
          <w:sz w:val="21"/>
          <w:szCs w:val="21"/>
          <w:color w:val="646464"/>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1" w:name="page42"/>
    <w:bookmarkEnd w:id="41"/>
    <w:p>
      <w:pPr>
        <w:ind w:left="760" w:right="320"/>
        <w:spacing w:after="0" w:line="250" w:lineRule="auto"/>
        <w:rPr>
          <w:sz w:val="20"/>
          <w:szCs w:val="20"/>
          <w:color w:val="auto"/>
        </w:rPr>
      </w:pPr>
      <w:r>
        <w:rPr>
          <w:rFonts w:ascii="Arial" w:cs="Arial" w:eastAsia="Arial" w:hAnsi="Arial"/>
          <w:sz w:val="22"/>
          <w:szCs w:val="22"/>
          <w:color w:val="1C1C1C"/>
        </w:rPr>
        <w:t xml:space="preserve">in any other business activity that is in conflict to, or competitive with, the Company </w:t>
      </w:r>
      <w:r>
        <w:rPr>
          <w:rFonts w:ascii="Arial" w:cs="Arial" w:eastAsia="Arial" w:hAnsi="Arial"/>
          <w:sz w:val="22"/>
          <w:szCs w:val="22"/>
          <w:color w:val="0C0C0C"/>
        </w:rPr>
        <w:t>or</w:t>
      </w:r>
      <w:r>
        <w:rPr>
          <w:rFonts w:ascii="Arial" w:cs="Arial" w:eastAsia="Arial" w:hAnsi="Arial"/>
          <w:sz w:val="22"/>
          <w:szCs w:val="22"/>
          <w:color w:val="1C1C1C"/>
        </w:rPr>
        <w:t xml:space="preserve"> its business or with Executive</w:t>
      </w:r>
      <w:r>
        <w:rPr>
          <w:rFonts w:ascii="Arial" w:cs="Arial" w:eastAsia="Arial" w:hAnsi="Arial"/>
          <w:sz w:val="22"/>
          <w:szCs w:val="22"/>
          <w:color w:val="4B4B4B"/>
        </w:rPr>
        <w:t>’</w:t>
      </w:r>
      <w:r>
        <w:rPr>
          <w:rFonts w:ascii="Arial" w:cs="Arial" w:eastAsia="Arial" w:hAnsi="Arial"/>
          <w:sz w:val="22"/>
          <w:szCs w:val="22"/>
          <w:color w:val="1C1C1C"/>
        </w:rPr>
        <w:t>s duties and responsibilities hereunder</w:t>
      </w:r>
      <w:r>
        <w:rPr>
          <w:rFonts w:ascii="Arial" w:cs="Arial" w:eastAsia="Arial" w:hAnsi="Arial"/>
          <w:sz w:val="22"/>
          <w:szCs w:val="22"/>
          <w:color w:val="5D5D5D"/>
        </w:rPr>
        <w:t>.</w:t>
      </w:r>
    </w:p>
    <w:p>
      <w:pPr>
        <w:spacing w:after="0" w:line="175" w:lineRule="exact"/>
        <w:rPr>
          <w:sz w:val="20"/>
          <w:szCs w:val="20"/>
          <w:color w:val="auto"/>
        </w:rPr>
      </w:pPr>
    </w:p>
    <w:p>
      <w:pPr>
        <w:ind w:left="780" w:hanging="12"/>
        <w:spacing w:after="0" w:line="250" w:lineRule="auto"/>
        <w:tabs>
          <w:tab w:leader="none" w:pos="1162" w:val="left"/>
        </w:tabs>
        <w:numPr>
          <w:ilvl w:val="1"/>
          <w:numId w:val="10"/>
        </w:numPr>
        <w:rPr>
          <w:rFonts w:ascii="Arial" w:cs="Arial" w:eastAsia="Arial" w:hAnsi="Arial"/>
          <w:sz w:val="22"/>
          <w:szCs w:val="22"/>
          <w:color w:val="1C1C1C"/>
        </w:rPr>
      </w:pPr>
      <w:r>
        <w:rPr>
          <w:rFonts w:ascii="Arial" w:cs="Arial" w:eastAsia="Arial" w:hAnsi="Arial"/>
          <w:sz w:val="22"/>
          <w:szCs w:val="22"/>
          <w:color w:val="1C1C1C"/>
        </w:rPr>
        <w:t>The Company shall provide Executive with the same indemnification rights and liability insurance coverage that it provides to other officers and directors of the Company</w:t>
      </w:r>
      <w:r>
        <w:rPr>
          <w:rFonts w:ascii="Arial" w:cs="Arial" w:eastAsia="Arial" w:hAnsi="Arial"/>
          <w:sz w:val="22"/>
          <w:szCs w:val="22"/>
          <w:color w:val="383838"/>
        </w:rPr>
        <w:t>.</w:t>
      </w:r>
    </w:p>
    <w:p>
      <w:pPr>
        <w:spacing w:after="0" w:line="195" w:lineRule="exact"/>
        <w:rPr>
          <w:rFonts w:ascii="Arial" w:cs="Arial" w:eastAsia="Arial" w:hAnsi="Arial"/>
          <w:sz w:val="22"/>
          <w:szCs w:val="22"/>
          <w:color w:val="1C1C1C"/>
        </w:rPr>
      </w:pPr>
    </w:p>
    <w:p>
      <w:pPr>
        <w:jc w:val="both"/>
        <w:ind w:left="760" w:firstLine="7"/>
        <w:spacing w:after="0" w:line="243" w:lineRule="auto"/>
        <w:tabs>
          <w:tab w:leader="none" w:pos="1412" w:val="left"/>
        </w:tabs>
        <w:numPr>
          <w:ilvl w:val="0"/>
          <w:numId w:val="11"/>
        </w:numPr>
        <w:rPr>
          <w:rFonts w:ascii="Arial" w:cs="Arial" w:eastAsia="Arial" w:hAnsi="Arial"/>
          <w:sz w:val="22"/>
          <w:szCs w:val="22"/>
          <w:color w:val="1C1C1C"/>
        </w:rPr>
      </w:pPr>
      <w:r>
        <w:rPr>
          <w:rFonts w:ascii="Arial" w:cs="Arial" w:eastAsia="Arial" w:hAnsi="Arial"/>
          <w:sz w:val="22"/>
          <w:szCs w:val="22"/>
          <w:b w:val="1"/>
          <w:bCs w:val="1"/>
          <w:u w:val="single" w:color="auto"/>
          <w:color w:val="1C1C1C"/>
        </w:rPr>
        <w:t>Compensation and Benefits.</w:t>
      </w:r>
      <w:r>
        <w:rPr>
          <w:rFonts w:ascii="Arial" w:cs="Arial" w:eastAsia="Arial" w:hAnsi="Arial"/>
          <w:sz w:val="22"/>
          <w:szCs w:val="22"/>
          <w:b w:val="1"/>
          <w:bCs w:val="1"/>
          <w:color w:val="1C1C1C"/>
        </w:rPr>
        <w:t xml:space="preserve"> </w:t>
      </w:r>
      <w:r>
        <w:rPr>
          <w:rFonts w:ascii="Arial" w:cs="Arial" w:eastAsia="Arial" w:hAnsi="Arial"/>
          <w:sz w:val="22"/>
          <w:szCs w:val="22"/>
          <w:color w:val="1C1C1C"/>
        </w:rPr>
        <w:t>As compensation for all services performed by Executive under</w:t>
      </w:r>
      <w:r>
        <w:rPr>
          <w:rFonts w:ascii="Arial" w:cs="Arial" w:eastAsia="Arial" w:hAnsi="Arial"/>
          <w:sz w:val="22"/>
          <w:szCs w:val="22"/>
          <w:b w:val="1"/>
          <w:bCs w:val="1"/>
          <w:color w:val="1C1C1C"/>
        </w:rPr>
        <w:t xml:space="preserve"> </w:t>
      </w:r>
      <w:r>
        <w:rPr>
          <w:rFonts w:ascii="Arial" w:cs="Arial" w:eastAsia="Arial" w:hAnsi="Arial"/>
          <w:sz w:val="22"/>
          <w:szCs w:val="22"/>
          <w:color w:val="1C1C1C"/>
        </w:rPr>
        <w:t>and during the term hereof and subject to performance of Executive’s duties and of the obligations of Executive to the Company pursuant to this Agreement or otherwise:</w:t>
      </w:r>
    </w:p>
    <w:p>
      <w:pPr>
        <w:spacing w:after="0" w:line="203" w:lineRule="exact"/>
        <w:rPr>
          <w:rFonts w:ascii="Arial" w:cs="Arial" w:eastAsia="Arial" w:hAnsi="Arial"/>
          <w:sz w:val="22"/>
          <w:szCs w:val="22"/>
          <w:color w:val="1C1C1C"/>
        </w:rPr>
      </w:pPr>
    </w:p>
    <w:p>
      <w:pPr>
        <w:jc w:val="both"/>
        <w:ind w:left="760" w:firstLine="8"/>
        <w:spacing w:after="0" w:line="289" w:lineRule="auto"/>
        <w:tabs>
          <w:tab w:leader="none" w:pos="1142" w:val="left"/>
        </w:tabs>
        <w:numPr>
          <w:ilvl w:val="1"/>
          <w:numId w:val="11"/>
        </w:numPr>
        <w:rPr>
          <w:rFonts w:ascii="Arial" w:cs="Arial" w:eastAsia="Arial" w:hAnsi="Arial"/>
          <w:sz w:val="19"/>
          <w:szCs w:val="19"/>
          <w:color w:val="1C1C1C"/>
        </w:rPr>
      </w:pPr>
      <w:r>
        <w:rPr>
          <w:rFonts w:ascii="Arial" w:cs="Arial" w:eastAsia="Arial" w:hAnsi="Arial"/>
          <w:sz w:val="19"/>
          <w:szCs w:val="19"/>
          <w:b w:val="1"/>
          <w:bCs w:val="1"/>
          <w:color w:val="1C1C1C"/>
        </w:rPr>
        <w:t xml:space="preserve">Base Salary. </w:t>
      </w:r>
      <w:r>
        <w:rPr>
          <w:rFonts w:ascii="Arial" w:cs="Arial" w:eastAsia="Arial" w:hAnsi="Arial"/>
          <w:sz w:val="19"/>
          <w:szCs w:val="19"/>
          <w:color w:val="1C1C1C"/>
        </w:rPr>
        <w:t>The Company shall pay Executive a base salary at the rate of four hundred thousand</w:t>
      </w:r>
      <w:r>
        <w:rPr>
          <w:rFonts w:ascii="Arial" w:cs="Arial" w:eastAsia="Arial" w:hAnsi="Arial"/>
          <w:sz w:val="19"/>
          <w:szCs w:val="19"/>
          <w:b w:val="1"/>
          <w:bCs w:val="1"/>
          <w:color w:val="1C1C1C"/>
        </w:rPr>
        <w:t xml:space="preserve"> </w:t>
      </w:r>
      <w:r>
        <w:rPr>
          <w:rFonts w:ascii="Arial" w:cs="Arial" w:eastAsia="Arial" w:hAnsi="Arial"/>
          <w:sz w:val="19"/>
          <w:szCs w:val="19"/>
          <w:color w:val="1C1C1C"/>
        </w:rPr>
        <w:t xml:space="preserve">dollars ($400,000) per annum (i.e., $33,333.33 per month), payable in accordance with the payroll practices of the Company for its executives and subject to increase from time to time </w:t>
      </w:r>
      <w:r>
        <w:rPr>
          <w:rFonts w:ascii="Arial" w:cs="Arial" w:eastAsia="Arial" w:hAnsi="Arial"/>
          <w:sz w:val="19"/>
          <w:szCs w:val="19"/>
          <w:color w:val="0C0C0C"/>
        </w:rPr>
        <w:t>by</w:t>
      </w:r>
      <w:r>
        <w:rPr>
          <w:rFonts w:ascii="Arial" w:cs="Arial" w:eastAsia="Arial" w:hAnsi="Arial"/>
          <w:sz w:val="19"/>
          <w:szCs w:val="19"/>
          <w:color w:val="1C1C1C"/>
        </w:rPr>
        <w:t xml:space="preserve"> the Board</w:t>
      </w:r>
      <w:r>
        <w:rPr>
          <w:rFonts w:ascii="Arial" w:cs="Arial" w:eastAsia="Arial" w:hAnsi="Arial"/>
          <w:sz w:val="19"/>
          <w:szCs w:val="19"/>
          <w:color w:val="4B4B4B"/>
        </w:rPr>
        <w:t>.</w:t>
      </w:r>
      <w:r>
        <w:rPr>
          <w:rFonts w:ascii="Arial" w:cs="Arial" w:eastAsia="Arial" w:hAnsi="Arial"/>
          <w:sz w:val="19"/>
          <w:szCs w:val="19"/>
          <w:color w:val="1C1C1C"/>
        </w:rPr>
        <w:t xml:space="preserve"> Such </w:t>
      </w:r>
      <w:r>
        <w:rPr>
          <w:rFonts w:ascii="Arial" w:cs="Arial" w:eastAsia="Arial" w:hAnsi="Arial"/>
          <w:sz w:val="19"/>
          <w:szCs w:val="19"/>
          <w:color w:val="0C0C0C"/>
        </w:rPr>
        <w:t xml:space="preserve">base </w:t>
      </w:r>
      <w:r>
        <w:rPr>
          <w:rFonts w:ascii="Arial" w:cs="Arial" w:eastAsia="Arial" w:hAnsi="Arial"/>
          <w:sz w:val="19"/>
          <w:szCs w:val="19"/>
          <w:color w:val="1C1C1C"/>
        </w:rPr>
        <w:t>salary</w:t>
      </w:r>
      <w:r>
        <w:rPr>
          <w:rFonts w:ascii="Arial" w:cs="Arial" w:eastAsia="Arial" w:hAnsi="Arial"/>
          <w:sz w:val="19"/>
          <w:szCs w:val="19"/>
          <w:color w:val="383838"/>
        </w:rPr>
        <w:t>,</w:t>
      </w:r>
      <w:r>
        <w:rPr>
          <w:rFonts w:ascii="Arial" w:cs="Arial" w:eastAsia="Arial" w:hAnsi="Arial"/>
          <w:sz w:val="19"/>
          <w:szCs w:val="19"/>
          <w:color w:val="0C0C0C"/>
        </w:rPr>
        <w:t xml:space="preserve"> </w:t>
      </w:r>
      <w:r>
        <w:rPr>
          <w:rFonts w:ascii="Arial" w:cs="Arial" w:eastAsia="Arial" w:hAnsi="Arial"/>
          <w:sz w:val="19"/>
          <w:szCs w:val="19"/>
          <w:color w:val="1C1C1C"/>
        </w:rPr>
        <w:t>as from time to time is increased, is hereafter referred to as the “Base Salary.</w:t>
      </w:r>
      <w:r>
        <w:rPr>
          <w:rFonts w:ascii="Arial" w:cs="Arial" w:eastAsia="Arial" w:hAnsi="Arial"/>
          <w:sz w:val="19"/>
          <w:szCs w:val="19"/>
          <w:color w:val="383838"/>
        </w:rPr>
        <w:t>”</w:t>
      </w:r>
    </w:p>
    <w:p>
      <w:pPr>
        <w:spacing w:after="0" w:line="176" w:lineRule="exact"/>
        <w:rPr>
          <w:rFonts w:ascii="Arial" w:cs="Arial" w:eastAsia="Arial" w:hAnsi="Arial"/>
          <w:sz w:val="19"/>
          <w:szCs w:val="19"/>
          <w:color w:val="1C1C1C"/>
        </w:rPr>
      </w:pPr>
    </w:p>
    <w:p>
      <w:pPr>
        <w:jc w:val="both"/>
        <w:ind w:left="760" w:firstLine="3"/>
        <w:spacing w:after="0" w:line="251" w:lineRule="auto"/>
        <w:tabs>
          <w:tab w:leader="none" w:pos="1158" w:val="left"/>
        </w:tabs>
        <w:numPr>
          <w:ilvl w:val="1"/>
          <w:numId w:val="11"/>
        </w:numPr>
        <w:rPr>
          <w:rFonts w:ascii="Arial" w:cs="Arial" w:eastAsia="Arial" w:hAnsi="Arial"/>
          <w:sz w:val="21"/>
          <w:szCs w:val="21"/>
          <w:color w:val="1C1C1C"/>
        </w:rPr>
      </w:pPr>
      <w:r>
        <w:rPr>
          <w:rFonts w:ascii="Arial" w:cs="Arial" w:eastAsia="Arial" w:hAnsi="Arial"/>
          <w:sz w:val="21"/>
          <w:szCs w:val="21"/>
          <w:b w:val="1"/>
          <w:bCs w:val="1"/>
          <w:color w:val="1C1C1C"/>
        </w:rPr>
        <w:t>Incentive and Bonus Compensation</w:t>
      </w:r>
      <w:r>
        <w:rPr>
          <w:rFonts w:ascii="Arial" w:cs="Arial" w:eastAsia="Arial" w:hAnsi="Arial"/>
          <w:sz w:val="21"/>
          <w:szCs w:val="21"/>
          <w:b w:val="1"/>
          <w:bCs w:val="1"/>
          <w:color w:val="383838"/>
        </w:rPr>
        <w:t>.</w:t>
      </w:r>
      <w:r>
        <w:rPr>
          <w:rFonts w:ascii="Arial" w:cs="Arial" w:eastAsia="Arial" w:hAnsi="Arial"/>
          <w:sz w:val="21"/>
          <w:szCs w:val="21"/>
          <w:b w:val="1"/>
          <w:bCs w:val="1"/>
          <w:color w:val="1C1C1C"/>
        </w:rPr>
        <w:t xml:space="preserve"> </w:t>
      </w:r>
      <w:r>
        <w:rPr>
          <w:rFonts w:ascii="Arial" w:cs="Arial" w:eastAsia="Arial" w:hAnsi="Arial"/>
          <w:sz w:val="21"/>
          <w:szCs w:val="21"/>
          <w:color w:val="1C1C1C"/>
        </w:rPr>
        <w:t>Executive shall be considered annually by the Board for a</w:t>
      </w:r>
      <w:r>
        <w:rPr>
          <w:rFonts w:ascii="Arial" w:cs="Arial" w:eastAsia="Arial" w:hAnsi="Arial"/>
          <w:sz w:val="21"/>
          <w:szCs w:val="21"/>
          <w:b w:val="1"/>
          <w:bCs w:val="1"/>
          <w:color w:val="1C1C1C"/>
        </w:rPr>
        <w:t xml:space="preserve"> </w:t>
      </w:r>
      <w:r>
        <w:rPr>
          <w:rFonts w:ascii="Arial" w:cs="Arial" w:eastAsia="Arial" w:hAnsi="Arial"/>
          <w:sz w:val="21"/>
          <w:szCs w:val="21"/>
          <w:color w:val="1C1C1C"/>
        </w:rPr>
        <w:t xml:space="preserve">performance-based bonus (the “Annual Bonus”) with a target (the </w:t>
      </w:r>
      <w:r>
        <w:rPr>
          <w:rFonts w:ascii="Arial" w:cs="Arial" w:eastAsia="Arial" w:hAnsi="Arial"/>
          <w:sz w:val="21"/>
          <w:szCs w:val="21"/>
          <w:color w:val="383838"/>
        </w:rPr>
        <w:t>“</w:t>
      </w:r>
      <w:r>
        <w:rPr>
          <w:rFonts w:ascii="Arial" w:cs="Arial" w:eastAsia="Arial" w:hAnsi="Arial"/>
          <w:sz w:val="21"/>
          <w:szCs w:val="21"/>
          <w:color w:val="1C1C1C"/>
        </w:rPr>
        <w:t>Target Bonus</w:t>
      </w:r>
      <w:r>
        <w:rPr>
          <w:rFonts w:ascii="Arial" w:cs="Arial" w:eastAsia="Arial" w:hAnsi="Arial"/>
          <w:sz w:val="21"/>
          <w:szCs w:val="21"/>
          <w:color w:val="383838"/>
        </w:rPr>
        <w:t>”</w:t>
      </w:r>
      <w:r>
        <w:rPr>
          <w:rFonts w:ascii="Arial" w:cs="Arial" w:eastAsia="Arial" w:hAnsi="Arial"/>
          <w:sz w:val="21"/>
          <w:szCs w:val="21"/>
          <w:color w:val="1C1C1C"/>
        </w:rPr>
        <w:t>) of Fifty Percent (50%) of Base Salary (i.e., $200,000 at current Base Salary) at the discretion of the Board and upon satisfactory performance of his duties. The Target Bonus is payable in March of the following year</w:t>
      </w:r>
      <w:r>
        <w:rPr>
          <w:rFonts w:ascii="Arial" w:cs="Arial" w:eastAsia="Arial" w:hAnsi="Arial"/>
          <w:sz w:val="21"/>
          <w:szCs w:val="21"/>
          <w:color w:val="5D5D5D"/>
        </w:rPr>
        <w:t>,</w:t>
      </w:r>
      <w:r>
        <w:rPr>
          <w:rFonts w:ascii="Arial" w:cs="Arial" w:eastAsia="Arial" w:hAnsi="Arial"/>
          <w:sz w:val="21"/>
          <w:szCs w:val="21"/>
          <w:color w:val="1C1C1C"/>
        </w:rPr>
        <w:t xml:space="preserve"> in accordance with the payroll and </w:t>
      </w:r>
      <w:r>
        <w:rPr>
          <w:rFonts w:ascii="Arial" w:cs="Arial" w:eastAsia="Arial" w:hAnsi="Arial"/>
          <w:sz w:val="21"/>
          <w:szCs w:val="21"/>
          <w:color w:val="0C0C0C"/>
        </w:rPr>
        <w:t>bonus</w:t>
      </w:r>
      <w:r>
        <w:rPr>
          <w:rFonts w:ascii="Arial" w:cs="Arial" w:eastAsia="Arial" w:hAnsi="Arial"/>
          <w:sz w:val="21"/>
          <w:szCs w:val="21"/>
          <w:color w:val="1C1C1C"/>
        </w:rPr>
        <w:t xml:space="preserve"> practices of the Company</w:t>
      </w:r>
      <w:r>
        <w:rPr>
          <w:rFonts w:ascii="Arial" w:cs="Arial" w:eastAsia="Arial" w:hAnsi="Arial"/>
          <w:sz w:val="21"/>
          <w:szCs w:val="21"/>
          <w:color w:val="383838"/>
        </w:rPr>
        <w:t>.</w:t>
      </w:r>
    </w:p>
    <w:p>
      <w:pPr>
        <w:spacing w:after="0" w:line="208" w:lineRule="exact"/>
        <w:rPr>
          <w:rFonts w:ascii="Arial" w:cs="Arial" w:eastAsia="Arial" w:hAnsi="Arial"/>
          <w:sz w:val="21"/>
          <w:szCs w:val="21"/>
          <w:color w:val="1C1C1C"/>
        </w:rPr>
      </w:pPr>
    </w:p>
    <w:p>
      <w:pPr>
        <w:jc w:val="both"/>
        <w:ind w:left="760" w:firstLine="3"/>
        <w:spacing w:after="0" w:line="251" w:lineRule="auto"/>
        <w:tabs>
          <w:tab w:leader="none" w:pos="1149" w:val="left"/>
        </w:tabs>
        <w:numPr>
          <w:ilvl w:val="1"/>
          <w:numId w:val="11"/>
        </w:numPr>
        <w:rPr>
          <w:rFonts w:ascii="Arial" w:cs="Arial" w:eastAsia="Arial" w:hAnsi="Arial"/>
          <w:sz w:val="21"/>
          <w:szCs w:val="21"/>
          <w:color w:val="1C1C1C"/>
        </w:rPr>
      </w:pPr>
      <w:r>
        <w:rPr>
          <w:rFonts w:ascii="Arial" w:cs="Arial" w:eastAsia="Arial" w:hAnsi="Arial"/>
          <w:sz w:val="21"/>
          <w:szCs w:val="21"/>
          <w:b w:val="1"/>
          <w:bCs w:val="1"/>
          <w:color w:val="1C1C1C"/>
        </w:rPr>
        <w:t xml:space="preserve">Equity Compensation. </w:t>
      </w:r>
      <w:r>
        <w:rPr>
          <w:rFonts w:ascii="Arial" w:cs="Arial" w:eastAsia="Arial" w:hAnsi="Arial"/>
          <w:sz w:val="21"/>
          <w:szCs w:val="21"/>
          <w:color w:val="1C1C1C"/>
        </w:rPr>
        <w:t>Executive shall be awarded a grant of 325</w:t>
      </w:r>
      <w:r>
        <w:rPr>
          <w:rFonts w:ascii="Arial" w:cs="Arial" w:eastAsia="Arial" w:hAnsi="Arial"/>
          <w:sz w:val="21"/>
          <w:szCs w:val="21"/>
          <w:color w:val="383838"/>
        </w:rPr>
        <w:t>,</w:t>
      </w:r>
      <w:r>
        <w:rPr>
          <w:rFonts w:ascii="Arial" w:cs="Arial" w:eastAsia="Arial" w:hAnsi="Arial"/>
          <w:sz w:val="21"/>
          <w:szCs w:val="21"/>
          <w:color w:val="1C1C1C"/>
        </w:rPr>
        <w:t>000 options to purchase shares of</w:t>
      </w:r>
      <w:r>
        <w:rPr>
          <w:rFonts w:ascii="Arial" w:cs="Arial" w:eastAsia="Arial" w:hAnsi="Arial"/>
          <w:sz w:val="21"/>
          <w:szCs w:val="21"/>
          <w:b w:val="1"/>
          <w:bCs w:val="1"/>
          <w:color w:val="1C1C1C"/>
        </w:rPr>
        <w:t xml:space="preserve"> </w:t>
      </w:r>
      <w:r>
        <w:rPr>
          <w:rFonts w:ascii="Arial" w:cs="Arial" w:eastAsia="Arial" w:hAnsi="Arial"/>
          <w:sz w:val="21"/>
          <w:szCs w:val="21"/>
          <w:color w:val="1C1C1C"/>
        </w:rPr>
        <w:t xml:space="preserve">common stock </w:t>
      </w:r>
      <w:r>
        <w:rPr>
          <w:rFonts w:ascii="Arial" w:cs="Arial" w:eastAsia="Arial" w:hAnsi="Arial"/>
          <w:sz w:val="21"/>
          <w:szCs w:val="21"/>
          <w:color w:val="0C0C0C"/>
        </w:rPr>
        <w:t>in</w:t>
      </w:r>
      <w:r>
        <w:rPr>
          <w:rFonts w:ascii="Arial" w:cs="Arial" w:eastAsia="Arial" w:hAnsi="Arial"/>
          <w:sz w:val="21"/>
          <w:szCs w:val="21"/>
          <w:color w:val="1C1C1C"/>
        </w:rPr>
        <w:t xml:space="preserve"> the Company under the terms of the Company’s 2021 Omnibus Incentive Plan at an exercise price equal to the closing price of the Company’s common stock on the effective date of this agreement (the </w:t>
      </w:r>
      <w:r>
        <w:rPr>
          <w:rFonts w:ascii="Arial" w:cs="Arial" w:eastAsia="Arial" w:hAnsi="Arial"/>
          <w:sz w:val="21"/>
          <w:szCs w:val="21"/>
          <w:color w:val="383838"/>
        </w:rPr>
        <w:t>“</w:t>
      </w:r>
      <w:r>
        <w:rPr>
          <w:rFonts w:ascii="Arial" w:cs="Arial" w:eastAsia="Arial" w:hAnsi="Arial"/>
          <w:sz w:val="21"/>
          <w:szCs w:val="21"/>
          <w:color w:val="1C1C1C"/>
        </w:rPr>
        <w:t>Options”)</w:t>
      </w:r>
      <w:r>
        <w:rPr>
          <w:rFonts w:ascii="Arial" w:cs="Arial" w:eastAsia="Arial" w:hAnsi="Arial"/>
          <w:sz w:val="21"/>
          <w:szCs w:val="21"/>
          <w:color w:val="383838"/>
        </w:rPr>
        <w:t>.</w:t>
      </w:r>
      <w:r>
        <w:rPr>
          <w:rFonts w:ascii="Arial" w:cs="Arial" w:eastAsia="Arial" w:hAnsi="Arial"/>
          <w:sz w:val="21"/>
          <w:szCs w:val="21"/>
          <w:color w:val="1C1C1C"/>
        </w:rPr>
        <w:t xml:space="preserve"> The Options shall vest over a two-year period, with 162</w:t>
      </w:r>
      <w:r>
        <w:rPr>
          <w:rFonts w:ascii="Arial" w:cs="Arial" w:eastAsia="Arial" w:hAnsi="Arial"/>
          <w:sz w:val="21"/>
          <w:szCs w:val="21"/>
          <w:color w:val="383838"/>
        </w:rPr>
        <w:t>,</w:t>
      </w:r>
      <w:r>
        <w:rPr>
          <w:rFonts w:ascii="Arial" w:cs="Arial" w:eastAsia="Arial" w:hAnsi="Arial"/>
          <w:sz w:val="21"/>
          <w:szCs w:val="21"/>
          <w:color w:val="1C1C1C"/>
        </w:rPr>
        <w:t>500 options vesting on June 5</w:t>
      </w:r>
      <w:r>
        <w:rPr>
          <w:rFonts w:ascii="Arial" w:cs="Arial" w:eastAsia="Arial" w:hAnsi="Arial"/>
          <w:sz w:val="21"/>
          <w:szCs w:val="21"/>
          <w:color w:val="383838"/>
        </w:rPr>
        <w:t>,</w:t>
      </w:r>
      <w:r>
        <w:rPr>
          <w:rFonts w:ascii="Arial" w:cs="Arial" w:eastAsia="Arial" w:hAnsi="Arial"/>
          <w:sz w:val="21"/>
          <w:szCs w:val="21"/>
          <w:color w:val="1C1C1C"/>
        </w:rPr>
        <w:t xml:space="preserve"> 2023 and 162</w:t>
      </w:r>
      <w:r>
        <w:rPr>
          <w:rFonts w:ascii="Arial" w:cs="Arial" w:eastAsia="Arial" w:hAnsi="Arial"/>
          <w:sz w:val="21"/>
          <w:szCs w:val="21"/>
          <w:color w:val="383838"/>
        </w:rPr>
        <w:t>,</w:t>
      </w:r>
      <w:r>
        <w:rPr>
          <w:rFonts w:ascii="Arial" w:cs="Arial" w:eastAsia="Arial" w:hAnsi="Arial"/>
          <w:sz w:val="21"/>
          <w:szCs w:val="21"/>
          <w:color w:val="1C1C1C"/>
        </w:rPr>
        <w:t>500 options vesting on June 5</w:t>
      </w:r>
      <w:r>
        <w:rPr>
          <w:rFonts w:ascii="Arial" w:cs="Arial" w:eastAsia="Arial" w:hAnsi="Arial"/>
          <w:sz w:val="21"/>
          <w:szCs w:val="21"/>
          <w:color w:val="383838"/>
        </w:rPr>
        <w:t>,</w:t>
      </w:r>
      <w:r>
        <w:rPr>
          <w:rFonts w:ascii="Arial" w:cs="Arial" w:eastAsia="Arial" w:hAnsi="Arial"/>
          <w:sz w:val="21"/>
          <w:szCs w:val="21"/>
          <w:color w:val="1C1C1C"/>
        </w:rPr>
        <w:t xml:space="preserve"> 2024</w:t>
      </w:r>
      <w:r>
        <w:rPr>
          <w:rFonts w:ascii="Arial" w:cs="Arial" w:eastAsia="Arial" w:hAnsi="Arial"/>
          <w:sz w:val="21"/>
          <w:szCs w:val="21"/>
          <w:color w:val="383838"/>
        </w:rPr>
        <w:t>.</w:t>
      </w:r>
    </w:p>
    <w:p>
      <w:pPr>
        <w:spacing w:after="0" w:line="195" w:lineRule="exact"/>
        <w:rPr>
          <w:rFonts w:ascii="Arial" w:cs="Arial" w:eastAsia="Arial" w:hAnsi="Arial"/>
          <w:sz w:val="21"/>
          <w:szCs w:val="21"/>
          <w:color w:val="1C1C1C"/>
        </w:rPr>
      </w:pPr>
    </w:p>
    <w:p>
      <w:pPr>
        <w:jc w:val="both"/>
        <w:ind w:left="760" w:firstLine="2"/>
        <w:spacing w:after="0" w:line="280" w:lineRule="auto"/>
        <w:tabs>
          <w:tab w:leader="none" w:pos="1168" w:val="left"/>
        </w:tabs>
        <w:numPr>
          <w:ilvl w:val="1"/>
          <w:numId w:val="11"/>
        </w:numPr>
        <w:rPr>
          <w:rFonts w:ascii="Arial" w:cs="Arial" w:eastAsia="Arial" w:hAnsi="Arial"/>
          <w:sz w:val="19"/>
          <w:szCs w:val="19"/>
          <w:color w:val="1C1C1C"/>
        </w:rPr>
      </w:pPr>
      <w:r>
        <w:rPr>
          <w:rFonts w:ascii="Arial" w:cs="Arial" w:eastAsia="Arial" w:hAnsi="Arial"/>
          <w:sz w:val="19"/>
          <w:szCs w:val="19"/>
          <w:b w:val="1"/>
          <w:bCs w:val="1"/>
          <w:color w:val="1C1C1C"/>
        </w:rPr>
        <w:t>Vacations</w:t>
      </w:r>
      <w:r>
        <w:rPr>
          <w:rFonts w:ascii="Arial" w:cs="Arial" w:eastAsia="Arial" w:hAnsi="Arial"/>
          <w:sz w:val="19"/>
          <w:szCs w:val="19"/>
          <w:b w:val="1"/>
          <w:bCs w:val="1"/>
          <w:color w:val="5D5D5D"/>
        </w:rPr>
        <w:t>.</w:t>
      </w:r>
      <w:r>
        <w:rPr>
          <w:rFonts w:ascii="Arial" w:cs="Arial" w:eastAsia="Arial" w:hAnsi="Arial"/>
          <w:sz w:val="19"/>
          <w:szCs w:val="19"/>
          <w:b w:val="1"/>
          <w:bCs w:val="1"/>
          <w:color w:val="1C1C1C"/>
        </w:rPr>
        <w:t xml:space="preserve"> </w:t>
      </w:r>
      <w:r>
        <w:rPr>
          <w:rFonts w:ascii="Arial" w:cs="Arial" w:eastAsia="Arial" w:hAnsi="Arial"/>
          <w:sz w:val="19"/>
          <w:szCs w:val="19"/>
          <w:color w:val="1C1C1C"/>
        </w:rPr>
        <w:t>Executive shall</w:t>
      </w:r>
      <w:r>
        <w:rPr>
          <w:rFonts w:ascii="Arial" w:cs="Arial" w:eastAsia="Arial" w:hAnsi="Arial"/>
          <w:sz w:val="19"/>
          <w:szCs w:val="19"/>
          <w:b w:val="1"/>
          <w:bCs w:val="1"/>
          <w:color w:val="1C1C1C"/>
        </w:rPr>
        <w:t xml:space="preserve"> </w:t>
      </w:r>
      <w:r>
        <w:rPr>
          <w:rFonts w:ascii="Arial" w:cs="Arial" w:eastAsia="Arial" w:hAnsi="Arial"/>
          <w:sz w:val="19"/>
          <w:szCs w:val="19"/>
          <w:color w:val="0C0C0C"/>
        </w:rPr>
        <w:t>be</w:t>
      </w:r>
      <w:r>
        <w:rPr>
          <w:rFonts w:ascii="Arial" w:cs="Arial" w:eastAsia="Arial" w:hAnsi="Arial"/>
          <w:sz w:val="19"/>
          <w:szCs w:val="19"/>
          <w:b w:val="1"/>
          <w:bCs w:val="1"/>
          <w:color w:val="1C1C1C"/>
        </w:rPr>
        <w:t xml:space="preserve"> </w:t>
      </w:r>
      <w:r>
        <w:rPr>
          <w:rFonts w:ascii="Arial" w:cs="Arial" w:eastAsia="Arial" w:hAnsi="Arial"/>
          <w:sz w:val="19"/>
          <w:szCs w:val="19"/>
          <w:color w:val="1C1C1C"/>
        </w:rPr>
        <w:t>entitled to four (4) weeks of vacation a year</w:t>
      </w:r>
      <w:r>
        <w:rPr>
          <w:rFonts w:ascii="Arial" w:cs="Arial" w:eastAsia="Arial" w:hAnsi="Arial"/>
          <w:sz w:val="19"/>
          <w:szCs w:val="19"/>
          <w:color w:val="383838"/>
        </w:rPr>
        <w:t>,</w:t>
      </w:r>
      <w:r>
        <w:rPr>
          <w:rFonts w:ascii="Arial" w:cs="Arial" w:eastAsia="Arial" w:hAnsi="Arial"/>
          <w:sz w:val="19"/>
          <w:szCs w:val="19"/>
          <w:b w:val="1"/>
          <w:bCs w:val="1"/>
          <w:color w:val="1C1C1C"/>
        </w:rPr>
        <w:t xml:space="preserve"> </w:t>
      </w:r>
      <w:r>
        <w:rPr>
          <w:rFonts w:ascii="Arial" w:cs="Arial" w:eastAsia="Arial" w:hAnsi="Arial"/>
          <w:sz w:val="19"/>
          <w:szCs w:val="19"/>
          <w:color w:val="1C1C1C"/>
        </w:rPr>
        <w:t>to be taken at such times</w:t>
      </w:r>
      <w:r>
        <w:rPr>
          <w:rFonts w:ascii="Arial" w:cs="Arial" w:eastAsia="Arial" w:hAnsi="Arial"/>
          <w:sz w:val="19"/>
          <w:szCs w:val="19"/>
          <w:b w:val="1"/>
          <w:bCs w:val="1"/>
          <w:color w:val="1C1C1C"/>
        </w:rPr>
        <w:t xml:space="preserve"> </w:t>
      </w:r>
      <w:r>
        <w:rPr>
          <w:rFonts w:ascii="Arial" w:cs="Arial" w:eastAsia="Arial" w:hAnsi="Arial"/>
          <w:sz w:val="19"/>
          <w:szCs w:val="19"/>
          <w:color w:val="1C1C1C"/>
        </w:rPr>
        <w:t>and intervals as shall be determined by Executive</w:t>
      </w:r>
      <w:r>
        <w:rPr>
          <w:rFonts w:ascii="Arial" w:cs="Arial" w:eastAsia="Arial" w:hAnsi="Arial"/>
          <w:sz w:val="19"/>
          <w:szCs w:val="19"/>
          <w:color w:val="383838"/>
        </w:rPr>
        <w:t>,</w:t>
      </w:r>
      <w:r>
        <w:rPr>
          <w:rFonts w:ascii="Arial" w:cs="Arial" w:eastAsia="Arial" w:hAnsi="Arial"/>
          <w:sz w:val="19"/>
          <w:szCs w:val="19"/>
          <w:color w:val="1C1C1C"/>
        </w:rPr>
        <w:t xml:space="preserve"> subject to the reasonable business needs of the Company and with the approval of the Company</w:t>
      </w:r>
      <w:r>
        <w:rPr>
          <w:rFonts w:ascii="Arial" w:cs="Arial" w:eastAsia="Arial" w:hAnsi="Arial"/>
          <w:sz w:val="19"/>
          <w:szCs w:val="19"/>
          <w:color w:val="5D5D5D"/>
        </w:rPr>
        <w:t>’</w:t>
      </w:r>
      <w:r>
        <w:rPr>
          <w:rFonts w:ascii="Arial" w:cs="Arial" w:eastAsia="Arial" w:hAnsi="Arial"/>
          <w:sz w:val="19"/>
          <w:szCs w:val="19"/>
          <w:color w:val="1C1C1C"/>
        </w:rPr>
        <w:t xml:space="preserve">s CEO. Executive shall also be afforded reasonable professional development time to attend Continuing Professional Education seminars in order to maintain appropriate knowledge of </w:t>
      </w:r>
      <w:r>
        <w:rPr>
          <w:rFonts w:ascii="Arial" w:cs="Arial" w:eastAsia="Arial" w:hAnsi="Arial"/>
          <w:sz w:val="19"/>
          <w:szCs w:val="19"/>
          <w:color w:val="0C0C0C"/>
        </w:rPr>
        <w:t>the</w:t>
      </w:r>
      <w:r>
        <w:rPr>
          <w:rFonts w:ascii="Arial" w:cs="Arial" w:eastAsia="Arial" w:hAnsi="Arial"/>
          <w:sz w:val="19"/>
          <w:szCs w:val="19"/>
          <w:color w:val="1C1C1C"/>
        </w:rPr>
        <w:t xml:space="preserve"> evolving financial and accounting reporting standards</w:t>
      </w:r>
      <w:r>
        <w:rPr>
          <w:rFonts w:ascii="Arial" w:cs="Arial" w:eastAsia="Arial" w:hAnsi="Arial"/>
          <w:sz w:val="19"/>
          <w:szCs w:val="19"/>
          <w:color w:val="383838"/>
        </w:rPr>
        <w:t>.</w:t>
      </w:r>
      <w:r>
        <w:rPr>
          <w:rFonts w:ascii="Arial" w:cs="Arial" w:eastAsia="Arial" w:hAnsi="Arial"/>
          <w:sz w:val="19"/>
          <w:szCs w:val="19"/>
          <w:color w:val="1C1C1C"/>
        </w:rPr>
        <w:t xml:space="preserve"> Vacation shall otherwise be governed by the policies of the Company</w:t>
      </w:r>
      <w:r>
        <w:rPr>
          <w:rFonts w:ascii="Arial" w:cs="Arial" w:eastAsia="Arial" w:hAnsi="Arial"/>
          <w:sz w:val="19"/>
          <w:szCs w:val="19"/>
          <w:color w:val="5D5D5D"/>
        </w:rPr>
        <w:t>,</w:t>
      </w:r>
      <w:r>
        <w:rPr>
          <w:rFonts w:ascii="Arial" w:cs="Arial" w:eastAsia="Arial" w:hAnsi="Arial"/>
          <w:sz w:val="19"/>
          <w:szCs w:val="19"/>
          <w:color w:val="1C1C1C"/>
        </w:rPr>
        <w:t xml:space="preserve"> as in effect from time to time.</w:t>
      </w:r>
    </w:p>
    <w:p>
      <w:pPr>
        <w:spacing w:after="0" w:line="171" w:lineRule="exact"/>
        <w:rPr>
          <w:rFonts w:ascii="Arial" w:cs="Arial" w:eastAsia="Arial" w:hAnsi="Arial"/>
          <w:sz w:val="19"/>
          <w:szCs w:val="19"/>
          <w:color w:val="1C1C1C"/>
        </w:rPr>
      </w:pPr>
    </w:p>
    <w:p>
      <w:pPr>
        <w:jc w:val="both"/>
        <w:ind w:left="760" w:firstLine="7"/>
        <w:spacing w:after="0" w:line="234" w:lineRule="auto"/>
        <w:tabs>
          <w:tab w:leader="none" w:pos="1150" w:val="left"/>
        </w:tabs>
        <w:numPr>
          <w:ilvl w:val="1"/>
          <w:numId w:val="11"/>
        </w:numPr>
        <w:rPr>
          <w:rFonts w:ascii="Arial" w:cs="Arial" w:eastAsia="Arial" w:hAnsi="Arial"/>
          <w:sz w:val="22"/>
          <w:szCs w:val="22"/>
          <w:color w:val="1C1C1C"/>
        </w:rPr>
      </w:pPr>
      <w:r>
        <w:rPr>
          <w:rFonts w:ascii="Arial" w:cs="Arial" w:eastAsia="Arial" w:hAnsi="Arial"/>
          <w:sz w:val="22"/>
          <w:szCs w:val="22"/>
          <w:b w:val="1"/>
          <w:bCs w:val="1"/>
          <w:color w:val="1C1C1C"/>
        </w:rPr>
        <w:t xml:space="preserve">Other Benefits. </w:t>
      </w:r>
      <w:r>
        <w:rPr>
          <w:rFonts w:ascii="Arial" w:cs="Arial" w:eastAsia="Arial" w:hAnsi="Arial"/>
          <w:sz w:val="22"/>
          <w:szCs w:val="22"/>
          <w:color w:val="1C1C1C"/>
        </w:rPr>
        <w:t>Executive shall</w:t>
      </w:r>
      <w:r>
        <w:rPr>
          <w:rFonts w:ascii="Arial" w:cs="Arial" w:eastAsia="Arial" w:hAnsi="Arial"/>
          <w:sz w:val="22"/>
          <w:szCs w:val="22"/>
          <w:b w:val="1"/>
          <w:bCs w:val="1"/>
          <w:color w:val="1C1C1C"/>
        </w:rPr>
        <w:t xml:space="preserve"> </w:t>
      </w:r>
      <w:r>
        <w:rPr>
          <w:rFonts w:ascii="Arial" w:cs="Arial" w:eastAsia="Arial" w:hAnsi="Arial"/>
          <w:sz w:val="22"/>
          <w:szCs w:val="22"/>
          <w:color w:val="0C0C0C"/>
        </w:rPr>
        <w:t>be</w:t>
      </w:r>
      <w:r>
        <w:rPr>
          <w:rFonts w:ascii="Arial" w:cs="Arial" w:eastAsia="Arial" w:hAnsi="Arial"/>
          <w:sz w:val="22"/>
          <w:szCs w:val="22"/>
          <w:b w:val="1"/>
          <w:bCs w:val="1"/>
          <w:color w:val="1C1C1C"/>
        </w:rPr>
        <w:t xml:space="preserve"> </w:t>
      </w:r>
      <w:r>
        <w:rPr>
          <w:rFonts w:ascii="Arial" w:cs="Arial" w:eastAsia="Arial" w:hAnsi="Arial"/>
          <w:sz w:val="22"/>
          <w:szCs w:val="22"/>
          <w:color w:val="1C1C1C"/>
        </w:rPr>
        <w:t>either provided with an employer-sponsored health insurance</w:t>
      </w:r>
      <w:r>
        <w:rPr>
          <w:rFonts w:ascii="Arial" w:cs="Arial" w:eastAsia="Arial" w:hAnsi="Arial"/>
          <w:sz w:val="22"/>
          <w:szCs w:val="22"/>
          <w:b w:val="1"/>
          <w:bCs w:val="1"/>
          <w:color w:val="1C1C1C"/>
        </w:rPr>
        <w:t xml:space="preserve"> </w:t>
      </w:r>
      <w:r>
        <w:rPr>
          <w:rFonts w:ascii="Arial" w:cs="Arial" w:eastAsia="Arial" w:hAnsi="Arial"/>
          <w:sz w:val="22"/>
          <w:szCs w:val="22"/>
          <w:color w:val="1C1C1C"/>
        </w:rPr>
        <w:t xml:space="preserve">plan </w:t>
      </w:r>
      <w:r>
        <w:rPr>
          <w:rFonts w:ascii="Arial" w:cs="Arial" w:eastAsia="Arial" w:hAnsi="Arial"/>
          <w:sz w:val="22"/>
          <w:szCs w:val="22"/>
          <w:color w:val="0C0C0C"/>
        </w:rPr>
        <w:t>that</w:t>
      </w:r>
      <w:r>
        <w:rPr>
          <w:rFonts w:ascii="Arial" w:cs="Arial" w:eastAsia="Arial" w:hAnsi="Arial"/>
          <w:sz w:val="22"/>
          <w:szCs w:val="22"/>
          <w:color w:val="1C1C1C"/>
        </w:rPr>
        <w:t xml:space="preserve"> meets the requirements of the Affordable Care Act (premium payment to be covered by the Company at 80%) OR afforded a monthly supplemental payment equivalent to Executive’s health insurance premium under any current COBRA plan in which Executive is enrolled</w:t>
      </w:r>
      <w:r>
        <w:rPr>
          <w:rFonts w:ascii="Arial" w:cs="Arial" w:eastAsia="Arial" w:hAnsi="Arial"/>
          <w:sz w:val="22"/>
          <w:szCs w:val="22"/>
          <w:color w:val="383838"/>
        </w:rPr>
        <w:t>,</w:t>
      </w:r>
      <w:r>
        <w:rPr>
          <w:rFonts w:ascii="Arial" w:cs="Arial" w:eastAsia="Arial" w:hAnsi="Arial"/>
          <w:sz w:val="22"/>
          <w:szCs w:val="22"/>
          <w:color w:val="1C1C1C"/>
        </w:rPr>
        <w:t xml:space="preserve"> up to a maximum of two thousand six hundred dollars ($2</w:t>
      </w:r>
      <w:r>
        <w:rPr>
          <w:rFonts w:ascii="Arial" w:cs="Arial" w:eastAsia="Arial" w:hAnsi="Arial"/>
          <w:sz w:val="22"/>
          <w:szCs w:val="22"/>
          <w:color w:val="383838"/>
        </w:rPr>
        <w:t>,</w:t>
      </w:r>
      <w:r>
        <w:rPr>
          <w:rFonts w:ascii="Arial" w:cs="Arial" w:eastAsia="Arial" w:hAnsi="Arial"/>
          <w:sz w:val="22"/>
          <w:szCs w:val="22"/>
          <w:color w:val="1C1C1C"/>
        </w:rPr>
        <w:t>600</w:t>
      </w:r>
      <w:r>
        <w:rPr>
          <w:rFonts w:ascii="Arial" w:cs="Arial" w:eastAsia="Arial" w:hAnsi="Arial"/>
          <w:sz w:val="22"/>
          <w:szCs w:val="22"/>
          <w:color w:val="383838"/>
        </w:rPr>
        <w:t>.</w:t>
      </w:r>
      <w:r>
        <w:rPr>
          <w:rFonts w:ascii="Arial" w:cs="Arial" w:eastAsia="Arial" w:hAnsi="Arial"/>
          <w:sz w:val="22"/>
          <w:szCs w:val="22"/>
          <w:color w:val="1C1C1C"/>
        </w:rPr>
        <w:t>00) per month. Executive shall be entitled to participate in employee benefit plans from time to time in effect for US-based employees of the Company generall</w:t>
      </w:r>
      <w:r>
        <w:rPr>
          <w:rFonts w:ascii="Arial" w:cs="Arial" w:eastAsia="Arial" w:hAnsi="Arial"/>
          <w:sz w:val="22"/>
          <w:szCs w:val="22"/>
          <w:color w:val="383838"/>
        </w:rPr>
        <w:t>y</w:t>
      </w:r>
      <w:r>
        <w:rPr>
          <w:rFonts w:ascii="Arial" w:cs="Arial" w:eastAsia="Arial" w:hAnsi="Arial"/>
          <w:sz w:val="22"/>
          <w:szCs w:val="22"/>
          <w:color w:val="1C1C1C"/>
        </w:rPr>
        <w:t>. Such participation shall be subject to the terms of the applicable plan documents and generally applicable Company policies.</w:t>
      </w:r>
    </w:p>
    <w:p>
      <w:pPr>
        <w:spacing w:after="0" w:line="213" w:lineRule="exact"/>
        <w:rPr>
          <w:rFonts w:ascii="Arial" w:cs="Arial" w:eastAsia="Arial" w:hAnsi="Arial"/>
          <w:sz w:val="22"/>
          <w:szCs w:val="22"/>
          <w:color w:val="1C1C1C"/>
        </w:rPr>
      </w:pPr>
    </w:p>
    <w:p>
      <w:pPr>
        <w:jc w:val="both"/>
        <w:ind w:left="760" w:hanging="1"/>
        <w:spacing w:after="0" w:line="280" w:lineRule="auto"/>
        <w:tabs>
          <w:tab w:leader="none" w:pos="1119" w:val="left"/>
        </w:tabs>
        <w:numPr>
          <w:ilvl w:val="1"/>
          <w:numId w:val="11"/>
        </w:numPr>
        <w:rPr>
          <w:rFonts w:ascii="Arial" w:cs="Arial" w:eastAsia="Arial" w:hAnsi="Arial"/>
          <w:sz w:val="19"/>
          <w:szCs w:val="19"/>
          <w:color w:val="1C1C1C"/>
        </w:rPr>
      </w:pPr>
      <w:r>
        <w:rPr>
          <w:rFonts w:ascii="Arial" w:cs="Arial" w:eastAsia="Arial" w:hAnsi="Arial"/>
          <w:sz w:val="19"/>
          <w:szCs w:val="19"/>
          <w:b w:val="1"/>
          <w:bCs w:val="1"/>
          <w:color w:val="1C1C1C"/>
        </w:rPr>
        <w:t xml:space="preserve">Business Expenses. </w:t>
      </w:r>
      <w:r>
        <w:rPr>
          <w:rFonts w:ascii="Arial" w:cs="Arial" w:eastAsia="Arial" w:hAnsi="Arial"/>
          <w:sz w:val="19"/>
          <w:szCs w:val="19"/>
          <w:color w:val="1C1C1C"/>
        </w:rPr>
        <w:t>The Company shall pay or reimburse Executive for all reasonable customary</w:t>
      </w:r>
      <w:r>
        <w:rPr>
          <w:rFonts w:ascii="Arial" w:cs="Arial" w:eastAsia="Arial" w:hAnsi="Arial"/>
          <w:sz w:val="19"/>
          <w:szCs w:val="19"/>
          <w:b w:val="1"/>
          <w:bCs w:val="1"/>
          <w:color w:val="1C1C1C"/>
        </w:rPr>
        <w:t xml:space="preserve"> </w:t>
      </w:r>
      <w:r>
        <w:rPr>
          <w:rFonts w:ascii="Arial" w:cs="Arial" w:eastAsia="Arial" w:hAnsi="Arial"/>
          <w:sz w:val="19"/>
          <w:szCs w:val="19"/>
          <w:color w:val="1C1C1C"/>
        </w:rPr>
        <w:t>business expenses incurred or paid by Executive in the performance of his duties and responsibilities hereunder</w:t>
      </w:r>
      <w:r>
        <w:rPr>
          <w:rFonts w:ascii="Arial" w:cs="Arial" w:eastAsia="Arial" w:hAnsi="Arial"/>
          <w:sz w:val="19"/>
          <w:szCs w:val="19"/>
          <w:color w:val="383838"/>
        </w:rPr>
        <w:t>,</w:t>
      </w:r>
      <w:r>
        <w:rPr>
          <w:rFonts w:ascii="Arial" w:cs="Arial" w:eastAsia="Arial" w:hAnsi="Arial"/>
          <w:sz w:val="19"/>
          <w:szCs w:val="19"/>
          <w:color w:val="1C1C1C"/>
        </w:rPr>
        <w:t xml:space="preserve"> subject to any maximum annual limit and other restrictions on such e</w:t>
      </w:r>
      <w:r>
        <w:rPr>
          <w:rFonts w:ascii="Arial" w:cs="Arial" w:eastAsia="Arial" w:hAnsi="Arial"/>
          <w:sz w:val="19"/>
          <w:szCs w:val="19"/>
          <w:color w:val="383838"/>
        </w:rPr>
        <w:t>x</w:t>
      </w:r>
      <w:r>
        <w:rPr>
          <w:rFonts w:ascii="Arial" w:cs="Arial" w:eastAsia="Arial" w:hAnsi="Arial"/>
          <w:sz w:val="19"/>
          <w:szCs w:val="19"/>
          <w:color w:val="1C1C1C"/>
        </w:rPr>
        <w:t>penses set by the Board and to such reasonable substantiation and documentation as may be specified b</w:t>
      </w:r>
      <w:r>
        <w:rPr>
          <w:rFonts w:ascii="Arial" w:cs="Arial" w:eastAsia="Arial" w:hAnsi="Arial"/>
          <w:sz w:val="19"/>
          <w:szCs w:val="19"/>
          <w:color w:val="383838"/>
        </w:rPr>
        <w:t>y</w:t>
      </w:r>
      <w:r>
        <w:rPr>
          <w:rFonts w:ascii="Arial" w:cs="Arial" w:eastAsia="Arial" w:hAnsi="Arial"/>
          <w:sz w:val="19"/>
          <w:szCs w:val="19"/>
          <w:color w:val="1C1C1C"/>
        </w:rPr>
        <w:t xml:space="preserve"> the Company from time to time, including the Company’s travel polic</w:t>
      </w:r>
      <w:r>
        <w:rPr>
          <w:rFonts w:ascii="Arial" w:cs="Arial" w:eastAsia="Arial" w:hAnsi="Arial"/>
          <w:sz w:val="19"/>
          <w:szCs w:val="19"/>
          <w:color w:val="383838"/>
        </w:rPr>
        <w:t>y.</w:t>
      </w:r>
      <w:r>
        <w:rPr>
          <w:rFonts w:ascii="Arial" w:cs="Arial" w:eastAsia="Arial" w:hAnsi="Arial"/>
          <w:sz w:val="19"/>
          <w:szCs w:val="19"/>
          <w:color w:val="1C1C1C"/>
        </w:rPr>
        <w:t xml:space="preserve"> Such expenses shall include fees for attending Continuing Professional Education seminars in order to maintain Executive’s knowledge</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2 </w:t>
      </w:r>
      <w:r>
        <w:rPr>
          <w:rFonts w:ascii="Arial" w:cs="Arial" w:eastAsia="Arial" w:hAnsi="Arial"/>
          <w:sz w:val="21"/>
          <w:szCs w:val="21"/>
          <w:color w:val="161616"/>
        </w:rPr>
        <w:t>|</w:t>
      </w:r>
      <w:r>
        <w:rPr>
          <w:rFonts w:ascii="Arial" w:cs="Arial" w:eastAsia="Arial" w:hAnsi="Arial"/>
          <w:sz w:val="21"/>
          <w:szCs w:val="21"/>
          <w:b w:val="1"/>
          <w:bCs w:val="1"/>
          <w:color w:val="auto"/>
        </w:rPr>
        <w:t xml:space="preserve"> </w:t>
      </w:r>
      <w:r>
        <w:rPr>
          <w:rFonts w:ascii="Arial" w:cs="Arial" w:eastAsia="Arial" w:hAnsi="Arial"/>
          <w:sz w:val="21"/>
          <w:szCs w:val="21"/>
          <w:color w:val="646464"/>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2" w:name="page43"/>
    <w:bookmarkEnd w:id="42"/>
    <w:p>
      <w:pPr>
        <w:ind w:left="780"/>
        <w:spacing w:after="0"/>
        <w:rPr>
          <w:sz w:val="20"/>
          <w:szCs w:val="20"/>
          <w:color w:val="auto"/>
        </w:rPr>
      </w:pPr>
      <w:r>
        <w:rPr>
          <w:rFonts w:ascii="Arial" w:cs="Arial" w:eastAsia="Arial" w:hAnsi="Arial"/>
          <w:sz w:val="22"/>
          <w:szCs w:val="22"/>
          <w:color w:val="1A1A1A"/>
        </w:rPr>
        <w:t>and other conferences in consultation with the CEO or Board Members</w:t>
      </w:r>
      <w:r>
        <w:rPr>
          <w:rFonts w:ascii="Arial" w:cs="Arial" w:eastAsia="Arial" w:hAnsi="Arial"/>
          <w:sz w:val="22"/>
          <w:szCs w:val="22"/>
          <w:color w:val="3B3B3B"/>
        </w:rPr>
        <w:t>.</w:t>
      </w:r>
      <w:r>
        <w:rPr>
          <w:rFonts w:ascii="Arial" w:cs="Arial" w:eastAsia="Arial" w:hAnsi="Arial"/>
          <w:sz w:val="22"/>
          <w:szCs w:val="22"/>
          <w:color w:val="1A1A1A"/>
        </w:rPr>
        <w:t xml:space="preserve"> (</w:t>
      </w:r>
      <w:r>
        <w:rPr>
          <w:rFonts w:ascii="Arial" w:cs="Arial" w:eastAsia="Arial" w:hAnsi="Arial"/>
          <w:sz w:val="22"/>
          <w:szCs w:val="22"/>
          <w:color w:val="3B3B3B"/>
        </w:rPr>
        <w:t>.</w:t>
      </w:r>
    </w:p>
    <w:p>
      <w:pPr>
        <w:spacing w:after="0" w:line="308" w:lineRule="exact"/>
        <w:rPr>
          <w:sz w:val="20"/>
          <w:szCs w:val="20"/>
          <w:color w:val="auto"/>
        </w:rPr>
      </w:pPr>
    </w:p>
    <w:p>
      <w:pPr>
        <w:jc w:val="both"/>
        <w:ind w:left="780" w:right="20" w:firstLine="8"/>
        <w:spacing w:after="0" w:line="243" w:lineRule="auto"/>
        <w:tabs>
          <w:tab w:leader="none" w:pos="1426" w:val="left"/>
        </w:tabs>
        <w:numPr>
          <w:ilvl w:val="0"/>
          <w:numId w:val="12"/>
        </w:numPr>
        <w:rPr>
          <w:rFonts w:ascii="Arial" w:cs="Arial" w:eastAsia="Arial" w:hAnsi="Arial"/>
          <w:sz w:val="22"/>
          <w:szCs w:val="22"/>
          <w:color w:val="1A1A1A"/>
        </w:rPr>
      </w:pPr>
      <w:r>
        <w:rPr>
          <w:rFonts w:ascii="Arial" w:cs="Arial" w:eastAsia="Arial" w:hAnsi="Arial"/>
          <w:sz w:val="22"/>
          <w:szCs w:val="22"/>
          <w:b w:val="1"/>
          <w:bCs w:val="1"/>
          <w:u w:val="single" w:color="auto"/>
          <w:color w:val="1A1A1A"/>
        </w:rPr>
        <w:t>Termination of Employment.</w:t>
      </w:r>
      <w:r>
        <w:rPr>
          <w:rFonts w:ascii="Arial" w:cs="Arial" w:eastAsia="Arial" w:hAnsi="Arial"/>
          <w:sz w:val="22"/>
          <w:szCs w:val="22"/>
          <w:b w:val="1"/>
          <w:bCs w:val="1"/>
          <w:color w:val="1A1A1A"/>
        </w:rPr>
        <w:t xml:space="preserve"> </w:t>
      </w:r>
      <w:r>
        <w:rPr>
          <w:rFonts w:ascii="Arial" w:cs="Arial" w:eastAsia="Arial" w:hAnsi="Arial"/>
          <w:sz w:val="22"/>
          <w:szCs w:val="22"/>
          <w:color w:val="1A1A1A"/>
        </w:rPr>
        <w:t>Notwithstanding the provisions of Section 2 hereof, Executive’s</w:t>
      </w:r>
      <w:r>
        <w:rPr>
          <w:rFonts w:ascii="Arial" w:cs="Arial" w:eastAsia="Arial" w:hAnsi="Arial"/>
          <w:sz w:val="22"/>
          <w:szCs w:val="22"/>
          <w:b w:val="1"/>
          <w:bCs w:val="1"/>
          <w:color w:val="1A1A1A"/>
        </w:rPr>
        <w:t xml:space="preserve"> </w:t>
      </w:r>
      <w:r>
        <w:rPr>
          <w:rFonts w:ascii="Arial" w:cs="Arial" w:eastAsia="Arial" w:hAnsi="Arial"/>
          <w:sz w:val="22"/>
          <w:szCs w:val="22"/>
          <w:color w:val="1A1A1A"/>
        </w:rPr>
        <w:t>employment hereunder shall terminate prior to the expiration of the term hereof under the following circumstances</w:t>
      </w:r>
      <w:r>
        <w:rPr>
          <w:rFonts w:ascii="Arial" w:cs="Arial" w:eastAsia="Arial" w:hAnsi="Arial"/>
          <w:sz w:val="22"/>
          <w:szCs w:val="22"/>
          <w:color w:val="3B3B3B"/>
        </w:rPr>
        <w:t>:</w:t>
      </w:r>
    </w:p>
    <w:p>
      <w:pPr>
        <w:spacing w:after="0" w:line="204" w:lineRule="exact"/>
        <w:rPr>
          <w:sz w:val="20"/>
          <w:szCs w:val="20"/>
          <w:color w:val="auto"/>
        </w:rPr>
      </w:pPr>
    </w:p>
    <w:p>
      <w:pPr>
        <w:jc w:val="both"/>
        <w:ind w:left="780" w:firstLine="5"/>
        <w:spacing w:after="0" w:line="274" w:lineRule="auto"/>
        <w:tabs>
          <w:tab w:leader="none" w:pos="1177" w:val="left"/>
        </w:tabs>
        <w:numPr>
          <w:ilvl w:val="0"/>
          <w:numId w:val="13"/>
        </w:numPr>
        <w:rPr>
          <w:rFonts w:ascii="Arial" w:cs="Arial" w:eastAsia="Arial" w:hAnsi="Arial"/>
          <w:sz w:val="19"/>
          <w:szCs w:val="19"/>
          <w:color w:val="1A1A1A"/>
        </w:rPr>
      </w:pPr>
      <w:r>
        <w:rPr>
          <w:rFonts w:ascii="Arial" w:cs="Arial" w:eastAsia="Arial" w:hAnsi="Arial"/>
          <w:sz w:val="19"/>
          <w:szCs w:val="19"/>
          <w:b w:val="1"/>
          <w:bCs w:val="1"/>
          <w:color w:val="1A1A1A"/>
        </w:rPr>
        <w:t xml:space="preserve">Death. </w:t>
      </w:r>
      <w:r>
        <w:rPr>
          <w:rFonts w:ascii="Arial" w:cs="Arial" w:eastAsia="Arial" w:hAnsi="Arial"/>
          <w:sz w:val="19"/>
          <w:szCs w:val="19"/>
          <w:color w:val="1A1A1A"/>
        </w:rPr>
        <w:t>In the event of Executive’s death during the term hereof</w:t>
      </w:r>
      <w:r>
        <w:rPr>
          <w:rFonts w:ascii="Arial" w:cs="Arial" w:eastAsia="Arial" w:hAnsi="Arial"/>
          <w:sz w:val="19"/>
          <w:szCs w:val="19"/>
          <w:color w:val="666666"/>
        </w:rPr>
        <w:t>,</w:t>
      </w:r>
      <w:r>
        <w:rPr>
          <w:rFonts w:ascii="Arial" w:cs="Arial" w:eastAsia="Arial" w:hAnsi="Arial"/>
          <w:sz w:val="19"/>
          <w:szCs w:val="19"/>
          <w:b w:val="1"/>
          <w:bCs w:val="1"/>
          <w:color w:val="1A1A1A"/>
        </w:rPr>
        <w:t xml:space="preserve"> </w:t>
      </w:r>
      <w:r>
        <w:rPr>
          <w:rFonts w:ascii="Arial" w:cs="Arial" w:eastAsia="Arial" w:hAnsi="Arial"/>
          <w:sz w:val="19"/>
          <w:szCs w:val="19"/>
          <w:color w:val="1A1A1A"/>
        </w:rPr>
        <w:t>Executive’s employment hereunder</w:t>
      </w:r>
      <w:r>
        <w:rPr>
          <w:rFonts w:ascii="Arial" w:cs="Arial" w:eastAsia="Arial" w:hAnsi="Arial"/>
          <w:sz w:val="19"/>
          <w:szCs w:val="19"/>
          <w:b w:val="1"/>
          <w:bCs w:val="1"/>
          <w:color w:val="1A1A1A"/>
        </w:rPr>
        <w:t xml:space="preserve"> </w:t>
      </w:r>
      <w:r>
        <w:rPr>
          <w:rFonts w:ascii="Arial" w:cs="Arial" w:eastAsia="Arial" w:hAnsi="Arial"/>
          <w:sz w:val="19"/>
          <w:szCs w:val="19"/>
          <w:color w:val="1A1A1A"/>
        </w:rPr>
        <w:t>shall immediately and automatically terminate. In such event, the Company shall pay to Executive’s designated beneficiary or</w:t>
      </w:r>
      <w:r>
        <w:rPr>
          <w:rFonts w:ascii="Arial" w:cs="Arial" w:eastAsia="Arial" w:hAnsi="Arial"/>
          <w:sz w:val="19"/>
          <w:szCs w:val="19"/>
          <w:color w:val="4F4F4F"/>
        </w:rPr>
        <w:t>,</w:t>
      </w:r>
      <w:r>
        <w:rPr>
          <w:rFonts w:ascii="Arial" w:cs="Arial" w:eastAsia="Arial" w:hAnsi="Arial"/>
          <w:sz w:val="19"/>
          <w:szCs w:val="19"/>
          <w:color w:val="1A1A1A"/>
        </w:rPr>
        <w:t xml:space="preserve"> if no beneficiary has been designated by Executive, to his estate, (i) the Base Salary earned but not paid through the date of termination, (ii) pay for any vacation time earned but not used through the date of termination, (iii) any Annual Bonus awarded for the year preceding that in which termination occurs but unpaid on the date of termination and (iv) any business expenses incurred by Executive but not reimbursed on the date of termination, provided that such expenses and required substantiation and documentation are submitted within ninety (90) days of termination and that such expenses are reimbursable under Company policy (all of the foregoing</w:t>
      </w:r>
      <w:r>
        <w:rPr>
          <w:rFonts w:ascii="Arial" w:cs="Arial" w:eastAsia="Arial" w:hAnsi="Arial"/>
          <w:sz w:val="19"/>
          <w:szCs w:val="19"/>
          <w:color w:val="4F4F4F"/>
        </w:rPr>
        <w:t>,</w:t>
      </w:r>
      <w:r>
        <w:rPr>
          <w:rFonts w:ascii="Arial" w:cs="Arial" w:eastAsia="Arial" w:hAnsi="Arial"/>
          <w:sz w:val="19"/>
          <w:szCs w:val="19"/>
          <w:color w:val="1A1A1A"/>
        </w:rPr>
        <w:t xml:space="preserve"> “Final Compensation”). The Company shall have no further obligation to Executive.</w:t>
      </w:r>
    </w:p>
    <w:p>
      <w:pPr>
        <w:spacing w:after="0" w:line="192" w:lineRule="exact"/>
        <w:rPr>
          <w:rFonts w:ascii="Arial" w:cs="Arial" w:eastAsia="Arial" w:hAnsi="Arial"/>
          <w:sz w:val="19"/>
          <w:szCs w:val="19"/>
          <w:color w:val="1A1A1A"/>
        </w:rPr>
      </w:pPr>
    </w:p>
    <w:p>
      <w:pPr>
        <w:ind w:left="1160" w:hanging="382"/>
        <w:spacing w:after="0"/>
        <w:tabs>
          <w:tab w:leader="none" w:pos="1160" w:val="left"/>
        </w:tabs>
        <w:numPr>
          <w:ilvl w:val="0"/>
          <w:numId w:val="13"/>
        </w:numPr>
        <w:rPr>
          <w:rFonts w:ascii="Arial" w:cs="Arial" w:eastAsia="Arial" w:hAnsi="Arial"/>
          <w:sz w:val="22"/>
          <w:szCs w:val="22"/>
          <w:b w:val="1"/>
          <w:bCs w:val="1"/>
          <w:color w:val="1A1A1A"/>
        </w:rPr>
      </w:pPr>
      <w:r>
        <w:rPr>
          <w:rFonts w:ascii="Arial" w:cs="Arial" w:eastAsia="Arial" w:hAnsi="Arial"/>
          <w:sz w:val="22"/>
          <w:szCs w:val="22"/>
          <w:b w:val="1"/>
          <w:bCs w:val="1"/>
          <w:color w:val="1A1A1A"/>
        </w:rPr>
        <w:t>Disability.</w:t>
      </w:r>
    </w:p>
    <w:p>
      <w:pPr>
        <w:spacing w:after="0" w:line="239" w:lineRule="exact"/>
        <w:rPr>
          <w:rFonts w:ascii="Arial" w:cs="Arial" w:eastAsia="Arial" w:hAnsi="Arial"/>
          <w:sz w:val="22"/>
          <w:szCs w:val="22"/>
          <w:b w:val="1"/>
          <w:bCs w:val="1"/>
          <w:color w:val="1A1A1A"/>
        </w:rPr>
      </w:pPr>
    </w:p>
    <w:p>
      <w:pPr>
        <w:jc w:val="both"/>
        <w:ind w:left="780" w:firstLine="5"/>
        <w:spacing w:after="0" w:line="279" w:lineRule="auto"/>
        <w:tabs>
          <w:tab w:leader="none" w:pos="1517" w:val="left"/>
        </w:tabs>
        <w:numPr>
          <w:ilvl w:val="0"/>
          <w:numId w:val="14"/>
        </w:numPr>
        <w:rPr>
          <w:rFonts w:ascii="Arial" w:cs="Arial" w:eastAsia="Arial" w:hAnsi="Arial"/>
          <w:sz w:val="19"/>
          <w:szCs w:val="19"/>
          <w:color w:val="1A1A1A"/>
        </w:rPr>
      </w:pPr>
      <w:r>
        <w:rPr>
          <w:rFonts w:ascii="Arial" w:cs="Arial" w:eastAsia="Arial" w:hAnsi="Arial"/>
          <w:sz w:val="19"/>
          <w:szCs w:val="19"/>
          <w:color w:val="1A1A1A"/>
        </w:rPr>
        <w:t>The Company may terminate Executive’s employment hereunder</w:t>
      </w:r>
      <w:r>
        <w:rPr>
          <w:rFonts w:ascii="Arial" w:cs="Arial" w:eastAsia="Arial" w:hAnsi="Arial"/>
          <w:sz w:val="19"/>
          <w:szCs w:val="19"/>
          <w:color w:val="3B3B3B"/>
        </w:rPr>
        <w:t>,</w:t>
      </w:r>
      <w:r>
        <w:rPr>
          <w:rFonts w:ascii="Arial" w:cs="Arial" w:eastAsia="Arial" w:hAnsi="Arial"/>
          <w:sz w:val="19"/>
          <w:szCs w:val="19"/>
          <w:color w:val="1A1A1A"/>
        </w:rPr>
        <w:t xml:space="preserve"> upon notice to Executive</w:t>
      </w:r>
      <w:r>
        <w:rPr>
          <w:rFonts w:ascii="Arial" w:cs="Arial" w:eastAsia="Arial" w:hAnsi="Arial"/>
          <w:sz w:val="19"/>
          <w:szCs w:val="19"/>
          <w:color w:val="3B3B3B"/>
        </w:rPr>
        <w:t>,</w:t>
      </w:r>
      <w:r>
        <w:rPr>
          <w:rFonts w:ascii="Arial" w:cs="Arial" w:eastAsia="Arial" w:hAnsi="Arial"/>
          <w:sz w:val="19"/>
          <w:szCs w:val="19"/>
          <w:color w:val="1A1A1A"/>
        </w:rPr>
        <w:t xml:space="preserve"> in the event that Executive becomes disabled during his employment hereunder through any illness</w:t>
      </w:r>
      <w:r>
        <w:rPr>
          <w:rFonts w:ascii="Arial" w:cs="Arial" w:eastAsia="Arial" w:hAnsi="Arial"/>
          <w:sz w:val="19"/>
          <w:szCs w:val="19"/>
          <w:color w:val="3B3B3B"/>
        </w:rPr>
        <w:t>,</w:t>
      </w:r>
      <w:r>
        <w:rPr>
          <w:rFonts w:ascii="Arial" w:cs="Arial" w:eastAsia="Arial" w:hAnsi="Arial"/>
          <w:sz w:val="19"/>
          <w:szCs w:val="19"/>
          <w:color w:val="1A1A1A"/>
        </w:rPr>
        <w:t xml:space="preserve"> injury, accident or condition of either a physical or psychological nature and</w:t>
      </w:r>
      <w:r>
        <w:rPr>
          <w:rFonts w:ascii="Arial" w:cs="Arial" w:eastAsia="Arial" w:hAnsi="Arial"/>
          <w:sz w:val="19"/>
          <w:szCs w:val="19"/>
          <w:color w:val="3B3B3B"/>
        </w:rPr>
        <w:t>,</w:t>
      </w:r>
      <w:r>
        <w:rPr>
          <w:rFonts w:ascii="Arial" w:cs="Arial" w:eastAsia="Arial" w:hAnsi="Arial"/>
          <w:sz w:val="19"/>
          <w:szCs w:val="19"/>
          <w:color w:val="1A1A1A"/>
        </w:rPr>
        <w:t xml:space="preserve"> as a result</w:t>
      </w:r>
      <w:r>
        <w:rPr>
          <w:rFonts w:ascii="Arial" w:cs="Arial" w:eastAsia="Arial" w:hAnsi="Arial"/>
          <w:sz w:val="19"/>
          <w:szCs w:val="19"/>
          <w:color w:val="3B3B3B"/>
        </w:rPr>
        <w:t>,</w:t>
      </w:r>
      <w:r>
        <w:rPr>
          <w:rFonts w:ascii="Arial" w:cs="Arial" w:eastAsia="Arial" w:hAnsi="Arial"/>
          <w:sz w:val="19"/>
          <w:szCs w:val="19"/>
          <w:color w:val="1A1A1A"/>
        </w:rPr>
        <w:t xml:space="preserve"> is unable to perform substantially all of his duties and responsibilities hereunder for ninety (90) days during any period of three hundred and sixty-five (365) consecutive calendar days. In the event of such termination, the Company shall have no further obligation to Executive, other than for payment of Final Compensation</w:t>
      </w:r>
      <w:r>
        <w:rPr>
          <w:rFonts w:ascii="Arial" w:cs="Arial" w:eastAsia="Arial" w:hAnsi="Arial"/>
          <w:sz w:val="19"/>
          <w:szCs w:val="19"/>
          <w:color w:val="4F4F4F"/>
        </w:rPr>
        <w:t>.</w:t>
      </w:r>
    </w:p>
    <w:p>
      <w:pPr>
        <w:spacing w:after="0" w:line="177" w:lineRule="exact"/>
        <w:rPr>
          <w:rFonts w:ascii="Arial" w:cs="Arial" w:eastAsia="Arial" w:hAnsi="Arial"/>
          <w:sz w:val="19"/>
          <w:szCs w:val="19"/>
          <w:color w:val="1A1A1A"/>
        </w:rPr>
      </w:pPr>
    </w:p>
    <w:p>
      <w:pPr>
        <w:jc w:val="both"/>
        <w:ind w:left="780" w:firstLine="1"/>
        <w:spacing w:after="0" w:line="236" w:lineRule="auto"/>
        <w:tabs>
          <w:tab w:leader="none" w:pos="1518" w:val="left"/>
        </w:tabs>
        <w:numPr>
          <w:ilvl w:val="0"/>
          <w:numId w:val="15"/>
        </w:numPr>
        <w:rPr>
          <w:rFonts w:ascii="Arial" w:cs="Arial" w:eastAsia="Arial" w:hAnsi="Arial"/>
          <w:sz w:val="22"/>
          <w:szCs w:val="22"/>
          <w:color w:val="1A1A1A"/>
        </w:rPr>
      </w:pPr>
      <w:r>
        <w:rPr>
          <w:rFonts w:ascii="Arial" w:cs="Arial" w:eastAsia="Arial" w:hAnsi="Arial"/>
          <w:sz w:val="22"/>
          <w:szCs w:val="22"/>
          <w:color w:val="1A1A1A"/>
        </w:rPr>
        <w:t>The Board of Directors or the CEO may designate another employee to act in Executive’s place during any period of Executive’s disability. Notwithstanding any such designation</w:t>
      </w:r>
      <w:r>
        <w:rPr>
          <w:rFonts w:ascii="Arial" w:cs="Arial" w:eastAsia="Arial" w:hAnsi="Arial"/>
          <w:sz w:val="22"/>
          <w:szCs w:val="22"/>
          <w:color w:val="3B3B3B"/>
        </w:rPr>
        <w:t>,</w:t>
      </w:r>
      <w:r>
        <w:rPr>
          <w:rFonts w:ascii="Arial" w:cs="Arial" w:eastAsia="Arial" w:hAnsi="Arial"/>
          <w:sz w:val="22"/>
          <w:szCs w:val="22"/>
          <w:color w:val="1A1A1A"/>
        </w:rPr>
        <w:t xml:space="preserve"> Executive shall continue to receive the Base Salary in accordance with Section 4(a) and benefits in accordance with Section 4(d), to the extent permitted by the then-current terms of the applicable benefit plans until the termination of his employment.</w:t>
      </w:r>
    </w:p>
    <w:p>
      <w:pPr>
        <w:spacing w:after="0" w:line="214" w:lineRule="exact"/>
        <w:rPr>
          <w:rFonts w:ascii="Arial" w:cs="Arial" w:eastAsia="Arial" w:hAnsi="Arial"/>
          <w:sz w:val="22"/>
          <w:szCs w:val="22"/>
          <w:color w:val="1A1A1A"/>
        </w:rPr>
      </w:pPr>
    </w:p>
    <w:p>
      <w:pPr>
        <w:jc w:val="both"/>
        <w:ind w:left="780" w:firstLine="5"/>
        <w:spacing w:after="0" w:line="246" w:lineRule="auto"/>
        <w:tabs>
          <w:tab w:leader="none" w:pos="1525" w:val="left"/>
        </w:tabs>
        <w:numPr>
          <w:ilvl w:val="0"/>
          <w:numId w:val="16"/>
        </w:numPr>
        <w:rPr>
          <w:rFonts w:ascii="Arial" w:cs="Arial" w:eastAsia="Arial" w:hAnsi="Arial"/>
          <w:sz w:val="21"/>
          <w:szCs w:val="21"/>
          <w:color w:val="1A1A1A"/>
        </w:rPr>
      </w:pPr>
      <w:r>
        <w:rPr>
          <w:rFonts w:ascii="Arial" w:cs="Arial" w:eastAsia="Arial" w:hAnsi="Arial"/>
          <w:sz w:val="21"/>
          <w:szCs w:val="21"/>
          <w:color w:val="1A1A1A"/>
        </w:rPr>
        <w:t>Should the Company implement a disability income plan for all employees, while receiving disability income payments under the Company’s disability income plan Executive shall not be entitled to receive any Base Salary under Section 4(a) hereof</w:t>
      </w:r>
      <w:r>
        <w:rPr>
          <w:rFonts w:ascii="Arial" w:cs="Arial" w:eastAsia="Arial" w:hAnsi="Arial"/>
          <w:sz w:val="21"/>
          <w:szCs w:val="21"/>
          <w:color w:val="3B3B3B"/>
        </w:rPr>
        <w:t>,</w:t>
      </w:r>
      <w:r>
        <w:rPr>
          <w:rFonts w:ascii="Arial" w:cs="Arial" w:eastAsia="Arial" w:hAnsi="Arial"/>
          <w:sz w:val="21"/>
          <w:szCs w:val="21"/>
          <w:color w:val="1A1A1A"/>
        </w:rPr>
        <w:t xml:space="preserve"> but shall continue to participate in Company benefit plans in accordance with Section 4(d) and the terms of such plans, until the termination of his employment. In the event the disability income payments under the Company</w:t>
      </w:r>
      <w:r>
        <w:rPr>
          <w:rFonts w:ascii="Arial" w:cs="Arial" w:eastAsia="Arial" w:hAnsi="Arial"/>
          <w:sz w:val="21"/>
          <w:szCs w:val="21"/>
          <w:color w:val="3B3B3B"/>
        </w:rPr>
        <w:t>’</w:t>
      </w:r>
      <w:r>
        <w:rPr>
          <w:rFonts w:ascii="Arial" w:cs="Arial" w:eastAsia="Arial" w:hAnsi="Arial"/>
          <w:sz w:val="21"/>
          <w:szCs w:val="21"/>
          <w:color w:val="1A1A1A"/>
        </w:rPr>
        <w:t>s disability income plan during the term hereof are less than Executive’s Base Salary, the Company shall pay to Executive, in accordance with Company</w:t>
      </w:r>
      <w:r>
        <w:rPr>
          <w:rFonts w:ascii="Arial" w:cs="Arial" w:eastAsia="Arial" w:hAnsi="Arial"/>
          <w:sz w:val="21"/>
          <w:szCs w:val="21"/>
          <w:color w:val="3B3B3B"/>
        </w:rPr>
        <w:t>’</w:t>
      </w:r>
      <w:r>
        <w:rPr>
          <w:rFonts w:ascii="Arial" w:cs="Arial" w:eastAsia="Arial" w:hAnsi="Arial"/>
          <w:sz w:val="21"/>
          <w:szCs w:val="21"/>
          <w:color w:val="1A1A1A"/>
        </w:rPr>
        <w:t>s standard payroll practices, an amount equal to Executive’s Base Salary less the disability income payments.</w:t>
      </w:r>
    </w:p>
    <w:p>
      <w:pPr>
        <w:spacing w:after="0" w:line="220" w:lineRule="exact"/>
        <w:rPr>
          <w:rFonts w:ascii="Arial" w:cs="Arial" w:eastAsia="Arial" w:hAnsi="Arial"/>
          <w:sz w:val="21"/>
          <w:szCs w:val="21"/>
          <w:color w:val="1A1A1A"/>
        </w:rPr>
      </w:pPr>
    </w:p>
    <w:p>
      <w:pPr>
        <w:jc w:val="both"/>
        <w:ind w:left="780" w:firstLine="6"/>
        <w:spacing w:after="0" w:line="279" w:lineRule="auto"/>
        <w:tabs>
          <w:tab w:leader="none" w:pos="1519" w:val="left"/>
        </w:tabs>
        <w:numPr>
          <w:ilvl w:val="1"/>
          <w:numId w:val="16"/>
        </w:numPr>
        <w:rPr>
          <w:rFonts w:ascii="Arial" w:cs="Arial" w:eastAsia="Arial" w:hAnsi="Arial"/>
          <w:sz w:val="19"/>
          <w:szCs w:val="19"/>
          <w:color w:val="1A1A1A"/>
        </w:rPr>
      </w:pPr>
      <w:r>
        <w:rPr>
          <w:rFonts w:ascii="Arial" w:cs="Arial" w:eastAsia="Arial" w:hAnsi="Arial"/>
          <w:sz w:val="19"/>
          <w:szCs w:val="19"/>
          <w:color w:val="1A1A1A"/>
        </w:rPr>
        <w:t>If any question shall arise as to whether during any period Executive is disabled through any illness, injury</w:t>
      </w:r>
      <w:r>
        <w:rPr>
          <w:rFonts w:ascii="Arial" w:cs="Arial" w:eastAsia="Arial" w:hAnsi="Arial"/>
          <w:sz w:val="19"/>
          <w:szCs w:val="19"/>
          <w:color w:val="3B3B3B"/>
        </w:rPr>
        <w:t>,</w:t>
      </w:r>
      <w:r>
        <w:rPr>
          <w:rFonts w:ascii="Arial" w:cs="Arial" w:eastAsia="Arial" w:hAnsi="Arial"/>
          <w:sz w:val="19"/>
          <w:szCs w:val="19"/>
          <w:color w:val="1A1A1A"/>
        </w:rPr>
        <w:t xml:space="preserve"> accident or condition of either a physical or psychological nature so as to be unable to perform substantially all of his duties and responsibilities hereunder</w:t>
      </w:r>
      <w:r>
        <w:rPr>
          <w:rFonts w:ascii="Arial" w:cs="Arial" w:eastAsia="Arial" w:hAnsi="Arial"/>
          <w:sz w:val="19"/>
          <w:szCs w:val="19"/>
          <w:color w:val="4F4F4F"/>
        </w:rPr>
        <w:t>,</w:t>
      </w:r>
      <w:r>
        <w:rPr>
          <w:rFonts w:ascii="Arial" w:cs="Arial" w:eastAsia="Arial" w:hAnsi="Arial"/>
          <w:sz w:val="19"/>
          <w:szCs w:val="19"/>
          <w:color w:val="1A1A1A"/>
        </w:rPr>
        <w:t xml:space="preserve"> Executive may</w:t>
      </w:r>
      <w:r>
        <w:rPr>
          <w:rFonts w:ascii="Arial" w:cs="Arial" w:eastAsia="Arial" w:hAnsi="Arial"/>
          <w:sz w:val="19"/>
          <w:szCs w:val="19"/>
          <w:color w:val="666666"/>
        </w:rPr>
        <w:t>,</w:t>
      </w:r>
      <w:r>
        <w:rPr>
          <w:rFonts w:ascii="Arial" w:cs="Arial" w:eastAsia="Arial" w:hAnsi="Arial"/>
          <w:sz w:val="19"/>
          <w:szCs w:val="19"/>
          <w:color w:val="1A1A1A"/>
        </w:rPr>
        <w:t xml:space="preserve"> and at the request of the Company shall</w:t>
      </w:r>
      <w:r>
        <w:rPr>
          <w:rFonts w:ascii="Arial" w:cs="Arial" w:eastAsia="Arial" w:hAnsi="Arial"/>
          <w:sz w:val="19"/>
          <w:szCs w:val="19"/>
          <w:color w:val="3B3B3B"/>
        </w:rPr>
        <w:t>,</w:t>
      </w:r>
      <w:r>
        <w:rPr>
          <w:rFonts w:ascii="Arial" w:cs="Arial" w:eastAsia="Arial" w:hAnsi="Arial"/>
          <w:sz w:val="19"/>
          <w:szCs w:val="19"/>
          <w:color w:val="1A1A1A"/>
        </w:rPr>
        <w:t xml:space="preserve"> submit to a medical examination by a physician selected b</w:t>
      </w:r>
      <w:r>
        <w:rPr>
          <w:rFonts w:ascii="Arial" w:cs="Arial" w:eastAsia="Arial" w:hAnsi="Arial"/>
          <w:sz w:val="19"/>
          <w:szCs w:val="19"/>
          <w:color w:val="3B3B3B"/>
        </w:rPr>
        <w:t>y</w:t>
      </w:r>
      <w:r>
        <w:rPr>
          <w:rFonts w:ascii="Arial" w:cs="Arial" w:eastAsia="Arial" w:hAnsi="Arial"/>
          <w:sz w:val="19"/>
          <w:szCs w:val="19"/>
          <w:color w:val="1A1A1A"/>
        </w:rPr>
        <w:t xml:space="preserve"> the Company to whom Executive or his duly appointed guardian, if any, has no reasonable objection to determine whether Executive is so disabled and such determination shall for the purposes of this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3 </w:t>
      </w:r>
      <w:r>
        <w:rPr>
          <w:rFonts w:ascii="Arial" w:cs="Arial" w:eastAsia="Arial" w:hAnsi="Arial"/>
          <w:sz w:val="21"/>
          <w:szCs w:val="21"/>
          <w:color w:val="161616"/>
        </w:rPr>
        <w:t>|</w:t>
      </w:r>
      <w:r>
        <w:rPr>
          <w:rFonts w:ascii="Arial" w:cs="Arial" w:eastAsia="Arial" w:hAnsi="Arial"/>
          <w:sz w:val="21"/>
          <w:szCs w:val="21"/>
          <w:b w:val="1"/>
          <w:bCs w:val="1"/>
          <w:color w:val="auto"/>
        </w:rPr>
        <w:t xml:space="preserve"> </w:t>
      </w:r>
      <w:r>
        <w:rPr>
          <w:rFonts w:ascii="Arial" w:cs="Arial" w:eastAsia="Arial" w:hAnsi="Arial"/>
          <w:sz w:val="21"/>
          <w:szCs w:val="21"/>
          <w:color w:val="646464"/>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3" w:name="page44"/>
    <w:bookmarkEnd w:id="43"/>
    <w:p>
      <w:pPr>
        <w:ind w:left="780"/>
        <w:spacing w:after="0" w:line="328" w:lineRule="auto"/>
        <w:rPr>
          <w:sz w:val="20"/>
          <w:szCs w:val="20"/>
          <w:color w:val="auto"/>
        </w:rPr>
      </w:pPr>
      <w:r>
        <w:rPr>
          <w:rFonts w:ascii="Arial" w:cs="Arial" w:eastAsia="Arial" w:hAnsi="Arial"/>
          <w:sz w:val="19"/>
          <w:szCs w:val="19"/>
          <w:color w:val="1C1C1C"/>
        </w:rPr>
        <w:t>Agreement be conclusive of the issue. If such question shall arise and Executive shall fail to submit to such medical examination</w:t>
      </w:r>
      <w:r>
        <w:rPr>
          <w:rFonts w:ascii="Arial" w:cs="Arial" w:eastAsia="Arial" w:hAnsi="Arial"/>
          <w:sz w:val="19"/>
          <w:szCs w:val="19"/>
          <w:color w:val="3A3A3A"/>
        </w:rPr>
        <w:t>,</w:t>
      </w:r>
      <w:r>
        <w:rPr>
          <w:rFonts w:ascii="Arial" w:cs="Arial" w:eastAsia="Arial" w:hAnsi="Arial"/>
          <w:sz w:val="19"/>
          <w:szCs w:val="19"/>
          <w:color w:val="1C1C1C"/>
        </w:rPr>
        <w:t xml:space="preserve"> the Company’s determination of the issue shall be binding on Executive.</w:t>
      </w:r>
    </w:p>
    <w:p>
      <w:pPr>
        <w:spacing w:after="0" w:line="126" w:lineRule="exact"/>
        <w:rPr>
          <w:sz w:val="20"/>
          <w:szCs w:val="20"/>
          <w:color w:val="auto"/>
        </w:rPr>
      </w:pPr>
    </w:p>
    <w:p>
      <w:pPr>
        <w:jc w:val="both"/>
        <w:ind w:left="780" w:hanging="3"/>
        <w:spacing w:after="0" w:line="243" w:lineRule="auto"/>
        <w:tabs>
          <w:tab w:leader="none" w:pos="1165" w:val="left"/>
        </w:tabs>
        <w:numPr>
          <w:ilvl w:val="1"/>
          <w:numId w:val="17"/>
        </w:numPr>
        <w:rPr>
          <w:rFonts w:ascii="Arial" w:cs="Arial" w:eastAsia="Arial" w:hAnsi="Arial"/>
          <w:sz w:val="22"/>
          <w:szCs w:val="22"/>
          <w:color w:val="1C1C1C"/>
        </w:rPr>
      </w:pPr>
      <w:r>
        <w:rPr>
          <w:rFonts w:ascii="Arial" w:cs="Arial" w:eastAsia="Arial" w:hAnsi="Arial"/>
          <w:sz w:val="22"/>
          <w:szCs w:val="22"/>
          <w:b w:val="1"/>
          <w:bCs w:val="1"/>
          <w:color w:val="1C1C1C"/>
        </w:rPr>
        <w:t xml:space="preserve">By the Company for Cause. </w:t>
      </w:r>
      <w:r>
        <w:rPr>
          <w:rFonts w:ascii="Arial" w:cs="Arial" w:eastAsia="Arial" w:hAnsi="Arial"/>
          <w:sz w:val="22"/>
          <w:szCs w:val="22"/>
          <w:color w:val="1C1C1C"/>
        </w:rPr>
        <w:t>The Company may terminate Executive’s employment hereunder for</w:t>
      </w:r>
      <w:r>
        <w:rPr>
          <w:rFonts w:ascii="Arial" w:cs="Arial" w:eastAsia="Arial" w:hAnsi="Arial"/>
          <w:sz w:val="22"/>
          <w:szCs w:val="22"/>
          <w:b w:val="1"/>
          <w:bCs w:val="1"/>
          <w:color w:val="1C1C1C"/>
        </w:rPr>
        <w:t xml:space="preserve"> </w:t>
      </w:r>
      <w:r>
        <w:rPr>
          <w:rFonts w:ascii="Arial" w:cs="Arial" w:eastAsia="Arial" w:hAnsi="Arial"/>
          <w:sz w:val="22"/>
          <w:szCs w:val="22"/>
          <w:color w:val="1C1C1C"/>
        </w:rPr>
        <w:t>Cause at any time upon notice to Executive setting forth in reasonable detail the nature of such Cause. The following shall constitute Cause for termination:</w:t>
      </w:r>
    </w:p>
    <w:p>
      <w:pPr>
        <w:spacing w:after="0" w:line="209" w:lineRule="exact"/>
        <w:rPr>
          <w:rFonts w:ascii="Arial" w:cs="Arial" w:eastAsia="Arial" w:hAnsi="Arial"/>
          <w:sz w:val="22"/>
          <w:szCs w:val="22"/>
          <w:color w:val="1C1C1C"/>
        </w:rPr>
      </w:pPr>
    </w:p>
    <w:p>
      <w:pPr>
        <w:jc w:val="both"/>
        <w:ind w:left="780" w:hanging="4"/>
        <w:spacing w:after="0" w:line="238" w:lineRule="auto"/>
        <w:tabs>
          <w:tab w:leader="none" w:pos="1524" w:val="left"/>
        </w:tabs>
        <w:numPr>
          <w:ilvl w:val="1"/>
          <w:numId w:val="18"/>
        </w:numPr>
        <w:rPr>
          <w:rFonts w:ascii="Arial" w:cs="Arial" w:eastAsia="Arial" w:hAnsi="Arial"/>
          <w:sz w:val="22"/>
          <w:szCs w:val="22"/>
          <w:color w:val="1C1C1C"/>
        </w:rPr>
      </w:pPr>
      <w:r>
        <w:rPr>
          <w:rFonts w:ascii="Arial" w:cs="Arial" w:eastAsia="Arial" w:hAnsi="Arial"/>
          <w:sz w:val="22"/>
          <w:szCs w:val="22"/>
          <w:color w:val="1C1C1C"/>
        </w:rPr>
        <w:t>Executive</w:t>
      </w:r>
      <w:r>
        <w:rPr>
          <w:rFonts w:ascii="Arial" w:cs="Arial" w:eastAsia="Arial" w:hAnsi="Arial"/>
          <w:sz w:val="22"/>
          <w:szCs w:val="22"/>
          <w:color w:val="3A3A3A"/>
        </w:rPr>
        <w:t>’</w:t>
      </w:r>
      <w:r>
        <w:rPr>
          <w:rFonts w:ascii="Arial" w:cs="Arial" w:eastAsia="Arial" w:hAnsi="Arial"/>
          <w:sz w:val="22"/>
          <w:szCs w:val="22"/>
          <w:color w:val="1C1C1C"/>
        </w:rPr>
        <w:t>s failure to perform (other than by reason of disability)</w:t>
      </w:r>
      <w:r>
        <w:rPr>
          <w:rFonts w:ascii="Arial" w:cs="Arial" w:eastAsia="Arial" w:hAnsi="Arial"/>
          <w:sz w:val="22"/>
          <w:szCs w:val="22"/>
          <w:color w:val="3A3A3A"/>
        </w:rPr>
        <w:t>,</w:t>
      </w:r>
      <w:r>
        <w:rPr>
          <w:rFonts w:ascii="Arial" w:cs="Arial" w:eastAsia="Arial" w:hAnsi="Arial"/>
          <w:sz w:val="22"/>
          <w:szCs w:val="22"/>
          <w:color w:val="1C1C1C"/>
        </w:rPr>
        <w:t xml:space="preserve"> or gross negligence in the performance of</w:t>
      </w:r>
      <w:r>
        <w:rPr>
          <w:rFonts w:ascii="Arial" w:cs="Arial" w:eastAsia="Arial" w:hAnsi="Arial"/>
          <w:sz w:val="22"/>
          <w:szCs w:val="22"/>
          <w:color w:val="575757"/>
        </w:rPr>
        <w:t>,</w:t>
      </w:r>
      <w:r>
        <w:rPr>
          <w:rFonts w:ascii="Arial" w:cs="Arial" w:eastAsia="Arial" w:hAnsi="Arial"/>
          <w:sz w:val="22"/>
          <w:szCs w:val="22"/>
          <w:color w:val="1C1C1C"/>
        </w:rPr>
        <w:t xml:space="preserve"> his material duties and responsibilities to the Company</w:t>
      </w:r>
      <w:r>
        <w:rPr>
          <w:rFonts w:ascii="Arial" w:cs="Arial" w:eastAsia="Arial" w:hAnsi="Arial"/>
          <w:sz w:val="22"/>
          <w:szCs w:val="22"/>
          <w:color w:val="3A3A3A"/>
        </w:rPr>
        <w:t>.</w:t>
      </w:r>
      <w:r>
        <w:rPr>
          <w:rFonts w:ascii="Arial" w:cs="Arial" w:eastAsia="Arial" w:hAnsi="Arial"/>
          <w:sz w:val="22"/>
          <w:szCs w:val="22"/>
          <w:color w:val="1C1C1C"/>
        </w:rPr>
        <w:t xml:space="preserve"> Unauthorized absence of employee for a period of five consecutive business days shall be considered failure to perform as defined above.</w:t>
      </w:r>
    </w:p>
    <w:p>
      <w:pPr>
        <w:spacing w:after="0" w:line="225" w:lineRule="exact"/>
        <w:rPr>
          <w:rFonts w:ascii="Arial" w:cs="Arial" w:eastAsia="Arial" w:hAnsi="Arial"/>
          <w:sz w:val="22"/>
          <w:szCs w:val="22"/>
          <w:color w:val="1C1C1C"/>
        </w:rPr>
      </w:pPr>
    </w:p>
    <w:p>
      <w:pPr>
        <w:ind w:left="1520" w:hanging="740"/>
        <w:spacing w:after="0"/>
        <w:tabs>
          <w:tab w:leader="none" w:pos="1520" w:val="left"/>
        </w:tabs>
        <w:numPr>
          <w:ilvl w:val="1"/>
          <w:numId w:val="19"/>
        </w:numPr>
        <w:rPr>
          <w:rFonts w:ascii="Arial" w:cs="Arial" w:eastAsia="Arial" w:hAnsi="Arial"/>
          <w:sz w:val="19"/>
          <w:szCs w:val="19"/>
          <w:color w:val="1C1C1C"/>
        </w:rPr>
      </w:pPr>
      <w:r>
        <w:rPr>
          <w:rFonts w:ascii="Arial" w:cs="Arial" w:eastAsia="Arial" w:hAnsi="Arial"/>
          <w:sz w:val="19"/>
          <w:szCs w:val="19"/>
          <w:color w:val="1C1C1C"/>
        </w:rPr>
        <w:t>Material breach of Section 7 or 8 hereof or breach of any fiduciary duty owed to the Company</w:t>
      </w:r>
      <w:r>
        <w:rPr>
          <w:rFonts w:ascii="Arial" w:cs="Arial" w:eastAsia="Arial" w:hAnsi="Arial"/>
          <w:sz w:val="19"/>
          <w:szCs w:val="19"/>
          <w:color w:val="3A3A3A"/>
        </w:rPr>
        <w:t>;</w:t>
      </w:r>
    </w:p>
    <w:p>
      <w:pPr>
        <w:spacing w:after="0" w:line="267" w:lineRule="exact"/>
        <w:rPr>
          <w:rFonts w:ascii="Arial" w:cs="Arial" w:eastAsia="Arial" w:hAnsi="Arial"/>
          <w:sz w:val="19"/>
          <w:szCs w:val="19"/>
          <w:color w:val="1C1C1C"/>
        </w:rPr>
      </w:pPr>
    </w:p>
    <w:p>
      <w:pPr>
        <w:ind w:left="780" w:hanging="4"/>
        <w:spacing w:after="0" w:line="250" w:lineRule="auto"/>
        <w:tabs>
          <w:tab w:leader="none" w:pos="1523" w:val="left"/>
        </w:tabs>
        <w:numPr>
          <w:ilvl w:val="1"/>
          <w:numId w:val="20"/>
        </w:numPr>
        <w:rPr>
          <w:rFonts w:ascii="Arial" w:cs="Arial" w:eastAsia="Arial" w:hAnsi="Arial"/>
          <w:sz w:val="22"/>
          <w:szCs w:val="22"/>
          <w:color w:val="1C1C1C"/>
        </w:rPr>
      </w:pPr>
      <w:r>
        <w:rPr>
          <w:rFonts w:ascii="Arial" w:cs="Arial" w:eastAsia="Arial" w:hAnsi="Arial"/>
          <w:sz w:val="22"/>
          <w:szCs w:val="22"/>
          <w:color w:val="1C1C1C"/>
        </w:rPr>
        <w:t>Fraud or embezzlement or other dishonesty which is material (monetaril</w:t>
      </w:r>
      <w:r>
        <w:rPr>
          <w:rFonts w:ascii="Arial" w:cs="Arial" w:eastAsia="Arial" w:hAnsi="Arial"/>
          <w:sz w:val="22"/>
          <w:szCs w:val="22"/>
          <w:color w:val="3A3A3A"/>
        </w:rPr>
        <w:t>y</w:t>
      </w:r>
      <w:r>
        <w:rPr>
          <w:rFonts w:ascii="Arial" w:cs="Arial" w:eastAsia="Arial" w:hAnsi="Arial"/>
          <w:sz w:val="22"/>
          <w:szCs w:val="22"/>
          <w:color w:val="1C1C1C"/>
        </w:rPr>
        <w:t xml:space="preserve"> or otherwise) with respect to the Company;</w:t>
      </w:r>
    </w:p>
    <w:p>
      <w:pPr>
        <w:spacing w:after="0" w:line="201" w:lineRule="exact"/>
        <w:rPr>
          <w:rFonts w:ascii="Arial" w:cs="Arial" w:eastAsia="Arial" w:hAnsi="Arial"/>
          <w:sz w:val="22"/>
          <w:szCs w:val="22"/>
          <w:color w:val="1C1C1C"/>
        </w:rPr>
      </w:pPr>
    </w:p>
    <w:p>
      <w:pPr>
        <w:ind w:left="780" w:hanging="4"/>
        <w:spacing w:after="0" w:line="250" w:lineRule="auto"/>
        <w:tabs>
          <w:tab w:leader="none" w:pos="1522" w:val="left"/>
        </w:tabs>
        <w:numPr>
          <w:ilvl w:val="0"/>
          <w:numId w:val="21"/>
        </w:numPr>
        <w:rPr>
          <w:rFonts w:ascii="Arial" w:cs="Arial" w:eastAsia="Arial" w:hAnsi="Arial"/>
          <w:sz w:val="22"/>
          <w:szCs w:val="22"/>
          <w:color w:val="1C1C1C"/>
        </w:rPr>
      </w:pPr>
      <w:r>
        <w:rPr>
          <w:rFonts w:ascii="Arial" w:cs="Arial" w:eastAsia="Arial" w:hAnsi="Arial"/>
          <w:sz w:val="22"/>
          <w:szCs w:val="22"/>
          <w:color w:val="1C1C1C"/>
        </w:rPr>
        <w:t>Indictment, conviction or plea of nolo contendere to a felony or other crime involving moral turpitude that is material to the Company</w:t>
      </w:r>
      <w:r>
        <w:rPr>
          <w:rFonts w:ascii="Arial" w:cs="Arial" w:eastAsia="Arial" w:hAnsi="Arial"/>
          <w:sz w:val="22"/>
          <w:szCs w:val="22"/>
          <w:color w:val="3A3A3A"/>
        </w:rPr>
        <w:t>;</w:t>
      </w:r>
      <w:r>
        <w:rPr>
          <w:rFonts w:ascii="Arial" w:cs="Arial" w:eastAsia="Arial" w:hAnsi="Arial"/>
          <w:sz w:val="22"/>
          <w:szCs w:val="22"/>
          <w:color w:val="1C1C1C"/>
        </w:rPr>
        <w:t xml:space="preserve"> or</w:t>
      </w:r>
    </w:p>
    <w:p>
      <w:pPr>
        <w:spacing w:after="0" w:line="215" w:lineRule="exact"/>
        <w:rPr>
          <w:rFonts w:ascii="Arial" w:cs="Arial" w:eastAsia="Arial" w:hAnsi="Arial"/>
          <w:sz w:val="22"/>
          <w:szCs w:val="22"/>
          <w:color w:val="1C1C1C"/>
        </w:rPr>
      </w:pPr>
    </w:p>
    <w:p>
      <w:pPr>
        <w:ind w:left="780" w:right="20"/>
        <w:spacing w:after="0" w:line="250" w:lineRule="auto"/>
        <w:tabs>
          <w:tab w:leader="none" w:pos="1520" w:val="left"/>
        </w:tabs>
        <w:numPr>
          <w:ilvl w:val="0"/>
          <w:numId w:val="21"/>
        </w:numPr>
        <w:rPr>
          <w:rFonts w:ascii="Arial" w:cs="Arial" w:eastAsia="Arial" w:hAnsi="Arial"/>
          <w:sz w:val="22"/>
          <w:szCs w:val="22"/>
          <w:color w:val="1C1C1C"/>
        </w:rPr>
      </w:pPr>
      <w:r>
        <w:rPr>
          <w:rFonts w:ascii="Arial" w:cs="Arial" w:eastAsia="Arial" w:hAnsi="Arial"/>
          <w:sz w:val="22"/>
          <w:szCs w:val="22"/>
          <w:color w:val="1C1C1C"/>
        </w:rPr>
        <w:t>Loss of CPA licensure</w:t>
      </w:r>
      <w:r>
        <w:rPr>
          <w:rFonts w:ascii="Arial" w:cs="Arial" w:eastAsia="Arial" w:hAnsi="Arial"/>
          <w:sz w:val="22"/>
          <w:szCs w:val="22"/>
          <w:color w:val="3A3A3A"/>
        </w:rPr>
        <w:t>,</w:t>
      </w:r>
      <w:r>
        <w:rPr>
          <w:rFonts w:ascii="Arial" w:cs="Arial" w:eastAsia="Arial" w:hAnsi="Arial"/>
          <w:sz w:val="22"/>
          <w:szCs w:val="22"/>
          <w:color w:val="1C1C1C"/>
        </w:rPr>
        <w:t xml:space="preserve"> disciplinary proceedings, or other events that impair Executive’s ability to function as Chief Financial Officer or Treasurer of the Company</w:t>
      </w:r>
      <w:r>
        <w:rPr>
          <w:rFonts w:ascii="Arial" w:cs="Arial" w:eastAsia="Arial" w:hAnsi="Arial"/>
          <w:sz w:val="22"/>
          <w:szCs w:val="22"/>
          <w:color w:val="3A3A3A"/>
        </w:rPr>
        <w:t>.</w:t>
      </w:r>
    </w:p>
    <w:p>
      <w:pPr>
        <w:spacing w:after="0" w:line="202" w:lineRule="exact"/>
        <w:rPr>
          <w:sz w:val="20"/>
          <w:szCs w:val="20"/>
          <w:color w:val="auto"/>
        </w:rPr>
      </w:pPr>
    </w:p>
    <w:p>
      <w:pPr>
        <w:ind w:left="780" w:firstLine="2"/>
        <w:spacing w:after="0" w:line="250" w:lineRule="auto"/>
        <w:rPr>
          <w:sz w:val="20"/>
          <w:szCs w:val="20"/>
          <w:color w:val="auto"/>
        </w:rPr>
      </w:pPr>
      <w:r>
        <w:rPr>
          <w:rFonts w:ascii="Arial" w:cs="Arial" w:eastAsia="Arial" w:hAnsi="Arial"/>
          <w:sz w:val="22"/>
          <w:szCs w:val="22"/>
          <w:color w:val="1C1C1C"/>
        </w:rPr>
        <w:t>Upon termination of Executive’s employment hereunder for Cause</w:t>
      </w:r>
      <w:r>
        <w:rPr>
          <w:rFonts w:ascii="Arial" w:cs="Arial" w:eastAsia="Arial" w:hAnsi="Arial"/>
          <w:sz w:val="22"/>
          <w:szCs w:val="22"/>
          <w:color w:val="3A3A3A"/>
        </w:rPr>
        <w:t>,</w:t>
      </w:r>
      <w:r>
        <w:rPr>
          <w:rFonts w:ascii="Arial" w:cs="Arial" w:eastAsia="Arial" w:hAnsi="Arial"/>
          <w:sz w:val="22"/>
          <w:szCs w:val="22"/>
          <w:color w:val="1C1C1C"/>
        </w:rPr>
        <w:t xml:space="preserve"> the Company shall have no further obligation to Executive, other than for Final Compensation.</w:t>
      </w:r>
    </w:p>
    <w:p>
      <w:pPr>
        <w:spacing w:after="0" w:line="196" w:lineRule="exact"/>
        <w:rPr>
          <w:sz w:val="20"/>
          <w:szCs w:val="20"/>
          <w:color w:val="auto"/>
        </w:rPr>
      </w:pPr>
    </w:p>
    <w:p>
      <w:pPr>
        <w:jc w:val="both"/>
        <w:ind w:left="780" w:firstLine="4"/>
        <w:spacing w:after="0" w:line="271" w:lineRule="auto"/>
        <w:tabs>
          <w:tab w:leader="none" w:pos="1181" w:val="left"/>
        </w:tabs>
        <w:numPr>
          <w:ilvl w:val="0"/>
          <w:numId w:val="22"/>
        </w:numPr>
        <w:rPr>
          <w:rFonts w:ascii="Arial" w:cs="Arial" w:eastAsia="Arial" w:hAnsi="Arial"/>
          <w:sz w:val="19"/>
          <w:szCs w:val="19"/>
          <w:color w:val="1C1C1C"/>
        </w:rPr>
      </w:pPr>
      <w:r>
        <w:rPr>
          <w:rFonts w:ascii="Arial" w:cs="Arial" w:eastAsia="Arial" w:hAnsi="Arial"/>
          <w:sz w:val="19"/>
          <w:szCs w:val="19"/>
          <w:b w:val="1"/>
          <w:bCs w:val="1"/>
          <w:color w:val="1C1C1C"/>
        </w:rPr>
        <w:t xml:space="preserve">By the Company Other than Cause or Upon a Change of Control. </w:t>
      </w:r>
      <w:r>
        <w:rPr>
          <w:rFonts w:ascii="Arial" w:cs="Arial" w:eastAsia="Arial" w:hAnsi="Arial"/>
          <w:sz w:val="19"/>
          <w:szCs w:val="19"/>
          <w:color w:val="1C1C1C"/>
        </w:rPr>
        <w:t>The Company may terminate</w:t>
      </w:r>
      <w:r>
        <w:rPr>
          <w:rFonts w:ascii="Arial" w:cs="Arial" w:eastAsia="Arial" w:hAnsi="Arial"/>
          <w:sz w:val="19"/>
          <w:szCs w:val="19"/>
          <w:b w:val="1"/>
          <w:bCs w:val="1"/>
          <w:color w:val="1C1C1C"/>
        </w:rPr>
        <w:t xml:space="preserve"> </w:t>
      </w:r>
      <w:r>
        <w:rPr>
          <w:rFonts w:ascii="Arial" w:cs="Arial" w:eastAsia="Arial" w:hAnsi="Arial"/>
          <w:sz w:val="19"/>
          <w:szCs w:val="19"/>
          <w:color w:val="1C1C1C"/>
        </w:rPr>
        <w:t>Executive</w:t>
      </w:r>
      <w:r>
        <w:rPr>
          <w:rFonts w:ascii="Arial" w:cs="Arial" w:eastAsia="Arial" w:hAnsi="Arial"/>
          <w:sz w:val="19"/>
          <w:szCs w:val="19"/>
          <w:color w:val="3A3A3A"/>
        </w:rPr>
        <w:t>’</w:t>
      </w:r>
      <w:r>
        <w:rPr>
          <w:rFonts w:ascii="Arial" w:cs="Arial" w:eastAsia="Arial" w:hAnsi="Arial"/>
          <w:sz w:val="19"/>
          <w:szCs w:val="19"/>
          <w:color w:val="1C1C1C"/>
        </w:rPr>
        <w:t>s employment hereunder other than for Cause at any time upon sixty (60) days</w:t>
      </w:r>
      <w:r>
        <w:rPr>
          <w:rFonts w:ascii="Arial" w:cs="Arial" w:eastAsia="Arial" w:hAnsi="Arial"/>
          <w:sz w:val="19"/>
          <w:szCs w:val="19"/>
          <w:color w:val="6B6B6B"/>
        </w:rPr>
        <w:t>’</w:t>
      </w:r>
      <w:r>
        <w:rPr>
          <w:rFonts w:ascii="Arial" w:cs="Arial" w:eastAsia="Arial" w:hAnsi="Arial"/>
          <w:sz w:val="19"/>
          <w:szCs w:val="19"/>
          <w:color w:val="1C1C1C"/>
        </w:rPr>
        <w:t xml:space="preserve"> notice to Executive or otherwise upon a Change of Control. Should such termination occur after three months of employment, the Company shall provide Executive severance pay equal to the sum of the Base Salary at the rate in effect on the date of termination from the date of termination through the nine</w:t>
      </w:r>
      <w:r>
        <w:rPr>
          <w:rFonts w:ascii="Arial" w:cs="Arial" w:eastAsia="Arial" w:hAnsi="Arial"/>
          <w:sz w:val="19"/>
          <w:szCs w:val="19"/>
          <w:color w:val="030303"/>
        </w:rPr>
        <w:t>-</w:t>
      </w:r>
      <w:r>
        <w:rPr>
          <w:rFonts w:ascii="Arial" w:cs="Arial" w:eastAsia="Arial" w:hAnsi="Arial"/>
          <w:sz w:val="19"/>
          <w:szCs w:val="19"/>
          <w:color w:val="1C1C1C"/>
        </w:rPr>
        <w:t>month anniversary thereof. The Company shall also pay Executive all accrued compensation and prorated Target Bonus through the date of termination and shall immediately vest all unvested Equity Compensation</w:t>
      </w:r>
      <w:r>
        <w:rPr>
          <w:rFonts w:ascii="Arial" w:cs="Arial" w:eastAsia="Arial" w:hAnsi="Arial"/>
          <w:sz w:val="19"/>
          <w:szCs w:val="19"/>
          <w:color w:val="3A3A3A"/>
        </w:rPr>
        <w:t>,</w:t>
      </w:r>
      <w:r>
        <w:rPr>
          <w:rFonts w:ascii="Arial" w:cs="Arial" w:eastAsia="Arial" w:hAnsi="Arial"/>
          <w:sz w:val="19"/>
          <w:szCs w:val="19"/>
          <w:color w:val="1C1C1C"/>
        </w:rPr>
        <w:t xml:space="preserve"> which shall then become fully exercisable. Any obligation of the Company to Executive hereunder is conditioned, however, on Executive signing a timely and effective release of claims (“Employee Release”)</w:t>
      </w:r>
      <w:r>
        <w:rPr>
          <w:rFonts w:ascii="Arial" w:cs="Arial" w:eastAsia="Arial" w:hAnsi="Arial"/>
          <w:sz w:val="19"/>
          <w:szCs w:val="19"/>
          <w:color w:val="030303"/>
        </w:rPr>
        <w:t>.</w:t>
      </w:r>
      <w:r>
        <w:rPr>
          <w:rFonts w:ascii="Arial" w:cs="Arial" w:eastAsia="Arial" w:hAnsi="Arial"/>
          <w:sz w:val="19"/>
          <w:szCs w:val="19"/>
          <w:color w:val="1C1C1C"/>
        </w:rPr>
        <w:t xml:space="preserve"> The first installment of the severance pay shall be due and payable at the Company’s next regular payday which is at least five (5) business days following the later of the effective date of the Employee Release or the date the Employee Release</w:t>
      </w:r>
      <w:r>
        <w:rPr>
          <w:rFonts w:ascii="Arial" w:cs="Arial" w:eastAsia="Arial" w:hAnsi="Arial"/>
          <w:sz w:val="19"/>
          <w:szCs w:val="19"/>
          <w:color w:val="3A3A3A"/>
        </w:rPr>
        <w:t>,</w:t>
      </w:r>
      <w:r>
        <w:rPr>
          <w:rFonts w:ascii="Arial" w:cs="Arial" w:eastAsia="Arial" w:hAnsi="Arial"/>
          <w:sz w:val="19"/>
          <w:szCs w:val="19"/>
          <w:color w:val="1C1C1C"/>
        </w:rPr>
        <w:t xml:space="preserve"> signed by Executive</w:t>
      </w:r>
      <w:r>
        <w:rPr>
          <w:rFonts w:ascii="Arial" w:cs="Arial" w:eastAsia="Arial" w:hAnsi="Arial"/>
          <w:sz w:val="19"/>
          <w:szCs w:val="19"/>
          <w:color w:val="3A3A3A"/>
        </w:rPr>
        <w:t>,</w:t>
      </w:r>
      <w:r>
        <w:rPr>
          <w:rFonts w:ascii="Arial" w:cs="Arial" w:eastAsia="Arial" w:hAnsi="Arial"/>
          <w:sz w:val="19"/>
          <w:szCs w:val="19"/>
          <w:color w:val="1C1C1C"/>
        </w:rPr>
        <w:t xml:space="preserve"> is received by the Company, but shall be retroactive to the next business day following the date of termination. Should such termination occur within the first three months of employmen</w:t>
      </w:r>
      <w:r>
        <w:rPr>
          <w:rFonts w:ascii="Arial" w:cs="Arial" w:eastAsia="Arial" w:hAnsi="Arial"/>
          <w:sz w:val="19"/>
          <w:szCs w:val="19"/>
          <w:color w:val="3A3A3A"/>
        </w:rPr>
        <w:t>t,</w:t>
      </w:r>
      <w:r>
        <w:rPr>
          <w:rFonts w:ascii="Arial" w:cs="Arial" w:eastAsia="Arial" w:hAnsi="Arial"/>
          <w:sz w:val="19"/>
          <w:szCs w:val="19"/>
          <w:color w:val="1C1C1C"/>
        </w:rPr>
        <w:t xml:space="preserve"> the Company will pay Executive the Base Salary for the period of 60 days from the date of termination.</w:t>
      </w:r>
    </w:p>
    <w:p>
      <w:pPr>
        <w:spacing w:after="0" w:line="187" w:lineRule="exact"/>
        <w:rPr>
          <w:rFonts w:ascii="Arial" w:cs="Arial" w:eastAsia="Arial" w:hAnsi="Arial"/>
          <w:sz w:val="19"/>
          <w:szCs w:val="19"/>
          <w:color w:val="1C1C1C"/>
        </w:rPr>
      </w:pPr>
    </w:p>
    <w:p>
      <w:pPr>
        <w:jc w:val="both"/>
        <w:ind w:left="780" w:firstLine="5"/>
        <w:spacing w:after="0" w:line="283" w:lineRule="auto"/>
        <w:tabs>
          <w:tab w:leader="none" w:pos="1105" w:val="left"/>
        </w:tabs>
        <w:numPr>
          <w:ilvl w:val="0"/>
          <w:numId w:val="22"/>
        </w:numPr>
        <w:rPr>
          <w:rFonts w:ascii="Arial" w:cs="Arial" w:eastAsia="Arial" w:hAnsi="Arial"/>
          <w:sz w:val="19"/>
          <w:szCs w:val="19"/>
          <w:color w:val="1C1C1C"/>
        </w:rPr>
      </w:pPr>
      <w:r>
        <w:rPr>
          <w:rFonts w:ascii="Arial" w:cs="Arial" w:eastAsia="Arial" w:hAnsi="Arial"/>
          <w:sz w:val="19"/>
          <w:szCs w:val="19"/>
          <w:b w:val="1"/>
          <w:bCs w:val="1"/>
          <w:color w:val="1C1C1C"/>
        </w:rPr>
        <w:t>By Executive other than for Good Reason</w:t>
      </w:r>
      <w:r>
        <w:rPr>
          <w:rFonts w:ascii="Arial" w:cs="Arial" w:eastAsia="Arial" w:hAnsi="Arial"/>
          <w:sz w:val="19"/>
          <w:szCs w:val="19"/>
          <w:b w:val="1"/>
          <w:bCs w:val="1"/>
          <w:color w:val="3A3A3A"/>
        </w:rPr>
        <w:t>.</w:t>
      </w:r>
      <w:r>
        <w:rPr>
          <w:rFonts w:ascii="Arial" w:cs="Arial" w:eastAsia="Arial" w:hAnsi="Arial"/>
          <w:sz w:val="19"/>
          <w:szCs w:val="19"/>
          <w:b w:val="1"/>
          <w:bCs w:val="1"/>
          <w:color w:val="1C1C1C"/>
        </w:rPr>
        <w:t xml:space="preserve"> </w:t>
      </w:r>
      <w:r>
        <w:rPr>
          <w:rFonts w:ascii="Arial" w:cs="Arial" w:eastAsia="Arial" w:hAnsi="Arial"/>
          <w:sz w:val="19"/>
          <w:szCs w:val="19"/>
          <w:color w:val="1C1C1C"/>
        </w:rPr>
        <w:t>Executive may terminate his employment hereunder at</w:t>
      </w:r>
      <w:r>
        <w:rPr>
          <w:rFonts w:ascii="Arial" w:cs="Arial" w:eastAsia="Arial" w:hAnsi="Arial"/>
          <w:sz w:val="19"/>
          <w:szCs w:val="19"/>
          <w:b w:val="1"/>
          <w:bCs w:val="1"/>
          <w:color w:val="1C1C1C"/>
        </w:rPr>
        <w:t xml:space="preserve"> </w:t>
      </w:r>
      <w:r>
        <w:rPr>
          <w:rFonts w:ascii="Arial" w:cs="Arial" w:eastAsia="Arial" w:hAnsi="Arial"/>
          <w:sz w:val="19"/>
          <w:szCs w:val="19"/>
          <w:color w:val="1C1C1C"/>
        </w:rPr>
        <w:t>any time upon sixty (60) days</w:t>
      </w:r>
      <w:r>
        <w:rPr>
          <w:rFonts w:ascii="Arial" w:cs="Arial" w:eastAsia="Arial" w:hAnsi="Arial"/>
          <w:sz w:val="19"/>
          <w:szCs w:val="19"/>
          <w:color w:val="3A3A3A"/>
        </w:rPr>
        <w:t>’</w:t>
      </w:r>
      <w:r>
        <w:rPr>
          <w:rFonts w:ascii="Arial" w:cs="Arial" w:eastAsia="Arial" w:hAnsi="Arial"/>
          <w:sz w:val="19"/>
          <w:szCs w:val="19"/>
          <w:color w:val="1C1C1C"/>
        </w:rPr>
        <w:t xml:space="preserve"> notice to the Company</w:t>
      </w:r>
      <w:r>
        <w:rPr>
          <w:rFonts w:ascii="Arial" w:cs="Arial" w:eastAsia="Arial" w:hAnsi="Arial"/>
          <w:sz w:val="19"/>
          <w:szCs w:val="19"/>
          <w:color w:val="3A3A3A"/>
        </w:rPr>
        <w:t>;</w:t>
      </w:r>
      <w:r>
        <w:rPr>
          <w:rFonts w:ascii="Arial" w:cs="Arial" w:eastAsia="Arial" w:hAnsi="Arial"/>
          <w:sz w:val="19"/>
          <w:szCs w:val="19"/>
          <w:color w:val="1C1C1C"/>
        </w:rPr>
        <w:t xml:space="preserve"> provided, however</w:t>
      </w:r>
      <w:r>
        <w:rPr>
          <w:rFonts w:ascii="Arial" w:cs="Arial" w:eastAsia="Arial" w:hAnsi="Arial"/>
          <w:sz w:val="19"/>
          <w:szCs w:val="19"/>
          <w:color w:val="3A3A3A"/>
        </w:rPr>
        <w:t>,</w:t>
      </w:r>
      <w:r>
        <w:rPr>
          <w:rFonts w:ascii="Arial" w:cs="Arial" w:eastAsia="Arial" w:hAnsi="Arial"/>
          <w:sz w:val="19"/>
          <w:szCs w:val="19"/>
          <w:color w:val="1C1C1C"/>
        </w:rPr>
        <w:t xml:space="preserve"> that the Company may elect to waive all or any portion of such notice</w:t>
      </w:r>
      <w:r>
        <w:rPr>
          <w:rFonts w:ascii="Arial" w:cs="Arial" w:eastAsia="Arial" w:hAnsi="Arial"/>
          <w:sz w:val="19"/>
          <w:szCs w:val="19"/>
          <w:color w:val="3A3A3A"/>
        </w:rPr>
        <w:t>,</w:t>
      </w:r>
      <w:r>
        <w:rPr>
          <w:rFonts w:ascii="Arial" w:cs="Arial" w:eastAsia="Arial" w:hAnsi="Arial"/>
          <w:sz w:val="19"/>
          <w:szCs w:val="19"/>
          <w:color w:val="1C1C1C"/>
        </w:rPr>
        <w:t xml:space="preserve"> in which event the Company will pay Executive the Base Salary for any portion of the first sixty (60) days of such notice waived. The Company shall have no further obligation to Executive, other than for any Final Compensation due to him</w:t>
      </w:r>
      <w:r>
        <w:rPr>
          <w:rFonts w:ascii="Arial" w:cs="Arial" w:eastAsia="Arial" w:hAnsi="Arial"/>
          <w:sz w:val="19"/>
          <w:szCs w:val="19"/>
          <w:color w:val="3A3A3A"/>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4 </w:t>
      </w:r>
      <w:r>
        <w:rPr>
          <w:rFonts w:ascii="Arial" w:cs="Arial" w:eastAsia="Arial" w:hAnsi="Arial"/>
          <w:sz w:val="21"/>
          <w:szCs w:val="21"/>
          <w:color w:val="161616"/>
        </w:rPr>
        <w:t>|</w:t>
      </w:r>
      <w:r>
        <w:rPr>
          <w:rFonts w:ascii="Arial" w:cs="Arial" w:eastAsia="Arial" w:hAnsi="Arial"/>
          <w:sz w:val="21"/>
          <w:szCs w:val="21"/>
          <w:b w:val="1"/>
          <w:bCs w:val="1"/>
          <w:color w:val="auto"/>
        </w:rPr>
        <w:t xml:space="preserve"> </w:t>
      </w:r>
      <w:r>
        <w:rPr>
          <w:rFonts w:ascii="Arial" w:cs="Arial" w:eastAsia="Arial" w:hAnsi="Arial"/>
          <w:sz w:val="21"/>
          <w:szCs w:val="21"/>
          <w:color w:val="646464"/>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4" w:name="page45"/>
    <w:bookmarkEnd w:id="44"/>
    <w:p>
      <w:pPr>
        <w:jc w:val="both"/>
        <w:ind w:left="760" w:firstLine="8"/>
        <w:spacing w:after="0" w:line="271" w:lineRule="auto"/>
        <w:tabs>
          <w:tab w:leader="none" w:pos="1094" w:val="left"/>
        </w:tabs>
        <w:numPr>
          <w:ilvl w:val="0"/>
          <w:numId w:val="23"/>
        </w:numPr>
        <w:rPr>
          <w:rFonts w:ascii="Arial" w:cs="Arial" w:eastAsia="Arial" w:hAnsi="Arial"/>
          <w:sz w:val="19"/>
          <w:szCs w:val="19"/>
          <w:color w:val="1C1C1C"/>
        </w:rPr>
      </w:pPr>
      <w:r>
        <w:rPr>
          <w:rFonts w:ascii="Arial" w:cs="Arial" w:eastAsia="Arial" w:hAnsi="Arial"/>
          <w:sz w:val="19"/>
          <w:szCs w:val="19"/>
          <w:b w:val="1"/>
          <w:bCs w:val="1"/>
          <w:color w:val="1C1C1C"/>
        </w:rPr>
        <w:t xml:space="preserve">By Executive for Good Reason. </w:t>
      </w:r>
      <w:r>
        <w:rPr>
          <w:rFonts w:ascii="Arial" w:cs="Arial" w:eastAsia="Arial" w:hAnsi="Arial"/>
          <w:sz w:val="19"/>
          <w:szCs w:val="19"/>
          <w:color w:val="1C1C1C"/>
        </w:rPr>
        <w:t>Executive may terminate his employment hereunder for Good</w:t>
      </w:r>
      <w:r>
        <w:rPr>
          <w:rFonts w:ascii="Arial" w:cs="Arial" w:eastAsia="Arial" w:hAnsi="Arial"/>
          <w:sz w:val="19"/>
          <w:szCs w:val="19"/>
          <w:b w:val="1"/>
          <w:bCs w:val="1"/>
          <w:color w:val="1C1C1C"/>
        </w:rPr>
        <w:t xml:space="preserve"> </w:t>
      </w:r>
      <w:r>
        <w:rPr>
          <w:rFonts w:ascii="Arial" w:cs="Arial" w:eastAsia="Arial" w:hAnsi="Arial"/>
          <w:sz w:val="19"/>
          <w:szCs w:val="19"/>
          <w:color w:val="1C1C1C"/>
        </w:rPr>
        <w:t>Reason which for the purposes of this Agreement shall mean (i) material diminution of Ex</w:t>
      </w:r>
      <w:r>
        <w:rPr>
          <w:rFonts w:ascii="Arial" w:cs="Arial" w:eastAsia="Arial" w:hAnsi="Arial"/>
          <w:sz w:val="19"/>
          <w:szCs w:val="19"/>
          <w:color w:val="3B3B3B"/>
        </w:rPr>
        <w:t>e</w:t>
      </w:r>
      <w:r>
        <w:rPr>
          <w:rFonts w:ascii="Arial" w:cs="Arial" w:eastAsia="Arial" w:hAnsi="Arial"/>
          <w:sz w:val="19"/>
          <w:szCs w:val="19"/>
          <w:color w:val="1C1C1C"/>
        </w:rPr>
        <w:t>cutive</w:t>
      </w:r>
      <w:r>
        <w:rPr>
          <w:rFonts w:ascii="Arial" w:cs="Arial" w:eastAsia="Arial" w:hAnsi="Arial"/>
          <w:sz w:val="19"/>
          <w:szCs w:val="19"/>
          <w:color w:val="3B3B3B"/>
        </w:rPr>
        <w:t>’</w:t>
      </w:r>
      <w:r>
        <w:rPr>
          <w:rFonts w:ascii="Arial" w:cs="Arial" w:eastAsia="Arial" w:hAnsi="Arial"/>
          <w:sz w:val="19"/>
          <w:szCs w:val="19"/>
          <w:color w:val="1C1C1C"/>
        </w:rPr>
        <w:t>s compensation or benefits</w:t>
      </w:r>
      <w:r>
        <w:rPr>
          <w:rFonts w:ascii="Arial" w:cs="Arial" w:eastAsia="Arial" w:hAnsi="Arial"/>
          <w:sz w:val="19"/>
          <w:szCs w:val="19"/>
          <w:color w:val="3B3B3B"/>
        </w:rPr>
        <w:t>;</w:t>
      </w:r>
      <w:r>
        <w:rPr>
          <w:rFonts w:ascii="Arial" w:cs="Arial" w:eastAsia="Arial" w:hAnsi="Arial"/>
          <w:sz w:val="19"/>
          <w:szCs w:val="19"/>
          <w:color w:val="1C1C1C"/>
        </w:rPr>
        <w:t xml:space="preserve"> (ii) material diminution of Executive’s title</w:t>
      </w:r>
      <w:r>
        <w:rPr>
          <w:rFonts w:ascii="Arial" w:cs="Arial" w:eastAsia="Arial" w:hAnsi="Arial"/>
          <w:sz w:val="19"/>
          <w:szCs w:val="19"/>
          <w:color w:val="3B3B3B"/>
        </w:rPr>
        <w:t>,</w:t>
      </w:r>
      <w:r>
        <w:rPr>
          <w:rFonts w:ascii="Arial" w:cs="Arial" w:eastAsia="Arial" w:hAnsi="Arial"/>
          <w:sz w:val="19"/>
          <w:szCs w:val="19"/>
          <w:color w:val="1C1C1C"/>
        </w:rPr>
        <w:t xml:space="preserve"> duties</w:t>
      </w:r>
      <w:r>
        <w:rPr>
          <w:rFonts w:ascii="Arial" w:cs="Arial" w:eastAsia="Arial" w:hAnsi="Arial"/>
          <w:sz w:val="19"/>
          <w:szCs w:val="19"/>
          <w:color w:val="3B3B3B"/>
        </w:rPr>
        <w:t>,</w:t>
      </w:r>
      <w:r>
        <w:rPr>
          <w:rFonts w:ascii="Arial" w:cs="Arial" w:eastAsia="Arial" w:hAnsi="Arial"/>
          <w:sz w:val="19"/>
          <w:szCs w:val="19"/>
          <w:color w:val="1C1C1C"/>
        </w:rPr>
        <w:t xml:space="preserve"> authority or responsibilities; (iii) the Company’s material breach of any term of this Agreement</w:t>
      </w:r>
      <w:r>
        <w:rPr>
          <w:rFonts w:ascii="Arial" w:cs="Arial" w:eastAsia="Arial" w:hAnsi="Arial"/>
          <w:sz w:val="19"/>
          <w:szCs w:val="19"/>
          <w:color w:val="3B3B3B"/>
        </w:rPr>
        <w:t>;</w:t>
      </w:r>
      <w:r>
        <w:rPr>
          <w:rFonts w:ascii="Arial" w:cs="Arial" w:eastAsia="Arial" w:hAnsi="Arial"/>
          <w:sz w:val="19"/>
          <w:szCs w:val="19"/>
          <w:color w:val="1C1C1C"/>
        </w:rPr>
        <w:t xml:space="preserve"> or (iv) the relocation of Executive’s place of employment to a location that is more than 20 miles from his home</w:t>
      </w:r>
      <w:r>
        <w:rPr>
          <w:rFonts w:ascii="Arial" w:cs="Arial" w:eastAsia="Arial" w:hAnsi="Arial"/>
          <w:sz w:val="19"/>
          <w:szCs w:val="19"/>
          <w:color w:val="3B3B3B"/>
        </w:rPr>
        <w:t>.</w:t>
      </w:r>
      <w:r>
        <w:rPr>
          <w:rFonts w:ascii="Arial" w:cs="Arial" w:eastAsia="Arial" w:hAnsi="Arial"/>
          <w:sz w:val="19"/>
          <w:szCs w:val="19"/>
          <w:color w:val="1C1C1C"/>
        </w:rPr>
        <w:t xml:space="preserve"> In order for Executive to terminate his employment for Good Reason, Executive must give the Company at least thirty (30) days</w:t>
      </w:r>
      <w:r>
        <w:rPr>
          <w:rFonts w:ascii="Arial" w:cs="Arial" w:eastAsia="Arial" w:hAnsi="Arial"/>
          <w:sz w:val="19"/>
          <w:szCs w:val="19"/>
          <w:color w:val="3B3B3B"/>
        </w:rPr>
        <w:t>’</w:t>
      </w:r>
      <w:r>
        <w:rPr>
          <w:rFonts w:ascii="Arial" w:cs="Arial" w:eastAsia="Arial" w:hAnsi="Arial"/>
          <w:sz w:val="19"/>
          <w:szCs w:val="19"/>
          <w:color w:val="1C1C1C"/>
        </w:rPr>
        <w:t xml:space="preserve"> notice of Good Reason and an opportunity to cure the Good Reason within such period</w:t>
      </w:r>
      <w:r>
        <w:rPr>
          <w:rFonts w:ascii="Arial" w:cs="Arial" w:eastAsia="Arial" w:hAnsi="Arial"/>
          <w:sz w:val="19"/>
          <w:szCs w:val="19"/>
          <w:color w:val="3B3B3B"/>
        </w:rPr>
        <w:t>.</w:t>
      </w:r>
      <w:r>
        <w:rPr>
          <w:rFonts w:ascii="Arial" w:cs="Arial" w:eastAsia="Arial" w:hAnsi="Arial"/>
          <w:sz w:val="19"/>
          <w:szCs w:val="19"/>
          <w:color w:val="1C1C1C"/>
        </w:rPr>
        <w:t xml:space="preserve"> Should such termination occur after three months of employment</w:t>
      </w:r>
      <w:r>
        <w:rPr>
          <w:rFonts w:ascii="Arial" w:cs="Arial" w:eastAsia="Arial" w:hAnsi="Arial"/>
          <w:sz w:val="19"/>
          <w:szCs w:val="19"/>
          <w:color w:val="3B3B3B"/>
        </w:rPr>
        <w:t>,</w:t>
      </w:r>
      <w:r>
        <w:rPr>
          <w:rFonts w:ascii="Arial" w:cs="Arial" w:eastAsia="Arial" w:hAnsi="Arial"/>
          <w:sz w:val="19"/>
          <w:szCs w:val="19"/>
          <w:color w:val="1C1C1C"/>
        </w:rPr>
        <w:t xml:space="preserve"> the Company shall provide Executive severance pay equal to the sum of the Base Salary at the rate in effect on the date of termination from the date of termination through the nine-month anniversary thereof. The Company shall also pay Executive all accrued compensation and prorated Target Bonus through the date of termination and shall immediately vest all unvested Equity Compensation, which shall then become fully exercisable. Any obligation of the Company to Executive hereunder is conditioned, however, on Executive signing a timely and effective release of claims (“Employee Release”). The first installment of the severance pay shall be due and payable at the Company</w:t>
      </w:r>
      <w:r>
        <w:rPr>
          <w:rFonts w:ascii="Arial" w:cs="Arial" w:eastAsia="Arial" w:hAnsi="Arial"/>
          <w:sz w:val="19"/>
          <w:szCs w:val="19"/>
          <w:color w:val="565656"/>
        </w:rPr>
        <w:t>’</w:t>
      </w:r>
      <w:r>
        <w:rPr>
          <w:rFonts w:ascii="Arial" w:cs="Arial" w:eastAsia="Arial" w:hAnsi="Arial"/>
          <w:sz w:val="19"/>
          <w:szCs w:val="19"/>
          <w:color w:val="1C1C1C"/>
        </w:rPr>
        <w:t>s next regular payday which is at least five (5) business days following the later of the effective date of the Employee Release or the date the Employee Release</w:t>
      </w:r>
      <w:r>
        <w:rPr>
          <w:rFonts w:ascii="Arial" w:cs="Arial" w:eastAsia="Arial" w:hAnsi="Arial"/>
          <w:sz w:val="19"/>
          <w:szCs w:val="19"/>
          <w:color w:val="3B3B3B"/>
        </w:rPr>
        <w:t>,</w:t>
      </w:r>
      <w:r>
        <w:rPr>
          <w:rFonts w:ascii="Arial" w:cs="Arial" w:eastAsia="Arial" w:hAnsi="Arial"/>
          <w:sz w:val="19"/>
          <w:szCs w:val="19"/>
          <w:color w:val="1C1C1C"/>
        </w:rPr>
        <w:t xml:space="preserve"> signed by Executive</w:t>
      </w:r>
      <w:r>
        <w:rPr>
          <w:rFonts w:ascii="Arial" w:cs="Arial" w:eastAsia="Arial" w:hAnsi="Arial"/>
          <w:sz w:val="19"/>
          <w:szCs w:val="19"/>
          <w:color w:val="3B3B3B"/>
        </w:rPr>
        <w:t>,</w:t>
      </w:r>
      <w:r>
        <w:rPr>
          <w:rFonts w:ascii="Arial" w:cs="Arial" w:eastAsia="Arial" w:hAnsi="Arial"/>
          <w:sz w:val="19"/>
          <w:szCs w:val="19"/>
          <w:color w:val="1C1C1C"/>
        </w:rPr>
        <w:t xml:space="preserve"> is received by the Company, but shall be retroactive to the next business day following the date of termination</w:t>
      </w:r>
      <w:r>
        <w:rPr>
          <w:rFonts w:ascii="Arial" w:cs="Arial" w:eastAsia="Arial" w:hAnsi="Arial"/>
          <w:sz w:val="19"/>
          <w:szCs w:val="19"/>
          <w:color w:val="3B3B3B"/>
        </w:rPr>
        <w:t>.</w:t>
      </w:r>
    </w:p>
    <w:p>
      <w:pPr>
        <w:spacing w:after="0" w:line="200" w:lineRule="exact"/>
        <w:rPr>
          <w:sz w:val="20"/>
          <w:szCs w:val="20"/>
          <w:color w:val="auto"/>
        </w:rPr>
      </w:pPr>
    </w:p>
    <w:p>
      <w:pPr>
        <w:spacing w:after="0" w:line="223" w:lineRule="exact"/>
        <w:rPr>
          <w:sz w:val="20"/>
          <w:szCs w:val="20"/>
          <w:color w:val="auto"/>
        </w:rPr>
      </w:pPr>
    </w:p>
    <w:p>
      <w:pPr>
        <w:ind w:left="780" w:hanging="10"/>
        <w:spacing w:after="0" w:line="256" w:lineRule="auto"/>
        <w:tabs>
          <w:tab w:leader="none" w:pos="1424" w:val="left"/>
        </w:tabs>
        <w:numPr>
          <w:ilvl w:val="0"/>
          <w:numId w:val="24"/>
        </w:numPr>
        <w:rPr>
          <w:rFonts w:ascii="Arial" w:cs="Arial" w:eastAsia="Arial" w:hAnsi="Arial"/>
          <w:sz w:val="22"/>
          <w:szCs w:val="22"/>
          <w:color w:val="1C1C1C"/>
        </w:rPr>
      </w:pPr>
      <w:r>
        <w:rPr>
          <w:rFonts w:ascii="Arial" w:cs="Arial" w:eastAsia="Arial" w:hAnsi="Arial"/>
          <w:sz w:val="22"/>
          <w:szCs w:val="22"/>
          <w:b w:val="1"/>
          <w:bCs w:val="1"/>
          <w:u w:val="single" w:color="auto"/>
          <w:color w:val="1C1C1C"/>
        </w:rPr>
        <w:t>Effect of Termination.</w:t>
      </w:r>
      <w:r>
        <w:rPr>
          <w:rFonts w:ascii="Arial" w:cs="Arial" w:eastAsia="Arial" w:hAnsi="Arial"/>
          <w:sz w:val="22"/>
          <w:szCs w:val="22"/>
          <w:b w:val="1"/>
          <w:bCs w:val="1"/>
          <w:color w:val="1C1C1C"/>
        </w:rPr>
        <w:t xml:space="preserve"> </w:t>
      </w:r>
      <w:r>
        <w:rPr>
          <w:rFonts w:ascii="Arial" w:cs="Arial" w:eastAsia="Arial" w:hAnsi="Arial"/>
          <w:sz w:val="22"/>
          <w:szCs w:val="22"/>
          <w:color w:val="1C1C1C"/>
        </w:rPr>
        <w:t>The provisions of this Section 6 shall apply to any termination, whether</w:t>
      </w:r>
      <w:r>
        <w:rPr>
          <w:rFonts w:ascii="Arial" w:cs="Arial" w:eastAsia="Arial" w:hAnsi="Arial"/>
          <w:sz w:val="22"/>
          <w:szCs w:val="22"/>
          <w:b w:val="1"/>
          <w:bCs w:val="1"/>
          <w:color w:val="1C1C1C"/>
        </w:rPr>
        <w:t xml:space="preserve"> </w:t>
      </w:r>
      <w:r>
        <w:rPr>
          <w:rFonts w:ascii="Arial" w:cs="Arial" w:eastAsia="Arial" w:hAnsi="Arial"/>
          <w:sz w:val="22"/>
          <w:szCs w:val="22"/>
          <w:color w:val="1C1C1C"/>
        </w:rPr>
        <w:t>due to the expiration of the term hereof</w:t>
      </w:r>
      <w:r>
        <w:rPr>
          <w:rFonts w:ascii="Arial" w:cs="Arial" w:eastAsia="Arial" w:hAnsi="Arial"/>
          <w:sz w:val="22"/>
          <w:szCs w:val="22"/>
          <w:color w:val="3B3B3B"/>
        </w:rPr>
        <w:t>,</w:t>
      </w:r>
      <w:r>
        <w:rPr>
          <w:rFonts w:ascii="Arial" w:cs="Arial" w:eastAsia="Arial" w:hAnsi="Arial"/>
          <w:sz w:val="22"/>
          <w:szCs w:val="22"/>
          <w:color w:val="1C1C1C"/>
        </w:rPr>
        <w:t xml:space="preserve"> pursuant to Section 5 or otherwise</w:t>
      </w:r>
      <w:r>
        <w:rPr>
          <w:rFonts w:ascii="Arial" w:cs="Arial" w:eastAsia="Arial" w:hAnsi="Arial"/>
          <w:sz w:val="22"/>
          <w:szCs w:val="22"/>
          <w:color w:val="3B3B3B"/>
        </w:rPr>
        <w:t>.</w:t>
      </w:r>
    </w:p>
    <w:p>
      <w:pPr>
        <w:spacing w:after="0" w:line="209" w:lineRule="exact"/>
        <w:rPr>
          <w:sz w:val="20"/>
          <w:szCs w:val="20"/>
          <w:color w:val="auto"/>
        </w:rPr>
      </w:pPr>
    </w:p>
    <w:p>
      <w:pPr>
        <w:jc w:val="both"/>
        <w:ind w:left="760" w:firstLine="7"/>
        <w:spacing w:after="0"/>
        <w:tabs>
          <w:tab w:leader="none" w:pos="1151" w:val="left"/>
        </w:tabs>
        <w:numPr>
          <w:ilvl w:val="1"/>
          <w:numId w:val="25"/>
        </w:numPr>
        <w:rPr>
          <w:rFonts w:ascii="Arial" w:cs="Arial" w:eastAsia="Arial" w:hAnsi="Arial"/>
          <w:sz w:val="22"/>
          <w:szCs w:val="22"/>
          <w:color w:val="1C1C1C"/>
        </w:rPr>
      </w:pPr>
      <w:r>
        <w:rPr>
          <w:rFonts w:ascii="Arial" w:cs="Arial" w:eastAsia="Arial" w:hAnsi="Arial"/>
          <w:sz w:val="22"/>
          <w:szCs w:val="22"/>
          <w:color w:val="1C1C1C"/>
        </w:rPr>
        <w:t>Payment by the Company of any amounts that may be due Executive in each case under the applicable termination provision of Section 5 shall constitute the entire obligation of the Company to Executive.</w:t>
      </w:r>
    </w:p>
    <w:p>
      <w:pPr>
        <w:spacing w:after="0" w:line="213" w:lineRule="exact"/>
        <w:rPr>
          <w:rFonts w:ascii="Arial" w:cs="Arial" w:eastAsia="Arial" w:hAnsi="Arial"/>
          <w:sz w:val="22"/>
          <w:szCs w:val="22"/>
          <w:color w:val="1C1C1C"/>
        </w:rPr>
      </w:pPr>
    </w:p>
    <w:p>
      <w:pPr>
        <w:jc w:val="both"/>
        <w:ind w:left="760" w:firstLine="12"/>
        <w:spacing w:after="0" w:line="236" w:lineRule="auto"/>
        <w:tabs>
          <w:tab w:leader="none" w:pos="1165" w:val="left"/>
        </w:tabs>
        <w:numPr>
          <w:ilvl w:val="1"/>
          <w:numId w:val="25"/>
        </w:numPr>
        <w:rPr>
          <w:rFonts w:ascii="Arial" w:cs="Arial" w:eastAsia="Arial" w:hAnsi="Arial"/>
          <w:sz w:val="22"/>
          <w:szCs w:val="22"/>
          <w:color w:val="1C1C1C"/>
        </w:rPr>
      </w:pPr>
      <w:r>
        <w:rPr>
          <w:rFonts w:ascii="Arial" w:cs="Arial" w:eastAsia="Arial" w:hAnsi="Arial"/>
          <w:sz w:val="22"/>
          <w:szCs w:val="22"/>
          <w:color w:val="1C1C1C"/>
        </w:rPr>
        <w:t>Except for any right to continue participation in any employer-sponsored health plan</w:t>
      </w:r>
      <w:r>
        <w:rPr>
          <w:rFonts w:ascii="Arial" w:cs="Arial" w:eastAsia="Arial" w:hAnsi="Arial"/>
          <w:sz w:val="22"/>
          <w:szCs w:val="22"/>
          <w:color w:val="3B3B3B"/>
        </w:rPr>
        <w:t>,</w:t>
      </w:r>
      <w:r>
        <w:rPr>
          <w:rFonts w:ascii="Arial" w:cs="Arial" w:eastAsia="Arial" w:hAnsi="Arial"/>
          <w:sz w:val="22"/>
          <w:szCs w:val="22"/>
          <w:color w:val="1C1C1C"/>
        </w:rPr>
        <w:t xml:space="preserve"> at Executive</w:t>
      </w:r>
      <w:r>
        <w:rPr>
          <w:rFonts w:ascii="Arial" w:cs="Arial" w:eastAsia="Arial" w:hAnsi="Arial"/>
          <w:sz w:val="22"/>
          <w:szCs w:val="22"/>
          <w:color w:val="3B3B3B"/>
        </w:rPr>
        <w:t>’</w:t>
      </w:r>
      <w:r>
        <w:rPr>
          <w:rFonts w:ascii="Arial" w:cs="Arial" w:eastAsia="Arial" w:hAnsi="Arial"/>
          <w:sz w:val="22"/>
          <w:szCs w:val="22"/>
          <w:color w:val="1C1C1C"/>
        </w:rPr>
        <w:t>s cost under COBRA or other applicable law</w:t>
      </w:r>
      <w:r>
        <w:rPr>
          <w:rFonts w:ascii="Arial" w:cs="Arial" w:eastAsia="Arial" w:hAnsi="Arial"/>
          <w:sz w:val="22"/>
          <w:szCs w:val="22"/>
          <w:color w:val="565656"/>
        </w:rPr>
        <w:t>,</w:t>
      </w:r>
      <w:r>
        <w:rPr>
          <w:rFonts w:ascii="Arial" w:cs="Arial" w:eastAsia="Arial" w:hAnsi="Arial"/>
          <w:sz w:val="22"/>
          <w:szCs w:val="22"/>
          <w:color w:val="1C1C1C"/>
        </w:rPr>
        <w:t xml:space="preserve"> Executive</w:t>
      </w:r>
      <w:r>
        <w:rPr>
          <w:rFonts w:ascii="Arial" w:cs="Arial" w:eastAsia="Arial" w:hAnsi="Arial"/>
          <w:sz w:val="22"/>
          <w:szCs w:val="22"/>
          <w:color w:val="3B3B3B"/>
        </w:rPr>
        <w:t>’</w:t>
      </w:r>
      <w:r>
        <w:rPr>
          <w:rFonts w:ascii="Arial" w:cs="Arial" w:eastAsia="Arial" w:hAnsi="Arial"/>
          <w:sz w:val="22"/>
          <w:szCs w:val="22"/>
          <w:color w:val="1C1C1C"/>
        </w:rPr>
        <w:t>s participation in other Company benefits shall terminate pursuant to the terms of the applicable benefit plans based on the date of termination of Executive’s employment, without regard to any continuation of Base Salary or other payment to Executive following such date of termination</w:t>
      </w:r>
      <w:r>
        <w:rPr>
          <w:rFonts w:ascii="Arial" w:cs="Arial" w:eastAsia="Arial" w:hAnsi="Arial"/>
          <w:sz w:val="22"/>
          <w:szCs w:val="22"/>
          <w:color w:val="3B3B3B"/>
        </w:rPr>
        <w:t>.</w:t>
      </w:r>
    </w:p>
    <w:p>
      <w:pPr>
        <w:spacing w:after="0" w:line="227" w:lineRule="exact"/>
        <w:rPr>
          <w:rFonts w:ascii="Arial" w:cs="Arial" w:eastAsia="Arial" w:hAnsi="Arial"/>
          <w:sz w:val="22"/>
          <w:szCs w:val="22"/>
          <w:color w:val="1C1C1C"/>
        </w:rPr>
      </w:pPr>
    </w:p>
    <w:p>
      <w:pPr>
        <w:jc w:val="both"/>
        <w:ind w:left="760" w:firstLine="11"/>
        <w:spacing w:after="0" w:line="234" w:lineRule="auto"/>
        <w:tabs>
          <w:tab w:leader="none" w:pos="1150" w:val="left"/>
        </w:tabs>
        <w:numPr>
          <w:ilvl w:val="1"/>
          <w:numId w:val="25"/>
        </w:numPr>
        <w:rPr>
          <w:rFonts w:ascii="Arial" w:cs="Arial" w:eastAsia="Arial" w:hAnsi="Arial"/>
          <w:sz w:val="22"/>
          <w:szCs w:val="22"/>
          <w:color w:val="1C1C1C"/>
        </w:rPr>
      </w:pPr>
      <w:r>
        <w:rPr>
          <w:rFonts w:ascii="Arial" w:cs="Arial" w:eastAsia="Arial" w:hAnsi="Arial"/>
          <w:sz w:val="22"/>
          <w:szCs w:val="22"/>
          <w:color w:val="1C1C1C"/>
        </w:rPr>
        <w:t>Provisions of this Agreement shall survive any termination if so provided herein or if necessary or desirable to accomplish the purposes of other surviving provisions</w:t>
      </w:r>
      <w:r>
        <w:rPr>
          <w:rFonts w:ascii="Arial" w:cs="Arial" w:eastAsia="Arial" w:hAnsi="Arial"/>
          <w:sz w:val="22"/>
          <w:szCs w:val="22"/>
          <w:color w:val="3B3B3B"/>
        </w:rPr>
        <w:t>,</w:t>
      </w:r>
      <w:r>
        <w:rPr>
          <w:rFonts w:ascii="Arial" w:cs="Arial" w:eastAsia="Arial" w:hAnsi="Arial"/>
          <w:sz w:val="22"/>
          <w:szCs w:val="22"/>
          <w:color w:val="1C1C1C"/>
        </w:rPr>
        <w:t xml:space="preserve"> including without limitation the obligations of Executive under Sections 7</w:t>
      </w:r>
      <w:r>
        <w:rPr>
          <w:rFonts w:ascii="Arial" w:cs="Arial" w:eastAsia="Arial" w:hAnsi="Arial"/>
          <w:sz w:val="22"/>
          <w:szCs w:val="22"/>
          <w:color w:val="3B3B3B"/>
        </w:rPr>
        <w:t>,</w:t>
      </w:r>
      <w:r>
        <w:rPr>
          <w:rFonts w:ascii="Arial" w:cs="Arial" w:eastAsia="Arial" w:hAnsi="Arial"/>
          <w:sz w:val="22"/>
          <w:szCs w:val="22"/>
          <w:color w:val="1C1C1C"/>
        </w:rPr>
        <w:t xml:space="preserve"> 8 and 9 hereof</w:t>
      </w:r>
      <w:r>
        <w:rPr>
          <w:rFonts w:ascii="Arial" w:cs="Arial" w:eastAsia="Arial" w:hAnsi="Arial"/>
          <w:sz w:val="22"/>
          <w:szCs w:val="22"/>
          <w:color w:val="3B3B3B"/>
        </w:rPr>
        <w:t>.</w:t>
      </w:r>
      <w:r>
        <w:rPr>
          <w:rFonts w:ascii="Arial" w:cs="Arial" w:eastAsia="Arial" w:hAnsi="Arial"/>
          <w:sz w:val="22"/>
          <w:szCs w:val="22"/>
          <w:color w:val="1C1C1C"/>
        </w:rPr>
        <w:t xml:space="preserve"> The obligations of the Company under Sections 5(d)</w:t>
      </w:r>
      <w:r>
        <w:rPr>
          <w:rFonts w:ascii="Arial" w:cs="Arial" w:eastAsia="Arial" w:hAnsi="Arial"/>
          <w:sz w:val="22"/>
          <w:szCs w:val="22"/>
          <w:color w:val="3B3B3B"/>
        </w:rPr>
        <w:t>,</w:t>
      </w:r>
      <w:r>
        <w:rPr>
          <w:rFonts w:ascii="Arial" w:cs="Arial" w:eastAsia="Arial" w:hAnsi="Arial"/>
          <w:sz w:val="22"/>
          <w:szCs w:val="22"/>
          <w:color w:val="1C1C1C"/>
        </w:rPr>
        <w:t xml:space="preserve"> 5(e) and 5(f) hereof are expressly conditioned upon Executive</w:t>
      </w:r>
      <w:r>
        <w:rPr>
          <w:rFonts w:ascii="Arial" w:cs="Arial" w:eastAsia="Arial" w:hAnsi="Arial"/>
          <w:sz w:val="22"/>
          <w:szCs w:val="22"/>
          <w:color w:val="3B3B3B"/>
        </w:rPr>
        <w:t>’</w:t>
      </w:r>
      <w:r>
        <w:rPr>
          <w:rFonts w:ascii="Arial" w:cs="Arial" w:eastAsia="Arial" w:hAnsi="Arial"/>
          <w:sz w:val="22"/>
          <w:szCs w:val="22"/>
          <w:color w:val="1C1C1C"/>
        </w:rPr>
        <w:t>s continued full performance of obligations under Sections 7, 8 and 9 hereof</w:t>
      </w:r>
      <w:r>
        <w:rPr>
          <w:rFonts w:ascii="Arial" w:cs="Arial" w:eastAsia="Arial" w:hAnsi="Arial"/>
          <w:sz w:val="22"/>
          <w:szCs w:val="22"/>
          <w:color w:val="565656"/>
        </w:rPr>
        <w:t>.</w:t>
      </w:r>
      <w:r>
        <w:rPr>
          <w:rFonts w:ascii="Arial" w:cs="Arial" w:eastAsia="Arial" w:hAnsi="Arial"/>
          <w:sz w:val="22"/>
          <w:szCs w:val="22"/>
          <w:color w:val="1C1C1C"/>
        </w:rPr>
        <w:t xml:space="preserve"> Executive recognizes that, except as expressly provided in Section 5(d), 5(e) or 5(f), no compensation is earned after termination of employment.</w:t>
      </w:r>
    </w:p>
    <w:p>
      <w:pPr>
        <w:spacing w:after="0" w:line="211" w:lineRule="exact"/>
        <w:rPr>
          <w:rFonts w:ascii="Arial" w:cs="Arial" w:eastAsia="Arial" w:hAnsi="Arial"/>
          <w:sz w:val="22"/>
          <w:szCs w:val="22"/>
          <w:color w:val="1C1C1C"/>
        </w:rPr>
      </w:pPr>
    </w:p>
    <w:p>
      <w:pPr>
        <w:ind w:left="1420" w:hanging="656"/>
        <w:spacing w:after="0"/>
        <w:tabs>
          <w:tab w:leader="none" w:pos="1420" w:val="left"/>
        </w:tabs>
        <w:numPr>
          <w:ilvl w:val="0"/>
          <w:numId w:val="26"/>
        </w:numPr>
        <w:rPr>
          <w:rFonts w:ascii="Arial" w:cs="Arial" w:eastAsia="Arial" w:hAnsi="Arial"/>
          <w:sz w:val="22"/>
          <w:szCs w:val="22"/>
          <w:b w:val="1"/>
          <w:bCs w:val="1"/>
          <w:color w:val="1C1C1C"/>
        </w:rPr>
      </w:pPr>
      <w:r>
        <w:rPr>
          <w:rFonts w:ascii="Arial" w:cs="Arial" w:eastAsia="Arial" w:hAnsi="Arial"/>
          <w:sz w:val="22"/>
          <w:szCs w:val="22"/>
          <w:b w:val="1"/>
          <w:bCs w:val="1"/>
          <w:u w:val="single" w:color="auto"/>
          <w:color w:val="1C1C1C"/>
        </w:rPr>
        <w:t>Confidential Information</w:t>
      </w:r>
      <w:r>
        <w:rPr>
          <w:rFonts w:ascii="Arial" w:cs="Arial" w:eastAsia="Arial" w:hAnsi="Arial"/>
          <w:sz w:val="22"/>
          <w:szCs w:val="22"/>
          <w:b w:val="1"/>
          <w:bCs w:val="1"/>
          <w:u w:val="single" w:color="auto"/>
          <w:color w:val="3B3B3B"/>
        </w:rPr>
        <w:t>.</w:t>
      </w:r>
    </w:p>
    <w:p>
      <w:pPr>
        <w:spacing w:after="0" w:line="252" w:lineRule="exact"/>
        <w:rPr>
          <w:rFonts w:ascii="Arial" w:cs="Arial" w:eastAsia="Arial" w:hAnsi="Arial"/>
          <w:sz w:val="22"/>
          <w:szCs w:val="22"/>
          <w:b w:val="1"/>
          <w:bCs w:val="1"/>
          <w:color w:val="1C1C1C"/>
        </w:rPr>
      </w:pPr>
    </w:p>
    <w:p>
      <w:pPr>
        <w:jc w:val="both"/>
        <w:ind w:left="780" w:hanging="4"/>
        <w:spacing w:after="0" w:line="277" w:lineRule="auto"/>
        <w:tabs>
          <w:tab w:leader="none" w:pos="1170" w:val="left"/>
        </w:tabs>
        <w:numPr>
          <w:ilvl w:val="1"/>
          <w:numId w:val="26"/>
        </w:numPr>
        <w:rPr>
          <w:rFonts w:ascii="Arial" w:cs="Arial" w:eastAsia="Arial" w:hAnsi="Arial"/>
          <w:sz w:val="19"/>
          <w:szCs w:val="19"/>
          <w:color w:val="1C1C1C"/>
        </w:rPr>
      </w:pPr>
      <w:r>
        <w:rPr>
          <w:rFonts w:ascii="Arial" w:cs="Arial" w:eastAsia="Arial" w:hAnsi="Arial"/>
          <w:sz w:val="19"/>
          <w:szCs w:val="19"/>
          <w:color w:val="1C1C1C"/>
        </w:rPr>
        <w:t>Executive acknowledges that the Compan</w:t>
      </w:r>
      <w:r>
        <w:rPr>
          <w:rFonts w:ascii="Arial" w:cs="Arial" w:eastAsia="Arial" w:hAnsi="Arial"/>
          <w:sz w:val="19"/>
          <w:szCs w:val="19"/>
          <w:color w:val="3B3B3B"/>
        </w:rPr>
        <w:t>y</w:t>
      </w:r>
      <w:r>
        <w:rPr>
          <w:rFonts w:ascii="Arial" w:cs="Arial" w:eastAsia="Arial" w:hAnsi="Arial"/>
          <w:sz w:val="19"/>
          <w:szCs w:val="19"/>
          <w:color w:val="1C1C1C"/>
        </w:rPr>
        <w:t xml:space="preserve"> continually develops Confidential Information; that Executive may develop Confidential Information for the Company</w:t>
      </w:r>
      <w:r>
        <w:rPr>
          <w:rFonts w:ascii="Arial" w:cs="Arial" w:eastAsia="Arial" w:hAnsi="Arial"/>
          <w:sz w:val="19"/>
          <w:szCs w:val="19"/>
          <w:color w:val="3B3B3B"/>
        </w:rPr>
        <w:t>;</w:t>
      </w:r>
      <w:r>
        <w:rPr>
          <w:rFonts w:ascii="Arial" w:cs="Arial" w:eastAsia="Arial" w:hAnsi="Arial"/>
          <w:sz w:val="19"/>
          <w:szCs w:val="19"/>
          <w:color w:val="1C1C1C"/>
        </w:rPr>
        <w:t xml:space="preserve"> and that Executive may learn of Confidential Information during the course of employment. Executive will comply with the policies and procedures of the Company for protecting Confidential Information and shall not disclose to an</w:t>
      </w:r>
      <w:r>
        <w:rPr>
          <w:rFonts w:ascii="Arial" w:cs="Arial" w:eastAsia="Arial" w:hAnsi="Arial"/>
          <w:sz w:val="19"/>
          <w:szCs w:val="19"/>
          <w:color w:val="3B3B3B"/>
        </w:rPr>
        <w:t>y</w:t>
      </w:r>
      <w:r>
        <w:rPr>
          <w:rFonts w:ascii="Arial" w:cs="Arial" w:eastAsia="Arial" w:hAnsi="Arial"/>
          <w:sz w:val="19"/>
          <w:szCs w:val="19"/>
          <w:color w:val="1C1C1C"/>
        </w:rPr>
        <w:t xml:space="preserve"> Person or use, other than as required by applicable law or for the proper performance of his duties and responsibilities to the Company</w:t>
      </w:r>
      <w:r>
        <w:rPr>
          <w:rFonts w:ascii="Arial" w:cs="Arial" w:eastAsia="Arial" w:hAnsi="Arial"/>
          <w:sz w:val="19"/>
          <w:szCs w:val="19"/>
          <w:color w:val="565656"/>
        </w:rPr>
        <w:t>,</w:t>
      </w:r>
      <w:r>
        <w:rPr>
          <w:rFonts w:ascii="Arial" w:cs="Arial" w:eastAsia="Arial" w:hAnsi="Arial"/>
          <w:sz w:val="19"/>
          <w:szCs w:val="19"/>
          <w:color w:val="1C1C1C"/>
        </w:rPr>
        <w:t xml:space="preserve"> any Confidential Information obtained by Executive incident to his employment or other association with the Company</w:t>
      </w:r>
      <w:r>
        <w:rPr>
          <w:rFonts w:ascii="Arial" w:cs="Arial" w:eastAsia="Arial" w:hAnsi="Arial"/>
          <w:sz w:val="19"/>
          <w:szCs w:val="19"/>
          <w:color w:val="3B3B3B"/>
        </w:rPr>
        <w:t>.</w:t>
      </w:r>
      <w:r>
        <w:rPr>
          <w:rFonts w:ascii="Arial" w:cs="Arial" w:eastAsia="Arial" w:hAnsi="Arial"/>
          <w:sz w:val="19"/>
          <w:szCs w:val="19"/>
          <w:color w:val="1C1C1C"/>
        </w:rPr>
        <w:t xml:space="preserve"> Executive understands that this restriction</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5 </w:t>
      </w:r>
      <w:r>
        <w:rPr>
          <w:rFonts w:ascii="Arial" w:cs="Arial" w:eastAsia="Arial" w:hAnsi="Arial"/>
          <w:sz w:val="21"/>
          <w:szCs w:val="21"/>
          <w:color w:val="161616"/>
        </w:rPr>
        <w:t>|</w:t>
      </w:r>
      <w:r>
        <w:rPr>
          <w:rFonts w:ascii="Arial" w:cs="Arial" w:eastAsia="Arial" w:hAnsi="Arial"/>
          <w:sz w:val="21"/>
          <w:szCs w:val="21"/>
          <w:b w:val="1"/>
          <w:bCs w:val="1"/>
          <w:color w:val="auto"/>
        </w:rPr>
        <w:t xml:space="preserve"> </w:t>
      </w:r>
      <w:r>
        <w:rPr>
          <w:rFonts w:ascii="Arial" w:cs="Arial" w:eastAsia="Arial" w:hAnsi="Arial"/>
          <w:sz w:val="21"/>
          <w:szCs w:val="21"/>
          <w:color w:val="646464"/>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5" w:name="page46"/>
    <w:bookmarkEnd w:id="45"/>
    <w:p>
      <w:pPr>
        <w:jc w:val="both"/>
        <w:ind w:left="760" w:firstLine="2"/>
        <w:spacing w:after="0" w:line="249" w:lineRule="auto"/>
        <w:rPr>
          <w:sz w:val="20"/>
          <w:szCs w:val="20"/>
          <w:color w:val="auto"/>
        </w:rPr>
      </w:pPr>
      <w:r>
        <w:rPr>
          <w:rFonts w:ascii="Arial" w:cs="Arial" w:eastAsia="Arial" w:hAnsi="Arial"/>
          <w:sz w:val="21"/>
          <w:szCs w:val="21"/>
          <w:color w:val="1C1C1C"/>
        </w:rPr>
        <w:t>shall continue to apply after his employment terminates, regardless of the reason for such termination</w:t>
      </w:r>
      <w:r>
        <w:rPr>
          <w:rFonts w:ascii="Arial" w:cs="Arial" w:eastAsia="Arial" w:hAnsi="Arial"/>
          <w:sz w:val="21"/>
          <w:szCs w:val="21"/>
          <w:color w:val="3B3B3B"/>
        </w:rPr>
        <w:t>,</w:t>
      </w:r>
      <w:r>
        <w:rPr>
          <w:rFonts w:ascii="Arial" w:cs="Arial" w:eastAsia="Arial" w:hAnsi="Arial"/>
          <w:sz w:val="21"/>
          <w:szCs w:val="21"/>
          <w:color w:val="1C1C1C"/>
        </w:rPr>
        <w:t xml:space="preserve"> for a period of three (3) years. Further, Executive agrees to provide prompt notice to the Company of any required disclosure of Confidential Information sought pursuant to subpoena, court order or any other legal requirement and to provide the Company a reasonable opportunity to seek protection of the Confidential Information prior to any such disclosure.</w:t>
      </w:r>
    </w:p>
    <w:p>
      <w:pPr>
        <w:spacing w:after="0" w:line="205" w:lineRule="exact"/>
        <w:rPr>
          <w:sz w:val="20"/>
          <w:szCs w:val="20"/>
          <w:color w:val="auto"/>
        </w:rPr>
      </w:pPr>
    </w:p>
    <w:p>
      <w:pPr>
        <w:jc w:val="both"/>
        <w:ind w:left="760" w:firstLine="7"/>
        <w:spacing w:after="0" w:line="235" w:lineRule="auto"/>
        <w:tabs>
          <w:tab w:leader="none" w:pos="1171" w:val="left"/>
        </w:tabs>
        <w:numPr>
          <w:ilvl w:val="0"/>
          <w:numId w:val="27"/>
        </w:numPr>
        <w:rPr>
          <w:rFonts w:ascii="Arial" w:cs="Arial" w:eastAsia="Arial" w:hAnsi="Arial"/>
          <w:sz w:val="22"/>
          <w:szCs w:val="22"/>
          <w:color w:val="1C1C1C"/>
        </w:rPr>
      </w:pPr>
      <w:r>
        <w:rPr>
          <w:rFonts w:ascii="Arial" w:cs="Arial" w:eastAsia="Arial" w:hAnsi="Arial"/>
          <w:sz w:val="22"/>
          <w:szCs w:val="22"/>
          <w:color w:val="1C1C1C"/>
        </w:rPr>
        <w:t>All documents</w:t>
      </w:r>
      <w:r>
        <w:rPr>
          <w:rFonts w:ascii="Arial" w:cs="Arial" w:eastAsia="Arial" w:hAnsi="Arial"/>
          <w:sz w:val="22"/>
          <w:szCs w:val="22"/>
          <w:color w:val="3B3B3B"/>
        </w:rPr>
        <w:t>,</w:t>
      </w:r>
      <w:r>
        <w:rPr>
          <w:rFonts w:ascii="Arial" w:cs="Arial" w:eastAsia="Arial" w:hAnsi="Arial"/>
          <w:sz w:val="22"/>
          <w:szCs w:val="22"/>
          <w:color w:val="1C1C1C"/>
        </w:rPr>
        <w:t xml:space="preserve"> records</w:t>
      </w:r>
      <w:r>
        <w:rPr>
          <w:rFonts w:ascii="Arial" w:cs="Arial" w:eastAsia="Arial" w:hAnsi="Arial"/>
          <w:sz w:val="22"/>
          <w:szCs w:val="22"/>
          <w:color w:val="3B3B3B"/>
        </w:rPr>
        <w:t>,</w:t>
      </w:r>
      <w:r>
        <w:rPr>
          <w:rFonts w:ascii="Arial" w:cs="Arial" w:eastAsia="Arial" w:hAnsi="Arial"/>
          <w:sz w:val="22"/>
          <w:szCs w:val="22"/>
          <w:color w:val="1C1C1C"/>
        </w:rPr>
        <w:t xml:space="preserve"> tapes and other media of every kind and description relating to the business</w:t>
      </w:r>
      <w:r>
        <w:rPr>
          <w:rFonts w:ascii="Arial" w:cs="Arial" w:eastAsia="Arial" w:hAnsi="Arial"/>
          <w:sz w:val="22"/>
          <w:szCs w:val="22"/>
          <w:color w:val="3B3B3B"/>
        </w:rPr>
        <w:t>,</w:t>
      </w:r>
      <w:r>
        <w:rPr>
          <w:rFonts w:ascii="Arial" w:cs="Arial" w:eastAsia="Arial" w:hAnsi="Arial"/>
          <w:sz w:val="22"/>
          <w:szCs w:val="22"/>
          <w:color w:val="1C1C1C"/>
        </w:rPr>
        <w:t xml:space="preserve"> present or otherwise, of the Company and any copies, in whole or in part, thereof (the </w:t>
      </w:r>
      <w:r>
        <w:rPr>
          <w:rFonts w:ascii="Arial" w:cs="Arial" w:eastAsia="Arial" w:hAnsi="Arial"/>
          <w:sz w:val="22"/>
          <w:szCs w:val="22"/>
          <w:color w:val="3B3B3B"/>
        </w:rPr>
        <w:t>“</w:t>
      </w:r>
      <w:r>
        <w:rPr>
          <w:rFonts w:ascii="Arial" w:cs="Arial" w:eastAsia="Arial" w:hAnsi="Arial"/>
          <w:sz w:val="22"/>
          <w:szCs w:val="22"/>
          <w:color w:val="1C1C1C"/>
        </w:rPr>
        <w:t>Documents”), whether or not prepared by Executive, shall be the sole and exclusive property of the Company. Executive shall safeguard all Documents and shall surrender to the Company at the time his employment terminates</w:t>
      </w:r>
      <w:r>
        <w:rPr>
          <w:rFonts w:ascii="Arial" w:cs="Arial" w:eastAsia="Arial" w:hAnsi="Arial"/>
          <w:sz w:val="22"/>
          <w:szCs w:val="22"/>
          <w:color w:val="3B3B3B"/>
        </w:rPr>
        <w:t>,</w:t>
      </w:r>
      <w:r>
        <w:rPr>
          <w:rFonts w:ascii="Arial" w:cs="Arial" w:eastAsia="Arial" w:hAnsi="Arial"/>
          <w:sz w:val="22"/>
          <w:szCs w:val="22"/>
          <w:color w:val="1C1C1C"/>
        </w:rPr>
        <w:t xml:space="preserve"> or at such earlier time or times as the Board may specify, all Documents then in Executive’s possession or control.</w:t>
      </w:r>
    </w:p>
    <w:p>
      <w:pPr>
        <w:spacing w:after="0" w:line="74" w:lineRule="exact"/>
        <w:rPr>
          <w:sz w:val="20"/>
          <w:szCs w:val="20"/>
          <w:color w:val="auto"/>
        </w:rPr>
      </w:pPr>
    </w:p>
    <w:p>
      <w:pPr>
        <w:jc w:val="both"/>
        <w:ind w:left="760" w:firstLine="7"/>
        <w:spacing w:after="0" w:line="245" w:lineRule="auto"/>
        <w:tabs>
          <w:tab w:leader="none" w:pos="1407" w:val="left"/>
        </w:tabs>
        <w:numPr>
          <w:ilvl w:val="0"/>
          <w:numId w:val="28"/>
        </w:numPr>
        <w:rPr>
          <w:rFonts w:ascii="Arial" w:cs="Arial" w:eastAsia="Arial" w:hAnsi="Arial"/>
          <w:sz w:val="21"/>
          <w:szCs w:val="21"/>
          <w:color w:val="1C1C1C"/>
        </w:rPr>
      </w:pPr>
      <w:r>
        <w:rPr>
          <w:rFonts w:ascii="Arial" w:cs="Arial" w:eastAsia="Arial" w:hAnsi="Arial"/>
          <w:sz w:val="21"/>
          <w:szCs w:val="21"/>
          <w:b w:val="1"/>
          <w:bCs w:val="1"/>
          <w:u w:val="single" w:color="auto"/>
          <w:color w:val="1C1C1C"/>
        </w:rPr>
        <w:t>Assignment of Rights to Intellectual Property.</w:t>
      </w:r>
      <w:r>
        <w:rPr>
          <w:rFonts w:ascii="Arial" w:cs="Arial" w:eastAsia="Arial" w:hAnsi="Arial"/>
          <w:sz w:val="21"/>
          <w:szCs w:val="21"/>
          <w:b w:val="1"/>
          <w:bCs w:val="1"/>
          <w:color w:val="1C1C1C"/>
        </w:rPr>
        <w:t xml:space="preserve"> </w:t>
      </w:r>
      <w:r>
        <w:rPr>
          <w:rFonts w:ascii="Arial" w:cs="Arial" w:eastAsia="Arial" w:hAnsi="Arial"/>
          <w:sz w:val="21"/>
          <w:szCs w:val="21"/>
          <w:color w:val="1C1C1C"/>
        </w:rPr>
        <w:t>Executive agrees to maintain accurate and</w:t>
      </w:r>
      <w:r>
        <w:rPr>
          <w:rFonts w:ascii="Arial" w:cs="Arial" w:eastAsia="Arial" w:hAnsi="Arial"/>
          <w:sz w:val="21"/>
          <w:szCs w:val="21"/>
          <w:b w:val="1"/>
          <w:bCs w:val="1"/>
          <w:color w:val="1C1C1C"/>
        </w:rPr>
        <w:t xml:space="preserve"> </w:t>
      </w:r>
      <w:r>
        <w:rPr>
          <w:rFonts w:ascii="Arial" w:cs="Arial" w:eastAsia="Arial" w:hAnsi="Arial"/>
          <w:sz w:val="21"/>
          <w:szCs w:val="21"/>
          <w:color w:val="1C1C1C"/>
        </w:rPr>
        <w:t>complete contemporaneous records of, and shall immediately and fully disclose and deliver to the Company</w:t>
      </w:r>
      <w:r>
        <w:rPr>
          <w:rFonts w:ascii="Arial" w:cs="Arial" w:eastAsia="Arial" w:hAnsi="Arial"/>
          <w:sz w:val="21"/>
          <w:szCs w:val="21"/>
          <w:color w:val="545454"/>
        </w:rPr>
        <w:t>,</w:t>
      </w:r>
      <w:r>
        <w:rPr>
          <w:rFonts w:ascii="Arial" w:cs="Arial" w:eastAsia="Arial" w:hAnsi="Arial"/>
          <w:sz w:val="21"/>
          <w:szCs w:val="21"/>
          <w:color w:val="1C1C1C"/>
        </w:rPr>
        <w:t xml:space="preserve"> all Intellectual Property, as defined below. Executive hereby assigns and agrees to assign to the Company (or as otherwise directed b</w:t>
      </w:r>
      <w:r>
        <w:rPr>
          <w:rFonts w:ascii="Arial" w:cs="Arial" w:eastAsia="Arial" w:hAnsi="Arial"/>
          <w:sz w:val="21"/>
          <w:szCs w:val="21"/>
          <w:color w:val="3B3B3B"/>
        </w:rPr>
        <w:t>y</w:t>
      </w:r>
      <w:r>
        <w:rPr>
          <w:rFonts w:ascii="Arial" w:cs="Arial" w:eastAsia="Arial" w:hAnsi="Arial"/>
          <w:sz w:val="21"/>
          <w:szCs w:val="21"/>
          <w:color w:val="1C1C1C"/>
        </w:rPr>
        <w:t xml:space="preserve"> the Company) his full right, title and interest in and to all Intellectual Property. Executive agrees to execute any and all applications for domestic and foreign patents</w:t>
      </w:r>
      <w:r>
        <w:rPr>
          <w:rFonts w:ascii="Arial" w:cs="Arial" w:eastAsia="Arial" w:hAnsi="Arial"/>
          <w:sz w:val="21"/>
          <w:szCs w:val="21"/>
          <w:color w:val="3B3B3B"/>
        </w:rPr>
        <w:t>,</w:t>
      </w:r>
      <w:r>
        <w:rPr>
          <w:rFonts w:ascii="Arial" w:cs="Arial" w:eastAsia="Arial" w:hAnsi="Arial"/>
          <w:sz w:val="21"/>
          <w:szCs w:val="21"/>
          <w:color w:val="1C1C1C"/>
        </w:rPr>
        <w:t xml:space="preserve"> copyrights and other proprietary rights and do such other acts (including</w:t>
      </w:r>
      <w:r>
        <w:rPr>
          <w:rFonts w:ascii="Arial" w:cs="Arial" w:eastAsia="Arial" w:hAnsi="Arial"/>
          <w:sz w:val="21"/>
          <w:szCs w:val="21"/>
          <w:color w:val="3B3B3B"/>
        </w:rPr>
        <w:t>,</w:t>
      </w:r>
      <w:r>
        <w:rPr>
          <w:rFonts w:ascii="Arial" w:cs="Arial" w:eastAsia="Arial" w:hAnsi="Arial"/>
          <w:sz w:val="21"/>
          <w:szCs w:val="21"/>
          <w:color w:val="1C1C1C"/>
        </w:rPr>
        <w:t xml:space="preserve"> among others</w:t>
      </w:r>
      <w:r>
        <w:rPr>
          <w:rFonts w:ascii="Arial" w:cs="Arial" w:eastAsia="Arial" w:hAnsi="Arial"/>
          <w:sz w:val="21"/>
          <w:szCs w:val="21"/>
          <w:color w:val="3B3B3B"/>
        </w:rPr>
        <w:t>,</w:t>
      </w:r>
      <w:r>
        <w:rPr>
          <w:rFonts w:ascii="Arial" w:cs="Arial" w:eastAsia="Arial" w:hAnsi="Arial"/>
          <w:sz w:val="21"/>
          <w:szCs w:val="21"/>
          <w:color w:val="1C1C1C"/>
        </w:rPr>
        <w:t xml:space="preserve"> the execution and delivery of instruments of further assurance or confirmation) requested b</w:t>
      </w:r>
      <w:r>
        <w:rPr>
          <w:rFonts w:ascii="Arial" w:cs="Arial" w:eastAsia="Arial" w:hAnsi="Arial"/>
          <w:sz w:val="21"/>
          <w:szCs w:val="21"/>
          <w:color w:val="3B3B3B"/>
        </w:rPr>
        <w:t>y</w:t>
      </w:r>
      <w:r>
        <w:rPr>
          <w:rFonts w:ascii="Arial" w:cs="Arial" w:eastAsia="Arial" w:hAnsi="Arial"/>
          <w:sz w:val="21"/>
          <w:szCs w:val="21"/>
          <w:color w:val="1C1C1C"/>
        </w:rPr>
        <w:t xml:space="preserve"> the Company to assign the Intellectual Property to the Company and to permit the Company to enforce any patents, copyrights and other proprietary rights in the Intellectual Property. Executive will not charge the Company for time spent in complying with these obligations. All copyrightable works that Executive creates shall be considered </w:t>
      </w:r>
      <w:r>
        <w:rPr>
          <w:rFonts w:ascii="Arial" w:cs="Arial" w:eastAsia="Arial" w:hAnsi="Arial"/>
          <w:sz w:val="21"/>
          <w:szCs w:val="21"/>
          <w:color w:val="3B3B3B"/>
        </w:rPr>
        <w:t>“</w:t>
      </w:r>
      <w:r>
        <w:rPr>
          <w:rFonts w:ascii="Arial" w:cs="Arial" w:eastAsia="Arial" w:hAnsi="Arial"/>
          <w:sz w:val="21"/>
          <w:szCs w:val="21"/>
          <w:color w:val="1C1C1C"/>
        </w:rPr>
        <w:t>work made for hire</w:t>
      </w:r>
      <w:r>
        <w:rPr>
          <w:rFonts w:ascii="Arial" w:cs="Arial" w:eastAsia="Arial" w:hAnsi="Arial"/>
          <w:sz w:val="21"/>
          <w:szCs w:val="21"/>
          <w:color w:val="3B3B3B"/>
        </w:rPr>
        <w:t>”</w:t>
      </w:r>
      <w:r>
        <w:rPr>
          <w:rFonts w:ascii="Arial" w:cs="Arial" w:eastAsia="Arial" w:hAnsi="Arial"/>
          <w:sz w:val="21"/>
          <w:szCs w:val="21"/>
          <w:color w:val="1C1C1C"/>
        </w:rPr>
        <w:t xml:space="preserve"> and shall, upon creation, be owned exclusively by the Company</w:t>
      </w:r>
      <w:r>
        <w:rPr>
          <w:rFonts w:ascii="Arial" w:cs="Arial" w:eastAsia="Arial" w:hAnsi="Arial"/>
          <w:sz w:val="21"/>
          <w:szCs w:val="21"/>
          <w:color w:val="545454"/>
        </w:rPr>
        <w:t>.</w:t>
      </w:r>
    </w:p>
    <w:p>
      <w:pPr>
        <w:spacing w:after="0" w:line="52" w:lineRule="exact"/>
        <w:rPr>
          <w:rFonts w:ascii="Arial" w:cs="Arial" w:eastAsia="Arial" w:hAnsi="Arial"/>
          <w:sz w:val="21"/>
          <w:szCs w:val="21"/>
          <w:color w:val="1C1C1C"/>
        </w:rPr>
      </w:pPr>
    </w:p>
    <w:p>
      <w:pPr>
        <w:jc w:val="both"/>
        <w:ind w:left="780" w:firstLine="6"/>
        <w:spacing w:after="0" w:line="243" w:lineRule="auto"/>
        <w:tabs>
          <w:tab w:leader="none" w:pos="1432" w:val="left"/>
        </w:tabs>
        <w:numPr>
          <w:ilvl w:val="1"/>
          <w:numId w:val="28"/>
        </w:numPr>
        <w:rPr>
          <w:rFonts w:ascii="Arial" w:cs="Arial" w:eastAsia="Arial" w:hAnsi="Arial"/>
          <w:sz w:val="22"/>
          <w:szCs w:val="22"/>
          <w:color w:val="1C1C1C"/>
        </w:rPr>
      </w:pPr>
      <w:r>
        <w:rPr>
          <w:rFonts w:ascii="Arial" w:cs="Arial" w:eastAsia="Arial" w:hAnsi="Arial"/>
          <w:sz w:val="22"/>
          <w:szCs w:val="22"/>
          <w:b w:val="1"/>
          <w:bCs w:val="1"/>
          <w:u w:val="single" w:color="auto"/>
          <w:color w:val="1C1C1C"/>
        </w:rPr>
        <w:t>Restricted Activities.</w:t>
      </w:r>
      <w:r>
        <w:rPr>
          <w:rFonts w:ascii="Arial" w:cs="Arial" w:eastAsia="Arial" w:hAnsi="Arial"/>
          <w:sz w:val="22"/>
          <w:szCs w:val="22"/>
          <w:b w:val="1"/>
          <w:bCs w:val="1"/>
          <w:color w:val="1C1C1C"/>
        </w:rPr>
        <w:t xml:space="preserve"> </w:t>
      </w:r>
      <w:r>
        <w:rPr>
          <w:rFonts w:ascii="Arial" w:cs="Arial" w:eastAsia="Arial" w:hAnsi="Arial"/>
          <w:sz w:val="22"/>
          <w:szCs w:val="22"/>
          <w:color w:val="1C1C1C"/>
        </w:rPr>
        <w:t>Executive agrees that some restrictions on his activities during and after his</w:t>
      </w:r>
      <w:r>
        <w:rPr>
          <w:rFonts w:ascii="Arial" w:cs="Arial" w:eastAsia="Arial" w:hAnsi="Arial"/>
          <w:sz w:val="22"/>
          <w:szCs w:val="22"/>
          <w:b w:val="1"/>
          <w:bCs w:val="1"/>
          <w:color w:val="1C1C1C"/>
        </w:rPr>
        <w:t xml:space="preserve"> </w:t>
      </w:r>
      <w:r>
        <w:rPr>
          <w:rFonts w:ascii="Arial" w:cs="Arial" w:eastAsia="Arial" w:hAnsi="Arial"/>
          <w:sz w:val="22"/>
          <w:szCs w:val="22"/>
          <w:color w:val="1C1C1C"/>
        </w:rPr>
        <w:t>employment are necessary to protect the goodwill</w:t>
      </w:r>
      <w:r>
        <w:rPr>
          <w:rFonts w:ascii="Arial" w:cs="Arial" w:eastAsia="Arial" w:hAnsi="Arial"/>
          <w:sz w:val="22"/>
          <w:szCs w:val="22"/>
          <w:color w:val="3B3B3B"/>
        </w:rPr>
        <w:t>,</w:t>
      </w:r>
      <w:r>
        <w:rPr>
          <w:rFonts w:ascii="Arial" w:cs="Arial" w:eastAsia="Arial" w:hAnsi="Arial"/>
          <w:sz w:val="22"/>
          <w:szCs w:val="22"/>
          <w:color w:val="1C1C1C"/>
        </w:rPr>
        <w:t xml:space="preserve"> Confidential Information and other legitimate interested of the Company:</w:t>
      </w:r>
    </w:p>
    <w:p>
      <w:pPr>
        <w:spacing w:after="0" w:line="182" w:lineRule="exact"/>
        <w:rPr>
          <w:rFonts w:ascii="Arial" w:cs="Arial" w:eastAsia="Arial" w:hAnsi="Arial"/>
          <w:sz w:val="22"/>
          <w:szCs w:val="22"/>
          <w:color w:val="1C1C1C"/>
        </w:rPr>
      </w:pPr>
    </w:p>
    <w:p>
      <w:pPr>
        <w:jc w:val="both"/>
        <w:ind w:left="860" w:firstLine="565"/>
        <w:spacing w:after="0" w:line="234" w:lineRule="auto"/>
        <w:tabs>
          <w:tab w:leader="none" w:pos="1875" w:val="left"/>
        </w:tabs>
        <w:numPr>
          <w:ilvl w:val="2"/>
          <w:numId w:val="28"/>
        </w:numPr>
        <w:rPr>
          <w:rFonts w:ascii="Arial" w:cs="Arial" w:eastAsia="Arial" w:hAnsi="Arial"/>
          <w:sz w:val="22"/>
          <w:szCs w:val="22"/>
          <w:color w:val="1C1C1C"/>
        </w:rPr>
      </w:pPr>
      <w:r>
        <w:rPr>
          <w:rFonts w:ascii="Arial" w:cs="Arial" w:eastAsia="Arial" w:hAnsi="Arial"/>
          <w:sz w:val="22"/>
          <w:szCs w:val="22"/>
          <w:color w:val="1C1C1C"/>
        </w:rPr>
        <w:t>While Executive is emp</w:t>
      </w:r>
      <w:r>
        <w:rPr>
          <w:rFonts w:ascii="Arial" w:cs="Arial" w:eastAsia="Arial" w:hAnsi="Arial"/>
          <w:sz w:val="22"/>
          <w:szCs w:val="22"/>
          <w:color w:val="030303"/>
        </w:rPr>
        <w:t>l</w:t>
      </w:r>
      <w:r>
        <w:rPr>
          <w:rFonts w:ascii="Arial" w:cs="Arial" w:eastAsia="Arial" w:hAnsi="Arial"/>
          <w:sz w:val="22"/>
          <w:szCs w:val="22"/>
          <w:color w:val="1C1C1C"/>
        </w:rPr>
        <w:t>oyed by the Company and for the twelve (12) months immediately following termination of his employment (in the aggregate</w:t>
      </w:r>
      <w:r>
        <w:rPr>
          <w:rFonts w:ascii="Arial" w:cs="Arial" w:eastAsia="Arial" w:hAnsi="Arial"/>
          <w:sz w:val="22"/>
          <w:szCs w:val="22"/>
          <w:color w:val="3B3B3B"/>
        </w:rPr>
        <w:t>,</w:t>
      </w:r>
      <w:r>
        <w:rPr>
          <w:rFonts w:ascii="Arial" w:cs="Arial" w:eastAsia="Arial" w:hAnsi="Arial"/>
          <w:sz w:val="22"/>
          <w:szCs w:val="22"/>
          <w:color w:val="1C1C1C"/>
        </w:rPr>
        <w:t xml:space="preserve"> the “Non-Competition Period”), Executive shall not, directly or indirectly</w:t>
      </w:r>
      <w:r>
        <w:rPr>
          <w:rFonts w:ascii="Arial" w:cs="Arial" w:eastAsia="Arial" w:hAnsi="Arial"/>
          <w:sz w:val="22"/>
          <w:szCs w:val="22"/>
          <w:color w:val="545454"/>
        </w:rPr>
        <w:t>,</w:t>
      </w:r>
      <w:r>
        <w:rPr>
          <w:rFonts w:ascii="Arial" w:cs="Arial" w:eastAsia="Arial" w:hAnsi="Arial"/>
          <w:sz w:val="22"/>
          <w:szCs w:val="22"/>
          <w:color w:val="1C1C1C"/>
        </w:rPr>
        <w:t xml:space="preserve"> whether as owner</w:t>
      </w:r>
      <w:r>
        <w:rPr>
          <w:rFonts w:ascii="Arial" w:cs="Arial" w:eastAsia="Arial" w:hAnsi="Arial"/>
          <w:sz w:val="22"/>
          <w:szCs w:val="22"/>
          <w:color w:val="3B3B3B"/>
        </w:rPr>
        <w:t>,</w:t>
      </w:r>
      <w:r>
        <w:rPr>
          <w:rFonts w:ascii="Arial" w:cs="Arial" w:eastAsia="Arial" w:hAnsi="Arial"/>
          <w:sz w:val="22"/>
          <w:szCs w:val="22"/>
          <w:color w:val="1C1C1C"/>
        </w:rPr>
        <w:t xml:space="preserve"> partner, investor</w:t>
      </w:r>
      <w:r>
        <w:rPr>
          <w:rFonts w:ascii="Arial" w:cs="Arial" w:eastAsia="Arial" w:hAnsi="Arial"/>
          <w:sz w:val="22"/>
          <w:szCs w:val="22"/>
          <w:color w:val="3B3B3B"/>
        </w:rPr>
        <w:t>,</w:t>
      </w:r>
      <w:r>
        <w:rPr>
          <w:rFonts w:ascii="Arial" w:cs="Arial" w:eastAsia="Arial" w:hAnsi="Arial"/>
          <w:sz w:val="22"/>
          <w:szCs w:val="22"/>
          <w:color w:val="1C1C1C"/>
        </w:rPr>
        <w:t xml:space="preserve"> consultant, agent</w:t>
      </w:r>
      <w:r>
        <w:rPr>
          <w:rFonts w:ascii="Arial" w:cs="Arial" w:eastAsia="Arial" w:hAnsi="Arial"/>
          <w:sz w:val="22"/>
          <w:szCs w:val="22"/>
          <w:color w:val="3B3B3B"/>
        </w:rPr>
        <w:t>,</w:t>
      </w:r>
      <w:r>
        <w:rPr>
          <w:rFonts w:ascii="Arial" w:cs="Arial" w:eastAsia="Arial" w:hAnsi="Arial"/>
          <w:sz w:val="22"/>
          <w:szCs w:val="22"/>
          <w:color w:val="1C1C1C"/>
        </w:rPr>
        <w:t xml:space="preserve"> employee</w:t>
      </w:r>
      <w:r>
        <w:rPr>
          <w:rFonts w:ascii="Arial" w:cs="Arial" w:eastAsia="Arial" w:hAnsi="Arial"/>
          <w:sz w:val="22"/>
          <w:szCs w:val="22"/>
          <w:color w:val="3B3B3B"/>
        </w:rPr>
        <w:t>,</w:t>
      </w:r>
      <w:r>
        <w:rPr>
          <w:rFonts w:ascii="Arial" w:cs="Arial" w:eastAsia="Arial" w:hAnsi="Arial"/>
          <w:sz w:val="22"/>
          <w:szCs w:val="22"/>
          <w:color w:val="1C1C1C"/>
        </w:rPr>
        <w:t xml:space="preserve"> joint venturer or otherwise</w:t>
      </w:r>
      <w:r>
        <w:rPr>
          <w:rFonts w:ascii="Arial" w:cs="Arial" w:eastAsia="Arial" w:hAnsi="Arial"/>
          <w:sz w:val="22"/>
          <w:szCs w:val="22"/>
          <w:color w:val="3B3B3B"/>
        </w:rPr>
        <w:t>,</w:t>
      </w:r>
      <w:r>
        <w:rPr>
          <w:rFonts w:ascii="Arial" w:cs="Arial" w:eastAsia="Arial" w:hAnsi="Arial"/>
          <w:sz w:val="22"/>
          <w:szCs w:val="22"/>
          <w:color w:val="1C1C1C"/>
        </w:rPr>
        <w:t xml:space="preserve"> compete with the Company within any area of the world where Company is doing business (the </w:t>
      </w:r>
      <w:r>
        <w:rPr>
          <w:rFonts w:ascii="Arial" w:cs="Arial" w:eastAsia="Arial" w:hAnsi="Arial"/>
          <w:sz w:val="22"/>
          <w:szCs w:val="22"/>
          <w:color w:val="3B3B3B"/>
        </w:rPr>
        <w:t>“</w:t>
      </w:r>
      <w:r>
        <w:rPr>
          <w:rFonts w:ascii="Arial" w:cs="Arial" w:eastAsia="Arial" w:hAnsi="Arial"/>
          <w:sz w:val="22"/>
          <w:szCs w:val="22"/>
          <w:color w:val="1C1C1C"/>
        </w:rPr>
        <w:t>Restricted Area”). Specifically</w:t>
      </w:r>
      <w:r>
        <w:rPr>
          <w:rFonts w:ascii="Arial" w:cs="Arial" w:eastAsia="Arial" w:hAnsi="Arial"/>
          <w:sz w:val="22"/>
          <w:szCs w:val="22"/>
          <w:color w:val="3B3B3B"/>
        </w:rPr>
        <w:t>,</w:t>
      </w:r>
      <w:r>
        <w:rPr>
          <w:rFonts w:ascii="Arial" w:cs="Arial" w:eastAsia="Arial" w:hAnsi="Arial"/>
          <w:sz w:val="22"/>
          <w:szCs w:val="22"/>
          <w:color w:val="1C1C1C"/>
        </w:rPr>
        <w:t xml:space="preserve"> Executive agrees not to engage in any manner in any activity that is directly competitive with the business of the Company as conducted at the time of Executive</w:t>
      </w:r>
      <w:r>
        <w:rPr>
          <w:rFonts w:ascii="Arial" w:cs="Arial" w:eastAsia="Arial" w:hAnsi="Arial"/>
          <w:sz w:val="22"/>
          <w:szCs w:val="22"/>
          <w:color w:val="545454"/>
        </w:rPr>
        <w:t>’</w:t>
      </w:r>
      <w:r>
        <w:rPr>
          <w:rFonts w:ascii="Arial" w:cs="Arial" w:eastAsia="Arial" w:hAnsi="Arial"/>
          <w:sz w:val="22"/>
          <w:szCs w:val="22"/>
          <w:color w:val="1C1C1C"/>
        </w:rPr>
        <w:t>s departure from the Company. For the purposes of this Section 9</w:t>
      </w:r>
      <w:r>
        <w:rPr>
          <w:rFonts w:ascii="Arial" w:cs="Arial" w:eastAsia="Arial" w:hAnsi="Arial"/>
          <w:sz w:val="22"/>
          <w:szCs w:val="22"/>
          <w:color w:val="3B3B3B"/>
        </w:rPr>
        <w:t>,</w:t>
      </w:r>
      <w:r>
        <w:rPr>
          <w:rFonts w:ascii="Arial" w:cs="Arial" w:eastAsia="Arial" w:hAnsi="Arial"/>
          <w:sz w:val="22"/>
          <w:szCs w:val="22"/>
          <w:color w:val="1C1C1C"/>
        </w:rPr>
        <w:t xml:space="preserve"> the business of the Company shall include:</w:t>
      </w:r>
    </w:p>
    <w:p>
      <w:pPr>
        <w:spacing w:after="0" w:line="24" w:lineRule="exact"/>
        <w:rPr>
          <w:rFonts w:ascii="Arial" w:cs="Arial" w:eastAsia="Arial" w:hAnsi="Arial"/>
          <w:sz w:val="22"/>
          <w:szCs w:val="22"/>
          <w:color w:val="1C1C1C"/>
        </w:rPr>
      </w:pPr>
    </w:p>
    <w:p>
      <w:pPr>
        <w:jc w:val="both"/>
        <w:ind w:left="860" w:right="20" w:firstLine="1223"/>
        <w:spacing w:after="0"/>
        <w:tabs>
          <w:tab w:leader="none" w:pos="2731" w:val="left"/>
        </w:tabs>
        <w:numPr>
          <w:ilvl w:val="3"/>
          <w:numId w:val="28"/>
        </w:numPr>
        <w:rPr>
          <w:rFonts w:ascii="Arial" w:cs="Arial" w:eastAsia="Arial" w:hAnsi="Arial"/>
          <w:sz w:val="22"/>
          <w:szCs w:val="22"/>
          <w:color w:val="1C1C1C"/>
        </w:rPr>
      </w:pPr>
      <w:r>
        <w:rPr>
          <w:rFonts w:ascii="Arial" w:cs="Arial" w:eastAsia="Arial" w:hAnsi="Arial"/>
          <w:sz w:val="22"/>
          <w:szCs w:val="22"/>
          <w:color w:val="1C1C1C"/>
        </w:rPr>
        <w:t>development and distribution of Aviptadil and/or other peptide drugs to treat Acute Respiratory Distress Syndrome (ARDS)</w:t>
      </w:r>
      <w:r>
        <w:rPr>
          <w:rFonts w:ascii="Arial" w:cs="Arial" w:eastAsia="Arial" w:hAnsi="Arial"/>
          <w:sz w:val="22"/>
          <w:szCs w:val="22"/>
          <w:color w:val="3B3B3B"/>
        </w:rPr>
        <w:t>,</w:t>
      </w:r>
      <w:r>
        <w:rPr>
          <w:rFonts w:ascii="Arial" w:cs="Arial" w:eastAsia="Arial" w:hAnsi="Arial"/>
          <w:sz w:val="22"/>
          <w:szCs w:val="22"/>
          <w:color w:val="1C1C1C"/>
        </w:rPr>
        <w:t xml:space="preserve"> particularly ARDS arising from or in conjunction with an infectious disease including but not limited to COVID-19</w:t>
      </w:r>
      <w:r>
        <w:rPr>
          <w:rFonts w:ascii="Arial" w:cs="Arial" w:eastAsia="Arial" w:hAnsi="Arial"/>
          <w:sz w:val="22"/>
          <w:szCs w:val="22"/>
          <w:color w:val="3B3B3B"/>
        </w:rPr>
        <w:t>;</w:t>
      </w:r>
    </w:p>
    <w:p>
      <w:pPr>
        <w:spacing w:after="0" w:line="24" w:lineRule="exact"/>
        <w:rPr>
          <w:rFonts w:ascii="Arial" w:cs="Arial" w:eastAsia="Arial" w:hAnsi="Arial"/>
          <w:sz w:val="22"/>
          <w:szCs w:val="22"/>
          <w:color w:val="1C1C1C"/>
        </w:rPr>
      </w:pPr>
    </w:p>
    <w:p>
      <w:pPr>
        <w:jc w:val="both"/>
        <w:ind w:left="860" w:firstLine="1222"/>
        <w:spacing w:after="0"/>
        <w:tabs>
          <w:tab w:leader="none" w:pos="2726" w:val="left"/>
        </w:tabs>
        <w:numPr>
          <w:ilvl w:val="3"/>
          <w:numId w:val="28"/>
        </w:numPr>
        <w:rPr>
          <w:rFonts w:ascii="Arial" w:cs="Arial" w:eastAsia="Arial" w:hAnsi="Arial"/>
          <w:sz w:val="22"/>
          <w:szCs w:val="22"/>
          <w:color w:val="1C1C1C"/>
        </w:rPr>
      </w:pPr>
      <w:r>
        <w:rPr>
          <w:rFonts w:ascii="Arial" w:cs="Arial" w:eastAsia="Arial" w:hAnsi="Arial"/>
          <w:sz w:val="22"/>
          <w:szCs w:val="22"/>
          <w:color w:val="1C1C1C"/>
        </w:rPr>
        <w:t>development and distribution of NMDA</w:t>
      </w:r>
      <w:r>
        <w:rPr>
          <w:rFonts w:ascii="Arial" w:cs="Arial" w:eastAsia="Arial" w:hAnsi="Arial"/>
          <w:sz w:val="22"/>
          <w:szCs w:val="22"/>
          <w:color w:val="545454"/>
        </w:rPr>
        <w:t>,</w:t>
      </w:r>
      <w:r>
        <w:rPr>
          <w:rFonts w:ascii="Arial" w:cs="Arial" w:eastAsia="Arial" w:hAnsi="Arial"/>
          <w:sz w:val="22"/>
          <w:szCs w:val="22"/>
          <w:color w:val="1C1C1C"/>
        </w:rPr>
        <w:t xml:space="preserve"> Glutamine</w:t>
      </w:r>
      <w:r>
        <w:rPr>
          <w:rFonts w:ascii="Arial" w:cs="Arial" w:eastAsia="Arial" w:hAnsi="Arial"/>
          <w:sz w:val="22"/>
          <w:szCs w:val="22"/>
          <w:color w:val="3B3B3B"/>
        </w:rPr>
        <w:t>/</w:t>
      </w:r>
      <w:r>
        <w:rPr>
          <w:rFonts w:ascii="Arial" w:cs="Arial" w:eastAsia="Arial" w:hAnsi="Arial"/>
          <w:sz w:val="22"/>
          <w:szCs w:val="22"/>
          <w:color w:val="1C1C1C"/>
        </w:rPr>
        <w:t>Glutamate</w:t>
      </w:r>
      <w:r>
        <w:rPr>
          <w:rFonts w:ascii="Arial" w:cs="Arial" w:eastAsia="Arial" w:hAnsi="Arial"/>
          <w:sz w:val="22"/>
          <w:szCs w:val="22"/>
          <w:color w:val="3B3B3B"/>
        </w:rPr>
        <w:t>,</w:t>
      </w:r>
      <w:r>
        <w:rPr>
          <w:rFonts w:ascii="Arial" w:cs="Arial" w:eastAsia="Arial" w:hAnsi="Arial"/>
          <w:sz w:val="22"/>
          <w:szCs w:val="22"/>
          <w:color w:val="1C1C1C"/>
        </w:rPr>
        <w:t xml:space="preserve"> and GABA</w:t>
      </w:r>
      <w:r>
        <w:rPr>
          <w:rFonts w:ascii="Arial" w:cs="Arial" w:eastAsia="Arial" w:hAnsi="Arial"/>
          <w:sz w:val="22"/>
          <w:szCs w:val="22"/>
          <w:color w:val="030303"/>
        </w:rPr>
        <w:t>-</w:t>
      </w:r>
      <w:r>
        <w:rPr>
          <w:rFonts w:ascii="Arial" w:cs="Arial" w:eastAsia="Arial" w:hAnsi="Arial"/>
          <w:sz w:val="22"/>
          <w:szCs w:val="22"/>
          <w:color w:val="1C1C1C"/>
        </w:rPr>
        <w:t>targeted drugs to treat psychiatric conditions</w:t>
      </w:r>
      <w:r>
        <w:rPr>
          <w:rFonts w:ascii="Arial" w:cs="Arial" w:eastAsia="Arial" w:hAnsi="Arial"/>
          <w:sz w:val="22"/>
          <w:szCs w:val="22"/>
          <w:color w:val="3B3B3B"/>
        </w:rPr>
        <w:t>,</w:t>
      </w:r>
      <w:r>
        <w:rPr>
          <w:rFonts w:ascii="Arial" w:cs="Arial" w:eastAsia="Arial" w:hAnsi="Arial"/>
          <w:sz w:val="22"/>
          <w:szCs w:val="22"/>
          <w:color w:val="1C1C1C"/>
        </w:rPr>
        <w:t xml:space="preserve"> and/or an indication or a claim involving the treatment of depression</w:t>
      </w:r>
      <w:r>
        <w:rPr>
          <w:rFonts w:ascii="Arial" w:cs="Arial" w:eastAsia="Arial" w:hAnsi="Arial"/>
          <w:sz w:val="22"/>
          <w:szCs w:val="22"/>
          <w:color w:val="3B3B3B"/>
        </w:rPr>
        <w:t>,</w:t>
      </w:r>
      <w:r>
        <w:rPr>
          <w:rFonts w:ascii="Arial" w:cs="Arial" w:eastAsia="Arial" w:hAnsi="Arial"/>
          <w:sz w:val="22"/>
          <w:szCs w:val="22"/>
          <w:color w:val="1C1C1C"/>
        </w:rPr>
        <w:t xml:space="preserve"> PTSD, or reduction of suicidal ideation</w:t>
      </w:r>
      <w:r>
        <w:rPr>
          <w:rFonts w:ascii="Arial" w:cs="Arial" w:eastAsia="Arial" w:hAnsi="Arial"/>
          <w:sz w:val="22"/>
          <w:szCs w:val="22"/>
          <w:color w:val="3B3B3B"/>
        </w:rPr>
        <w:t>;</w:t>
      </w:r>
      <w:r>
        <w:rPr>
          <w:rFonts w:ascii="Arial" w:cs="Arial" w:eastAsia="Arial" w:hAnsi="Arial"/>
          <w:sz w:val="22"/>
          <w:szCs w:val="22"/>
          <w:color w:val="1C1C1C"/>
        </w:rPr>
        <w:t xml:space="preserve"> and</w:t>
      </w:r>
    </w:p>
    <w:p>
      <w:pPr>
        <w:spacing w:after="0" w:line="24" w:lineRule="exact"/>
        <w:rPr>
          <w:rFonts w:ascii="Arial" w:cs="Arial" w:eastAsia="Arial" w:hAnsi="Arial"/>
          <w:sz w:val="22"/>
          <w:szCs w:val="22"/>
          <w:color w:val="1C1C1C"/>
        </w:rPr>
      </w:pPr>
    </w:p>
    <w:p>
      <w:pPr>
        <w:ind w:left="860" w:firstLine="1226"/>
        <w:spacing w:after="0" w:line="250" w:lineRule="auto"/>
        <w:tabs>
          <w:tab w:leader="none" w:pos="2730" w:val="left"/>
        </w:tabs>
        <w:numPr>
          <w:ilvl w:val="3"/>
          <w:numId w:val="28"/>
        </w:numPr>
        <w:rPr>
          <w:rFonts w:ascii="Arial" w:cs="Arial" w:eastAsia="Arial" w:hAnsi="Arial"/>
          <w:sz w:val="22"/>
          <w:szCs w:val="22"/>
          <w:color w:val="1C1C1C"/>
        </w:rPr>
      </w:pPr>
      <w:r>
        <w:rPr>
          <w:rFonts w:ascii="Arial" w:cs="Arial" w:eastAsia="Arial" w:hAnsi="Arial"/>
          <w:sz w:val="22"/>
          <w:szCs w:val="22"/>
          <w:color w:val="1C1C1C"/>
        </w:rPr>
        <w:t>development of any drug involving suicidal ideation or in which suicidal ideation is a substantial part of the clinical program</w:t>
      </w:r>
      <w:r>
        <w:rPr>
          <w:rFonts w:ascii="Arial" w:cs="Arial" w:eastAsia="Arial" w:hAnsi="Arial"/>
          <w:sz w:val="22"/>
          <w:szCs w:val="22"/>
          <w:color w:val="545454"/>
        </w:rPr>
        <w:t>.</w:t>
      </w:r>
    </w:p>
    <w:p>
      <w:pPr>
        <w:spacing w:after="0" w:line="201" w:lineRule="exact"/>
        <w:rPr>
          <w:rFonts w:ascii="Arial" w:cs="Arial" w:eastAsia="Arial" w:hAnsi="Arial"/>
          <w:sz w:val="22"/>
          <w:szCs w:val="22"/>
          <w:color w:val="1C1C1C"/>
        </w:rPr>
      </w:pPr>
    </w:p>
    <w:p>
      <w:pPr>
        <w:ind w:left="1780" w:hanging="364"/>
        <w:spacing w:after="0"/>
        <w:tabs>
          <w:tab w:leader="none" w:pos="1780" w:val="left"/>
        </w:tabs>
        <w:numPr>
          <w:ilvl w:val="2"/>
          <w:numId w:val="28"/>
        </w:numPr>
        <w:rPr>
          <w:rFonts w:ascii="Arial" w:cs="Arial" w:eastAsia="Arial" w:hAnsi="Arial"/>
          <w:sz w:val="21"/>
          <w:szCs w:val="21"/>
          <w:color w:val="1C1C1C"/>
        </w:rPr>
      </w:pPr>
      <w:r>
        <w:rPr>
          <w:rFonts w:ascii="Arial" w:cs="Arial" w:eastAsia="Arial" w:hAnsi="Arial"/>
          <w:sz w:val="21"/>
          <w:szCs w:val="21"/>
          <w:color w:val="1C1C1C"/>
        </w:rPr>
        <w:t>Executive agrees that during his employment with the Company</w:t>
      </w:r>
      <w:r>
        <w:rPr>
          <w:rFonts w:ascii="Arial" w:cs="Arial" w:eastAsia="Arial" w:hAnsi="Arial"/>
          <w:sz w:val="21"/>
          <w:szCs w:val="21"/>
          <w:color w:val="3B3B3B"/>
        </w:rPr>
        <w:t>,</w:t>
      </w:r>
      <w:r>
        <w:rPr>
          <w:rFonts w:ascii="Arial" w:cs="Arial" w:eastAsia="Arial" w:hAnsi="Arial"/>
          <w:sz w:val="21"/>
          <w:szCs w:val="21"/>
          <w:color w:val="1C1C1C"/>
        </w:rPr>
        <w:t xml:space="preserve"> he will not undertake</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6 </w:t>
      </w:r>
      <w:r>
        <w:rPr>
          <w:rFonts w:ascii="Arial" w:cs="Arial" w:eastAsia="Arial" w:hAnsi="Arial"/>
          <w:sz w:val="21"/>
          <w:szCs w:val="21"/>
          <w:color w:val="161616"/>
        </w:rPr>
        <w:t>|</w:t>
      </w:r>
      <w:r>
        <w:rPr>
          <w:rFonts w:ascii="Arial" w:cs="Arial" w:eastAsia="Arial" w:hAnsi="Arial"/>
          <w:sz w:val="21"/>
          <w:szCs w:val="21"/>
          <w:b w:val="1"/>
          <w:bCs w:val="1"/>
          <w:color w:val="auto"/>
        </w:rPr>
        <w:t xml:space="preserve"> </w:t>
      </w:r>
      <w:r>
        <w:rPr>
          <w:rFonts w:ascii="Arial" w:cs="Arial" w:eastAsia="Arial" w:hAnsi="Arial"/>
          <w:sz w:val="21"/>
          <w:szCs w:val="21"/>
          <w:color w:val="646464"/>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6" w:name="page47"/>
    <w:bookmarkEnd w:id="46"/>
    <w:p>
      <w:pPr>
        <w:ind w:left="840" w:right="20"/>
        <w:spacing w:after="0" w:line="328" w:lineRule="auto"/>
        <w:rPr>
          <w:sz w:val="20"/>
          <w:szCs w:val="20"/>
          <w:color w:val="auto"/>
        </w:rPr>
      </w:pPr>
      <w:r>
        <w:rPr>
          <w:rFonts w:ascii="Arial" w:cs="Arial" w:eastAsia="Arial" w:hAnsi="Arial"/>
          <w:sz w:val="19"/>
          <w:szCs w:val="19"/>
          <w:color w:val="1A1A1A"/>
        </w:rPr>
        <w:t>any outside activity, whether or not competitive with the business of the Company, that could reasonably give rise to a conflict of interest or otherwise interfere with his duties and obligations to the Company.</w:t>
      </w:r>
    </w:p>
    <w:p>
      <w:pPr>
        <w:spacing w:after="0" w:line="145" w:lineRule="exact"/>
        <w:rPr>
          <w:sz w:val="20"/>
          <w:szCs w:val="20"/>
          <w:color w:val="auto"/>
        </w:rPr>
      </w:pPr>
    </w:p>
    <w:p>
      <w:pPr>
        <w:jc w:val="both"/>
        <w:ind w:left="860" w:firstLine="556"/>
        <w:spacing w:after="0" w:line="235" w:lineRule="auto"/>
        <w:tabs>
          <w:tab w:leader="none" w:pos="1790" w:val="left"/>
        </w:tabs>
        <w:numPr>
          <w:ilvl w:val="2"/>
          <w:numId w:val="29"/>
        </w:numPr>
        <w:rPr>
          <w:rFonts w:ascii="Arial" w:cs="Arial" w:eastAsia="Arial" w:hAnsi="Arial"/>
          <w:sz w:val="22"/>
          <w:szCs w:val="22"/>
          <w:color w:val="1A1A1A"/>
        </w:rPr>
      </w:pPr>
      <w:r>
        <w:rPr>
          <w:rFonts w:ascii="Arial" w:cs="Arial" w:eastAsia="Arial" w:hAnsi="Arial"/>
          <w:sz w:val="22"/>
          <w:szCs w:val="22"/>
          <w:color w:val="1A1A1A"/>
        </w:rPr>
        <w:t>Executive further agrees that during the Non-Competition Period</w:t>
      </w:r>
      <w:r>
        <w:rPr>
          <w:rFonts w:ascii="Arial" w:cs="Arial" w:eastAsia="Arial" w:hAnsi="Arial"/>
          <w:sz w:val="22"/>
          <w:szCs w:val="22"/>
          <w:color w:val="464646"/>
        </w:rPr>
        <w:t>,</w:t>
      </w:r>
      <w:r>
        <w:rPr>
          <w:rFonts w:ascii="Arial" w:cs="Arial" w:eastAsia="Arial" w:hAnsi="Arial"/>
          <w:sz w:val="22"/>
          <w:szCs w:val="22"/>
          <w:color w:val="1A1A1A"/>
        </w:rPr>
        <w:t xml:space="preserve"> Executive will not hire or attempt to hire any employee or contractor of the Company, assist in such hiring by any person, or encourage any such employee to terminate his or his relationship with the Company; provided</w:t>
      </w:r>
      <w:r>
        <w:rPr>
          <w:rFonts w:ascii="Arial" w:cs="Arial" w:eastAsia="Arial" w:hAnsi="Arial"/>
          <w:sz w:val="22"/>
          <w:szCs w:val="22"/>
          <w:color w:val="464646"/>
        </w:rPr>
        <w:t>,</w:t>
      </w:r>
      <w:r>
        <w:rPr>
          <w:rFonts w:ascii="Arial" w:cs="Arial" w:eastAsia="Arial" w:hAnsi="Arial"/>
          <w:sz w:val="22"/>
          <w:szCs w:val="22"/>
          <w:color w:val="1A1A1A"/>
        </w:rPr>
        <w:t xml:space="preserve"> however, that the foregoing will not apply to any employee that has terminated his employment relationship with the Company at least six (6) months prior to the date on </w:t>
      </w:r>
      <w:r>
        <w:rPr>
          <w:rFonts w:ascii="Arial" w:cs="Arial" w:eastAsia="Arial" w:hAnsi="Arial"/>
          <w:sz w:val="22"/>
          <w:szCs w:val="22"/>
          <w:color w:val="2F2F2F"/>
        </w:rPr>
        <w:t>which</w:t>
      </w:r>
      <w:r>
        <w:rPr>
          <w:rFonts w:ascii="Arial" w:cs="Arial" w:eastAsia="Arial" w:hAnsi="Arial"/>
          <w:sz w:val="22"/>
          <w:szCs w:val="22"/>
          <w:color w:val="1A1A1A"/>
        </w:rPr>
        <w:t xml:space="preserve"> Executive’s employment relationship with the Company is terminated.</w:t>
      </w:r>
    </w:p>
    <w:p>
      <w:pPr>
        <w:spacing w:after="0" w:line="214" w:lineRule="exact"/>
        <w:rPr>
          <w:rFonts w:ascii="Arial" w:cs="Arial" w:eastAsia="Arial" w:hAnsi="Arial"/>
          <w:sz w:val="22"/>
          <w:szCs w:val="22"/>
          <w:color w:val="1A1A1A"/>
        </w:rPr>
      </w:pPr>
    </w:p>
    <w:p>
      <w:pPr>
        <w:jc w:val="both"/>
        <w:ind w:left="860" w:firstLine="561"/>
        <w:spacing w:after="0" w:line="238" w:lineRule="auto"/>
        <w:tabs>
          <w:tab w:leader="none" w:pos="1807" w:val="left"/>
        </w:tabs>
        <w:numPr>
          <w:ilvl w:val="2"/>
          <w:numId w:val="29"/>
        </w:numPr>
        <w:rPr>
          <w:rFonts w:ascii="Arial" w:cs="Arial" w:eastAsia="Arial" w:hAnsi="Arial"/>
          <w:sz w:val="22"/>
          <w:szCs w:val="22"/>
          <w:color w:val="1A1A1A"/>
        </w:rPr>
      </w:pPr>
      <w:r>
        <w:rPr>
          <w:rFonts w:ascii="Arial" w:cs="Arial" w:eastAsia="Arial" w:hAnsi="Arial"/>
          <w:sz w:val="22"/>
          <w:szCs w:val="22"/>
          <w:color w:val="1A1A1A"/>
        </w:rPr>
        <w:t xml:space="preserve">Executive further agrees that during the Non-Competition Period, Executive will not solicit any customer or vendor of the Company to terminate or diminish its relationship with them, or, in the case of a customer, to conduct with any Person any business or activity which such customer conducts immediately prior to </w:t>
      </w:r>
      <w:r>
        <w:rPr>
          <w:rFonts w:ascii="Arial" w:cs="Arial" w:eastAsia="Arial" w:hAnsi="Arial"/>
          <w:sz w:val="22"/>
          <w:szCs w:val="22"/>
          <w:color w:val="2F2F2F"/>
        </w:rPr>
        <w:t>Executive’s</w:t>
      </w:r>
      <w:r>
        <w:rPr>
          <w:rFonts w:ascii="Arial" w:cs="Arial" w:eastAsia="Arial" w:hAnsi="Arial"/>
          <w:sz w:val="22"/>
          <w:szCs w:val="22"/>
          <w:color w:val="1A1A1A"/>
        </w:rPr>
        <w:t xml:space="preserve"> departure with the Company.</w:t>
      </w:r>
    </w:p>
    <w:p>
      <w:pPr>
        <w:spacing w:after="0" w:line="205" w:lineRule="exact"/>
        <w:rPr>
          <w:rFonts w:ascii="Arial" w:cs="Arial" w:eastAsia="Arial" w:hAnsi="Arial"/>
          <w:sz w:val="22"/>
          <w:szCs w:val="22"/>
          <w:color w:val="1A1A1A"/>
        </w:rPr>
      </w:pPr>
    </w:p>
    <w:p>
      <w:pPr>
        <w:jc w:val="both"/>
        <w:ind w:left="760" w:firstLine="10"/>
        <w:spacing w:after="0" w:line="244" w:lineRule="auto"/>
        <w:tabs>
          <w:tab w:leader="none" w:pos="1411" w:val="left"/>
        </w:tabs>
        <w:numPr>
          <w:ilvl w:val="0"/>
          <w:numId w:val="30"/>
        </w:numPr>
        <w:rPr>
          <w:rFonts w:ascii="Arial" w:cs="Arial" w:eastAsia="Arial" w:hAnsi="Arial"/>
          <w:sz w:val="21"/>
          <w:szCs w:val="21"/>
          <w:color w:val="1A1A1A"/>
        </w:rPr>
      </w:pPr>
      <w:r>
        <w:rPr>
          <w:rFonts w:ascii="Arial" w:cs="Arial" w:eastAsia="Arial" w:hAnsi="Arial"/>
          <w:sz w:val="21"/>
          <w:szCs w:val="21"/>
          <w:b w:val="1"/>
          <w:bCs w:val="1"/>
          <w:u w:val="single" w:color="auto"/>
          <w:color w:val="1A1A1A"/>
        </w:rPr>
        <w:t>Section 409A of the Code.</w:t>
      </w:r>
      <w:r>
        <w:rPr>
          <w:rFonts w:ascii="Arial" w:cs="Arial" w:eastAsia="Arial" w:hAnsi="Arial"/>
          <w:sz w:val="21"/>
          <w:szCs w:val="21"/>
          <w:b w:val="1"/>
          <w:bCs w:val="1"/>
          <w:color w:val="1A1A1A"/>
        </w:rPr>
        <w:t xml:space="preserve"> </w:t>
      </w:r>
      <w:r>
        <w:rPr>
          <w:rFonts w:ascii="Arial" w:cs="Arial" w:eastAsia="Arial" w:hAnsi="Arial"/>
          <w:sz w:val="21"/>
          <w:szCs w:val="21"/>
          <w:color w:val="1A1A1A"/>
        </w:rPr>
        <w:t>Anything to the contrary herein notwithstanding, all benefits or</w:t>
      </w:r>
      <w:r>
        <w:rPr>
          <w:rFonts w:ascii="Arial" w:cs="Arial" w:eastAsia="Arial" w:hAnsi="Arial"/>
          <w:sz w:val="21"/>
          <w:szCs w:val="21"/>
          <w:b w:val="1"/>
          <w:bCs w:val="1"/>
          <w:color w:val="1A1A1A"/>
        </w:rPr>
        <w:t xml:space="preserve"> </w:t>
      </w:r>
      <w:r>
        <w:rPr>
          <w:rFonts w:ascii="Arial" w:cs="Arial" w:eastAsia="Arial" w:hAnsi="Arial"/>
          <w:sz w:val="21"/>
          <w:szCs w:val="21"/>
          <w:color w:val="1A1A1A"/>
        </w:rPr>
        <w:t xml:space="preserve">payments provided by the Company to Executive that would be deemed to constitute </w:t>
      </w:r>
      <w:r>
        <w:rPr>
          <w:rFonts w:ascii="Arial" w:cs="Arial" w:eastAsia="Arial" w:hAnsi="Arial"/>
          <w:sz w:val="21"/>
          <w:szCs w:val="21"/>
          <w:color w:val="2F2F2F"/>
        </w:rPr>
        <w:t>“nonqualified</w:t>
      </w:r>
      <w:r>
        <w:rPr>
          <w:rFonts w:ascii="Arial" w:cs="Arial" w:eastAsia="Arial" w:hAnsi="Arial"/>
          <w:sz w:val="21"/>
          <w:szCs w:val="21"/>
          <w:color w:val="1A1A1A"/>
        </w:rPr>
        <w:t xml:space="preserve"> deferred compensation” within the meaning of Section 409A of the Internal Revenue Code (“Section 409A”) are intended to comply with Section 409A and, in the event that any such benefit or payment is deemed to not comply with Section 409A, the Company and Executive agree to renegotiate in good faith any such benefit or payment so that either (i) Section 409A will not apply or (ii) compliance with Section 409A will be achieved, </w:t>
      </w:r>
      <w:r>
        <w:rPr>
          <w:rFonts w:ascii="Arial" w:cs="Arial" w:eastAsia="Arial" w:hAnsi="Arial"/>
          <w:sz w:val="21"/>
          <w:szCs w:val="21"/>
          <w:u w:val="single" w:color="auto"/>
          <w:color w:val="1A1A1A"/>
        </w:rPr>
        <w:t>provided</w:t>
      </w:r>
      <w:r>
        <w:rPr>
          <w:rFonts w:ascii="Arial" w:cs="Arial" w:eastAsia="Arial" w:hAnsi="Arial"/>
          <w:sz w:val="21"/>
          <w:szCs w:val="21"/>
          <w:color w:val="1A1A1A"/>
        </w:rPr>
        <w:t xml:space="preserve">, </w:t>
      </w:r>
      <w:r>
        <w:rPr>
          <w:rFonts w:ascii="Arial" w:cs="Arial" w:eastAsia="Arial" w:hAnsi="Arial"/>
          <w:sz w:val="21"/>
          <w:szCs w:val="21"/>
          <w:u w:val="single" w:color="auto"/>
          <w:color w:val="1A1A1A"/>
        </w:rPr>
        <w:t>however</w:t>
      </w:r>
      <w:r>
        <w:rPr>
          <w:rFonts w:ascii="Arial" w:cs="Arial" w:eastAsia="Arial" w:hAnsi="Arial"/>
          <w:sz w:val="21"/>
          <w:szCs w:val="21"/>
          <w:color w:val="565656"/>
        </w:rPr>
        <w:t>,</w:t>
      </w:r>
      <w:r>
        <w:rPr>
          <w:rFonts w:ascii="Arial" w:cs="Arial" w:eastAsia="Arial" w:hAnsi="Arial"/>
          <w:sz w:val="21"/>
          <w:szCs w:val="21"/>
          <w:color w:val="1A1A1A"/>
        </w:rPr>
        <w:t xml:space="preserve"> that any resulting renegotiated terms shall provide to Executive, to the extent reasonably practicable, the after-tax economic equivalent based on what otherwise would have been provided to Executive pursuant to the terms of this Agreement. Notwithstanding the above, if Executive qualifies as a </w:t>
      </w:r>
      <w:r>
        <w:rPr>
          <w:rFonts w:ascii="Arial" w:cs="Arial" w:eastAsia="Arial" w:hAnsi="Arial"/>
          <w:sz w:val="21"/>
          <w:szCs w:val="21"/>
          <w:color w:val="2F2F2F"/>
        </w:rPr>
        <w:t>“specified</w:t>
      </w:r>
      <w:r>
        <w:rPr>
          <w:rFonts w:ascii="Arial" w:cs="Arial" w:eastAsia="Arial" w:hAnsi="Arial"/>
          <w:sz w:val="21"/>
          <w:szCs w:val="21"/>
          <w:color w:val="1A1A1A"/>
        </w:rPr>
        <w:t xml:space="preserve"> employee,” as defined in Section 409A, incurs a separation from service for any reason other than death and becomes </w:t>
      </w:r>
      <w:r>
        <w:rPr>
          <w:rFonts w:ascii="Arial" w:cs="Arial" w:eastAsia="Arial" w:hAnsi="Arial"/>
          <w:sz w:val="21"/>
          <w:szCs w:val="21"/>
          <w:color w:val="2F2F2F"/>
        </w:rPr>
        <w:t>entitled</w:t>
      </w:r>
      <w:r>
        <w:rPr>
          <w:rFonts w:ascii="Arial" w:cs="Arial" w:eastAsia="Arial" w:hAnsi="Arial"/>
          <w:sz w:val="21"/>
          <w:szCs w:val="21"/>
          <w:color w:val="1A1A1A"/>
        </w:rPr>
        <w:t xml:space="preserve"> to a distribution under this Agreement, then to the extent required by Section 409A, no distribution otherwise payable to such specified employee during the first six (6) months after the date of such separation from service, shall be paid to such specified employee until the date which is one day after the date which is six (6) months after the date of such separation from service </w:t>
      </w:r>
      <w:r>
        <w:rPr>
          <w:rFonts w:ascii="Arial" w:cs="Arial" w:eastAsia="Arial" w:hAnsi="Arial"/>
          <w:sz w:val="21"/>
          <w:szCs w:val="21"/>
          <w:color w:val="2F2F2F"/>
        </w:rPr>
        <w:t>(</w:t>
      </w:r>
      <w:r>
        <w:rPr>
          <w:rFonts w:ascii="Arial" w:cs="Arial" w:eastAsia="Arial" w:hAnsi="Arial"/>
          <w:sz w:val="21"/>
          <w:szCs w:val="21"/>
          <w:color w:val="1A1A1A"/>
        </w:rPr>
        <w:t>or, if earlier, the date of death of the specified employee).</w:t>
      </w:r>
    </w:p>
    <w:p>
      <w:pPr>
        <w:spacing w:after="0" w:line="202" w:lineRule="exact"/>
        <w:rPr>
          <w:rFonts w:ascii="Arial" w:cs="Arial" w:eastAsia="Arial" w:hAnsi="Arial"/>
          <w:sz w:val="21"/>
          <w:szCs w:val="21"/>
          <w:color w:val="1A1A1A"/>
        </w:rPr>
      </w:pPr>
    </w:p>
    <w:p>
      <w:pPr>
        <w:jc w:val="both"/>
        <w:ind w:left="780" w:firstLine="8"/>
        <w:spacing w:after="0" w:line="272" w:lineRule="auto"/>
        <w:tabs>
          <w:tab w:leader="none" w:pos="1432" w:val="left"/>
        </w:tabs>
        <w:numPr>
          <w:ilvl w:val="1"/>
          <w:numId w:val="30"/>
        </w:numPr>
        <w:rPr>
          <w:rFonts w:ascii="Arial" w:cs="Arial" w:eastAsia="Arial" w:hAnsi="Arial"/>
          <w:sz w:val="19"/>
          <w:szCs w:val="19"/>
          <w:color w:val="1A1A1A"/>
        </w:rPr>
      </w:pPr>
      <w:r>
        <w:rPr>
          <w:rFonts w:ascii="Arial" w:cs="Arial" w:eastAsia="Arial" w:hAnsi="Arial"/>
          <w:sz w:val="19"/>
          <w:szCs w:val="19"/>
          <w:b w:val="1"/>
          <w:bCs w:val="1"/>
          <w:u w:val="single" w:color="auto"/>
          <w:color w:val="1A1A1A"/>
        </w:rPr>
        <w:t>Enforcement of Covenants.</w:t>
      </w:r>
      <w:r>
        <w:rPr>
          <w:rFonts w:ascii="Arial" w:cs="Arial" w:eastAsia="Arial" w:hAnsi="Arial"/>
          <w:sz w:val="19"/>
          <w:szCs w:val="19"/>
          <w:b w:val="1"/>
          <w:bCs w:val="1"/>
          <w:color w:val="1A1A1A"/>
        </w:rPr>
        <w:t xml:space="preserve"> </w:t>
      </w:r>
      <w:r>
        <w:rPr>
          <w:rFonts w:ascii="Arial" w:cs="Arial" w:eastAsia="Arial" w:hAnsi="Arial"/>
          <w:sz w:val="19"/>
          <w:szCs w:val="19"/>
          <w:color w:val="1A1A1A"/>
        </w:rPr>
        <w:t>Executive acknowledges that he has carefully read and considered</w:t>
      </w:r>
      <w:r>
        <w:rPr>
          <w:rFonts w:ascii="Arial" w:cs="Arial" w:eastAsia="Arial" w:hAnsi="Arial"/>
          <w:sz w:val="19"/>
          <w:szCs w:val="19"/>
          <w:b w:val="1"/>
          <w:bCs w:val="1"/>
          <w:color w:val="1A1A1A"/>
        </w:rPr>
        <w:t xml:space="preserve"> </w:t>
      </w:r>
      <w:r>
        <w:rPr>
          <w:rFonts w:ascii="Arial" w:cs="Arial" w:eastAsia="Arial" w:hAnsi="Arial"/>
          <w:sz w:val="19"/>
          <w:szCs w:val="19"/>
          <w:color w:val="1A1A1A"/>
        </w:rPr>
        <w:t>all the terms and conditions of this Agreement</w:t>
      </w:r>
      <w:r>
        <w:rPr>
          <w:rFonts w:ascii="Arial" w:cs="Arial" w:eastAsia="Arial" w:hAnsi="Arial"/>
          <w:sz w:val="19"/>
          <w:szCs w:val="19"/>
          <w:color w:val="464646"/>
        </w:rPr>
        <w:t>,</w:t>
      </w:r>
      <w:r>
        <w:rPr>
          <w:rFonts w:ascii="Arial" w:cs="Arial" w:eastAsia="Arial" w:hAnsi="Arial"/>
          <w:sz w:val="19"/>
          <w:szCs w:val="19"/>
          <w:color w:val="1A1A1A"/>
        </w:rPr>
        <w:t xml:space="preserve"> including the restraints imposed upon him pursuant to Sections 7, 8 and 9 hereof. Executive agrees that those restraints are necessary for the reasonable and proper protection of the Company and that each and every one of the restraints is reasonable in respect to subject matter</w:t>
      </w:r>
      <w:r>
        <w:rPr>
          <w:rFonts w:ascii="Arial" w:cs="Arial" w:eastAsia="Arial" w:hAnsi="Arial"/>
          <w:sz w:val="19"/>
          <w:szCs w:val="19"/>
          <w:color w:val="676767"/>
        </w:rPr>
        <w:t>,</w:t>
      </w:r>
      <w:r>
        <w:rPr>
          <w:rFonts w:ascii="Arial" w:cs="Arial" w:eastAsia="Arial" w:hAnsi="Arial"/>
          <w:sz w:val="19"/>
          <w:szCs w:val="19"/>
          <w:color w:val="1A1A1A"/>
        </w:rPr>
        <w:t xml:space="preserve"> length of time and geographic area. Executive further acknowledges that, were he to breach any of the covenants contained in Sections 7, 8 or 9 hereof, the damage to the Company would be irreparable. Executive therefore agrees that the Company, in addition to any other remedies available to it, shall be entitled to seek preliminary and permanent injunctive relief against any breach or threatened breach by Executive of any of said covenants, without having to post bond. The parties further agree that, in the event that any provision of Section 7</w:t>
      </w:r>
      <w:r>
        <w:rPr>
          <w:rFonts w:ascii="Arial" w:cs="Arial" w:eastAsia="Arial" w:hAnsi="Arial"/>
          <w:sz w:val="19"/>
          <w:szCs w:val="19"/>
          <w:color w:val="565656"/>
        </w:rPr>
        <w:t>,</w:t>
      </w:r>
      <w:r>
        <w:rPr>
          <w:rFonts w:ascii="Arial" w:cs="Arial" w:eastAsia="Arial" w:hAnsi="Arial"/>
          <w:sz w:val="19"/>
          <w:szCs w:val="19"/>
          <w:color w:val="1A1A1A"/>
        </w:rPr>
        <w:t xml:space="preserve"> 8 or 9 hereof shall be determined by a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w:t>
      </w:r>
    </w:p>
    <w:p>
      <w:pPr>
        <w:spacing w:after="0" w:line="182" w:lineRule="exact"/>
        <w:rPr>
          <w:rFonts w:ascii="Arial" w:cs="Arial" w:eastAsia="Arial" w:hAnsi="Arial"/>
          <w:sz w:val="19"/>
          <w:szCs w:val="19"/>
          <w:color w:val="1A1A1A"/>
        </w:rPr>
      </w:pPr>
    </w:p>
    <w:p>
      <w:pPr>
        <w:ind w:left="780" w:firstLine="2"/>
        <w:spacing w:after="0" w:line="334" w:lineRule="auto"/>
        <w:tabs>
          <w:tab w:leader="none" w:pos="1431" w:val="left"/>
        </w:tabs>
        <w:numPr>
          <w:ilvl w:val="1"/>
          <w:numId w:val="30"/>
        </w:numPr>
        <w:rPr>
          <w:rFonts w:ascii="Arial" w:cs="Arial" w:eastAsia="Arial" w:hAnsi="Arial"/>
          <w:sz w:val="19"/>
          <w:szCs w:val="19"/>
          <w:color w:val="1A1A1A"/>
        </w:rPr>
      </w:pPr>
      <w:r>
        <w:rPr>
          <w:rFonts w:ascii="Arial" w:cs="Arial" w:eastAsia="Arial" w:hAnsi="Arial"/>
          <w:sz w:val="19"/>
          <w:szCs w:val="19"/>
          <w:b w:val="1"/>
          <w:bCs w:val="1"/>
          <w:u w:val="single" w:color="auto"/>
          <w:color w:val="1A1A1A"/>
        </w:rPr>
        <w:t>Conflicting Agreements.</w:t>
      </w:r>
      <w:r>
        <w:rPr>
          <w:rFonts w:ascii="Arial" w:cs="Arial" w:eastAsia="Arial" w:hAnsi="Arial"/>
          <w:sz w:val="19"/>
          <w:szCs w:val="19"/>
          <w:b w:val="1"/>
          <w:bCs w:val="1"/>
          <w:color w:val="1A1A1A"/>
        </w:rPr>
        <w:t xml:space="preserve"> </w:t>
      </w:r>
      <w:r>
        <w:rPr>
          <w:rFonts w:ascii="Arial" w:cs="Arial" w:eastAsia="Arial" w:hAnsi="Arial"/>
          <w:sz w:val="19"/>
          <w:szCs w:val="19"/>
          <w:color w:val="1A1A1A"/>
        </w:rPr>
        <w:t>Executive hereby represents and warrants that the</w:t>
      </w:r>
      <w:r>
        <w:rPr>
          <w:rFonts w:ascii="Arial" w:cs="Arial" w:eastAsia="Arial" w:hAnsi="Arial"/>
          <w:sz w:val="19"/>
          <w:szCs w:val="19"/>
          <w:b w:val="1"/>
          <w:bCs w:val="1"/>
          <w:color w:val="1A1A1A"/>
        </w:rPr>
        <w:t xml:space="preserve"> </w:t>
      </w:r>
      <w:r>
        <w:rPr>
          <w:rFonts w:ascii="Arial" w:cs="Arial" w:eastAsia="Arial" w:hAnsi="Arial"/>
          <w:sz w:val="19"/>
          <w:szCs w:val="19"/>
          <w:color w:val="2F2F2F"/>
        </w:rPr>
        <w:t>execution</w:t>
      </w:r>
      <w:r>
        <w:rPr>
          <w:rFonts w:ascii="Arial" w:cs="Arial" w:eastAsia="Arial" w:hAnsi="Arial"/>
          <w:sz w:val="19"/>
          <w:szCs w:val="19"/>
          <w:b w:val="1"/>
          <w:bCs w:val="1"/>
          <w:color w:val="1A1A1A"/>
        </w:rPr>
        <w:t xml:space="preserve"> </w:t>
      </w:r>
      <w:r>
        <w:rPr>
          <w:rFonts w:ascii="Arial" w:cs="Arial" w:eastAsia="Arial" w:hAnsi="Arial"/>
          <w:sz w:val="19"/>
          <w:szCs w:val="19"/>
          <w:color w:val="1A1A1A"/>
        </w:rPr>
        <w:t>of this</w:t>
      </w:r>
      <w:r>
        <w:rPr>
          <w:rFonts w:ascii="Arial" w:cs="Arial" w:eastAsia="Arial" w:hAnsi="Arial"/>
          <w:sz w:val="19"/>
          <w:szCs w:val="19"/>
          <w:b w:val="1"/>
          <w:bCs w:val="1"/>
          <w:color w:val="1A1A1A"/>
        </w:rPr>
        <w:t xml:space="preserve"> </w:t>
      </w:r>
      <w:r>
        <w:rPr>
          <w:rFonts w:ascii="Arial" w:cs="Arial" w:eastAsia="Arial" w:hAnsi="Arial"/>
          <w:sz w:val="19"/>
          <w:szCs w:val="19"/>
          <w:color w:val="1A1A1A"/>
        </w:rPr>
        <w:t>Agreement and the performance of his obligations hereunder will not breach or be in conflict with</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7 </w:t>
      </w:r>
      <w:r>
        <w:rPr>
          <w:rFonts w:ascii="Arial" w:cs="Arial" w:eastAsia="Arial" w:hAnsi="Arial"/>
          <w:sz w:val="21"/>
          <w:szCs w:val="21"/>
          <w:color w:val="161616"/>
        </w:rPr>
        <w:t>|</w:t>
      </w:r>
      <w:r>
        <w:rPr>
          <w:rFonts w:ascii="Arial" w:cs="Arial" w:eastAsia="Arial" w:hAnsi="Arial"/>
          <w:sz w:val="21"/>
          <w:szCs w:val="21"/>
          <w:b w:val="1"/>
          <w:bCs w:val="1"/>
          <w:color w:val="auto"/>
        </w:rPr>
        <w:t xml:space="preserve"> </w:t>
      </w:r>
      <w:r>
        <w:rPr>
          <w:rFonts w:ascii="Arial" w:cs="Arial" w:eastAsia="Arial" w:hAnsi="Arial"/>
          <w:sz w:val="21"/>
          <w:szCs w:val="21"/>
          <w:color w:val="646464"/>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7" w:name="page48"/>
    <w:bookmarkEnd w:id="47"/>
    <w:p>
      <w:pPr>
        <w:jc w:val="both"/>
        <w:ind w:left="760" w:hanging="1"/>
        <w:spacing w:after="0" w:line="287" w:lineRule="auto"/>
        <w:rPr>
          <w:sz w:val="20"/>
          <w:szCs w:val="20"/>
          <w:color w:val="auto"/>
        </w:rPr>
      </w:pPr>
      <w:r>
        <w:rPr>
          <w:rFonts w:ascii="Arial" w:cs="Arial" w:eastAsia="Arial" w:hAnsi="Arial"/>
          <w:sz w:val="19"/>
          <w:szCs w:val="19"/>
          <w:color w:val="1C1C1C"/>
        </w:rPr>
        <w:t xml:space="preserve">any other agreement to </w:t>
      </w:r>
      <w:r>
        <w:rPr>
          <w:rFonts w:ascii="Arial" w:cs="Arial" w:eastAsia="Arial" w:hAnsi="Arial"/>
          <w:sz w:val="19"/>
          <w:szCs w:val="19"/>
          <w:color w:val="313131"/>
        </w:rPr>
        <w:t>which</w:t>
      </w:r>
      <w:r>
        <w:rPr>
          <w:rFonts w:ascii="Arial" w:cs="Arial" w:eastAsia="Arial" w:hAnsi="Arial"/>
          <w:sz w:val="19"/>
          <w:szCs w:val="19"/>
          <w:color w:val="1C1C1C"/>
        </w:rPr>
        <w:t xml:space="preserve"> Executive is a party or is bound and that Executive is not now subject to any covenants against competition or similar covenants or any court order or other legal obligation that would affect the performance of his obligations hereunder. Executive </w:t>
      </w:r>
      <w:r>
        <w:rPr>
          <w:rFonts w:ascii="Arial" w:cs="Arial" w:eastAsia="Arial" w:hAnsi="Arial"/>
          <w:sz w:val="19"/>
          <w:szCs w:val="19"/>
          <w:color w:val="313131"/>
        </w:rPr>
        <w:t>will</w:t>
      </w:r>
      <w:r>
        <w:rPr>
          <w:rFonts w:ascii="Arial" w:cs="Arial" w:eastAsia="Arial" w:hAnsi="Arial"/>
          <w:sz w:val="19"/>
          <w:szCs w:val="19"/>
          <w:color w:val="1C1C1C"/>
        </w:rPr>
        <w:t xml:space="preserve"> not disclose to or use on behalf of the Company any proprietary information of a third party without such party</w:t>
      </w:r>
      <w:r>
        <w:rPr>
          <w:rFonts w:ascii="Arial" w:cs="Arial" w:eastAsia="Arial" w:hAnsi="Arial"/>
          <w:sz w:val="19"/>
          <w:szCs w:val="19"/>
          <w:color w:val="464646"/>
        </w:rPr>
        <w:t>’</w:t>
      </w:r>
      <w:r>
        <w:rPr>
          <w:rFonts w:ascii="Arial" w:cs="Arial" w:eastAsia="Arial" w:hAnsi="Arial"/>
          <w:sz w:val="19"/>
          <w:szCs w:val="19"/>
          <w:color w:val="1C1C1C"/>
        </w:rPr>
        <w:t>s consent.</w:t>
      </w:r>
    </w:p>
    <w:p>
      <w:pPr>
        <w:spacing w:after="0" w:line="177" w:lineRule="exact"/>
        <w:rPr>
          <w:sz w:val="20"/>
          <w:szCs w:val="20"/>
          <w:color w:val="auto"/>
        </w:rPr>
      </w:pPr>
    </w:p>
    <w:p>
      <w:pPr>
        <w:jc w:val="both"/>
        <w:ind w:left="760" w:firstLine="2"/>
        <w:spacing w:after="0" w:line="243" w:lineRule="auto"/>
        <w:rPr>
          <w:sz w:val="20"/>
          <w:szCs w:val="20"/>
          <w:color w:val="auto"/>
        </w:rPr>
      </w:pPr>
      <w:r>
        <w:rPr>
          <w:rFonts w:ascii="Arial" w:cs="Arial" w:eastAsia="Arial" w:hAnsi="Arial"/>
          <w:sz w:val="22"/>
          <w:szCs w:val="22"/>
          <w:color w:val="1C1C1C"/>
        </w:rPr>
        <w:t xml:space="preserve">13. </w:t>
      </w:r>
      <w:r>
        <w:rPr>
          <w:rFonts w:ascii="Arial" w:cs="Arial" w:eastAsia="Arial" w:hAnsi="Arial"/>
          <w:sz w:val="22"/>
          <w:szCs w:val="22"/>
          <w:b w:val="1"/>
          <w:bCs w:val="1"/>
          <w:u w:val="single" w:color="auto"/>
          <w:color w:val="1C1C1C"/>
        </w:rPr>
        <w:t>Definitions.</w:t>
      </w:r>
      <w:r>
        <w:rPr>
          <w:rFonts w:ascii="Arial" w:cs="Arial" w:eastAsia="Arial" w:hAnsi="Arial"/>
          <w:sz w:val="22"/>
          <w:szCs w:val="22"/>
          <w:color w:val="1C1C1C"/>
        </w:rPr>
        <w:t xml:space="preserve"> Words or phrases which are initially capitalized or are within quotation marks shall have the meanings provided in this Section and as provided elsewhere herein. For purposes of this Agreement, the following definitions apply:</w:t>
      </w:r>
    </w:p>
    <w:p>
      <w:pPr>
        <w:spacing w:after="0" w:line="209" w:lineRule="exact"/>
        <w:rPr>
          <w:sz w:val="20"/>
          <w:szCs w:val="20"/>
          <w:color w:val="auto"/>
        </w:rPr>
      </w:pPr>
    </w:p>
    <w:p>
      <w:pPr>
        <w:jc w:val="both"/>
        <w:ind w:left="760" w:firstLine="8"/>
        <w:spacing w:after="0" w:line="246" w:lineRule="auto"/>
        <w:tabs>
          <w:tab w:leader="none" w:pos="1138" w:val="left"/>
        </w:tabs>
        <w:numPr>
          <w:ilvl w:val="1"/>
          <w:numId w:val="31"/>
        </w:numPr>
        <w:rPr>
          <w:rFonts w:ascii="Arial" w:cs="Arial" w:eastAsia="Arial" w:hAnsi="Arial"/>
          <w:sz w:val="21"/>
          <w:szCs w:val="21"/>
          <w:color w:val="1C1C1C"/>
        </w:rPr>
      </w:pPr>
      <w:r>
        <w:rPr>
          <w:rFonts w:ascii="Arial" w:cs="Arial" w:eastAsia="Arial" w:hAnsi="Arial"/>
          <w:sz w:val="21"/>
          <w:szCs w:val="21"/>
          <w:color w:val="313131"/>
        </w:rPr>
        <w:t xml:space="preserve">“Change </w:t>
      </w:r>
      <w:r>
        <w:rPr>
          <w:rFonts w:ascii="Arial" w:cs="Arial" w:eastAsia="Arial" w:hAnsi="Arial"/>
          <w:sz w:val="21"/>
          <w:szCs w:val="21"/>
          <w:color w:val="1C1C1C"/>
        </w:rPr>
        <w:t>of Control” means (i) an</w:t>
      </w:r>
      <w:r>
        <w:rPr>
          <w:rFonts w:ascii="Arial" w:cs="Arial" w:eastAsia="Arial" w:hAnsi="Arial"/>
          <w:sz w:val="21"/>
          <w:szCs w:val="21"/>
          <w:color w:val="464646"/>
        </w:rPr>
        <w:t>y</w:t>
      </w:r>
      <w:r>
        <w:rPr>
          <w:rFonts w:ascii="Arial" w:cs="Arial" w:eastAsia="Arial" w:hAnsi="Arial"/>
          <w:sz w:val="21"/>
          <w:szCs w:val="21"/>
          <w:color w:val="313131"/>
        </w:rPr>
        <w:t xml:space="preserve"> change in </w:t>
      </w:r>
      <w:r>
        <w:rPr>
          <w:rFonts w:ascii="Arial" w:cs="Arial" w:eastAsia="Arial" w:hAnsi="Arial"/>
          <w:sz w:val="21"/>
          <w:szCs w:val="21"/>
          <w:color w:val="1C1C1C"/>
        </w:rPr>
        <w:t>the</w:t>
      </w:r>
      <w:r>
        <w:rPr>
          <w:rFonts w:ascii="Arial" w:cs="Arial" w:eastAsia="Arial" w:hAnsi="Arial"/>
          <w:sz w:val="21"/>
          <w:szCs w:val="21"/>
          <w:color w:val="313131"/>
        </w:rPr>
        <w:t xml:space="preserve"> </w:t>
      </w:r>
      <w:r>
        <w:rPr>
          <w:rFonts w:ascii="Arial" w:cs="Arial" w:eastAsia="Arial" w:hAnsi="Arial"/>
          <w:sz w:val="21"/>
          <w:szCs w:val="21"/>
          <w:color w:val="464646"/>
        </w:rPr>
        <w:t>Comp</w:t>
      </w:r>
      <w:r>
        <w:rPr>
          <w:rFonts w:ascii="Arial" w:cs="Arial" w:eastAsia="Arial" w:hAnsi="Arial"/>
          <w:sz w:val="21"/>
          <w:szCs w:val="21"/>
          <w:color w:val="1C1C1C"/>
        </w:rPr>
        <w:t>an</w:t>
      </w:r>
      <w:r>
        <w:rPr>
          <w:rFonts w:ascii="Arial" w:cs="Arial" w:eastAsia="Arial" w:hAnsi="Arial"/>
          <w:sz w:val="21"/>
          <w:szCs w:val="21"/>
          <w:color w:val="464646"/>
        </w:rPr>
        <w:t>y</w:t>
      </w:r>
      <w:r>
        <w:rPr>
          <w:rFonts w:ascii="Arial" w:cs="Arial" w:eastAsia="Arial" w:hAnsi="Arial"/>
          <w:sz w:val="21"/>
          <w:szCs w:val="21"/>
          <w:color w:val="7C7C7C"/>
        </w:rPr>
        <w:t>’</w:t>
      </w:r>
      <w:r>
        <w:rPr>
          <w:rFonts w:ascii="Arial" w:cs="Arial" w:eastAsia="Arial" w:hAnsi="Arial"/>
          <w:sz w:val="21"/>
          <w:szCs w:val="21"/>
          <w:color w:val="313131"/>
        </w:rPr>
        <w:t xml:space="preserve">s ownership </w:t>
      </w:r>
      <w:r>
        <w:rPr>
          <w:rFonts w:ascii="Arial" w:cs="Arial" w:eastAsia="Arial" w:hAnsi="Arial"/>
          <w:sz w:val="21"/>
          <w:szCs w:val="21"/>
          <w:color w:val="1C1C1C"/>
        </w:rPr>
        <w:t>occurring</w:t>
      </w:r>
      <w:r>
        <w:rPr>
          <w:rFonts w:ascii="Arial" w:cs="Arial" w:eastAsia="Arial" w:hAnsi="Arial"/>
          <w:sz w:val="21"/>
          <w:szCs w:val="21"/>
          <w:color w:val="313131"/>
        </w:rPr>
        <w:t xml:space="preserve"> when any person or company, directly or </w:t>
      </w:r>
      <w:r>
        <w:rPr>
          <w:rFonts w:ascii="Arial" w:cs="Arial" w:eastAsia="Arial" w:hAnsi="Arial"/>
          <w:sz w:val="21"/>
          <w:szCs w:val="21"/>
          <w:color w:val="1C1C1C"/>
        </w:rPr>
        <w:t>indirectl</w:t>
      </w:r>
      <w:r>
        <w:rPr>
          <w:rFonts w:ascii="Arial" w:cs="Arial" w:eastAsia="Arial" w:hAnsi="Arial"/>
          <w:sz w:val="21"/>
          <w:szCs w:val="21"/>
          <w:color w:val="464646"/>
        </w:rPr>
        <w:t>y,</w:t>
      </w:r>
      <w:r>
        <w:rPr>
          <w:rFonts w:ascii="Arial" w:cs="Arial" w:eastAsia="Arial" w:hAnsi="Arial"/>
          <w:sz w:val="21"/>
          <w:szCs w:val="21"/>
          <w:color w:val="313131"/>
        </w:rPr>
        <w:t xml:space="preserve"> </w:t>
      </w:r>
      <w:r>
        <w:rPr>
          <w:rFonts w:ascii="Arial" w:cs="Arial" w:eastAsia="Arial" w:hAnsi="Arial"/>
          <w:sz w:val="21"/>
          <w:szCs w:val="21"/>
          <w:color w:val="1C1C1C"/>
        </w:rPr>
        <w:t>becomes the</w:t>
      </w:r>
      <w:r>
        <w:rPr>
          <w:rFonts w:ascii="Arial" w:cs="Arial" w:eastAsia="Arial" w:hAnsi="Arial"/>
          <w:sz w:val="21"/>
          <w:szCs w:val="21"/>
          <w:color w:val="313131"/>
        </w:rPr>
        <w:t xml:space="preserve"> beneficial owner of voting </w:t>
      </w:r>
      <w:r>
        <w:rPr>
          <w:rFonts w:ascii="Arial" w:cs="Arial" w:eastAsia="Arial" w:hAnsi="Arial"/>
          <w:sz w:val="21"/>
          <w:szCs w:val="21"/>
          <w:color w:val="1C1C1C"/>
        </w:rPr>
        <w:t>equity</w:t>
      </w:r>
      <w:r>
        <w:rPr>
          <w:rFonts w:ascii="Arial" w:cs="Arial" w:eastAsia="Arial" w:hAnsi="Arial"/>
          <w:sz w:val="21"/>
          <w:szCs w:val="21"/>
          <w:color w:val="313131"/>
        </w:rPr>
        <w:t xml:space="preserve"> shares of the entity (to </w:t>
      </w:r>
      <w:r>
        <w:rPr>
          <w:rFonts w:ascii="Arial" w:cs="Arial" w:eastAsia="Arial" w:hAnsi="Arial"/>
          <w:sz w:val="21"/>
          <w:szCs w:val="21"/>
          <w:color w:val="1C1C1C"/>
        </w:rPr>
        <w:t xml:space="preserve">the </w:t>
      </w:r>
      <w:r>
        <w:rPr>
          <w:rFonts w:ascii="Arial" w:cs="Arial" w:eastAsia="Arial" w:hAnsi="Arial"/>
          <w:sz w:val="21"/>
          <w:szCs w:val="21"/>
          <w:color w:val="313131"/>
        </w:rPr>
        <w:t>extent</w:t>
      </w:r>
      <w:r>
        <w:rPr>
          <w:rFonts w:ascii="Arial" w:cs="Arial" w:eastAsia="Arial" w:hAnsi="Arial"/>
          <w:sz w:val="21"/>
          <w:szCs w:val="21"/>
          <w:color w:val="1C1C1C"/>
        </w:rPr>
        <w:t xml:space="preserve"> of more than </w:t>
      </w:r>
      <w:r>
        <w:rPr>
          <w:rFonts w:ascii="Arial" w:cs="Arial" w:eastAsia="Arial" w:hAnsi="Arial"/>
          <w:sz w:val="21"/>
          <w:szCs w:val="21"/>
          <w:color w:val="313131"/>
        </w:rPr>
        <w:t>50 percent</w:t>
      </w:r>
      <w:r>
        <w:rPr>
          <w:rFonts w:ascii="Arial" w:cs="Arial" w:eastAsia="Arial" w:hAnsi="Arial"/>
          <w:sz w:val="21"/>
          <w:szCs w:val="21"/>
          <w:color w:val="1C1C1C"/>
        </w:rPr>
        <w:t xml:space="preserve"> of the </w:t>
      </w:r>
      <w:r>
        <w:rPr>
          <w:rFonts w:ascii="Arial" w:cs="Arial" w:eastAsia="Arial" w:hAnsi="Arial"/>
          <w:sz w:val="21"/>
          <w:szCs w:val="21"/>
          <w:color w:val="313131"/>
        </w:rPr>
        <w:t>voting</w:t>
      </w:r>
      <w:r>
        <w:rPr>
          <w:rFonts w:ascii="Arial" w:cs="Arial" w:eastAsia="Arial" w:hAnsi="Arial"/>
          <w:sz w:val="21"/>
          <w:szCs w:val="21"/>
          <w:color w:val="1C1C1C"/>
        </w:rPr>
        <w:t xml:space="preserve"> shares or </w:t>
      </w:r>
      <w:r>
        <w:rPr>
          <w:rFonts w:ascii="Arial" w:cs="Arial" w:eastAsia="Arial" w:hAnsi="Arial"/>
          <w:sz w:val="21"/>
          <w:szCs w:val="21"/>
          <w:color w:val="313131"/>
        </w:rPr>
        <w:t>the</w:t>
      </w:r>
      <w:r>
        <w:rPr>
          <w:rFonts w:ascii="Arial" w:cs="Arial" w:eastAsia="Arial" w:hAnsi="Arial"/>
          <w:sz w:val="21"/>
          <w:szCs w:val="21"/>
          <w:color w:val="1C1C1C"/>
        </w:rPr>
        <w:t xml:space="preserve"> rights to acquire </w:t>
      </w:r>
      <w:r>
        <w:rPr>
          <w:rFonts w:ascii="Arial" w:cs="Arial" w:eastAsia="Arial" w:hAnsi="Arial"/>
          <w:sz w:val="21"/>
          <w:szCs w:val="21"/>
          <w:color w:val="313131"/>
        </w:rPr>
        <w:t>such shares; (ii) any</w:t>
      </w:r>
      <w:r>
        <w:rPr>
          <w:rFonts w:ascii="Arial" w:cs="Arial" w:eastAsia="Arial" w:hAnsi="Arial"/>
          <w:sz w:val="21"/>
          <w:szCs w:val="21"/>
          <w:color w:val="1C1C1C"/>
        </w:rPr>
        <w:t xml:space="preserve"> direct </w:t>
      </w:r>
      <w:r>
        <w:rPr>
          <w:rFonts w:ascii="Arial" w:cs="Arial" w:eastAsia="Arial" w:hAnsi="Arial"/>
          <w:sz w:val="21"/>
          <w:szCs w:val="21"/>
          <w:color w:val="313131"/>
        </w:rPr>
        <w:t xml:space="preserve">or </w:t>
      </w:r>
      <w:r>
        <w:rPr>
          <w:rFonts w:ascii="Arial" w:cs="Arial" w:eastAsia="Arial" w:hAnsi="Arial"/>
          <w:sz w:val="21"/>
          <w:szCs w:val="21"/>
          <w:color w:val="1C1C1C"/>
        </w:rPr>
        <w:t>indirect sale or transfer of substantially all of the assets of the</w:t>
      </w:r>
      <w:r>
        <w:rPr>
          <w:rFonts w:ascii="Arial" w:cs="Arial" w:eastAsia="Arial" w:hAnsi="Arial"/>
          <w:sz w:val="21"/>
          <w:szCs w:val="21"/>
          <w:color w:val="313131"/>
        </w:rPr>
        <w:t xml:space="preserve"> Company; (iii) a </w:t>
      </w:r>
      <w:r>
        <w:rPr>
          <w:rFonts w:ascii="Arial" w:cs="Arial" w:eastAsia="Arial" w:hAnsi="Arial"/>
          <w:sz w:val="21"/>
          <w:szCs w:val="21"/>
          <w:color w:val="1C1C1C"/>
        </w:rPr>
        <w:t>plan of</w:t>
      </w:r>
      <w:r>
        <w:rPr>
          <w:rFonts w:ascii="Arial" w:cs="Arial" w:eastAsia="Arial" w:hAnsi="Arial"/>
          <w:sz w:val="21"/>
          <w:szCs w:val="21"/>
          <w:color w:val="313131"/>
        </w:rPr>
        <w:t xml:space="preserve"> Company </w:t>
      </w:r>
      <w:r>
        <w:rPr>
          <w:rFonts w:ascii="Arial" w:cs="Arial" w:eastAsia="Arial" w:hAnsi="Arial"/>
          <w:sz w:val="21"/>
          <w:szCs w:val="21"/>
          <w:color w:val="1C1C1C"/>
        </w:rPr>
        <w:t xml:space="preserve">liquidation or </w:t>
      </w:r>
      <w:r>
        <w:rPr>
          <w:rFonts w:ascii="Arial" w:cs="Arial" w:eastAsia="Arial" w:hAnsi="Arial"/>
          <w:sz w:val="21"/>
          <w:szCs w:val="21"/>
          <w:color w:val="313131"/>
        </w:rPr>
        <w:t>an agreement for the</w:t>
      </w:r>
      <w:r>
        <w:rPr>
          <w:rFonts w:ascii="Arial" w:cs="Arial" w:eastAsia="Arial" w:hAnsi="Arial"/>
          <w:sz w:val="21"/>
          <w:szCs w:val="21"/>
          <w:color w:val="1C1C1C"/>
        </w:rPr>
        <w:t xml:space="preserve"> sale </w:t>
      </w:r>
      <w:r>
        <w:rPr>
          <w:rFonts w:ascii="Arial" w:cs="Arial" w:eastAsia="Arial" w:hAnsi="Arial"/>
          <w:sz w:val="21"/>
          <w:szCs w:val="21"/>
          <w:color w:val="313131"/>
        </w:rPr>
        <w:t>on</w:t>
      </w:r>
      <w:r>
        <w:rPr>
          <w:rFonts w:ascii="Arial" w:cs="Arial" w:eastAsia="Arial" w:hAnsi="Arial"/>
          <w:sz w:val="21"/>
          <w:szCs w:val="21"/>
          <w:color w:val="1C1C1C"/>
        </w:rPr>
        <w:t xml:space="preserve"> liquidation is legall</w:t>
      </w:r>
      <w:r>
        <w:rPr>
          <w:rFonts w:ascii="Arial" w:cs="Arial" w:eastAsia="Arial" w:hAnsi="Arial"/>
          <w:sz w:val="21"/>
          <w:szCs w:val="21"/>
          <w:color w:val="464646"/>
        </w:rPr>
        <w:t>y</w:t>
      </w:r>
      <w:r>
        <w:rPr>
          <w:rFonts w:ascii="Arial" w:cs="Arial" w:eastAsia="Arial" w:hAnsi="Arial"/>
          <w:sz w:val="21"/>
          <w:szCs w:val="21"/>
          <w:color w:val="1C1C1C"/>
        </w:rPr>
        <w:t xml:space="preserve"> </w:t>
      </w:r>
      <w:r>
        <w:rPr>
          <w:rFonts w:ascii="Arial" w:cs="Arial" w:eastAsia="Arial" w:hAnsi="Arial"/>
          <w:sz w:val="21"/>
          <w:szCs w:val="21"/>
          <w:color w:val="313131"/>
        </w:rPr>
        <w:t>approved and completed;</w:t>
      </w:r>
      <w:r>
        <w:rPr>
          <w:rFonts w:ascii="Arial" w:cs="Arial" w:eastAsia="Arial" w:hAnsi="Arial"/>
          <w:sz w:val="21"/>
          <w:szCs w:val="21"/>
          <w:color w:val="1C1C1C"/>
        </w:rPr>
        <w:t xml:space="preserve"> or </w:t>
      </w:r>
      <w:r>
        <w:rPr>
          <w:rFonts w:ascii="Arial" w:cs="Arial" w:eastAsia="Arial" w:hAnsi="Arial"/>
          <w:sz w:val="21"/>
          <w:szCs w:val="21"/>
          <w:color w:val="313131"/>
        </w:rPr>
        <w:t>(iv) the</w:t>
      </w:r>
      <w:r>
        <w:rPr>
          <w:rFonts w:ascii="Arial" w:cs="Arial" w:eastAsia="Arial" w:hAnsi="Arial"/>
          <w:sz w:val="21"/>
          <w:szCs w:val="21"/>
          <w:color w:val="1C1C1C"/>
        </w:rPr>
        <w:t xml:space="preserve"> board or empowered </w:t>
      </w:r>
      <w:r>
        <w:rPr>
          <w:rFonts w:ascii="Arial" w:cs="Arial" w:eastAsia="Arial" w:hAnsi="Arial"/>
          <w:sz w:val="21"/>
          <w:szCs w:val="21"/>
          <w:color w:val="313131"/>
        </w:rPr>
        <w:t>managing committee determines and declares that</w:t>
      </w:r>
      <w:r>
        <w:rPr>
          <w:rFonts w:ascii="Arial" w:cs="Arial" w:eastAsia="Arial" w:hAnsi="Arial"/>
          <w:sz w:val="21"/>
          <w:szCs w:val="21"/>
          <w:color w:val="1C1C1C"/>
        </w:rPr>
        <w:t xml:space="preserve"> </w:t>
      </w:r>
      <w:r>
        <w:rPr>
          <w:rFonts w:ascii="Arial" w:cs="Arial" w:eastAsia="Arial" w:hAnsi="Arial"/>
          <w:sz w:val="21"/>
          <w:szCs w:val="21"/>
          <w:color w:val="464646"/>
        </w:rPr>
        <w:t>a</w:t>
      </w:r>
      <w:r>
        <w:rPr>
          <w:rFonts w:ascii="Arial" w:cs="Arial" w:eastAsia="Arial" w:hAnsi="Arial"/>
          <w:sz w:val="21"/>
          <w:szCs w:val="21"/>
          <w:color w:val="1C1C1C"/>
        </w:rPr>
        <w:t xml:space="preserve"> </w:t>
      </w:r>
      <w:r>
        <w:rPr>
          <w:rFonts w:ascii="Arial" w:cs="Arial" w:eastAsia="Arial" w:hAnsi="Arial"/>
          <w:sz w:val="21"/>
          <w:szCs w:val="21"/>
          <w:color w:val="313131"/>
        </w:rPr>
        <w:t>change of</w:t>
      </w:r>
      <w:r>
        <w:rPr>
          <w:rFonts w:ascii="Arial" w:cs="Arial" w:eastAsia="Arial" w:hAnsi="Arial"/>
          <w:sz w:val="21"/>
          <w:szCs w:val="21"/>
          <w:color w:val="1C1C1C"/>
        </w:rPr>
        <w:t xml:space="preserve"> control </w:t>
      </w:r>
      <w:r>
        <w:rPr>
          <w:rFonts w:ascii="Arial" w:cs="Arial" w:eastAsia="Arial" w:hAnsi="Arial"/>
          <w:sz w:val="21"/>
          <w:szCs w:val="21"/>
          <w:color w:val="313131"/>
        </w:rPr>
        <w:t>has occurred,</w:t>
      </w:r>
      <w:r>
        <w:rPr>
          <w:rFonts w:ascii="Arial" w:cs="Arial" w:eastAsia="Arial" w:hAnsi="Arial"/>
          <w:sz w:val="21"/>
          <w:szCs w:val="21"/>
          <w:color w:val="1C1C1C"/>
        </w:rPr>
        <w:t xml:space="preserve"> </w:t>
      </w:r>
      <w:r>
        <w:rPr>
          <w:rFonts w:ascii="Arial" w:cs="Arial" w:eastAsia="Arial" w:hAnsi="Arial"/>
          <w:sz w:val="21"/>
          <w:szCs w:val="21"/>
          <w:color w:val="313131"/>
        </w:rPr>
        <w:t>irrespective of any occurrences described above</w:t>
      </w:r>
      <w:r>
        <w:rPr>
          <w:rFonts w:ascii="Arial" w:cs="Arial" w:eastAsia="Arial" w:hAnsi="Arial"/>
          <w:sz w:val="21"/>
          <w:szCs w:val="21"/>
          <w:color w:val="696969"/>
        </w:rPr>
        <w:t>.</w:t>
      </w:r>
    </w:p>
    <w:p>
      <w:pPr>
        <w:spacing w:after="0" w:line="211" w:lineRule="exact"/>
        <w:rPr>
          <w:rFonts w:ascii="Arial" w:cs="Arial" w:eastAsia="Arial" w:hAnsi="Arial"/>
          <w:sz w:val="21"/>
          <w:szCs w:val="21"/>
          <w:color w:val="1C1C1C"/>
        </w:rPr>
      </w:pPr>
    </w:p>
    <w:p>
      <w:pPr>
        <w:jc w:val="both"/>
        <w:ind w:left="760" w:firstLine="8"/>
        <w:spacing w:after="0" w:line="269" w:lineRule="auto"/>
        <w:tabs>
          <w:tab w:leader="none" w:pos="1142" w:val="left"/>
        </w:tabs>
        <w:numPr>
          <w:ilvl w:val="1"/>
          <w:numId w:val="31"/>
        </w:numPr>
        <w:rPr>
          <w:rFonts w:ascii="Arial" w:cs="Arial" w:eastAsia="Arial" w:hAnsi="Arial"/>
          <w:sz w:val="19"/>
          <w:szCs w:val="19"/>
          <w:color w:val="1C1C1C"/>
        </w:rPr>
      </w:pPr>
      <w:r>
        <w:rPr>
          <w:rFonts w:ascii="Arial" w:cs="Arial" w:eastAsia="Arial" w:hAnsi="Arial"/>
          <w:sz w:val="19"/>
          <w:szCs w:val="19"/>
          <w:color w:val="1C1C1C"/>
        </w:rPr>
        <w:t xml:space="preserve">“Confidential Information” means any and all information of the Company that is not generally known by Persons with whom the Company competes or does business, or with whom the Company plans to compete or do business and any and all information, publicly known in whole or in part or not, which, </w:t>
      </w:r>
      <w:r>
        <w:rPr>
          <w:rFonts w:ascii="Arial" w:cs="Arial" w:eastAsia="Arial" w:hAnsi="Arial"/>
          <w:sz w:val="19"/>
          <w:szCs w:val="19"/>
          <w:color w:val="313131"/>
        </w:rPr>
        <w:t>if</w:t>
      </w:r>
      <w:r>
        <w:rPr>
          <w:rFonts w:ascii="Arial" w:cs="Arial" w:eastAsia="Arial" w:hAnsi="Arial"/>
          <w:sz w:val="19"/>
          <w:szCs w:val="19"/>
          <w:color w:val="1C1C1C"/>
        </w:rPr>
        <w:t xml:space="preserve"> disclosed by the Company would assist in competition against the Company. Confidential Information includes without limitation such information relating to (i) the development, research, testing, manufacturing, marketing and financial activities of the Company, (ii) the Company’s products and services, (iii) the costs, sources of supply, financial performance and strategic plans of the Company,</w:t>
      </w:r>
    </w:p>
    <w:p>
      <w:pPr>
        <w:spacing w:after="0" w:line="4" w:lineRule="exact"/>
        <w:rPr>
          <w:rFonts w:ascii="Arial" w:cs="Arial" w:eastAsia="Arial" w:hAnsi="Arial"/>
          <w:sz w:val="19"/>
          <w:szCs w:val="19"/>
          <w:color w:val="1C1C1C"/>
        </w:rPr>
      </w:pPr>
    </w:p>
    <w:p>
      <w:pPr>
        <w:jc w:val="both"/>
        <w:ind w:left="760" w:firstLine="6"/>
        <w:spacing w:after="0" w:line="266" w:lineRule="auto"/>
        <w:tabs>
          <w:tab w:leader="none" w:pos="1132" w:val="left"/>
        </w:tabs>
        <w:numPr>
          <w:ilvl w:val="0"/>
          <w:numId w:val="32"/>
        </w:numPr>
        <w:rPr>
          <w:rFonts w:ascii="Arial" w:cs="Arial" w:eastAsia="Arial" w:hAnsi="Arial"/>
          <w:sz w:val="19"/>
          <w:szCs w:val="19"/>
          <w:color w:val="1C1C1C"/>
        </w:rPr>
      </w:pPr>
      <w:r>
        <w:rPr>
          <w:rFonts w:ascii="Arial" w:cs="Arial" w:eastAsia="Arial" w:hAnsi="Arial"/>
          <w:sz w:val="19"/>
          <w:szCs w:val="19"/>
          <w:color w:val="1C1C1C"/>
        </w:rPr>
        <w:t xml:space="preserve">the identity and special needs of the customers of the Company and (v) the people and organizations with whom the Company has a business relationship and the nature and substance of those relationships. Confidential Information also </w:t>
      </w:r>
      <w:r>
        <w:rPr>
          <w:rFonts w:ascii="Arial" w:cs="Arial" w:eastAsia="Arial" w:hAnsi="Arial"/>
          <w:sz w:val="19"/>
          <w:szCs w:val="19"/>
          <w:color w:val="313131"/>
        </w:rPr>
        <w:t>includes</w:t>
      </w:r>
      <w:r>
        <w:rPr>
          <w:rFonts w:ascii="Arial" w:cs="Arial" w:eastAsia="Arial" w:hAnsi="Arial"/>
          <w:sz w:val="19"/>
          <w:szCs w:val="19"/>
          <w:color w:val="1C1C1C"/>
        </w:rPr>
        <w:t xml:space="preserve"> any information that the Company has received, or may receive hereafter, belonging to customers or others with any understanding, express or implied, that the information would not be disclosed. Notwithstanding anything to the contrary, Confidential Information will not include (i) any information that has been published in a form generally available to the public or within the trade or industry prior to the date the Executive proposes to disclose or use such information,</w:t>
      </w:r>
    </w:p>
    <w:p>
      <w:pPr>
        <w:spacing w:after="0" w:line="5" w:lineRule="exact"/>
        <w:rPr>
          <w:rFonts w:ascii="Arial" w:cs="Arial" w:eastAsia="Arial" w:hAnsi="Arial"/>
          <w:sz w:val="19"/>
          <w:szCs w:val="19"/>
          <w:color w:val="1C1C1C"/>
        </w:rPr>
      </w:pPr>
    </w:p>
    <w:p>
      <w:pPr>
        <w:jc w:val="both"/>
        <w:ind w:left="760" w:firstLine="6"/>
        <w:spacing w:after="0" w:line="233" w:lineRule="auto"/>
        <w:tabs>
          <w:tab w:leader="none" w:pos="1097" w:val="left"/>
        </w:tabs>
        <w:numPr>
          <w:ilvl w:val="0"/>
          <w:numId w:val="33"/>
        </w:numPr>
        <w:rPr>
          <w:rFonts w:ascii="Arial" w:cs="Arial" w:eastAsia="Arial" w:hAnsi="Arial"/>
          <w:sz w:val="22"/>
          <w:szCs w:val="22"/>
          <w:color w:val="1C1C1C"/>
        </w:rPr>
      </w:pPr>
      <w:r>
        <w:rPr>
          <w:rFonts w:ascii="Arial" w:cs="Arial" w:eastAsia="Arial" w:hAnsi="Arial"/>
          <w:sz w:val="22"/>
          <w:szCs w:val="22"/>
          <w:color w:val="1C1C1C"/>
        </w:rPr>
        <w:t>any information that the Executive is legally required to disclose, or (iii) any information that is or becomes available to the Executive on a non-confidential basis from a source other than the Executive or an employee or a contractor of the Company; provided that such source is not known by the Executive to be bound by a confidentiality agreement with, or other contractual legal or fiduciary obligation to the Company</w:t>
      </w:r>
      <w:r>
        <w:rPr>
          <w:rFonts w:ascii="Arial" w:cs="Arial" w:eastAsia="Arial" w:hAnsi="Arial"/>
          <w:sz w:val="22"/>
          <w:szCs w:val="22"/>
          <w:color w:val="010101"/>
        </w:rPr>
        <w:t>.</w:t>
      </w:r>
    </w:p>
    <w:p>
      <w:pPr>
        <w:spacing w:after="0" w:line="226" w:lineRule="exact"/>
        <w:rPr>
          <w:sz w:val="20"/>
          <w:szCs w:val="20"/>
          <w:color w:val="auto"/>
        </w:rPr>
      </w:pPr>
    </w:p>
    <w:p>
      <w:pPr>
        <w:jc w:val="both"/>
        <w:ind w:left="780" w:hanging="4"/>
        <w:spacing w:after="0" w:line="238" w:lineRule="auto"/>
        <w:tabs>
          <w:tab w:leader="none" w:pos="1081" w:val="left"/>
        </w:tabs>
        <w:numPr>
          <w:ilvl w:val="0"/>
          <w:numId w:val="34"/>
        </w:numPr>
        <w:rPr>
          <w:rFonts w:ascii="Arial" w:cs="Arial" w:eastAsia="Arial" w:hAnsi="Arial"/>
          <w:sz w:val="22"/>
          <w:szCs w:val="22"/>
          <w:color w:val="1C1C1C"/>
        </w:rPr>
      </w:pPr>
      <w:r>
        <w:rPr>
          <w:rFonts w:ascii="Arial" w:cs="Arial" w:eastAsia="Arial" w:hAnsi="Arial"/>
          <w:sz w:val="22"/>
          <w:szCs w:val="22"/>
          <w:color w:val="313131"/>
        </w:rPr>
        <w:t xml:space="preserve">“Intellectual </w:t>
      </w:r>
      <w:r>
        <w:rPr>
          <w:rFonts w:ascii="Arial" w:cs="Arial" w:eastAsia="Arial" w:hAnsi="Arial"/>
          <w:sz w:val="22"/>
          <w:szCs w:val="22"/>
          <w:color w:val="1C1C1C"/>
        </w:rPr>
        <w:t>Property” means any invention, formula, process, discovery</w:t>
      </w:r>
      <w:r>
        <w:rPr>
          <w:rFonts w:ascii="Arial" w:cs="Arial" w:eastAsia="Arial" w:hAnsi="Arial"/>
          <w:sz w:val="22"/>
          <w:szCs w:val="22"/>
          <w:color w:val="464646"/>
        </w:rPr>
        <w:t>,</w:t>
      </w:r>
      <w:r>
        <w:rPr>
          <w:rFonts w:ascii="Arial" w:cs="Arial" w:eastAsia="Arial" w:hAnsi="Arial"/>
          <w:sz w:val="22"/>
          <w:szCs w:val="22"/>
          <w:color w:val="313131"/>
        </w:rPr>
        <w:t xml:space="preserve"> </w:t>
      </w:r>
      <w:r>
        <w:rPr>
          <w:rFonts w:ascii="Arial" w:cs="Arial" w:eastAsia="Arial" w:hAnsi="Arial"/>
          <w:sz w:val="22"/>
          <w:szCs w:val="22"/>
          <w:color w:val="1C1C1C"/>
        </w:rPr>
        <w:t>development, design</w:t>
      </w:r>
      <w:r>
        <w:rPr>
          <w:rFonts w:ascii="Arial" w:cs="Arial" w:eastAsia="Arial" w:hAnsi="Arial"/>
          <w:sz w:val="22"/>
          <w:szCs w:val="22"/>
          <w:color w:val="464646"/>
        </w:rPr>
        <w:t>,</w:t>
      </w:r>
      <w:r>
        <w:rPr>
          <w:rFonts w:ascii="Arial" w:cs="Arial" w:eastAsia="Arial" w:hAnsi="Arial"/>
          <w:sz w:val="22"/>
          <w:szCs w:val="22"/>
          <w:color w:val="313131"/>
        </w:rPr>
        <w:t xml:space="preserve"> </w:t>
      </w:r>
      <w:r>
        <w:rPr>
          <w:rFonts w:ascii="Arial" w:cs="Arial" w:eastAsia="Arial" w:hAnsi="Arial"/>
          <w:sz w:val="22"/>
          <w:szCs w:val="22"/>
          <w:color w:val="1C1C1C"/>
        </w:rPr>
        <w:t>innovation or improvement (whether or not patentable or registrable under copyright statutes) made, conceived, or first actually reduced to practice by Executive</w:t>
      </w:r>
      <w:r>
        <w:rPr>
          <w:rFonts w:ascii="Arial" w:cs="Arial" w:eastAsia="Arial" w:hAnsi="Arial"/>
          <w:sz w:val="22"/>
          <w:szCs w:val="22"/>
          <w:color w:val="464646"/>
        </w:rPr>
        <w:t>,</w:t>
      </w:r>
      <w:r>
        <w:rPr>
          <w:rFonts w:ascii="Arial" w:cs="Arial" w:eastAsia="Arial" w:hAnsi="Arial"/>
          <w:sz w:val="22"/>
          <w:szCs w:val="22"/>
          <w:color w:val="1C1C1C"/>
        </w:rPr>
        <w:t xml:space="preserve"> solely or jointly with others, during his employment by the Company.</w:t>
      </w:r>
    </w:p>
    <w:p>
      <w:pPr>
        <w:spacing w:after="0" w:line="211" w:lineRule="exact"/>
        <w:rPr>
          <w:rFonts w:ascii="Arial" w:cs="Arial" w:eastAsia="Arial" w:hAnsi="Arial"/>
          <w:sz w:val="22"/>
          <w:szCs w:val="22"/>
          <w:color w:val="1C1C1C"/>
        </w:rPr>
      </w:pPr>
    </w:p>
    <w:p>
      <w:pPr>
        <w:ind w:left="780" w:right="1060" w:hanging="8"/>
        <w:spacing w:after="0" w:line="315" w:lineRule="auto"/>
        <w:tabs>
          <w:tab w:leader="none" w:pos="1073" w:val="left"/>
        </w:tabs>
        <w:numPr>
          <w:ilvl w:val="0"/>
          <w:numId w:val="34"/>
        </w:numPr>
        <w:rPr>
          <w:rFonts w:ascii="Arial" w:cs="Arial" w:eastAsia="Arial" w:hAnsi="Arial"/>
          <w:sz w:val="19"/>
          <w:szCs w:val="19"/>
          <w:color w:val="1C1C1C"/>
        </w:rPr>
      </w:pPr>
      <w:r>
        <w:rPr>
          <w:rFonts w:ascii="Arial" w:cs="Arial" w:eastAsia="Arial" w:hAnsi="Arial"/>
          <w:sz w:val="19"/>
          <w:szCs w:val="19"/>
          <w:color w:val="313131"/>
        </w:rPr>
        <w:t xml:space="preserve">“Person” </w:t>
      </w:r>
      <w:r>
        <w:rPr>
          <w:rFonts w:ascii="Arial" w:cs="Arial" w:eastAsia="Arial" w:hAnsi="Arial"/>
          <w:sz w:val="19"/>
          <w:szCs w:val="19"/>
          <w:color w:val="1C1C1C"/>
        </w:rPr>
        <w:t>means an individual, a corporation, a limited liability company</w:t>
      </w:r>
      <w:r>
        <w:rPr>
          <w:rFonts w:ascii="Arial" w:cs="Arial" w:eastAsia="Arial" w:hAnsi="Arial"/>
          <w:sz w:val="19"/>
          <w:szCs w:val="19"/>
          <w:color w:val="464646"/>
        </w:rPr>
        <w:t>,</w:t>
      </w:r>
      <w:r>
        <w:rPr>
          <w:rFonts w:ascii="Arial" w:cs="Arial" w:eastAsia="Arial" w:hAnsi="Arial"/>
          <w:sz w:val="19"/>
          <w:szCs w:val="19"/>
          <w:color w:val="313131"/>
        </w:rPr>
        <w:t xml:space="preserve"> </w:t>
      </w:r>
      <w:r>
        <w:rPr>
          <w:rFonts w:ascii="Arial" w:cs="Arial" w:eastAsia="Arial" w:hAnsi="Arial"/>
          <w:sz w:val="19"/>
          <w:szCs w:val="19"/>
          <w:color w:val="1C1C1C"/>
        </w:rPr>
        <w:t>an association</w:t>
      </w:r>
      <w:r>
        <w:rPr>
          <w:rFonts w:ascii="Arial" w:cs="Arial" w:eastAsia="Arial" w:hAnsi="Arial"/>
          <w:sz w:val="19"/>
          <w:szCs w:val="19"/>
          <w:color w:val="464646"/>
        </w:rPr>
        <w:t>,</w:t>
      </w:r>
      <w:r>
        <w:rPr>
          <w:rFonts w:ascii="Arial" w:cs="Arial" w:eastAsia="Arial" w:hAnsi="Arial"/>
          <w:sz w:val="19"/>
          <w:szCs w:val="19"/>
          <w:color w:val="313131"/>
        </w:rPr>
        <w:t xml:space="preserve"> </w:t>
      </w:r>
      <w:r>
        <w:rPr>
          <w:rFonts w:ascii="Arial" w:cs="Arial" w:eastAsia="Arial" w:hAnsi="Arial"/>
          <w:sz w:val="19"/>
          <w:szCs w:val="19"/>
          <w:color w:val="1C1C1C"/>
        </w:rPr>
        <w:t>a</w:t>
      </w:r>
      <w:r>
        <w:rPr>
          <w:rFonts w:ascii="Arial" w:cs="Arial" w:eastAsia="Arial" w:hAnsi="Arial"/>
          <w:sz w:val="19"/>
          <w:szCs w:val="19"/>
          <w:color w:val="313131"/>
        </w:rPr>
        <w:t xml:space="preserve"> </w:t>
      </w:r>
      <w:r>
        <w:rPr>
          <w:rFonts w:ascii="Arial" w:cs="Arial" w:eastAsia="Arial" w:hAnsi="Arial"/>
          <w:sz w:val="19"/>
          <w:szCs w:val="19"/>
          <w:color w:val="1C1C1C"/>
        </w:rPr>
        <w:t>partnership, an estate, a trust and any other entity or organization, other than the Company.</w:t>
      </w:r>
    </w:p>
    <w:p>
      <w:pPr>
        <w:ind w:left="780" w:right="160" w:firstLine="3"/>
        <w:spacing w:after="0" w:line="280" w:lineRule="auto"/>
        <w:tabs>
          <w:tab w:leader="none" w:pos="1301" w:val="left"/>
        </w:tabs>
        <w:numPr>
          <w:ilvl w:val="1"/>
          <w:numId w:val="34"/>
        </w:numPr>
        <w:rPr>
          <w:rFonts w:ascii="Arial" w:cs="Arial" w:eastAsia="Arial" w:hAnsi="Arial"/>
          <w:sz w:val="21"/>
          <w:szCs w:val="21"/>
          <w:color w:val="1C1C1C"/>
        </w:rPr>
      </w:pPr>
      <w:r>
        <w:rPr>
          <w:rFonts w:ascii="Arial" w:cs="Arial" w:eastAsia="Arial" w:hAnsi="Arial"/>
          <w:sz w:val="21"/>
          <w:szCs w:val="21"/>
          <w:b w:val="1"/>
          <w:bCs w:val="1"/>
          <w:u w:val="single" w:color="auto"/>
          <w:color w:val="1C1C1C"/>
        </w:rPr>
        <w:t>Withholding</w:t>
      </w:r>
      <w:r>
        <w:rPr>
          <w:rFonts w:ascii="Arial" w:cs="Arial" w:eastAsia="Arial" w:hAnsi="Arial"/>
          <w:sz w:val="21"/>
          <w:szCs w:val="21"/>
          <w:b w:val="1"/>
          <w:bCs w:val="1"/>
          <w:color w:val="464646"/>
        </w:rPr>
        <w:t>.</w:t>
      </w:r>
      <w:r>
        <w:rPr>
          <w:rFonts w:ascii="Arial" w:cs="Arial" w:eastAsia="Arial" w:hAnsi="Arial"/>
          <w:sz w:val="21"/>
          <w:szCs w:val="21"/>
          <w:b w:val="1"/>
          <w:bCs w:val="1"/>
          <w:color w:val="1C1C1C"/>
        </w:rPr>
        <w:t xml:space="preserve"> </w:t>
      </w:r>
      <w:r>
        <w:rPr>
          <w:rFonts w:ascii="Arial" w:cs="Arial" w:eastAsia="Arial" w:hAnsi="Arial"/>
          <w:sz w:val="21"/>
          <w:szCs w:val="21"/>
          <w:color w:val="1C1C1C"/>
        </w:rPr>
        <w:t>All payments made by the Company under this Agreement shall be reduced by any</w:t>
      </w:r>
      <w:r>
        <w:rPr>
          <w:rFonts w:ascii="Arial" w:cs="Arial" w:eastAsia="Arial" w:hAnsi="Arial"/>
          <w:sz w:val="21"/>
          <w:szCs w:val="21"/>
          <w:b w:val="1"/>
          <w:bCs w:val="1"/>
          <w:color w:val="1C1C1C"/>
        </w:rPr>
        <w:t xml:space="preserve"> </w:t>
      </w:r>
      <w:r>
        <w:rPr>
          <w:rFonts w:ascii="Arial" w:cs="Arial" w:eastAsia="Arial" w:hAnsi="Arial"/>
          <w:sz w:val="21"/>
          <w:szCs w:val="21"/>
          <w:color w:val="1C1C1C"/>
        </w:rPr>
        <w:t>tax or other amounts required to be withheld by the Company under applicable law.</w:t>
      </w:r>
    </w:p>
    <w:p>
      <w:pPr>
        <w:spacing w:after="0" w:line="30" w:lineRule="exact"/>
        <w:rPr>
          <w:rFonts w:ascii="Arial" w:cs="Arial" w:eastAsia="Arial" w:hAnsi="Arial"/>
          <w:sz w:val="21"/>
          <w:szCs w:val="21"/>
          <w:color w:val="1C1C1C"/>
        </w:rPr>
      </w:pPr>
    </w:p>
    <w:p>
      <w:pPr>
        <w:ind w:left="1300" w:hanging="517"/>
        <w:spacing w:after="0"/>
        <w:tabs>
          <w:tab w:leader="none" w:pos="1300" w:val="left"/>
        </w:tabs>
        <w:numPr>
          <w:ilvl w:val="1"/>
          <w:numId w:val="34"/>
        </w:numPr>
        <w:rPr>
          <w:rFonts w:ascii="Arial" w:cs="Arial" w:eastAsia="Arial" w:hAnsi="Arial"/>
          <w:sz w:val="22"/>
          <w:szCs w:val="22"/>
          <w:color w:val="1C1C1C"/>
        </w:rPr>
      </w:pPr>
      <w:r>
        <w:rPr>
          <w:rFonts w:ascii="Arial" w:cs="Arial" w:eastAsia="Arial" w:hAnsi="Arial"/>
          <w:sz w:val="22"/>
          <w:szCs w:val="22"/>
          <w:b w:val="1"/>
          <w:bCs w:val="1"/>
          <w:u w:val="single" w:color="auto"/>
          <w:color w:val="1C1C1C"/>
        </w:rPr>
        <w:t>Assignment.</w:t>
      </w:r>
      <w:r>
        <w:rPr>
          <w:rFonts w:ascii="Arial" w:cs="Arial" w:eastAsia="Arial" w:hAnsi="Arial"/>
          <w:sz w:val="22"/>
          <w:szCs w:val="22"/>
          <w:b w:val="1"/>
          <w:bCs w:val="1"/>
          <w:color w:val="1C1C1C"/>
        </w:rPr>
        <w:t xml:space="preserve"> </w:t>
      </w:r>
      <w:r>
        <w:rPr>
          <w:rFonts w:ascii="Arial" w:cs="Arial" w:eastAsia="Arial" w:hAnsi="Arial"/>
          <w:sz w:val="22"/>
          <w:szCs w:val="22"/>
          <w:color w:val="1C1C1C"/>
        </w:rPr>
        <w:t>Neither the Company nor Executive may make any assignment of this</w:t>
      </w: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8 </w:t>
      </w:r>
      <w:r>
        <w:rPr>
          <w:rFonts w:ascii="Arial" w:cs="Arial" w:eastAsia="Arial" w:hAnsi="Arial"/>
          <w:sz w:val="21"/>
          <w:szCs w:val="21"/>
          <w:color w:val="161616"/>
        </w:rPr>
        <w:t>|</w:t>
      </w:r>
      <w:r>
        <w:rPr>
          <w:rFonts w:ascii="Arial" w:cs="Arial" w:eastAsia="Arial" w:hAnsi="Arial"/>
          <w:sz w:val="21"/>
          <w:szCs w:val="21"/>
          <w:b w:val="1"/>
          <w:bCs w:val="1"/>
          <w:color w:val="auto"/>
        </w:rPr>
        <w:t xml:space="preserve"> </w:t>
      </w:r>
      <w:r>
        <w:rPr>
          <w:rFonts w:ascii="Arial" w:cs="Arial" w:eastAsia="Arial" w:hAnsi="Arial"/>
          <w:sz w:val="21"/>
          <w:szCs w:val="21"/>
          <w:color w:val="646464"/>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8" w:name="page49"/>
    <w:bookmarkEnd w:id="48"/>
    <w:p>
      <w:pPr>
        <w:jc w:val="both"/>
        <w:ind w:left="780" w:hanging="2"/>
        <w:spacing w:after="0" w:line="234" w:lineRule="auto"/>
        <w:rPr>
          <w:sz w:val="20"/>
          <w:szCs w:val="20"/>
          <w:color w:val="auto"/>
        </w:rPr>
      </w:pPr>
      <w:r>
        <w:rPr>
          <w:rFonts w:ascii="Arial" w:cs="Arial" w:eastAsia="Arial" w:hAnsi="Arial"/>
          <w:sz w:val="22"/>
          <w:szCs w:val="22"/>
          <w:color w:val="1C1C1C"/>
        </w:rPr>
        <w:t>Agreement or any interest herein, by operation of law or otherwise</w:t>
      </w:r>
      <w:r>
        <w:rPr>
          <w:rFonts w:ascii="Arial" w:cs="Arial" w:eastAsia="Arial" w:hAnsi="Arial"/>
          <w:sz w:val="22"/>
          <w:szCs w:val="22"/>
          <w:color w:val="3D3D3D"/>
        </w:rPr>
        <w:t>,</w:t>
      </w:r>
      <w:r>
        <w:rPr>
          <w:rFonts w:ascii="Arial" w:cs="Arial" w:eastAsia="Arial" w:hAnsi="Arial"/>
          <w:sz w:val="22"/>
          <w:szCs w:val="22"/>
          <w:color w:val="1C1C1C"/>
        </w:rPr>
        <w:t xml:space="preserve"> without the prior written consent of the other; provided</w:t>
      </w:r>
      <w:r>
        <w:rPr>
          <w:rFonts w:ascii="Arial" w:cs="Arial" w:eastAsia="Arial" w:hAnsi="Arial"/>
          <w:sz w:val="22"/>
          <w:szCs w:val="22"/>
          <w:color w:val="3D3D3D"/>
        </w:rPr>
        <w:t>,</w:t>
      </w:r>
      <w:r>
        <w:rPr>
          <w:rFonts w:ascii="Arial" w:cs="Arial" w:eastAsia="Arial" w:hAnsi="Arial"/>
          <w:sz w:val="22"/>
          <w:szCs w:val="22"/>
          <w:color w:val="1C1C1C"/>
        </w:rPr>
        <w:t xml:space="preserve"> however, that the Company may assign its rights and obligations under this Agreement without the consent of Executive in the event that the Company shall hereafter affect a reorganization</w:t>
      </w:r>
      <w:r>
        <w:rPr>
          <w:rFonts w:ascii="Arial" w:cs="Arial" w:eastAsia="Arial" w:hAnsi="Arial"/>
          <w:sz w:val="22"/>
          <w:szCs w:val="22"/>
          <w:color w:val="3D3D3D"/>
        </w:rPr>
        <w:t>,</w:t>
      </w:r>
      <w:r>
        <w:rPr>
          <w:rFonts w:ascii="Arial" w:cs="Arial" w:eastAsia="Arial" w:hAnsi="Arial"/>
          <w:sz w:val="22"/>
          <w:szCs w:val="22"/>
          <w:color w:val="1C1C1C"/>
        </w:rPr>
        <w:t xml:space="preserve"> consolidate with, or merge into</w:t>
      </w:r>
      <w:r>
        <w:rPr>
          <w:rFonts w:ascii="Arial" w:cs="Arial" w:eastAsia="Arial" w:hAnsi="Arial"/>
          <w:sz w:val="22"/>
          <w:szCs w:val="22"/>
          <w:color w:val="3D3D3D"/>
        </w:rPr>
        <w:t>,</w:t>
      </w:r>
      <w:r>
        <w:rPr>
          <w:rFonts w:ascii="Arial" w:cs="Arial" w:eastAsia="Arial" w:hAnsi="Arial"/>
          <w:sz w:val="22"/>
          <w:szCs w:val="22"/>
          <w:color w:val="1C1C1C"/>
        </w:rPr>
        <w:t xml:space="preserve"> any Person or transfer all or substantially all of its properties or assets to any Person. This Agreement shall inure to the benefit of and be binding upon the Company and Executive</w:t>
      </w:r>
      <w:r>
        <w:rPr>
          <w:rFonts w:ascii="Arial" w:cs="Arial" w:eastAsia="Arial" w:hAnsi="Arial"/>
          <w:sz w:val="22"/>
          <w:szCs w:val="22"/>
          <w:color w:val="3D3D3D"/>
        </w:rPr>
        <w:t>,</w:t>
      </w:r>
      <w:r>
        <w:rPr>
          <w:rFonts w:ascii="Arial" w:cs="Arial" w:eastAsia="Arial" w:hAnsi="Arial"/>
          <w:sz w:val="22"/>
          <w:szCs w:val="22"/>
          <w:color w:val="1C1C1C"/>
        </w:rPr>
        <w:t xml:space="preserve"> their respective successors, executors, administrators, heirs and permitted assigns.</w:t>
      </w:r>
    </w:p>
    <w:p>
      <w:pPr>
        <w:spacing w:after="0" w:line="225" w:lineRule="exact"/>
        <w:rPr>
          <w:sz w:val="20"/>
          <w:szCs w:val="20"/>
          <w:color w:val="auto"/>
        </w:rPr>
      </w:pPr>
    </w:p>
    <w:p>
      <w:pPr>
        <w:jc w:val="both"/>
        <w:ind w:left="780" w:hanging="4"/>
        <w:spacing w:after="0" w:line="251" w:lineRule="auto"/>
        <w:tabs>
          <w:tab w:leader="none" w:pos="1426" w:val="left"/>
        </w:tabs>
        <w:numPr>
          <w:ilvl w:val="0"/>
          <w:numId w:val="35"/>
        </w:numPr>
        <w:rPr>
          <w:rFonts w:ascii="Arial" w:cs="Arial" w:eastAsia="Arial" w:hAnsi="Arial"/>
          <w:sz w:val="21"/>
          <w:szCs w:val="21"/>
          <w:color w:val="1C1C1C"/>
        </w:rPr>
      </w:pPr>
      <w:r>
        <w:rPr>
          <w:rFonts w:ascii="Arial" w:cs="Arial" w:eastAsia="Arial" w:hAnsi="Arial"/>
          <w:sz w:val="21"/>
          <w:szCs w:val="21"/>
          <w:b w:val="1"/>
          <w:bCs w:val="1"/>
          <w:u w:val="single" w:color="auto"/>
          <w:color w:val="1C1C1C"/>
        </w:rPr>
        <w:t>Severability</w:t>
      </w:r>
      <w:r>
        <w:rPr>
          <w:rFonts w:ascii="Arial" w:cs="Arial" w:eastAsia="Arial" w:hAnsi="Arial"/>
          <w:sz w:val="21"/>
          <w:szCs w:val="21"/>
          <w:b w:val="1"/>
          <w:bCs w:val="1"/>
          <w:color w:val="3D3D3D"/>
        </w:rPr>
        <w:t>.</w:t>
      </w:r>
      <w:r>
        <w:rPr>
          <w:rFonts w:ascii="Arial" w:cs="Arial" w:eastAsia="Arial" w:hAnsi="Arial"/>
          <w:sz w:val="21"/>
          <w:szCs w:val="21"/>
          <w:b w:val="1"/>
          <w:bCs w:val="1"/>
          <w:color w:val="1C1C1C"/>
        </w:rPr>
        <w:t xml:space="preserve"> </w:t>
      </w:r>
      <w:r>
        <w:rPr>
          <w:rFonts w:ascii="Arial" w:cs="Arial" w:eastAsia="Arial" w:hAnsi="Arial"/>
          <w:sz w:val="21"/>
          <w:szCs w:val="21"/>
          <w:color w:val="1C1C1C"/>
        </w:rPr>
        <w:t>If any portion or pro</w:t>
      </w:r>
      <w:r>
        <w:rPr>
          <w:rFonts w:ascii="Arial" w:cs="Arial" w:eastAsia="Arial" w:hAnsi="Arial"/>
          <w:sz w:val="21"/>
          <w:szCs w:val="21"/>
          <w:color w:val="3D3D3D"/>
        </w:rPr>
        <w:t>v</w:t>
      </w:r>
      <w:r>
        <w:rPr>
          <w:rFonts w:ascii="Arial" w:cs="Arial" w:eastAsia="Arial" w:hAnsi="Arial"/>
          <w:sz w:val="21"/>
          <w:szCs w:val="21"/>
          <w:color w:val="1C1C1C"/>
        </w:rPr>
        <w:t>ision of this Agreement shall to any extent be declared illegal</w:t>
      </w:r>
      <w:r>
        <w:rPr>
          <w:rFonts w:ascii="Arial" w:cs="Arial" w:eastAsia="Arial" w:hAnsi="Arial"/>
          <w:sz w:val="21"/>
          <w:szCs w:val="21"/>
          <w:b w:val="1"/>
          <w:bCs w:val="1"/>
          <w:color w:val="1C1C1C"/>
        </w:rPr>
        <w:t xml:space="preserve"> </w:t>
      </w:r>
      <w:r>
        <w:rPr>
          <w:rFonts w:ascii="Arial" w:cs="Arial" w:eastAsia="Arial" w:hAnsi="Arial"/>
          <w:sz w:val="21"/>
          <w:szCs w:val="21"/>
          <w:color w:val="1C1C1C"/>
        </w:rPr>
        <w:t>or unenforceable by a court of competent jurisdiction, then the remainder of this Agreement</w:t>
      </w:r>
      <w:r>
        <w:rPr>
          <w:rFonts w:ascii="Arial" w:cs="Arial" w:eastAsia="Arial" w:hAnsi="Arial"/>
          <w:sz w:val="21"/>
          <w:szCs w:val="21"/>
          <w:color w:val="3D3D3D"/>
        </w:rPr>
        <w:t>,</w:t>
      </w:r>
      <w:r>
        <w:rPr>
          <w:rFonts w:ascii="Arial" w:cs="Arial" w:eastAsia="Arial" w:hAnsi="Arial"/>
          <w:sz w:val="21"/>
          <w:szCs w:val="21"/>
          <w:color w:val="1C1C1C"/>
        </w:rPr>
        <w:t xml:space="preserve">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95" w:lineRule="exact"/>
        <w:rPr>
          <w:rFonts w:ascii="Arial" w:cs="Arial" w:eastAsia="Arial" w:hAnsi="Arial"/>
          <w:sz w:val="21"/>
          <w:szCs w:val="21"/>
          <w:color w:val="1C1C1C"/>
        </w:rPr>
      </w:pPr>
    </w:p>
    <w:p>
      <w:pPr>
        <w:jc w:val="both"/>
        <w:ind w:left="780" w:firstLine="1"/>
        <w:spacing w:after="0" w:line="289" w:lineRule="auto"/>
        <w:tabs>
          <w:tab w:leader="none" w:pos="1436" w:val="left"/>
        </w:tabs>
        <w:numPr>
          <w:ilvl w:val="0"/>
          <w:numId w:val="35"/>
        </w:numPr>
        <w:rPr>
          <w:rFonts w:ascii="Arial" w:cs="Arial" w:eastAsia="Arial" w:hAnsi="Arial"/>
          <w:sz w:val="19"/>
          <w:szCs w:val="19"/>
          <w:color w:val="1C1C1C"/>
        </w:rPr>
      </w:pPr>
      <w:r>
        <w:rPr>
          <w:rFonts w:ascii="Arial" w:cs="Arial" w:eastAsia="Arial" w:hAnsi="Arial"/>
          <w:sz w:val="19"/>
          <w:szCs w:val="19"/>
          <w:b w:val="1"/>
          <w:bCs w:val="1"/>
          <w:u w:val="single" w:color="auto"/>
          <w:color w:val="1C1C1C"/>
        </w:rPr>
        <w:t>Waiver</w:t>
      </w:r>
      <w:r>
        <w:rPr>
          <w:rFonts w:ascii="Arial" w:cs="Arial" w:eastAsia="Arial" w:hAnsi="Arial"/>
          <w:sz w:val="19"/>
          <w:szCs w:val="19"/>
          <w:b w:val="1"/>
          <w:bCs w:val="1"/>
          <w:color w:val="3D3D3D"/>
        </w:rPr>
        <w:t>.</w:t>
      </w:r>
      <w:r>
        <w:rPr>
          <w:rFonts w:ascii="Arial" w:cs="Arial" w:eastAsia="Arial" w:hAnsi="Arial"/>
          <w:sz w:val="19"/>
          <w:szCs w:val="19"/>
          <w:b w:val="1"/>
          <w:bCs w:val="1"/>
          <w:color w:val="1C1C1C"/>
        </w:rPr>
        <w:t xml:space="preserve"> </w:t>
      </w:r>
      <w:r>
        <w:rPr>
          <w:rFonts w:ascii="Arial" w:cs="Arial" w:eastAsia="Arial" w:hAnsi="Arial"/>
          <w:sz w:val="19"/>
          <w:szCs w:val="19"/>
          <w:color w:val="1C1C1C"/>
        </w:rPr>
        <w:t>No waiver of any provision hereof shall be effective unless made in writing and signed</w:t>
      </w:r>
      <w:r>
        <w:rPr>
          <w:rFonts w:ascii="Arial" w:cs="Arial" w:eastAsia="Arial" w:hAnsi="Arial"/>
          <w:sz w:val="19"/>
          <w:szCs w:val="19"/>
          <w:b w:val="1"/>
          <w:bCs w:val="1"/>
          <w:color w:val="1C1C1C"/>
        </w:rPr>
        <w:t xml:space="preserve"> </w:t>
      </w:r>
      <w:r>
        <w:rPr>
          <w:rFonts w:ascii="Arial" w:cs="Arial" w:eastAsia="Arial" w:hAnsi="Arial"/>
          <w:sz w:val="19"/>
          <w:szCs w:val="19"/>
          <w:color w:val="1C1C1C"/>
        </w:rPr>
        <w:t>by the waiving party. The failure of either party to require the performance of any term or obligation of this Agreement</w:t>
      </w:r>
      <w:r>
        <w:rPr>
          <w:rFonts w:ascii="Arial" w:cs="Arial" w:eastAsia="Arial" w:hAnsi="Arial"/>
          <w:sz w:val="19"/>
          <w:szCs w:val="19"/>
          <w:color w:val="3D3D3D"/>
        </w:rPr>
        <w:t>,</w:t>
      </w:r>
      <w:r>
        <w:rPr>
          <w:rFonts w:ascii="Arial" w:cs="Arial" w:eastAsia="Arial" w:hAnsi="Arial"/>
          <w:sz w:val="19"/>
          <w:szCs w:val="19"/>
          <w:color w:val="1C1C1C"/>
        </w:rPr>
        <w:t xml:space="preserve"> or the waiver by either party of any breach of this Agreement, shall not prevent any subsequent enforcement of such term or obligation or be deemed a waiver of any subsequent breach.</w:t>
      </w:r>
    </w:p>
    <w:p>
      <w:pPr>
        <w:spacing w:after="0" w:line="162" w:lineRule="exact"/>
        <w:rPr>
          <w:rFonts w:ascii="Arial" w:cs="Arial" w:eastAsia="Arial" w:hAnsi="Arial"/>
          <w:sz w:val="19"/>
          <w:szCs w:val="19"/>
          <w:color w:val="1C1C1C"/>
        </w:rPr>
      </w:pPr>
    </w:p>
    <w:p>
      <w:pPr>
        <w:jc w:val="both"/>
        <w:ind w:left="780" w:hanging="4"/>
        <w:spacing w:after="0" w:line="280" w:lineRule="auto"/>
        <w:tabs>
          <w:tab w:leader="none" w:pos="1434" w:val="left"/>
        </w:tabs>
        <w:numPr>
          <w:ilvl w:val="0"/>
          <w:numId w:val="35"/>
        </w:numPr>
        <w:rPr>
          <w:rFonts w:ascii="Arial" w:cs="Arial" w:eastAsia="Arial" w:hAnsi="Arial"/>
          <w:sz w:val="19"/>
          <w:szCs w:val="19"/>
          <w:color w:val="1C1C1C"/>
        </w:rPr>
      </w:pPr>
      <w:r>
        <w:rPr>
          <w:rFonts w:ascii="Arial" w:cs="Arial" w:eastAsia="Arial" w:hAnsi="Arial"/>
          <w:sz w:val="19"/>
          <w:szCs w:val="19"/>
          <w:b w:val="1"/>
          <w:bCs w:val="1"/>
          <w:u w:val="single" w:color="auto"/>
          <w:color w:val="1C1C1C"/>
        </w:rPr>
        <w:t>Notices.</w:t>
      </w:r>
      <w:r>
        <w:rPr>
          <w:rFonts w:ascii="Arial" w:cs="Arial" w:eastAsia="Arial" w:hAnsi="Arial"/>
          <w:sz w:val="19"/>
          <w:szCs w:val="19"/>
          <w:b w:val="1"/>
          <w:bCs w:val="1"/>
          <w:color w:val="1C1C1C"/>
        </w:rPr>
        <w:t xml:space="preserve"> </w:t>
      </w:r>
      <w:r>
        <w:rPr>
          <w:rFonts w:ascii="Arial" w:cs="Arial" w:eastAsia="Arial" w:hAnsi="Arial"/>
          <w:sz w:val="19"/>
          <w:szCs w:val="19"/>
          <w:color w:val="1C1C1C"/>
        </w:rPr>
        <w:t>Any and all notices</w:t>
      </w:r>
      <w:r>
        <w:rPr>
          <w:rFonts w:ascii="Arial" w:cs="Arial" w:eastAsia="Arial" w:hAnsi="Arial"/>
          <w:sz w:val="19"/>
          <w:szCs w:val="19"/>
          <w:color w:val="3D3D3D"/>
        </w:rPr>
        <w:t>,</w:t>
      </w:r>
      <w:r>
        <w:rPr>
          <w:rFonts w:ascii="Arial" w:cs="Arial" w:eastAsia="Arial" w:hAnsi="Arial"/>
          <w:sz w:val="19"/>
          <w:szCs w:val="19"/>
          <w:b w:val="1"/>
          <w:bCs w:val="1"/>
          <w:color w:val="1C1C1C"/>
        </w:rPr>
        <w:t xml:space="preserve"> </w:t>
      </w:r>
      <w:r>
        <w:rPr>
          <w:rFonts w:ascii="Arial" w:cs="Arial" w:eastAsia="Arial" w:hAnsi="Arial"/>
          <w:sz w:val="19"/>
          <w:szCs w:val="19"/>
          <w:color w:val="1C1C1C"/>
        </w:rPr>
        <w:t>requests</w:t>
      </w:r>
      <w:r>
        <w:rPr>
          <w:rFonts w:ascii="Arial" w:cs="Arial" w:eastAsia="Arial" w:hAnsi="Arial"/>
          <w:sz w:val="19"/>
          <w:szCs w:val="19"/>
          <w:color w:val="3D3D3D"/>
        </w:rPr>
        <w:t>,</w:t>
      </w:r>
      <w:r>
        <w:rPr>
          <w:rFonts w:ascii="Arial" w:cs="Arial" w:eastAsia="Arial" w:hAnsi="Arial"/>
          <w:sz w:val="19"/>
          <w:szCs w:val="19"/>
          <w:b w:val="1"/>
          <w:bCs w:val="1"/>
          <w:color w:val="1C1C1C"/>
        </w:rPr>
        <w:t xml:space="preserve"> </w:t>
      </w:r>
      <w:r>
        <w:rPr>
          <w:rFonts w:ascii="Arial" w:cs="Arial" w:eastAsia="Arial" w:hAnsi="Arial"/>
          <w:sz w:val="19"/>
          <w:szCs w:val="19"/>
          <w:color w:val="1C1C1C"/>
        </w:rPr>
        <w:t>demands and other communications provided for by this</w:t>
      </w:r>
      <w:r>
        <w:rPr>
          <w:rFonts w:ascii="Arial" w:cs="Arial" w:eastAsia="Arial" w:hAnsi="Arial"/>
          <w:sz w:val="19"/>
          <w:szCs w:val="19"/>
          <w:b w:val="1"/>
          <w:bCs w:val="1"/>
          <w:color w:val="1C1C1C"/>
        </w:rPr>
        <w:t xml:space="preserve"> </w:t>
      </w:r>
      <w:r>
        <w:rPr>
          <w:rFonts w:ascii="Arial" w:cs="Arial" w:eastAsia="Arial" w:hAnsi="Arial"/>
          <w:sz w:val="19"/>
          <w:szCs w:val="19"/>
          <w:color w:val="1C1C1C"/>
        </w:rPr>
        <w:t>Agreement shall be in writing and shall be effective when delivered in person, consigned to a reputable national delivery service or deposited in the United States mail</w:t>
      </w:r>
      <w:r>
        <w:rPr>
          <w:rFonts w:ascii="Arial" w:cs="Arial" w:eastAsia="Arial" w:hAnsi="Arial"/>
          <w:sz w:val="19"/>
          <w:szCs w:val="19"/>
          <w:color w:val="3D3D3D"/>
        </w:rPr>
        <w:t>,</w:t>
      </w:r>
      <w:r>
        <w:rPr>
          <w:rFonts w:ascii="Arial" w:cs="Arial" w:eastAsia="Arial" w:hAnsi="Arial"/>
          <w:sz w:val="19"/>
          <w:szCs w:val="19"/>
          <w:color w:val="1C1C1C"/>
        </w:rPr>
        <w:t xml:space="preserve"> postage prepaid, registered or certified, and addressed to Executive at his last known address on the books of the Company or</w:t>
      </w:r>
      <w:r>
        <w:rPr>
          <w:rFonts w:ascii="Arial" w:cs="Arial" w:eastAsia="Arial" w:hAnsi="Arial"/>
          <w:sz w:val="19"/>
          <w:szCs w:val="19"/>
          <w:color w:val="3D3D3D"/>
        </w:rPr>
        <w:t>,</w:t>
      </w:r>
      <w:r>
        <w:rPr>
          <w:rFonts w:ascii="Arial" w:cs="Arial" w:eastAsia="Arial" w:hAnsi="Arial"/>
          <w:sz w:val="19"/>
          <w:szCs w:val="19"/>
          <w:color w:val="1C1C1C"/>
        </w:rPr>
        <w:t xml:space="preserve"> in the case of the Company, at its principal place of business, attention of the Chairman</w:t>
      </w:r>
      <w:r>
        <w:rPr>
          <w:rFonts w:ascii="Arial" w:cs="Arial" w:eastAsia="Arial" w:hAnsi="Arial"/>
          <w:sz w:val="19"/>
          <w:szCs w:val="19"/>
          <w:color w:val="3D3D3D"/>
        </w:rPr>
        <w:t>,</w:t>
      </w:r>
      <w:r>
        <w:rPr>
          <w:rFonts w:ascii="Arial" w:cs="Arial" w:eastAsia="Arial" w:hAnsi="Arial"/>
          <w:sz w:val="19"/>
          <w:szCs w:val="19"/>
          <w:color w:val="1C1C1C"/>
        </w:rPr>
        <w:t xml:space="preserve"> or to such other address as either party may specify by notice to the other actually received.</w:t>
      </w:r>
    </w:p>
    <w:p>
      <w:pPr>
        <w:spacing w:after="0" w:line="185" w:lineRule="exact"/>
        <w:rPr>
          <w:rFonts w:ascii="Arial" w:cs="Arial" w:eastAsia="Arial" w:hAnsi="Arial"/>
          <w:sz w:val="19"/>
          <w:szCs w:val="19"/>
          <w:color w:val="1C1C1C"/>
        </w:rPr>
      </w:pPr>
    </w:p>
    <w:p>
      <w:pPr>
        <w:jc w:val="both"/>
        <w:ind w:left="780" w:firstLine="1"/>
        <w:spacing w:after="0" w:line="243" w:lineRule="auto"/>
        <w:tabs>
          <w:tab w:leader="none" w:pos="1440" w:val="left"/>
        </w:tabs>
        <w:numPr>
          <w:ilvl w:val="0"/>
          <w:numId w:val="35"/>
        </w:numPr>
        <w:rPr>
          <w:rFonts w:ascii="Arial" w:cs="Arial" w:eastAsia="Arial" w:hAnsi="Arial"/>
          <w:sz w:val="22"/>
          <w:szCs w:val="22"/>
          <w:color w:val="1C1C1C"/>
        </w:rPr>
      </w:pPr>
      <w:r>
        <w:rPr>
          <w:rFonts w:ascii="Arial" w:cs="Arial" w:eastAsia="Arial" w:hAnsi="Arial"/>
          <w:sz w:val="22"/>
          <w:szCs w:val="22"/>
          <w:b w:val="1"/>
          <w:bCs w:val="1"/>
          <w:u w:val="single" w:color="auto"/>
          <w:color w:val="1C1C1C"/>
        </w:rPr>
        <w:t>Entire Agreement.</w:t>
      </w:r>
      <w:r>
        <w:rPr>
          <w:rFonts w:ascii="Arial" w:cs="Arial" w:eastAsia="Arial" w:hAnsi="Arial"/>
          <w:sz w:val="22"/>
          <w:szCs w:val="22"/>
          <w:b w:val="1"/>
          <w:bCs w:val="1"/>
          <w:color w:val="1C1C1C"/>
        </w:rPr>
        <w:t xml:space="preserve"> </w:t>
      </w:r>
      <w:r>
        <w:rPr>
          <w:rFonts w:ascii="Arial" w:cs="Arial" w:eastAsia="Arial" w:hAnsi="Arial"/>
          <w:sz w:val="22"/>
          <w:szCs w:val="22"/>
          <w:color w:val="1C1C1C"/>
        </w:rPr>
        <w:t>This Agreement constitutes the entire agreement between the parties and</w:t>
      </w:r>
      <w:r>
        <w:rPr>
          <w:rFonts w:ascii="Arial" w:cs="Arial" w:eastAsia="Arial" w:hAnsi="Arial"/>
          <w:sz w:val="22"/>
          <w:szCs w:val="22"/>
          <w:b w:val="1"/>
          <w:bCs w:val="1"/>
          <w:color w:val="1C1C1C"/>
        </w:rPr>
        <w:t xml:space="preserve"> </w:t>
      </w:r>
      <w:r>
        <w:rPr>
          <w:rFonts w:ascii="Arial" w:cs="Arial" w:eastAsia="Arial" w:hAnsi="Arial"/>
          <w:sz w:val="22"/>
          <w:szCs w:val="22"/>
          <w:color w:val="1C1C1C"/>
        </w:rPr>
        <w:t>supersedes all prior communications, agreements and understandings, written or oral, with respect to the terms and conditions of Executive’s employment.</w:t>
      </w:r>
    </w:p>
    <w:p>
      <w:pPr>
        <w:spacing w:after="0" w:line="203" w:lineRule="exact"/>
        <w:rPr>
          <w:rFonts w:ascii="Arial" w:cs="Arial" w:eastAsia="Arial" w:hAnsi="Arial"/>
          <w:sz w:val="22"/>
          <w:szCs w:val="22"/>
          <w:color w:val="1C1C1C"/>
        </w:rPr>
      </w:pPr>
    </w:p>
    <w:p>
      <w:pPr>
        <w:ind w:left="780" w:right="20" w:hanging="2"/>
        <w:spacing w:after="0" w:line="280" w:lineRule="auto"/>
        <w:tabs>
          <w:tab w:leader="none" w:pos="1425" w:val="left"/>
        </w:tabs>
        <w:numPr>
          <w:ilvl w:val="0"/>
          <w:numId w:val="35"/>
        </w:numPr>
        <w:rPr>
          <w:rFonts w:ascii="Arial" w:cs="Arial" w:eastAsia="Arial" w:hAnsi="Arial"/>
          <w:sz w:val="21"/>
          <w:szCs w:val="21"/>
          <w:color w:val="1C1C1C"/>
        </w:rPr>
      </w:pPr>
      <w:r>
        <w:rPr>
          <w:rFonts w:ascii="Arial" w:cs="Arial" w:eastAsia="Arial" w:hAnsi="Arial"/>
          <w:sz w:val="21"/>
          <w:szCs w:val="21"/>
          <w:b w:val="1"/>
          <w:bCs w:val="1"/>
          <w:u w:val="single" w:color="auto"/>
          <w:color w:val="1C1C1C"/>
        </w:rPr>
        <w:t>Amendment.</w:t>
      </w:r>
      <w:r>
        <w:rPr>
          <w:rFonts w:ascii="Arial" w:cs="Arial" w:eastAsia="Arial" w:hAnsi="Arial"/>
          <w:sz w:val="21"/>
          <w:szCs w:val="21"/>
          <w:b w:val="1"/>
          <w:bCs w:val="1"/>
          <w:color w:val="1C1C1C"/>
        </w:rPr>
        <w:t xml:space="preserve"> </w:t>
      </w:r>
      <w:r>
        <w:rPr>
          <w:rFonts w:ascii="Arial" w:cs="Arial" w:eastAsia="Arial" w:hAnsi="Arial"/>
          <w:sz w:val="21"/>
          <w:szCs w:val="21"/>
          <w:color w:val="1C1C1C"/>
        </w:rPr>
        <w:t>This Agreement may be amended or modified only by a written instrument signed</w:t>
      </w:r>
      <w:r>
        <w:rPr>
          <w:rFonts w:ascii="Arial" w:cs="Arial" w:eastAsia="Arial" w:hAnsi="Arial"/>
          <w:sz w:val="21"/>
          <w:szCs w:val="21"/>
          <w:b w:val="1"/>
          <w:bCs w:val="1"/>
          <w:color w:val="1C1C1C"/>
        </w:rPr>
        <w:t xml:space="preserve"> </w:t>
      </w:r>
      <w:r>
        <w:rPr>
          <w:rFonts w:ascii="Arial" w:cs="Arial" w:eastAsia="Arial" w:hAnsi="Arial"/>
          <w:sz w:val="21"/>
          <w:szCs w:val="21"/>
          <w:color w:val="1C1C1C"/>
        </w:rPr>
        <w:t>by Executive and by an expressly authorized representative of the Company.</w:t>
      </w:r>
    </w:p>
    <w:p>
      <w:pPr>
        <w:spacing w:after="0" w:line="179" w:lineRule="exact"/>
        <w:rPr>
          <w:rFonts w:ascii="Arial" w:cs="Arial" w:eastAsia="Arial" w:hAnsi="Arial"/>
          <w:sz w:val="21"/>
          <w:szCs w:val="21"/>
          <w:color w:val="1C1C1C"/>
        </w:rPr>
      </w:pPr>
    </w:p>
    <w:p>
      <w:pPr>
        <w:ind w:left="780"/>
        <w:spacing w:after="0" w:line="256" w:lineRule="auto"/>
        <w:tabs>
          <w:tab w:leader="none" w:pos="1431" w:val="left"/>
        </w:tabs>
        <w:numPr>
          <w:ilvl w:val="0"/>
          <w:numId w:val="35"/>
        </w:numPr>
        <w:rPr>
          <w:rFonts w:ascii="Arial" w:cs="Arial" w:eastAsia="Arial" w:hAnsi="Arial"/>
          <w:sz w:val="22"/>
          <w:szCs w:val="22"/>
          <w:color w:val="1C1C1C"/>
        </w:rPr>
      </w:pPr>
      <w:r>
        <w:rPr>
          <w:rFonts w:ascii="Arial" w:cs="Arial" w:eastAsia="Arial" w:hAnsi="Arial"/>
          <w:sz w:val="22"/>
          <w:szCs w:val="22"/>
          <w:b w:val="1"/>
          <w:bCs w:val="1"/>
          <w:u w:val="single" w:color="auto"/>
          <w:color w:val="1C1C1C"/>
        </w:rPr>
        <w:t>Headings.</w:t>
      </w:r>
      <w:r>
        <w:rPr>
          <w:rFonts w:ascii="Arial" w:cs="Arial" w:eastAsia="Arial" w:hAnsi="Arial"/>
          <w:sz w:val="22"/>
          <w:szCs w:val="22"/>
          <w:b w:val="1"/>
          <w:bCs w:val="1"/>
          <w:color w:val="1C1C1C"/>
        </w:rPr>
        <w:t xml:space="preserve"> </w:t>
      </w:r>
      <w:r>
        <w:rPr>
          <w:rFonts w:ascii="Arial" w:cs="Arial" w:eastAsia="Arial" w:hAnsi="Arial"/>
          <w:sz w:val="22"/>
          <w:szCs w:val="22"/>
          <w:color w:val="1C1C1C"/>
        </w:rPr>
        <w:t>The headings and captions in this Agreement are for convenience only and in no way</w:t>
      </w:r>
      <w:r>
        <w:rPr>
          <w:rFonts w:ascii="Arial" w:cs="Arial" w:eastAsia="Arial" w:hAnsi="Arial"/>
          <w:sz w:val="22"/>
          <w:szCs w:val="22"/>
          <w:b w:val="1"/>
          <w:bCs w:val="1"/>
          <w:color w:val="1C1C1C"/>
        </w:rPr>
        <w:t xml:space="preserve"> </w:t>
      </w:r>
      <w:r>
        <w:rPr>
          <w:rFonts w:ascii="Arial" w:cs="Arial" w:eastAsia="Arial" w:hAnsi="Arial"/>
          <w:sz w:val="22"/>
          <w:szCs w:val="22"/>
          <w:color w:val="1C1C1C"/>
        </w:rPr>
        <w:t>define or describe the scope or content of any provision of this Agreement.</w:t>
      </w:r>
    </w:p>
    <w:p>
      <w:pPr>
        <w:spacing w:after="0" w:line="189" w:lineRule="exact"/>
        <w:rPr>
          <w:rFonts w:ascii="Arial" w:cs="Arial" w:eastAsia="Arial" w:hAnsi="Arial"/>
          <w:sz w:val="22"/>
          <w:szCs w:val="22"/>
          <w:color w:val="1C1C1C"/>
        </w:rPr>
      </w:pPr>
    </w:p>
    <w:p>
      <w:pPr>
        <w:ind w:left="780" w:right="20"/>
        <w:spacing w:after="0" w:line="280" w:lineRule="auto"/>
        <w:tabs>
          <w:tab w:leader="none" w:pos="1428" w:val="left"/>
        </w:tabs>
        <w:numPr>
          <w:ilvl w:val="0"/>
          <w:numId w:val="35"/>
        </w:numPr>
        <w:rPr>
          <w:rFonts w:ascii="Arial" w:cs="Arial" w:eastAsia="Arial" w:hAnsi="Arial"/>
          <w:sz w:val="21"/>
          <w:szCs w:val="21"/>
          <w:color w:val="1C1C1C"/>
        </w:rPr>
      </w:pPr>
      <w:r>
        <w:rPr>
          <w:rFonts w:ascii="Arial" w:cs="Arial" w:eastAsia="Arial" w:hAnsi="Arial"/>
          <w:sz w:val="21"/>
          <w:szCs w:val="21"/>
          <w:b w:val="1"/>
          <w:bCs w:val="1"/>
          <w:u w:val="single" w:color="auto"/>
          <w:color w:val="1C1C1C"/>
        </w:rPr>
        <w:t>Counterparts.</w:t>
      </w:r>
      <w:r>
        <w:rPr>
          <w:rFonts w:ascii="Arial" w:cs="Arial" w:eastAsia="Arial" w:hAnsi="Arial"/>
          <w:sz w:val="21"/>
          <w:szCs w:val="21"/>
          <w:b w:val="1"/>
          <w:bCs w:val="1"/>
          <w:color w:val="1C1C1C"/>
        </w:rPr>
        <w:t xml:space="preserve"> </w:t>
      </w:r>
      <w:r>
        <w:rPr>
          <w:rFonts w:ascii="Arial" w:cs="Arial" w:eastAsia="Arial" w:hAnsi="Arial"/>
          <w:sz w:val="21"/>
          <w:szCs w:val="21"/>
          <w:color w:val="1C1C1C"/>
        </w:rPr>
        <w:t>This Agreement may be executed in two or more counterparts, each of which</w:t>
      </w:r>
      <w:r>
        <w:rPr>
          <w:rFonts w:ascii="Arial" w:cs="Arial" w:eastAsia="Arial" w:hAnsi="Arial"/>
          <w:sz w:val="21"/>
          <w:szCs w:val="21"/>
          <w:b w:val="1"/>
          <w:bCs w:val="1"/>
          <w:color w:val="1C1C1C"/>
        </w:rPr>
        <w:t xml:space="preserve"> </w:t>
      </w:r>
      <w:r>
        <w:rPr>
          <w:rFonts w:ascii="Arial" w:cs="Arial" w:eastAsia="Arial" w:hAnsi="Arial"/>
          <w:sz w:val="21"/>
          <w:szCs w:val="21"/>
          <w:color w:val="1C1C1C"/>
        </w:rPr>
        <w:t>shall be an original and all of which together shall constitute one and the same instrument.</w:t>
      </w:r>
    </w:p>
    <w:p>
      <w:pPr>
        <w:spacing w:after="0" w:line="179" w:lineRule="exact"/>
        <w:rPr>
          <w:rFonts w:ascii="Arial" w:cs="Arial" w:eastAsia="Arial" w:hAnsi="Arial"/>
          <w:sz w:val="21"/>
          <w:szCs w:val="21"/>
          <w:color w:val="1C1C1C"/>
        </w:rPr>
      </w:pPr>
    </w:p>
    <w:p>
      <w:pPr>
        <w:jc w:val="both"/>
        <w:ind w:left="780" w:firstLine="9"/>
        <w:spacing w:after="0" w:line="243" w:lineRule="auto"/>
        <w:tabs>
          <w:tab w:leader="none" w:pos="1433" w:val="left"/>
        </w:tabs>
        <w:numPr>
          <w:ilvl w:val="1"/>
          <w:numId w:val="35"/>
        </w:numPr>
        <w:rPr>
          <w:rFonts w:ascii="Arial" w:cs="Arial" w:eastAsia="Arial" w:hAnsi="Arial"/>
          <w:sz w:val="22"/>
          <w:szCs w:val="22"/>
          <w:color w:val="1C1C1C"/>
        </w:rPr>
      </w:pPr>
      <w:r>
        <w:rPr>
          <w:rFonts w:ascii="Arial" w:cs="Arial" w:eastAsia="Arial" w:hAnsi="Arial"/>
          <w:sz w:val="22"/>
          <w:szCs w:val="22"/>
          <w:b w:val="1"/>
          <w:bCs w:val="1"/>
          <w:u w:val="single" w:color="auto"/>
          <w:color w:val="1C1C1C"/>
        </w:rPr>
        <w:t>Governing Law</w:t>
      </w:r>
      <w:r>
        <w:rPr>
          <w:rFonts w:ascii="Arial" w:cs="Arial" w:eastAsia="Arial" w:hAnsi="Arial"/>
          <w:sz w:val="22"/>
          <w:szCs w:val="22"/>
          <w:b w:val="1"/>
          <w:bCs w:val="1"/>
          <w:color w:val="565656"/>
        </w:rPr>
        <w:t>.</w:t>
      </w:r>
      <w:r>
        <w:rPr>
          <w:rFonts w:ascii="Arial" w:cs="Arial" w:eastAsia="Arial" w:hAnsi="Arial"/>
          <w:sz w:val="22"/>
          <w:szCs w:val="22"/>
          <w:b w:val="1"/>
          <w:bCs w:val="1"/>
          <w:color w:val="1C1C1C"/>
        </w:rPr>
        <w:t xml:space="preserve"> </w:t>
      </w:r>
      <w:r>
        <w:rPr>
          <w:rFonts w:ascii="Arial" w:cs="Arial" w:eastAsia="Arial" w:hAnsi="Arial"/>
          <w:sz w:val="22"/>
          <w:szCs w:val="22"/>
          <w:color w:val="1C1C1C"/>
        </w:rPr>
        <w:t>This is a Delaware contract and shall be construed and enforced under and be</w:t>
      </w:r>
      <w:r>
        <w:rPr>
          <w:rFonts w:ascii="Arial" w:cs="Arial" w:eastAsia="Arial" w:hAnsi="Arial"/>
          <w:sz w:val="22"/>
          <w:szCs w:val="22"/>
          <w:b w:val="1"/>
          <w:bCs w:val="1"/>
          <w:color w:val="1C1C1C"/>
        </w:rPr>
        <w:t xml:space="preserve"> </w:t>
      </w:r>
      <w:r>
        <w:rPr>
          <w:rFonts w:ascii="Arial" w:cs="Arial" w:eastAsia="Arial" w:hAnsi="Arial"/>
          <w:sz w:val="22"/>
          <w:szCs w:val="22"/>
          <w:color w:val="1C1C1C"/>
        </w:rPr>
        <w:t>governed in all respects by the laws of the State of Delaware, without regard to the conflict of laws principles thereof.</w:t>
      </w:r>
    </w:p>
    <w:p>
      <w:pPr>
        <w:spacing w:after="0" w:line="203" w:lineRule="exact"/>
        <w:rPr>
          <w:rFonts w:ascii="Arial" w:cs="Arial" w:eastAsia="Arial" w:hAnsi="Arial"/>
          <w:sz w:val="22"/>
          <w:szCs w:val="22"/>
          <w:color w:val="1C1C1C"/>
        </w:rPr>
      </w:pPr>
    </w:p>
    <w:p>
      <w:pPr>
        <w:jc w:val="both"/>
        <w:ind w:left="780"/>
        <w:spacing w:after="0" w:line="251" w:lineRule="auto"/>
        <w:tabs>
          <w:tab w:leader="none" w:pos="1431" w:val="left"/>
        </w:tabs>
        <w:numPr>
          <w:ilvl w:val="1"/>
          <w:numId w:val="35"/>
        </w:numPr>
        <w:rPr>
          <w:rFonts w:ascii="Arial" w:cs="Arial" w:eastAsia="Arial" w:hAnsi="Arial"/>
          <w:sz w:val="21"/>
          <w:szCs w:val="21"/>
          <w:color w:val="1C1C1C"/>
        </w:rPr>
      </w:pPr>
      <w:r>
        <w:rPr>
          <w:rFonts w:ascii="Arial" w:cs="Arial" w:eastAsia="Arial" w:hAnsi="Arial"/>
          <w:sz w:val="21"/>
          <w:szCs w:val="21"/>
          <w:b w:val="1"/>
          <w:bCs w:val="1"/>
          <w:u w:val="single" w:color="auto"/>
          <w:color w:val="1C1C1C"/>
        </w:rPr>
        <w:t>Consent to Arbitration.</w:t>
      </w:r>
      <w:r>
        <w:rPr>
          <w:rFonts w:ascii="Arial" w:cs="Arial" w:eastAsia="Arial" w:hAnsi="Arial"/>
          <w:sz w:val="21"/>
          <w:szCs w:val="21"/>
          <w:b w:val="1"/>
          <w:bCs w:val="1"/>
          <w:color w:val="1C1C1C"/>
        </w:rPr>
        <w:t xml:space="preserve"> </w:t>
      </w:r>
      <w:r>
        <w:rPr>
          <w:rFonts w:ascii="Arial" w:cs="Arial" w:eastAsia="Arial" w:hAnsi="Arial"/>
          <w:sz w:val="21"/>
          <w:szCs w:val="21"/>
          <w:color w:val="1C1C1C"/>
        </w:rPr>
        <w:t>In consideration of Executive’s employment with the Compan</w:t>
      </w:r>
      <w:r>
        <w:rPr>
          <w:rFonts w:ascii="Arial" w:cs="Arial" w:eastAsia="Arial" w:hAnsi="Arial"/>
          <w:sz w:val="21"/>
          <w:szCs w:val="21"/>
          <w:color w:val="3D3D3D"/>
        </w:rPr>
        <w:t>y</w:t>
      </w:r>
      <w:r>
        <w:rPr>
          <w:rFonts w:ascii="Arial" w:cs="Arial" w:eastAsia="Arial" w:hAnsi="Arial"/>
          <w:sz w:val="21"/>
          <w:szCs w:val="21"/>
          <w:color w:val="1C1C1C"/>
        </w:rPr>
        <w:t>, the</w:t>
      </w:r>
      <w:r>
        <w:rPr>
          <w:rFonts w:ascii="Arial" w:cs="Arial" w:eastAsia="Arial" w:hAnsi="Arial"/>
          <w:sz w:val="21"/>
          <w:szCs w:val="21"/>
          <w:b w:val="1"/>
          <w:bCs w:val="1"/>
          <w:color w:val="1C1C1C"/>
        </w:rPr>
        <w:t xml:space="preserve"> </w:t>
      </w:r>
      <w:r>
        <w:rPr>
          <w:rFonts w:ascii="Arial" w:cs="Arial" w:eastAsia="Arial" w:hAnsi="Arial"/>
          <w:sz w:val="21"/>
          <w:szCs w:val="21"/>
          <w:color w:val="1C1C1C"/>
        </w:rPr>
        <w:t>Company and Executive agree that an</w:t>
      </w:r>
      <w:r>
        <w:rPr>
          <w:rFonts w:ascii="Arial" w:cs="Arial" w:eastAsia="Arial" w:hAnsi="Arial"/>
          <w:sz w:val="21"/>
          <w:szCs w:val="21"/>
          <w:color w:val="3D3D3D"/>
        </w:rPr>
        <w:t>y</w:t>
      </w:r>
      <w:r>
        <w:rPr>
          <w:rFonts w:ascii="Arial" w:cs="Arial" w:eastAsia="Arial" w:hAnsi="Arial"/>
          <w:sz w:val="21"/>
          <w:szCs w:val="21"/>
          <w:color w:val="1C1C1C"/>
        </w:rPr>
        <w:t xml:space="preserve"> and all controversies</w:t>
      </w:r>
      <w:r>
        <w:rPr>
          <w:rFonts w:ascii="Arial" w:cs="Arial" w:eastAsia="Arial" w:hAnsi="Arial"/>
          <w:sz w:val="21"/>
          <w:szCs w:val="21"/>
          <w:color w:val="3D3D3D"/>
        </w:rPr>
        <w:t>,</w:t>
      </w:r>
      <w:r>
        <w:rPr>
          <w:rFonts w:ascii="Arial" w:cs="Arial" w:eastAsia="Arial" w:hAnsi="Arial"/>
          <w:sz w:val="21"/>
          <w:szCs w:val="21"/>
          <w:color w:val="1C1C1C"/>
        </w:rPr>
        <w:t xml:space="preserve"> claims</w:t>
      </w:r>
      <w:r>
        <w:rPr>
          <w:rFonts w:ascii="Arial" w:cs="Arial" w:eastAsia="Arial" w:hAnsi="Arial"/>
          <w:sz w:val="21"/>
          <w:szCs w:val="21"/>
          <w:color w:val="3D3D3D"/>
        </w:rPr>
        <w:t>,</w:t>
      </w:r>
      <w:r>
        <w:rPr>
          <w:rFonts w:ascii="Arial" w:cs="Arial" w:eastAsia="Arial" w:hAnsi="Arial"/>
          <w:sz w:val="21"/>
          <w:szCs w:val="21"/>
          <w:color w:val="1C1C1C"/>
        </w:rPr>
        <w:t xml:space="preserve"> or disputes with an</w:t>
      </w:r>
      <w:r>
        <w:rPr>
          <w:rFonts w:ascii="Arial" w:cs="Arial" w:eastAsia="Arial" w:hAnsi="Arial"/>
          <w:sz w:val="21"/>
          <w:szCs w:val="21"/>
          <w:color w:val="3D3D3D"/>
        </w:rPr>
        <w:t>y</w:t>
      </w:r>
      <w:r>
        <w:rPr>
          <w:rFonts w:ascii="Arial" w:cs="Arial" w:eastAsia="Arial" w:hAnsi="Arial"/>
          <w:sz w:val="21"/>
          <w:szCs w:val="21"/>
          <w:color w:val="1C1C1C"/>
        </w:rPr>
        <w:t>one (including the Company</w:t>
      </w:r>
      <w:r>
        <w:rPr>
          <w:rFonts w:ascii="Arial" w:cs="Arial" w:eastAsia="Arial" w:hAnsi="Arial"/>
          <w:sz w:val="21"/>
          <w:szCs w:val="21"/>
          <w:color w:val="646466"/>
        </w:rPr>
        <w:t>,</w:t>
      </w:r>
      <w:r>
        <w:rPr>
          <w:rFonts w:ascii="Arial" w:cs="Arial" w:eastAsia="Arial" w:hAnsi="Arial"/>
          <w:sz w:val="21"/>
          <w:szCs w:val="21"/>
          <w:color w:val="1C1C1C"/>
        </w:rPr>
        <w:t xml:space="preserve"> Executive and any executive</w:t>
      </w:r>
      <w:r>
        <w:rPr>
          <w:rFonts w:ascii="Arial" w:cs="Arial" w:eastAsia="Arial" w:hAnsi="Arial"/>
          <w:sz w:val="21"/>
          <w:szCs w:val="21"/>
          <w:color w:val="3D3D3D"/>
        </w:rPr>
        <w:t>,</w:t>
      </w:r>
      <w:r>
        <w:rPr>
          <w:rFonts w:ascii="Arial" w:cs="Arial" w:eastAsia="Arial" w:hAnsi="Arial"/>
          <w:sz w:val="21"/>
          <w:szCs w:val="21"/>
          <w:color w:val="1C1C1C"/>
        </w:rPr>
        <w:t xml:space="preserve"> officer</w:t>
      </w:r>
      <w:r>
        <w:rPr>
          <w:rFonts w:ascii="Arial" w:cs="Arial" w:eastAsia="Arial" w:hAnsi="Arial"/>
          <w:sz w:val="21"/>
          <w:szCs w:val="21"/>
          <w:color w:val="3D3D3D"/>
        </w:rPr>
        <w:t>,</w:t>
      </w:r>
      <w:r>
        <w:rPr>
          <w:rFonts w:ascii="Arial" w:cs="Arial" w:eastAsia="Arial" w:hAnsi="Arial"/>
          <w:sz w:val="21"/>
          <w:szCs w:val="21"/>
          <w:color w:val="1C1C1C"/>
        </w:rPr>
        <w:t xml:space="preserve"> director or shareholder in their capacity as such or otherwise) arising out of</w:t>
      </w:r>
      <w:r>
        <w:rPr>
          <w:rFonts w:ascii="Arial" w:cs="Arial" w:eastAsia="Arial" w:hAnsi="Arial"/>
          <w:sz w:val="21"/>
          <w:szCs w:val="21"/>
          <w:color w:val="646466"/>
        </w:rPr>
        <w:t>,</w:t>
      </w:r>
      <w:r>
        <w:rPr>
          <w:rFonts w:ascii="Arial" w:cs="Arial" w:eastAsia="Arial" w:hAnsi="Arial"/>
          <w:sz w:val="21"/>
          <w:szCs w:val="21"/>
          <w:color w:val="1C1C1C"/>
        </w:rPr>
        <w:t xml:space="preserve"> relating to</w:t>
      </w:r>
      <w:r>
        <w:rPr>
          <w:rFonts w:ascii="Arial" w:cs="Arial" w:eastAsia="Arial" w:hAnsi="Arial"/>
          <w:sz w:val="21"/>
          <w:szCs w:val="21"/>
          <w:color w:val="3D3D3D"/>
        </w:rPr>
        <w:t>,</w:t>
      </w:r>
      <w:r>
        <w:rPr>
          <w:rFonts w:ascii="Arial" w:cs="Arial" w:eastAsia="Arial" w:hAnsi="Arial"/>
          <w:sz w:val="21"/>
          <w:szCs w:val="21"/>
          <w:color w:val="1C1C1C"/>
        </w:rPr>
        <w:t xml:space="preserve"> or resulting from Executive’s employment with the Company or the termination of Executive’s employment with the Company</w:t>
      </w:r>
      <w:r>
        <w:rPr>
          <w:rFonts w:ascii="Arial" w:cs="Arial" w:eastAsia="Arial" w:hAnsi="Arial"/>
          <w:sz w:val="21"/>
          <w:szCs w:val="21"/>
          <w:color w:val="3D3D3D"/>
        </w:rPr>
        <w:t>,</w:t>
      </w:r>
      <w:r>
        <w:rPr>
          <w:rFonts w:ascii="Arial" w:cs="Arial" w:eastAsia="Arial" w:hAnsi="Arial"/>
          <w:sz w:val="21"/>
          <w:szCs w:val="21"/>
          <w:color w:val="1C1C1C"/>
        </w:rPr>
        <w:t xml:space="preserve"> including any</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9 </w:t>
      </w:r>
      <w:r>
        <w:rPr>
          <w:rFonts w:ascii="Arial" w:cs="Arial" w:eastAsia="Arial" w:hAnsi="Arial"/>
          <w:sz w:val="21"/>
          <w:szCs w:val="21"/>
          <w:color w:val="161616"/>
        </w:rPr>
        <w:t>|</w:t>
      </w:r>
      <w:r>
        <w:rPr>
          <w:rFonts w:ascii="Arial" w:cs="Arial" w:eastAsia="Arial" w:hAnsi="Arial"/>
          <w:sz w:val="21"/>
          <w:szCs w:val="21"/>
          <w:b w:val="1"/>
          <w:bCs w:val="1"/>
          <w:color w:val="auto"/>
        </w:rPr>
        <w:t xml:space="preserve"> </w:t>
      </w:r>
      <w:r>
        <w:rPr>
          <w:rFonts w:ascii="Arial" w:cs="Arial" w:eastAsia="Arial" w:hAnsi="Arial"/>
          <w:sz w:val="21"/>
          <w:szCs w:val="21"/>
          <w:color w:val="646464"/>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9" w:name="page50"/>
    <w:bookmarkEnd w:id="49"/>
    <w:p>
      <w:pPr>
        <w:jc w:val="both"/>
        <w:ind w:left="760" w:firstLine="2"/>
        <w:spacing w:after="0" w:line="270" w:lineRule="auto"/>
        <w:rPr>
          <w:sz w:val="20"/>
          <w:szCs w:val="20"/>
          <w:color w:val="auto"/>
        </w:rPr>
      </w:pPr>
      <w:r>
        <w:rPr>
          <w:rFonts w:ascii="Arial" w:cs="Arial" w:eastAsia="Arial" w:hAnsi="Arial"/>
          <w:sz w:val="19"/>
          <w:szCs w:val="19"/>
          <w:color w:val="151515"/>
        </w:rPr>
        <w:t>relating to this Agreement, will be subject to binding arbitration</w:t>
      </w:r>
      <w:r>
        <w:rPr>
          <w:rFonts w:ascii="Arial" w:cs="Arial" w:eastAsia="Arial" w:hAnsi="Arial"/>
          <w:sz w:val="19"/>
          <w:szCs w:val="19"/>
          <w:color w:val="333333"/>
        </w:rPr>
        <w:t>.</w:t>
      </w:r>
      <w:r>
        <w:rPr>
          <w:rFonts w:ascii="Arial" w:cs="Arial" w:eastAsia="Arial" w:hAnsi="Arial"/>
          <w:sz w:val="19"/>
          <w:szCs w:val="19"/>
          <w:color w:val="151515"/>
        </w:rPr>
        <w:t xml:space="preserve"> Disputes which Executive and Company hereby agree to arbitrate, </w:t>
      </w:r>
      <w:r>
        <w:rPr>
          <w:rFonts w:ascii="Arial" w:cs="Arial" w:eastAsia="Arial" w:hAnsi="Arial"/>
          <w:sz w:val="19"/>
          <w:szCs w:val="19"/>
          <w:b w:val="1"/>
          <w:bCs w:val="1"/>
          <w:color w:val="151515"/>
        </w:rPr>
        <w:t>AND THEREBY AGREE TO WAIVE ANY RIGHT TO A TRIAL BY</w:t>
      </w:r>
      <w:r>
        <w:rPr>
          <w:rFonts w:ascii="Arial" w:cs="Arial" w:eastAsia="Arial" w:hAnsi="Arial"/>
          <w:sz w:val="19"/>
          <w:szCs w:val="19"/>
          <w:color w:val="151515"/>
        </w:rPr>
        <w:t xml:space="preserve"> </w:t>
      </w:r>
      <w:r>
        <w:rPr>
          <w:rFonts w:ascii="Arial" w:cs="Arial" w:eastAsia="Arial" w:hAnsi="Arial"/>
          <w:sz w:val="19"/>
          <w:szCs w:val="19"/>
          <w:b w:val="1"/>
          <w:bCs w:val="1"/>
          <w:color w:val="151515"/>
        </w:rPr>
        <w:t xml:space="preserve">JURY, </w:t>
      </w:r>
      <w:r>
        <w:rPr>
          <w:rFonts w:ascii="Arial" w:cs="Arial" w:eastAsia="Arial" w:hAnsi="Arial"/>
          <w:sz w:val="19"/>
          <w:szCs w:val="19"/>
          <w:color w:val="151515"/>
        </w:rPr>
        <w:t>include, but are not limited to, any statutory claims under state or federal law</w:t>
      </w:r>
      <w:r>
        <w:rPr>
          <w:rFonts w:ascii="Arial" w:cs="Arial" w:eastAsia="Arial" w:hAnsi="Arial"/>
          <w:sz w:val="19"/>
          <w:szCs w:val="19"/>
          <w:color w:val="464646"/>
        </w:rPr>
        <w:t>,</w:t>
      </w:r>
      <w:r>
        <w:rPr>
          <w:rFonts w:ascii="Arial" w:cs="Arial" w:eastAsia="Arial" w:hAnsi="Arial"/>
          <w:sz w:val="19"/>
          <w:szCs w:val="19"/>
          <w:b w:val="1"/>
          <w:bCs w:val="1"/>
          <w:color w:val="151515"/>
        </w:rPr>
        <w:t xml:space="preserve"> </w:t>
      </w:r>
      <w:r>
        <w:rPr>
          <w:rFonts w:ascii="Arial" w:cs="Arial" w:eastAsia="Arial" w:hAnsi="Arial"/>
          <w:sz w:val="19"/>
          <w:szCs w:val="19"/>
          <w:color w:val="151515"/>
        </w:rPr>
        <w:t>including, but not</w:t>
      </w:r>
      <w:r>
        <w:rPr>
          <w:rFonts w:ascii="Arial" w:cs="Arial" w:eastAsia="Arial" w:hAnsi="Arial"/>
          <w:sz w:val="19"/>
          <w:szCs w:val="19"/>
          <w:b w:val="1"/>
          <w:bCs w:val="1"/>
          <w:color w:val="151515"/>
        </w:rPr>
        <w:t xml:space="preserve"> </w:t>
      </w:r>
      <w:r>
        <w:rPr>
          <w:rFonts w:ascii="Arial" w:cs="Arial" w:eastAsia="Arial" w:hAnsi="Arial"/>
          <w:sz w:val="19"/>
          <w:szCs w:val="19"/>
          <w:color w:val="151515"/>
        </w:rPr>
        <w:t>limited to, claims under Title VII of the Civil Rights Act of 1964</w:t>
      </w:r>
      <w:r>
        <w:rPr>
          <w:rFonts w:ascii="Arial" w:cs="Arial" w:eastAsia="Arial" w:hAnsi="Arial"/>
          <w:sz w:val="19"/>
          <w:szCs w:val="19"/>
          <w:color w:val="464646"/>
        </w:rPr>
        <w:t>,</w:t>
      </w:r>
      <w:r>
        <w:rPr>
          <w:rFonts w:ascii="Arial" w:cs="Arial" w:eastAsia="Arial" w:hAnsi="Arial"/>
          <w:sz w:val="19"/>
          <w:szCs w:val="19"/>
          <w:color w:val="151515"/>
        </w:rPr>
        <w:t xml:space="preserve"> the Americans with Disabilities Act of 1990, the Age Discrimination in Employment Act of 1967, the Older Workers Benefit Protection Act, the Worker Adjustment and Retraining Notification Act, the Family and Medical Leave Act</w:t>
      </w:r>
      <w:r>
        <w:rPr>
          <w:rFonts w:ascii="Arial" w:cs="Arial" w:eastAsia="Arial" w:hAnsi="Arial"/>
          <w:sz w:val="19"/>
          <w:szCs w:val="19"/>
          <w:color w:val="333333"/>
        </w:rPr>
        <w:t>,</w:t>
      </w:r>
      <w:r>
        <w:rPr>
          <w:rFonts w:ascii="Arial" w:cs="Arial" w:eastAsia="Arial" w:hAnsi="Arial"/>
          <w:sz w:val="19"/>
          <w:szCs w:val="19"/>
          <w:color w:val="151515"/>
        </w:rPr>
        <w:t xml:space="preserve"> the New Jersey Law Against Discrimination</w:t>
      </w:r>
      <w:r>
        <w:rPr>
          <w:rFonts w:ascii="Arial" w:cs="Arial" w:eastAsia="Arial" w:hAnsi="Arial"/>
          <w:sz w:val="19"/>
          <w:szCs w:val="19"/>
          <w:color w:val="333333"/>
        </w:rPr>
        <w:t>,</w:t>
      </w:r>
      <w:r>
        <w:rPr>
          <w:rFonts w:ascii="Arial" w:cs="Arial" w:eastAsia="Arial" w:hAnsi="Arial"/>
          <w:sz w:val="19"/>
          <w:szCs w:val="19"/>
          <w:color w:val="151515"/>
        </w:rPr>
        <w:t xml:space="preserve"> the New Jersey Conscientious Executive Protection Act</w:t>
      </w:r>
      <w:r>
        <w:rPr>
          <w:rFonts w:ascii="Arial" w:cs="Arial" w:eastAsia="Arial" w:hAnsi="Arial"/>
          <w:sz w:val="19"/>
          <w:szCs w:val="19"/>
          <w:color w:val="333333"/>
        </w:rPr>
        <w:t>,</w:t>
      </w:r>
      <w:r>
        <w:rPr>
          <w:rFonts w:ascii="Arial" w:cs="Arial" w:eastAsia="Arial" w:hAnsi="Arial"/>
          <w:sz w:val="19"/>
          <w:szCs w:val="19"/>
          <w:color w:val="151515"/>
        </w:rPr>
        <w:t xml:space="preserve"> the New Jersey Family Leave Act</w:t>
      </w:r>
      <w:r>
        <w:rPr>
          <w:rFonts w:ascii="Arial" w:cs="Arial" w:eastAsia="Arial" w:hAnsi="Arial"/>
          <w:sz w:val="19"/>
          <w:szCs w:val="19"/>
          <w:color w:val="333333"/>
        </w:rPr>
        <w:t>,</w:t>
      </w:r>
      <w:r>
        <w:rPr>
          <w:rFonts w:ascii="Arial" w:cs="Arial" w:eastAsia="Arial" w:hAnsi="Arial"/>
          <w:sz w:val="19"/>
          <w:szCs w:val="19"/>
          <w:color w:val="151515"/>
        </w:rPr>
        <w:t xml:space="preserve"> and any other federal, state or local discrimination</w:t>
      </w:r>
      <w:r>
        <w:rPr>
          <w:rFonts w:ascii="Arial" w:cs="Arial" w:eastAsia="Arial" w:hAnsi="Arial"/>
          <w:sz w:val="19"/>
          <w:szCs w:val="19"/>
          <w:color w:val="333333"/>
        </w:rPr>
        <w:t>,</w:t>
      </w:r>
      <w:r>
        <w:rPr>
          <w:rFonts w:ascii="Arial" w:cs="Arial" w:eastAsia="Arial" w:hAnsi="Arial"/>
          <w:sz w:val="19"/>
          <w:szCs w:val="19"/>
          <w:color w:val="151515"/>
        </w:rPr>
        <w:t xml:space="preserve"> retaliation or wrongful termination claims or other statutory or common law claims</w:t>
      </w:r>
      <w:r>
        <w:rPr>
          <w:rFonts w:ascii="Arial" w:cs="Arial" w:eastAsia="Arial" w:hAnsi="Arial"/>
          <w:sz w:val="19"/>
          <w:szCs w:val="19"/>
          <w:color w:val="333333"/>
        </w:rPr>
        <w:t>.</w:t>
      </w:r>
      <w:r>
        <w:rPr>
          <w:rFonts w:ascii="Arial" w:cs="Arial" w:eastAsia="Arial" w:hAnsi="Arial"/>
          <w:sz w:val="19"/>
          <w:szCs w:val="19"/>
          <w:color w:val="151515"/>
        </w:rPr>
        <w:t xml:space="preserve"> Executive further understands that this agreement to arbitrate also applies to any disputes that the Company may have with Executive. Executive and Company agree that any arbitration will be administered by the American Arbitration Association (“AAA”) and that a single neutral arbitrator will be selected in a manner consistent with its National Rules for the Resolution of Employment Disputes (the “Rules”)</w:t>
      </w:r>
      <w:r>
        <w:rPr>
          <w:rFonts w:ascii="Arial" w:cs="Arial" w:eastAsia="Arial" w:hAnsi="Arial"/>
          <w:sz w:val="19"/>
          <w:szCs w:val="19"/>
          <w:color w:val="333333"/>
        </w:rPr>
        <w:t>.</w:t>
      </w:r>
      <w:r>
        <w:rPr>
          <w:rFonts w:ascii="Arial" w:cs="Arial" w:eastAsia="Arial" w:hAnsi="Arial"/>
          <w:sz w:val="19"/>
          <w:szCs w:val="19"/>
          <w:color w:val="151515"/>
        </w:rPr>
        <w:t xml:space="preserve"> All arbitration fees and costs shall be shared equally b</w:t>
      </w:r>
      <w:r>
        <w:rPr>
          <w:rFonts w:ascii="Arial" w:cs="Arial" w:eastAsia="Arial" w:hAnsi="Arial"/>
          <w:sz w:val="19"/>
          <w:szCs w:val="19"/>
          <w:color w:val="333333"/>
        </w:rPr>
        <w:t>y</w:t>
      </w:r>
      <w:r>
        <w:rPr>
          <w:rFonts w:ascii="Arial" w:cs="Arial" w:eastAsia="Arial" w:hAnsi="Arial"/>
          <w:sz w:val="19"/>
          <w:szCs w:val="19"/>
          <w:color w:val="151515"/>
        </w:rPr>
        <w:t xml:space="preserve"> the parties</w:t>
      </w:r>
      <w:r>
        <w:rPr>
          <w:rFonts w:ascii="Arial" w:cs="Arial" w:eastAsia="Arial" w:hAnsi="Arial"/>
          <w:sz w:val="19"/>
          <w:szCs w:val="19"/>
          <w:color w:val="464646"/>
        </w:rPr>
        <w:t>,</w:t>
      </w:r>
      <w:r>
        <w:rPr>
          <w:rFonts w:ascii="Arial" w:cs="Arial" w:eastAsia="Arial" w:hAnsi="Arial"/>
          <w:sz w:val="19"/>
          <w:szCs w:val="19"/>
          <w:color w:val="151515"/>
        </w:rPr>
        <w:t xml:space="preserve"> but the parties shall be responsible for payment of their own attorneys</w:t>
      </w:r>
      <w:r>
        <w:rPr>
          <w:rFonts w:ascii="Arial" w:cs="Arial" w:eastAsia="Arial" w:hAnsi="Arial"/>
          <w:sz w:val="19"/>
          <w:szCs w:val="19"/>
          <w:color w:val="333333"/>
        </w:rPr>
        <w:t>’</w:t>
      </w:r>
      <w:r>
        <w:rPr>
          <w:rFonts w:ascii="Arial" w:cs="Arial" w:eastAsia="Arial" w:hAnsi="Arial"/>
          <w:sz w:val="19"/>
          <w:szCs w:val="19"/>
          <w:color w:val="151515"/>
        </w:rPr>
        <w:t xml:space="preserve"> and professional fees. Executive and Company agree that the arbitrator will administer and conduct any arbitration in a manner consistent with the Rules. Notwithstanding the foregoing</w:t>
      </w:r>
      <w:r>
        <w:rPr>
          <w:rFonts w:ascii="Arial" w:cs="Arial" w:eastAsia="Arial" w:hAnsi="Arial"/>
          <w:sz w:val="19"/>
          <w:szCs w:val="19"/>
          <w:color w:val="333333"/>
        </w:rPr>
        <w:t>,</w:t>
      </w:r>
      <w:r>
        <w:rPr>
          <w:rFonts w:ascii="Arial" w:cs="Arial" w:eastAsia="Arial" w:hAnsi="Arial"/>
          <w:sz w:val="19"/>
          <w:szCs w:val="19"/>
          <w:color w:val="151515"/>
        </w:rPr>
        <w:t xml:space="preserve"> nothing herein shall limit or alter the Company’s right to seek injunctive or other equitable relief.</w:t>
      </w:r>
    </w:p>
    <w:p>
      <w:pPr>
        <w:spacing w:after="0" w:line="189" w:lineRule="exact"/>
        <w:rPr>
          <w:sz w:val="20"/>
          <w:szCs w:val="20"/>
          <w:color w:val="auto"/>
        </w:rPr>
      </w:pPr>
    </w:p>
    <w:p>
      <w:pPr>
        <w:jc w:val="both"/>
        <w:ind w:left="760" w:firstLine="3"/>
        <w:spacing w:after="0" w:line="234" w:lineRule="auto"/>
        <w:tabs>
          <w:tab w:leader="none" w:pos="1416" w:val="left"/>
        </w:tabs>
        <w:numPr>
          <w:ilvl w:val="0"/>
          <w:numId w:val="36"/>
        </w:numPr>
        <w:rPr>
          <w:rFonts w:ascii="Arial" w:cs="Arial" w:eastAsia="Arial" w:hAnsi="Arial"/>
          <w:sz w:val="22"/>
          <w:szCs w:val="22"/>
          <w:color w:val="151515"/>
        </w:rPr>
      </w:pPr>
      <w:r>
        <w:rPr>
          <w:rFonts w:ascii="Arial" w:cs="Arial" w:eastAsia="Arial" w:hAnsi="Arial"/>
          <w:sz w:val="22"/>
          <w:szCs w:val="22"/>
          <w:b w:val="1"/>
          <w:bCs w:val="1"/>
          <w:u w:val="single" w:color="auto"/>
          <w:color w:val="151515"/>
        </w:rPr>
        <w:t>Voluntary Nature of Agreement.</w:t>
      </w:r>
      <w:r>
        <w:rPr>
          <w:rFonts w:ascii="Arial" w:cs="Arial" w:eastAsia="Arial" w:hAnsi="Arial"/>
          <w:sz w:val="22"/>
          <w:szCs w:val="22"/>
          <w:b w:val="1"/>
          <w:bCs w:val="1"/>
          <w:color w:val="151515"/>
        </w:rPr>
        <w:t xml:space="preserve"> </w:t>
      </w:r>
      <w:r>
        <w:rPr>
          <w:rFonts w:ascii="Arial" w:cs="Arial" w:eastAsia="Arial" w:hAnsi="Arial"/>
          <w:sz w:val="22"/>
          <w:szCs w:val="22"/>
          <w:color w:val="151515"/>
        </w:rPr>
        <w:t>Executive acknowledges and agrees that Executive is</w:t>
      </w:r>
      <w:r>
        <w:rPr>
          <w:rFonts w:ascii="Arial" w:cs="Arial" w:eastAsia="Arial" w:hAnsi="Arial"/>
          <w:sz w:val="22"/>
          <w:szCs w:val="22"/>
          <w:b w:val="1"/>
          <w:bCs w:val="1"/>
          <w:color w:val="151515"/>
        </w:rPr>
        <w:t xml:space="preserve"> </w:t>
      </w:r>
      <w:r>
        <w:rPr>
          <w:rFonts w:ascii="Arial" w:cs="Arial" w:eastAsia="Arial" w:hAnsi="Arial"/>
          <w:sz w:val="22"/>
          <w:szCs w:val="22"/>
          <w:color w:val="151515"/>
        </w:rPr>
        <w:t xml:space="preserve">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Executive is </w:t>
      </w:r>
      <w:r>
        <w:rPr>
          <w:rFonts w:ascii="Arial" w:cs="Arial" w:eastAsia="Arial" w:hAnsi="Arial"/>
          <w:sz w:val="22"/>
          <w:szCs w:val="22"/>
          <w:b w:val="1"/>
          <w:bCs w:val="1"/>
          <w:color w:val="151515"/>
        </w:rPr>
        <w:t>WAIVING</w:t>
      </w:r>
      <w:r>
        <w:rPr>
          <w:rFonts w:ascii="Arial" w:cs="Arial" w:eastAsia="Arial" w:hAnsi="Arial"/>
          <w:sz w:val="22"/>
          <w:szCs w:val="22"/>
          <w:color w:val="151515"/>
        </w:rPr>
        <w:t xml:space="preserve"> </w:t>
      </w:r>
      <w:r>
        <w:rPr>
          <w:rFonts w:ascii="Arial" w:cs="Arial" w:eastAsia="Arial" w:hAnsi="Arial"/>
          <w:sz w:val="22"/>
          <w:szCs w:val="22"/>
          <w:b w:val="1"/>
          <w:bCs w:val="1"/>
          <w:color w:val="151515"/>
        </w:rPr>
        <w:t xml:space="preserve">EXECUTIVE’S RIGHT TO A JURY TRIAL. </w:t>
      </w:r>
      <w:r>
        <w:rPr>
          <w:rFonts w:ascii="Arial" w:cs="Arial" w:eastAsia="Arial" w:hAnsi="Arial"/>
          <w:sz w:val="22"/>
          <w:szCs w:val="22"/>
          <w:color w:val="151515"/>
        </w:rPr>
        <w:t>Finally</w:t>
      </w:r>
      <w:r>
        <w:rPr>
          <w:rFonts w:ascii="Arial" w:cs="Arial" w:eastAsia="Arial" w:hAnsi="Arial"/>
          <w:sz w:val="22"/>
          <w:szCs w:val="22"/>
          <w:color w:val="626262"/>
        </w:rPr>
        <w:t>,</w:t>
      </w:r>
      <w:r>
        <w:rPr>
          <w:rFonts w:ascii="Arial" w:cs="Arial" w:eastAsia="Arial" w:hAnsi="Arial"/>
          <w:sz w:val="22"/>
          <w:szCs w:val="22"/>
          <w:b w:val="1"/>
          <w:bCs w:val="1"/>
          <w:color w:val="151515"/>
        </w:rPr>
        <w:t xml:space="preserve"> </w:t>
      </w:r>
      <w:r>
        <w:rPr>
          <w:rFonts w:ascii="Arial" w:cs="Arial" w:eastAsia="Arial" w:hAnsi="Arial"/>
          <w:sz w:val="22"/>
          <w:szCs w:val="22"/>
          <w:color w:val="151515"/>
        </w:rPr>
        <w:t>Executive agrees that Executive has been</w:t>
      </w:r>
      <w:r>
        <w:rPr>
          <w:rFonts w:ascii="Arial" w:cs="Arial" w:eastAsia="Arial" w:hAnsi="Arial"/>
          <w:sz w:val="22"/>
          <w:szCs w:val="22"/>
          <w:b w:val="1"/>
          <w:bCs w:val="1"/>
          <w:color w:val="151515"/>
        </w:rPr>
        <w:t xml:space="preserve"> </w:t>
      </w:r>
      <w:r>
        <w:rPr>
          <w:rFonts w:ascii="Arial" w:cs="Arial" w:eastAsia="Arial" w:hAnsi="Arial"/>
          <w:sz w:val="22"/>
          <w:szCs w:val="22"/>
          <w:color w:val="151515"/>
        </w:rPr>
        <w:t>provided an opportunity to seek the advice of an attorney of Executive’s choice before signing this Agreement.</w:t>
      </w:r>
    </w:p>
    <w:p>
      <w:pPr>
        <w:spacing w:after="0" w:line="214" w:lineRule="exact"/>
        <w:rPr>
          <w:sz w:val="20"/>
          <w:szCs w:val="20"/>
          <w:color w:val="auto"/>
        </w:rPr>
      </w:pPr>
    </w:p>
    <w:p>
      <w:pPr>
        <w:ind w:left="760" w:hanging="1"/>
        <w:spacing w:after="0" w:line="334" w:lineRule="auto"/>
        <w:rPr>
          <w:sz w:val="20"/>
          <w:szCs w:val="20"/>
          <w:color w:val="auto"/>
        </w:rPr>
      </w:pPr>
      <w:r>
        <w:rPr>
          <w:rFonts w:ascii="Arial" w:cs="Arial" w:eastAsia="Arial" w:hAnsi="Arial"/>
          <w:sz w:val="19"/>
          <w:szCs w:val="19"/>
          <w:b w:val="1"/>
          <w:bCs w:val="1"/>
          <w:color w:val="151515"/>
        </w:rPr>
        <w:t xml:space="preserve">IN WITNESS WHEREOF, </w:t>
      </w:r>
      <w:r>
        <w:rPr>
          <w:rFonts w:ascii="Arial" w:cs="Arial" w:eastAsia="Arial" w:hAnsi="Arial"/>
          <w:sz w:val="19"/>
          <w:szCs w:val="19"/>
          <w:color w:val="151515"/>
        </w:rPr>
        <w:t>this Agreement has been executed as a sealed instrument by the Company</w:t>
      </w:r>
      <w:r>
        <w:rPr>
          <w:rFonts w:ascii="Arial" w:cs="Arial" w:eastAsia="Arial" w:hAnsi="Arial"/>
          <w:sz w:val="19"/>
          <w:szCs w:val="19"/>
          <w:color w:val="333333"/>
        </w:rPr>
        <w:t>,</w:t>
      </w:r>
      <w:r>
        <w:rPr>
          <w:rFonts w:ascii="Arial" w:cs="Arial" w:eastAsia="Arial" w:hAnsi="Arial"/>
          <w:sz w:val="19"/>
          <w:szCs w:val="19"/>
          <w:b w:val="1"/>
          <w:bCs w:val="1"/>
          <w:color w:val="151515"/>
        </w:rPr>
        <w:t xml:space="preserve"> </w:t>
      </w:r>
      <w:r>
        <w:rPr>
          <w:rFonts w:ascii="Arial" w:cs="Arial" w:eastAsia="Arial" w:hAnsi="Arial"/>
          <w:sz w:val="19"/>
          <w:szCs w:val="19"/>
          <w:color w:val="151515"/>
        </w:rPr>
        <w:t>by its duly authorized representative, and by Executive, as of the date first above written.</w:t>
      </w:r>
    </w:p>
    <w:p>
      <w:pPr>
        <w:spacing w:after="0" w:line="200" w:lineRule="exact"/>
        <w:rPr>
          <w:sz w:val="20"/>
          <w:szCs w:val="20"/>
          <w:color w:val="auto"/>
        </w:rPr>
      </w:pPr>
    </w:p>
    <w:p>
      <w:pPr>
        <w:spacing w:after="0" w:line="263" w:lineRule="exact"/>
        <w:rPr>
          <w:sz w:val="20"/>
          <w:szCs w:val="20"/>
          <w:color w:val="auto"/>
        </w:rPr>
      </w:pPr>
    </w:p>
    <w:p>
      <w:pPr>
        <w:ind w:left="760"/>
        <w:spacing w:after="0"/>
        <w:tabs>
          <w:tab w:leader="none" w:pos="4020" w:val="left"/>
        </w:tabs>
        <w:rPr>
          <w:sz w:val="20"/>
          <w:szCs w:val="20"/>
          <w:color w:val="auto"/>
        </w:rPr>
      </w:pPr>
      <w:r>
        <w:rPr>
          <w:rFonts w:ascii="Arial" w:cs="Arial" w:eastAsia="Arial" w:hAnsi="Arial"/>
          <w:sz w:val="20"/>
          <w:szCs w:val="20"/>
          <w:b w:val="1"/>
          <w:bCs w:val="1"/>
          <w:color w:val="151515"/>
        </w:rPr>
        <w:t>NRx Pharmaceuticals, Inc</w:t>
      </w:r>
      <w:r>
        <w:rPr>
          <w:rFonts w:ascii="Arial" w:cs="Arial" w:eastAsia="Arial" w:hAnsi="Arial"/>
          <w:sz w:val="20"/>
          <w:szCs w:val="20"/>
          <w:b w:val="1"/>
          <w:bCs w:val="1"/>
          <w:color w:val="333333"/>
        </w:rPr>
        <w:t>.</w:t>
      </w:r>
      <w:r>
        <w:rPr>
          <w:sz w:val="20"/>
          <w:szCs w:val="20"/>
          <w:color w:val="auto"/>
        </w:rPr>
        <w:tab/>
      </w:r>
      <w:r>
        <w:rPr>
          <w:rFonts w:ascii="Arial" w:cs="Arial" w:eastAsia="Arial" w:hAnsi="Arial"/>
          <w:sz w:val="16"/>
          <w:szCs w:val="16"/>
          <w:b w:val="1"/>
          <w:bCs w:val="1"/>
          <w:color w:val="151515"/>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13970</wp:posOffset>
            </wp:positionV>
            <wp:extent cx="5031740" cy="737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3174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60"/>
        <w:spacing w:after="0"/>
        <w:tabs>
          <w:tab w:leader="none" w:pos="40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10160</wp:posOffset>
            </wp:positionV>
            <wp:extent cx="50317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ind w:left="1080"/>
        <w:spacing w:after="0"/>
        <w:tabs>
          <w:tab w:leader="none" w:pos="4320" w:val="left"/>
        </w:tabs>
        <w:rPr>
          <w:sz w:val="20"/>
          <w:szCs w:val="20"/>
          <w:color w:val="auto"/>
        </w:rPr>
      </w:pPr>
      <w:r>
        <w:rPr>
          <w:rFonts w:ascii="Arial" w:cs="Arial" w:eastAsia="Arial" w:hAnsi="Arial"/>
          <w:sz w:val="21"/>
          <w:szCs w:val="21"/>
          <w:color w:val="151515"/>
        </w:rPr>
        <w:t>Robert Besthof</w:t>
      </w:r>
      <w:r>
        <w:rPr>
          <w:sz w:val="20"/>
          <w:szCs w:val="20"/>
          <w:color w:val="auto"/>
        </w:rPr>
        <w:tab/>
      </w:r>
      <w:r>
        <w:rPr>
          <w:rFonts w:ascii="Arial" w:cs="Arial" w:eastAsia="Arial" w:hAnsi="Arial"/>
          <w:sz w:val="17"/>
          <w:szCs w:val="17"/>
          <w:color w:val="151515"/>
        </w:rPr>
        <w:t>Seth Van Voorhees</w:t>
      </w:r>
    </w:p>
    <w:p>
      <w:pPr>
        <w:spacing w:after="0" w:line="13" w:lineRule="exact"/>
        <w:rPr>
          <w:sz w:val="20"/>
          <w:szCs w:val="20"/>
          <w:color w:val="auto"/>
        </w:rPr>
      </w:pPr>
    </w:p>
    <w:p>
      <w:pPr>
        <w:ind w:left="1080"/>
        <w:spacing w:after="0"/>
        <w:rPr>
          <w:sz w:val="20"/>
          <w:szCs w:val="20"/>
          <w:color w:val="auto"/>
        </w:rPr>
      </w:pPr>
      <w:r>
        <w:rPr>
          <w:rFonts w:ascii="Arial" w:cs="Arial" w:eastAsia="Arial" w:hAnsi="Arial"/>
          <w:sz w:val="22"/>
          <w:szCs w:val="22"/>
          <w:color w:val="151515"/>
        </w:rPr>
        <w:t>Interim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10 </w:t>
      </w:r>
      <w:r>
        <w:rPr>
          <w:rFonts w:ascii="Arial" w:cs="Arial" w:eastAsia="Arial" w:hAnsi="Arial"/>
          <w:sz w:val="21"/>
          <w:szCs w:val="21"/>
          <w:color w:val="161616"/>
        </w:rPr>
        <w:t>|</w:t>
      </w:r>
      <w:r>
        <w:rPr>
          <w:rFonts w:ascii="Arial" w:cs="Arial" w:eastAsia="Arial" w:hAnsi="Arial"/>
          <w:sz w:val="21"/>
          <w:szCs w:val="21"/>
          <w:b w:val="1"/>
          <w:bCs w:val="1"/>
          <w:color w:val="auto"/>
        </w:rPr>
        <w:t xml:space="preserve"> </w:t>
      </w:r>
      <w:r>
        <w:rPr>
          <w:rFonts w:ascii="Arial" w:cs="Arial" w:eastAsia="Arial" w:hAnsi="Arial"/>
          <w:sz w:val="21"/>
          <w:szCs w:val="21"/>
          <w:color w:val="646464"/>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CERTIFICATION OF THE CHIEF EXECUTIVE OFFICER PURSUANT TO RULE 13a-14(a) AND 15d-14(a), 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Stephen H. Willard, Chief Executive Officer of NRx Pharmaceuticals, Inc., certify that:</w:t>
      </w:r>
    </w:p>
    <w:p>
      <w:pPr>
        <w:spacing w:after="0" w:line="26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NRx Pharmaceuticals, Inc. (the “Registrant”);</w:t>
      </w:r>
    </w:p>
    <w:p>
      <w:pPr>
        <w:spacing w:after="0" w:line="261" w:lineRule="exact"/>
        <w:rPr>
          <w:rFonts w:ascii="Arial" w:cs="Arial" w:eastAsia="Arial" w:hAnsi="Arial"/>
          <w:sz w:val="16"/>
          <w:szCs w:val="16"/>
          <w:color w:val="auto"/>
        </w:rPr>
      </w:pPr>
    </w:p>
    <w:p>
      <w:pPr>
        <w:jc w:val="both"/>
        <w:ind w:left="340" w:right="160" w:hanging="332"/>
        <w:spacing w:after="0" w:line="278"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1" w:lineRule="exact"/>
        <w:rPr>
          <w:rFonts w:ascii="Arial" w:cs="Arial" w:eastAsia="Arial" w:hAnsi="Arial"/>
          <w:sz w:val="16"/>
          <w:szCs w:val="16"/>
          <w:color w:val="auto"/>
        </w:rPr>
      </w:pPr>
    </w:p>
    <w:p>
      <w:pPr>
        <w:ind w:left="340" w:right="140" w:hanging="332"/>
        <w:spacing w:after="0" w:line="328" w:lineRule="auto"/>
        <w:tabs>
          <w:tab w:leader="none" w:pos="3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76" w:lineRule="exact"/>
        <w:rPr>
          <w:rFonts w:ascii="Arial" w:cs="Arial" w:eastAsia="Arial" w:hAnsi="Arial"/>
          <w:sz w:val="15"/>
          <w:szCs w:val="15"/>
          <w:color w:val="auto"/>
        </w:rPr>
      </w:pPr>
    </w:p>
    <w:p>
      <w:pPr>
        <w:ind w:left="340" w:right="160" w:hanging="332"/>
        <w:spacing w:after="0" w:line="278"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980" w:right="160" w:hanging="324"/>
        <w:spacing w:after="0" w:line="369" w:lineRule="auto"/>
        <w:tabs>
          <w:tab w:leader="none" w:pos="980" w:val="left"/>
        </w:tabs>
        <w:numPr>
          <w:ilvl w:val="1"/>
          <w:numId w:val="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980" w:right="80" w:hanging="324"/>
        <w:spacing w:after="0" w:line="278"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6" w:lineRule="exact"/>
        <w:rPr>
          <w:rFonts w:ascii="Arial" w:cs="Arial" w:eastAsia="Arial" w:hAnsi="Arial"/>
          <w:sz w:val="15"/>
          <w:szCs w:val="15"/>
          <w:color w:val="auto"/>
        </w:rPr>
      </w:pPr>
    </w:p>
    <w:p>
      <w:pPr>
        <w:ind w:left="980" w:right="400" w:hanging="324"/>
        <w:spacing w:after="0" w:line="369" w:lineRule="auto"/>
        <w:tabs>
          <w:tab w:leader="none" w:pos="980" w:val="left"/>
        </w:tabs>
        <w:numPr>
          <w:ilvl w:val="1"/>
          <w:numId w:val="3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980" w:right="60" w:hanging="324"/>
        <w:spacing w:after="0" w:line="293"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Date: August 15,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H. Willard</w:t>
            </w:r>
          </w:p>
        </w:tc>
      </w:tr>
      <w:tr>
        <w:trPr>
          <w:trHeight w:val="213"/>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Stephen H. Willard</w:t>
            </w:r>
          </w:p>
        </w:tc>
      </w:tr>
      <w:tr>
        <w:trPr>
          <w:trHeight w:val="206"/>
        </w:trPr>
        <w:tc>
          <w:tcPr>
            <w:tcW w:w="496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Chief Executive Officer (Principal Executive Officer)</w:t>
            </w:r>
          </w:p>
        </w:tc>
      </w:tr>
      <w:tr>
        <w:trPr>
          <w:trHeight w:val="78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31.2</w:t>
      </w:r>
    </w:p>
    <w:p>
      <w:pPr>
        <w:spacing w:after="0" w:line="262"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CERTIFICATION OF THE ACTING CHIEF FINANCIAL OFFICER PURSUANT TO RULE 13a-14(a) AND 15d-14(a), 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Seth Van Voorhees, Chief Financial Officer of NRx Pharmaceuticals, Inc., certify that:</w:t>
      </w:r>
    </w:p>
    <w:p>
      <w:pPr>
        <w:spacing w:after="0" w:line="26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NRx Pharmaceuticals, Inc. (the “Registrant”);</w:t>
      </w:r>
    </w:p>
    <w:p>
      <w:pPr>
        <w:spacing w:after="0" w:line="261" w:lineRule="exact"/>
        <w:rPr>
          <w:rFonts w:ascii="Arial" w:cs="Arial" w:eastAsia="Arial" w:hAnsi="Arial"/>
          <w:sz w:val="16"/>
          <w:szCs w:val="16"/>
          <w:color w:val="auto"/>
        </w:rPr>
      </w:pPr>
    </w:p>
    <w:p>
      <w:pPr>
        <w:jc w:val="both"/>
        <w:ind w:left="340" w:right="160" w:hanging="332"/>
        <w:spacing w:after="0" w:line="278"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1" w:lineRule="exact"/>
        <w:rPr>
          <w:rFonts w:ascii="Arial" w:cs="Arial" w:eastAsia="Arial" w:hAnsi="Arial"/>
          <w:sz w:val="16"/>
          <w:szCs w:val="16"/>
          <w:color w:val="auto"/>
        </w:rPr>
      </w:pPr>
    </w:p>
    <w:p>
      <w:pPr>
        <w:ind w:left="340" w:right="140" w:hanging="332"/>
        <w:spacing w:after="0" w:line="328" w:lineRule="auto"/>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76" w:lineRule="exact"/>
        <w:rPr>
          <w:rFonts w:ascii="Arial" w:cs="Arial" w:eastAsia="Arial" w:hAnsi="Arial"/>
          <w:sz w:val="15"/>
          <w:szCs w:val="15"/>
          <w:color w:val="auto"/>
        </w:rPr>
      </w:pPr>
    </w:p>
    <w:p>
      <w:pPr>
        <w:ind w:left="340" w:right="160" w:hanging="332"/>
        <w:spacing w:after="0" w:line="278"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980" w:right="160" w:hanging="324"/>
        <w:spacing w:after="0" w:line="369"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980" w:right="80" w:hanging="324"/>
        <w:spacing w:after="0" w:line="278"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6" w:lineRule="exact"/>
        <w:rPr>
          <w:rFonts w:ascii="Arial" w:cs="Arial" w:eastAsia="Arial" w:hAnsi="Arial"/>
          <w:sz w:val="15"/>
          <w:szCs w:val="15"/>
          <w:color w:val="auto"/>
        </w:rPr>
      </w:pPr>
    </w:p>
    <w:p>
      <w:pPr>
        <w:ind w:left="980" w:right="400" w:hanging="324"/>
        <w:spacing w:after="0" w:line="369"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980" w:right="60" w:hanging="324"/>
        <w:spacing w:after="0" w:line="293"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Date: August 15,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Van Voorhees</w:t>
            </w:r>
          </w:p>
        </w:tc>
      </w:tr>
      <w:tr>
        <w:trPr>
          <w:trHeight w:val="213"/>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Seth Van Voorhees</w:t>
            </w:r>
          </w:p>
        </w:tc>
      </w:tr>
      <w:tr>
        <w:trPr>
          <w:trHeight w:val="206"/>
        </w:trPr>
        <w:tc>
          <w:tcPr>
            <w:tcW w:w="496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Chief Financial Officer (Principal Financial Officer)</w:t>
            </w:r>
          </w:p>
        </w:tc>
      </w:tr>
      <w:tr>
        <w:trPr>
          <w:trHeight w:val="78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5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connection with the filing of the Quarterly Report on Form 10-Q for the three months ended June 30, 2022 (the “Report”) by NRx Pharmaceuticals, Inc. (the “Registrant”), I, Stephen H. Willard, as Chief Executive Officer of the Registrant hereby certify pursuant to 18 U.S.C. Section 1350, as adopted pursuant to Section 906 of the Sarbanes-Oxley Act of 2002, that, to the best of my knowledge:</w:t>
      </w:r>
    </w:p>
    <w:p>
      <w:pPr>
        <w:spacing w:after="0" w:line="21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Section 15(d) of the Securities Exchange Act of 1934, as amended; and</w:t>
      </w:r>
    </w:p>
    <w:p>
      <w:pPr>
        <w:spacing w:after="0" w:line="273" w:lineRule="exact"/>
        <w:rPr>
          <w:rFonts w:ascii="Arial" w:cs="Arial" w:eastAsia="Arial" w:hAnsi="Arial"/>
          <w:sz w:val="15"/>
          <w:szCs w:val="15"/>
          <w:color w:val="auto"/>
        </w:rPr>
      </w:pPr>
    </w:p>
    <w:p>
      <w:pPr>
        <w:ind w:left="660" w:right="620" w:hanging="328"/>
        <w:spacing w:after="0" w:line="293"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August 15,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H. Willard</w:t>
            </w:r>
          </w:p>
        </w:tc>
      </w:tr>
      <w:tr>
        <w:trPr>
          <w:trHeight w:val="195"/>
        </w:trPr>
        <w:tc>
          <w:tcPr>
            <w:tcW w:w="492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Stephen H. Willard</w:t>
            </w:r>
          </w:p>
        </w:tc>
      </w:tr>
      <w:tr>
        <w:trPr>
          <w:trHeight w:val="230"/>
        </w:trPr>
        <w:tc>
          <w:tcPr>
            <w:tcW w:w="49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ACTING CHIEF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58" w:lineRule="exact"/>
        <w:rPr>
          <w:sz w:val="20"/>
          <w:szCs w:val="20"/>
          <w:color w:val="auto"/>
        </w:rPr>
      </w:pPr>
    </w:p>
    <w:p>
      <w:pPr>
        <w:jc w:val="both"/>
        <w:ind w:right="100"/>
        <w:spacing w:after="0" w:line="278" w:lineRule="auto"/>
        <w:rPr>
          <w:sz w:val="20"/>
          <w:szCs w:val="20"/>
          <w:color w:val="auto"/>
        </w:rPr>
      </w:pPr>
      <w:r>
        <w:rPr>
          <w:rFonts w:ascii="Arial" w:cs="Arial" w:eastAsia="Arial" w:hAnsi="Arial"/>
          <w:sz w:val="16"/>
          <w:szCs w:val="16"/>
          <w:color w:val="auto"/>
        </w:rPr>
        <w:t>In connection with the filing of the Quarterly Report on Form 10-Q for the three months ended June 30, 2022 (the “Report”) by NRx Pharmaceuticals, Inc. (the “Registrant”), I, Seth Van Voorhees, as Chief Financial Officer of the Registrant hereby certify pursuant to 18 U.S.C. Section 1350, as adopted pursuant to Section 906 of the Sarbanes-Oxley Act of 2002, that, to the best of my knowledge: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1.the Report fully complies with the requirements of Section 13(a) or Section 15(d) of the Securities Exchange Act of 1934, as amended; and</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2.the information contained in the Report fairly presents, in all material respects, the financial condition and results of operations of the Registrant.</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August 15,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Van Voorhees</w:t>
            </w:r>
          </w:p>
        </w:tc>
      </w:tr>
      <w:tr>
        <w:trPr>
          <w:trHeight w:val="195"/>
        </w:trPr>
        <w:tc>
          <w:tcPr>
            <w:tcW w:w="492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Seth Van Voorhees</w:t>
            </w:r>
          </w:p>
        </w:tc>
      </w:tr>
      <w:tr>
        <w:trPr>
          <w:trHeight w:val="230"/>
        </w:trPr>
        <w:tc>
          <w:tcPr>
            <w:tcW w:w="49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lvl w:ilvl="1">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lowerRoman"/>
      <w:start w:val="10"/>
    </w:lvl>
  </w:abstractNum>
  <w:abstractNum w:abstractNumId="5">
    <w:nsid w:val="2443A858"/>
    <w:multiLevelType w:val="hybridMultilevel"/>
    <w:lvl w:ilvl="0">
      <w:lvlJc w:val="left"/>
      <w:lvlText w:val="+"/>
      <w:numFmt w:val="bullet"/>
      <w:start w:val="1"/>
    </w:lvl>
    <w:lvl w:ilvl="1">
      <w:lvlJc w:val="left"/>
      <w:lvlText w:val="%2"/>
      <w:numFmt w:val="decimal"/>
      <w:start w:val="104"/>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decimal"/>
      <w:start w:val="1"/>
    </w:lvl>
    <w:lvl w:ilvl="1">
      <w:lvlJc w:val="left"/>
      <w:lvlText w:val="(%2)"/>
      <w:numFmt w:val="lowerLetter"/>
      <w:start w:val="4"/>
    </w:lvl>
  </w:abstractNum>
  <w:abstractNum w:abstractNumId="10">
    <w:nsid w:val="79838CB2"/>
    <w:multiLevelType w:val="hybridMultilevel"/>
    <w:lvl w:ilvl="0">
      <w:lvlJc w:val="left"/>
      <w:lvlText w:val="%1."/>
      <w:numFmt w:val="decimal"/>
      <w:start w:val="4"/>
    </w:lvl>
    <w:lvl w:ilvl="1">
      <w:lvlJc w:val="left"/>
      <w:lvlText w:val="(%2)"/>
      <w:numFmt w:val="lowerLetter"/>
      <w:start w:val="1"/>
    </w:lvl>
  </w:abstractNum>
  <w:abstractNum w:abstractNumId="11">
    <w:nsid w:val="4353D0CD"/>
    <w:multiLevelType w:val="hybridMultilevel"/>
    <w:lvl w:ilvl="0">
      <w:lvlJc w:val="left"/>
      <w:lvlText w:val="%1."/>
      <w:numFmt w:val="decimal"/>
      <w:start w:val="5"/>
    </w:lvl>
  </w:abstractNum>
  <w:abstractNum w:abstractNumId="12">
    <w:nsid w:val="B03E0C6"/>
    <w:multiLevelType w:val="hybridMultilevel"/>
    <w:lvl w:ilvl="0">
      <w:lvlJc w:val="left"/>
      <w:lvlText w:val="(%1)"/>
      <w:numFmt w:val="lowerLetter"/>
      <w:start w:val="1"/>
    </w:lvl>
    <w:lvl w:ilvl="1">
      <w:lvlJc w:val="left"/>
      <w:lvlText w:val="%2"/>
      <w:numFmt w:val="lowerRoman"/>
      <w:start w:val="1"/>
    </w:lvl>
  </w:abstractNum>
  <w:abstractNum w:abstractNumId="13">
    <w:nsid w:val="189A769B"/>
    <w:multiLevelType w:val="hybridMultilevel"/>
    <w:lvl w:ilvl="0">
      <w:lvlJc w:val="left"/>
      <w:lvlText w:val="(%1)"/>
      <w:numFmt w:val="lowerLetter"/>
      <w:start w:val="9"/>
    </w:lvl>
    <w:lvl w:ilvl="1">
      <w:lvlJc w:val="left"/>
      <w:lvlText w:val="%2"/>
      <w:numFmt w:val="lowerRoman"/>
      <w:start w:val="1"/>
    </w:lvl>
  </w:abstractNum>
  <w:abstractNum w:abstractNumId="14">
    <w:nsid w:val="54E49EB4"/>
    <w:multiLevelType w:val="hybridMultilevel"/>
    <w:lvl w:ilvl="0">
      <w:lvlJc w:val="left"/>
      <w:lvlText w:val="(%1)"/>
      <w:numFmt w:val="lowerLetter"/>
      <w:start w:val="35"/>
    </w:lvl>
    <w:lvl w:ilvl="1">
      <w:lvlJc w:val="left"/>
      <w:lvlText w:val="%2"/>
      <w:numFmt w:val="lowerRoman"/>
      <w:start w:val="1"/>
    </w:lvl>
  </w:abstractNum>
  <w:abstractNum w:abstractNumId="15">
    <w:nsid w:val="71F32454"/>
    <w:multiLevelType w:val="hybridMultilevel"/>
    <w:lvl w:ilvl="0">
      <w:lvlJc w:val="left"/>
      <w:lvlText w:val="(%1)"/>
      <w:numFmt w:val="lowerLetter"/>
      <w:start w:val="61"/>
    </w:lvl>
    <w:lvl w:ilvl="1">
      <w:lvlJc w:val="left"/>
      <w:lvlText w:val="(%2)"/>
      <w:numFmt w:val="lowerRoman"/>
      <w:start w:val="4"/>
    </w:lvl>
  </w:abstractNum>
  <w:abstractNum w:abstractNumId="16">
    <w:nsid w:val="2CA88611"/>
    <w:multiLevelType w:val="hybridMultilevel"/>
    <w:lvl w:ilvl="0">
      <w:lvlJc w:val="left"/>
      <w:lvlText w:val="%1"/>
      <w:numFmt w:val="lowerRoman"/>
      <w:start w:val="1"/>
    </w:lvl>
    <w:lvl w:ilvl="1">
      <w:lvlJc w:val="left"/>
      <w:lvlText w:val="(%2)"/>
      <w:numFmt w:val="lowerLetter"/>
      <w:start w:val="3"/>
    </w:lvl>
  </w:abstractNum>
  <w:abstractNum w:abstractNumId="17">
    <w:nsid w:val="836C40E"/>
    <w:multiLevelType w:val="hybridMultilevel"/>
    <w:lvl w:ilvl="0">
      <w:lvlJc w:val="left"/>
      <w:lvlText w:val="%1"/>
      <w:numFmt w:val="lowerRoman"/>
      <w:start w:val="1"/>
    </w:lvl>
    <w:lvl w:ilvl="1">
      <w:lvlJc w:val="left"/>
      <w:lvlText w:val="(%2)"/>
      <w:numFmt w:val="lowerLetter"/>
      <w:start w:val="9"/>
    </w:lvl>
  </w:abstractNum>
  <w:abstractNum w:abstractNumId="18">
    <w:nsid w:val="2901D82"/>
    <w:multiLevelType w:val="hybridMultilevel"/>
    <w:lvl w:ilvl="0">
      <w:lvlJc w:val="left"/>
      <w:lvlText w:val="%1"/>
      <w:numFmt w:val="lowerRoman"/>
      <w:start w:val="1"/>
    </w:lvl>
    <w:lvl w:ilvl="1">
      <w:lvlJc w:val="left"/>
      <w:lvlText w:val="(%2)"/>
      <w:numFmt w:val="lowerLetter"/>
      <w:start w:val="35"/>
    </w:lvl>
  </w:abstractNum>
  <w:abstractNum w:abstractNumId="19">
    <w:nsid w:val="3A95F874"/>
    <w:multiLevelType w:val="hybridMultilevel"/>
    <w:lvl w:ilvl="0">
      <w:lvlJc w:val="left"/>
      <w:lvlText w:val="%1"/>
      <w:numFmt w:val="lowerRoman"/>
      <w:start w:val="1"/>
    </w:lvl>
    <w:lvl w:ilvl="1">
      <w:lvlJc w:val="left"/>
      <w:lvlText w:val="(%2)"/>
      <w:numFmt w:val="lowerLetter"/>
      <w:start w:val="61"/>
    </w:lvl>
  </w:abstractNum>
  <w:abstractNum w:abstractNumId="20">
    <w:nsid w:val="8138641"/>
    <w:multiLevelType w:val="hybridMultilevel"/>
    <w:lvl w:ilvl="0">
      <w:lvlJc w:val="left"/>
      <w:lvlText w:val="(%1)"/>
      <w:numFmt w:val="lowerRoman"/>
      <w:start w:val="4"/>
    </w:lvl>
    <w:lvl w:ilvl="1">
      <w:lvlJc w:val="left"/>
      <w:lvlText w:val="%2"/>
      <w:numFmt w:val="lowerLetter"/>
      <w:start w:val="1"/>
    </w:lvl>
  </w:abstractNum>
  <w:abstractNum w:abstractNumId="21">
    <w:nsid w:val="1E7FF521"/>
    <w:multiLevelType w:val="hybridMultilevel"/>
    <w:lvl w:ilvl="0">
      <w:lvlJc w:val="left"/>
      <w:lvlText w:val="(%1)"/>
      <w:numFmt w:val="lowerLetter"/>
      <w:start w:val="4"/>
    </w:lvl>
  </w:abstractNum>
  <w:abstractNum w:abstractNumId="22">
    <w:nsid w:val="7C3DBD3D"/>
    <w:multiLevelType w:val="hybridMultilevel"/>
    <w:lvl w:ilvl="0">
      <w:lvlJc w:val="left"/>
      <w:lvlText w:val="(%1)"/>
      <w:numFmt w:val="lowerLetter"/>
      <w:start w:val="6"/>
    </w:lvl>
  </w:abstractNum>
  <w:abstractNum w:abstractNumId="23">
    <w:nsid w:val="737B8DDC"/>
    <w:multiLevelType w:val="hybridMultilevel"/>
    <w:lvl w:ilvl="0">
      <w:lvlJc w:val="left"/>
      <w:lvlText w:val="%1."/>
      <w:numFmt w:val="decimal"/>
      <w:start w:val="6"/>
    </w:lvl>
  </w:abstractNum>
  <w:abstractNum w:abstractNumId="24">
    <w:nsid w:val="6CEAF087"/>
    <w:multiLevelType w:val="hybridMultilevel"/>
    <w:lvl w:ilvl="0">
      <w:lvlJc w:val="left"/>
      <w:lvlText w:val="%1"/>
      <w:numFmt w:val="decimal"/>
      <w:start w:val="1"/>
    </w:lvl>
    <w:lvl w:ilvl="1">
      <w:lvlJc w:val="left"/>
      <w:lvlText w:val="(%2)"/>
      <w:numFmt w:val="lowerLetter"/>
      <w:start w:val="1"/>
    </w:lvl>
  </w:abstractNum>
  <w:abstractNum w:abstractNumId="25">
    <w:nsid w:val="22221A70"/>
    <w:multiLevelType w:val="hybridMultilevel"/>
    <w:lvl w:ilvl="0">
      <w:lvlJc w:val="left"/>
      <w:lvlText w:val="%1."/>
      <w:numFmt w:val="decimal"/>
      <w:start w:val="7"/>
    </w:lvl>
    <w:lvl w:ilvl="1">
      <w:lvlJc w:val="left"/>
      <w:lvlText w:val="(%2)"/>
      <w:numFmt w:val="lowerLetter"/>
      <w:start w:val="1"/>
    </w:lvl>
  </w:abstractNum>
  <w:abstractNum w:abstractNumId="26">
    <w:nsid w:val="4516DDE9"/>
    <w:multiLevelType w:val="hybridMultilevel"/>
    <w:lvl w:ilvl="0">
      <w:lvlJc w:val="left"/>
      <w:lvlText w:val="(%1)"/>
      <w:numFmt w:val="lowerLetter"/>
      <w:start w:val="2"/>
    </w:lvl>
  </w:abstractNum>
  <w:abstractNum w:abstractNumId="27">
    <w:nsid w:val="3006C83E"/>
    <w:multiLevelType w:val="hybridMultilevel"/>
    <w:lvl w:ilvl="0">
      <w:lvlJc w:val="left"/>
      <w:lvlText w:val="%1."/>
      <w:numFmt w:val="decimal"/>
      <w:start w:val="8"/>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28">
    <w:nsid w:val="614FD4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9">
    <w:nsid w:val="419AC241"/>
    <w:multiLevelType w:val="hybridMultilevel"/>
    <w:lvl w:ilvl="0">
      <w:lvlJc w:val="left"/>
      <w:lvlText w:val="%1."/>
      <w:numFmt w:val="decimal"/>
      <w:start w:val="10"/>
    </w:lvl>
    <w:lvl w:ilvl="1">
      <w:lvlJc w:val="left"/>
      <w:lvlText w:val="%2."/>
      <w:numFmt w:val="decimal"/>
      <w:start w:val="11"/>
    </w:lvl>
    <w:lvl w:ilvl="2">
      <w:lvlJc w:val="left"/>
      <w:lvlText w:val="%3"/>
      <w:numFmt w:val="lowerLetter"/>
      <w:start w:val="1"/>
    </w:lvl>
  </w:abstractNum>
  <w:abstractNum w:abstractNumId="30">
    <w:nsid w:val="5577F8E1"/>
    <w:multiLevelType w:val="hybridMultilevel"/>
    <w:lvl w:ilvl="0">
      <w:lvlJc w:val="left"/>
      <w:lvlText w:val="%1"/>
      <w:numFmt w:val="lowerRoman"/>
      <w:start w:val="1"/>
    </w:lvl>
    <w:lvl w:ilvl="1">
      <w:lvlJc w:val="left"/>
      <w:lvlText w:val="(%2)"/>
      <w:numFmt w:val="lowerLetter"/>
      <w:start w:val="1"/>
    </w:lvl>
  </w:abstractNum>
  <w:abstractNum w:abstractNumId="31">
    <w:nsid w:val="440BADFC"/>
    <w:multiLevelType w:val="hybridMultilevel"/>
    <w:lvl w:ilvl="0">
      <w:lvlJc w:val="left"/>
      <w:lvlText w:val="(%1)"/>
      <w:numFmt w:val="lowerRoman"/>
      <w:start w:val="4"/>
    </w:lvl>
    <w:lvl w:ilvl="1">
      <w:lvlJc w:val="left"/>
      <w:lvlText w:val="%2"/>
      <w:numFmt w:val="lowerLetter"/>
      <w:start w:val="1"/>
    </w:lvl>
  </w:abstractNum>
  <w:abstractNum w:abstractNumId="32">
    <w:nsid w:val="5072367"/>
    <w:multiLevelType w:val="hybridMultilevel"/>
    <w:lvl w:ilvl="0">
      <w:lvlJc w:val="left"/>
      <w:lvlText w:val="(%1)"/>
      <w:numFmt w:val="lowerRoman"/>
      <w:start w:val="2"/>
    </w:lvl>
    <w:lvl w:ilvl="1">
      <w:lvlJc w:val="left"/>
      <w:lvlText w:val="%2"/>
      <w:numFmt w:val="lowerLetter"/>
      <w:start w:val="1"/>
    </w:lvl>
  </w:abstractNum>
  <w:abstractNum w:abstractNumId="33">
    <w:nsid w:val="3804823E"/>
    <w:multiLevelType w:val="hybridMultilevel"/>
    <w:lvl w:ilvl="0">
      <w:lvlJc w:val="left"/>
      <w:lvlText w:val="(%1)"/>
      <w:numFmt w:val="lowerLetter"/>
      <w:start w:val="3"/>
    </w:lvl>
    <w:lvl w:ilvl="1">
      <w:lvlJc w:val="left"/>
      <w:lvlText w:val="%2."/>
      <w:numFmt w:val="decimal"/>
      <w:start w:val="13"/>
    </w:lvl>
  </w:abstractNum>
  <w:abstractNum w:abstractNumId="34">
    <w:nsid w:val="77465F01"/>
    <w:multiLevelType w:val="hybridMultilevel"/>
    <w:lvl w:ilvl="0">
      <w:lvlJc w:val="left"/>
      <w:lvlText w:val="%1."/>
      <w:numFmt w:val="decimal"/>
      <w:start w:val="15"/>
    </w:lvl>
    <w:lvl w:ilvl="1">
      <w:lvlJc w:val="left"/>
      <w:lvlText w:val="%2."/>
      <w:numFmt w:val="decimal"/>
      <w:start w:val="22"/>
    </w:lvl>
  </w:abstractNum>
  <w:abstractNum w:abstractNumId="35">
    <w:nsid w:val="7724C67E"/>
    <w:multiLevelType w:val="hybridMultilevel"/>
    <w:lvl w:ilvl="0">
      <w:lvlJc w:val="left"/>
      <w:lvlText w:val="%1."/>
      <w:numFmt w:val="decimal"/>
      <w:start w:val="24"/>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2022-08-15T17:43:19Z</dcterms:created>
  <dcterms:modified xsi:type="dcterms:W3CDTF">2022-08-15T17:43:19Z</dcterms:modified>
</cp:coreProperties>
</file>