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jc w:val="center"/>
        <w:ind w:left="3840" w:right="1100" w:hanging="2736"/>
        <w:spacing w:after="0" w:line="479" w:lineRule="auto"/>
        <w:tabs>
          <w:tab w:leader="none" w:pos="1356"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37" w:lineRule="exact"/>
        <w:rPr>
          <w:rFonts w:ascii="MS PGothic" w:cs="MS PGothic" w:eastAsia="MS PGothic" w:hAnsi="MS PGothic"/>
          <w:sz w:val="18"/>
          <w:szCs w:val="18"/>
          <w:color w:val="auto"/>
          <w:highlight w:val="black"/>
        </w:rPr>
      </w:pPr>
    </w:p>
    <w:p>
      <w:pPr>
        <w:jc w:val="center"/>
        <w:ind w:left="4360" w:right="920" w:hanging="3441"/>
        <w:spacing w:after="0" w:line="500" w:lineRule="auto"/>
        <w:tabs>
          <w:tab w:leader="none" w:pos="116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001-38302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82-2844431</w:t>
            </w:r>
          </w:p>
        </w:tc>
      </w:tr>
      <w:tr>
        <w:trPr>
          <w:trHeight w:val="216"/>
        </w:trPr>
        <w:tc>
          <w:tcPr>
            <w:tcW w:w="43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8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320" w:type="dxa"/>
            <w:vAlign w:val="bottom"/>
          </w:tcPr>
          <w:p>
            <w:pPr>
              <w:spacing w:after="0"/>
              <w:rPr>
                <w:sz w:val="24"/>
                <w:szCs w:val="24"/>
                <w:color w:val="auto"/>
              </w:rPr>
            </w:pPr>
          </w:p>
        </w:tc>
        <w:tc>
          <w:tcPr>
            <w:tcW w:w="2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1201 Orange Street, Suite 600</w:t>
            </w:r>
          </w:p>
        </w:tc>
        <w:tc>
          <w:tcPr>
            <w:tcW w:w="4380" w:type="dxa"/>
            <w:vAlign w:val="bottom"/>
          </w:tcPr>
          <w:p>
            <w:pPr>
              <w:spacing w:after="0"/>
              <w:rPr>
                <w:sz w:val="24"/>
                <w:szCs w:val="24"/>
                <w:color w:val="auto"/>
              </w:rPr>
            </w:pPr>
          </w:p>
        </w:tc>
      </w:tr>
      <w:tr>
        <w:trPr>
          <w:trHeight w:val="220"/>
        </w:trPr>
        <w:tc>
          <w:tcPr>
            <w:tcW w:w="4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Wilmington, DE 19801</w:t>
            </w:r>
          </w:p>
        </w:tc>
        <w:tc>
          <w:tcPr>
            <w:tcW w:w="4380" w:type="dxa"/>
            <w:vAlign w:val="bottom"/>
          </w:tcPr>
          <w:p>
            <w:pPr>
              <w:spacing w:after="0"/>
              <w:rPr>
                <w:sz w:val="19"/>
                <w:szCs w:val="19"/>
                <w:color w:val="auto"/>
              </w:rPr>
            </w:pPr>
          </w:p>
        </w:tc>
      </w:tr>
      <w:tr>
        <w:trPr>
          <w:trHeight w:val="234"/>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414"/>
        </w:trPr>
        <w:tc>
          <w:tcPr>
            <w:tcW w:w="4320" w:type="dxa"/>
            <w:vAlign w:val="bottom"/>
          </w:tcPr>
          <w:p>
            <w:pPr>
              <w:spacing w:after="0"/>
              <w:rPr>
                <w:sz w:val="24"/>
                <w:szCs w:val="24"/>
                <w:color w:val="auto"/>
              </w:rPr>
            </w:pPr>
          </w:p>
        </w:tc>
        <w:tc>
          <w:tcPr>
            <w:tcW w:w="23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(484) 254-6134</w:t>
            </w:r>
          </w:p>
        </w:tc>
        <w:tc>
          <w:tcPr>
            <w:tcW w:w="1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34"/>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432"/>
        </w:trPr>
        <w:tc>
          <w:tcPr>
            <w:tcW w:w="43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320" w:type="dxa"/>
            <w:vAlign w:val="bottom"/>
            <w:tcBorders>
              <w:top w:val="single" w:sz="8" w:color="auto"/>
            </w:tcBorders>
          </w:tcPr>
          <w:p>
            <w:pPr>
              <w:jc w:val="center"/>
              <w:ind w:left="230"/>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NRXP</w:t>
            </w:r>
          </w:p>
        </w:tc>
        <w:tc>
          <w:tcPr>
            <w:tcW w:w="160" w:type="dxa"/>
            <w:vAlign w:val="bottom"/>
          </w:tcPr>
          <w:p>
            <w:pPr>
              <w:spacing w:after="0"/>
              <w:rPr>
                <w:sz w:val="16"/>
                <w:szCs w:val="16"/>
                <w:color w:val="auto"/>
              </w:rPr>
            </w:pPr>
          </w:p>
        </w:tc>
        <w:tc>
          <w:tcPr>
            <w:tcW w:w="4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3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Warrants to purchase one share of Common Stock</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NRXPW</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2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based on the closing price of the registrant’s common stock as reported on the Nasdaq Global Market on June 30, 2024, was $21.5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14, 2025, the registrant had 16,915,647 shares of common stock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incorporates information required by Part III (Items 10, 11, 12, 13, and 14) of this report by reference to portions of the registrant’s definitive proxy statement to be filed pursuant to Regulation 14A with respect to its 2025 Annual Meeting of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40" w:type="dxa"/>
            <w:vAlign w:val="bottom"/>
            <w:gridSpan w:val="1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gridSpan w:val="9"/>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3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1. Business</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37</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654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70</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 Cybersecurity</w:t>
            </w:r>
          </w:p>
        </w:tc>
        <w:tc>
          <w:tcPr>
            <w:tcW w:w="7580" w:type="dxa"/>
            <w:vAlign w:val="bottom"/>
            <w:gridSpan w:val="18"/>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71</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 Properties</w:t>
            </w:r>
          </w:p>
        </w:tc>
        <w:tc>
          <w:tcPr>
            <w:tcW w:w="7980" w:type="dxa"/>
            <w:vAlign w:val="bottom"/>
            <w:gridSpan w:val="21"/>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71</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3. Legal Proceedings</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71</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94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72</w:t>
            </w:r>
          </w:p>
        </w:tc>
      </w:tr>
      <w:tr>
        <w:trPr>
          <w:trHeight w:val="412"/>
        </w:trPr>
        <w:tc>
          <w:tcPr>
            <w:tcW w:w="103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5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 of Equity Securities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73</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[Reserved]</w:t>
            </w:r>
          </w:p>
        </w:tc>
        <w:tc>
          <w:tcPr>
            <w:tcW w:w="792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74</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75</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 Quantitative and Qualitative Disclosure about Market Risk</w:t>
            </w:r>
          </w:p>
        </w:tc>
        <w:tc>
          <w:tcPr>
            <w:tcW w:w="2080" w:type="dxa"/>
            <w:vAlign w:val="bottom"/>
            <w:tcBorders>
              <w:top w:val="single" w:sz="8" w:color="0000EE"/>
            </w:tcBorders>
            <w:gridSpan w:val="4"/>
          </w:tcPr>
          <w:p>
            <w:pPr>
              <w:spacing w:after="0"/>
              <w:rPr>
                <w:sz w:val="17"/>
                <w:szCs w:val="17"/>
                <w:color w:val="auto"/>
              </w:rPr>
            </w:pPr>
          </w:p>
        </w:tc>
        <w:tc>
          <w:tcPr>
            <w:tcW w:w="226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89</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538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88</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9. Changes in Disagreements with Accountants on Accounting and Financial Disclosure</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89</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260" w:type="dxa"/>
            <w:vAlign w:val="bottom"/>
            <w:tcBorders>
              <w:top w:val="single" w:sz="8" w:color="0000EE"/>
            </w:tcBorders>
            <w:gridSpan w:val="9"/>
          </w:tcPr>
          <w:p>
            <w:pPr>
              <w:spacing w:after="0"/>
              <w:rPr>
                <w:sz w:val="17"/>
                <w:szCs w:val="17"/>
                <w:color w:val="auto"/>
              </w:rPr>
            </w:pPr>
          </w:p>
        </w:tc>
        <w:tc>
          <w:tcPr>
            <w:tcW w:w="25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89</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89</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8"/>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w:t>
            </w:r>
          </w:p>
        </w:tc>
        <w:tc>
          <w:tcPr>
            <w:tcW w:w="376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89</w:t>
            </w:r>
          </w:p>
        </w:tc>
      </w:tr>
      <w:tr>
        <w:trPr>
          <w:trHeight w:val="412"/>
        </w:trPr>
        <w:tc>
          <w:tcPr>
            <w:tcW w:w="103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47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44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90</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682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90</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90</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9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13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90</w:t>
            </w: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Accounting Fees and Services</w:t>
            </w:r>
          </w:p>
        </w:tc>
        <w:tc>
          <w:tcPr>
            <w:tcW w:w="31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90</w:t>
            </w:r>
          </w:p>
        </w:tc>
      </w:tr>
      <w:tr>
        <w:trPr>
          <w:trHeight w:val="412"/>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3500" w:type="dxa"/>
            <w:vAlign w:val="bottom"/>
            <w:tcBorders>
              <w:top w:val="single" w:sz="8" w:color="0000EE"/>
            </w:tcBorders>
            <w:gridSpan w:val="13"/>
          </w:tcPr>
          <w:p>
            <w:pPr>
              <w:spacing w:after="0"/>
              <w:rPr>
                <w:sz w:val="24"/>
                <w:szCs w:val="24"/>
                <w:color w:val="auto"/>
              </w:rPr>
            </w:pPr>
          </w:p>
        </w:tc>
        <w:tc>
          <w:tcPr>
            <w:tcW w:w="576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546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91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document and the information incorporated by reference herein include “forward-looking statements” within the meaning of the “safe harbor” provisions of the U.S. Private Securities Litigation Reform Act of 1995, which may include, but are not limited to, statements regarding our financial outlook, product development, business prospects, and market and industry trends and conditions, as well as the Company’s strategies, plans, objectives, and goals. These forward-looking statements are based on current beliefs, expectations, estimates, forecasts, and projections of, as well as assumptions made by, and information currently available to, the Company’s management. Words such as “expect,” “anticipate,” “should,” “believe,” “hope,” “target,” “project,” “goals,” “estimate,” “potential,” “predict,” “may,” “will,” “might,” “could,” “would,” “seek,” “plan,” “intend,” “shall,” and variations of these terms or the negative of these terms and similar expressions are intended to identify these forward-looking statements. These forward-looking statements are, by their nature, subject to significant risks and uncertainties, many of which involve factors or circumstances that are beyond the Company’s control. These risks and uncertainties include, but are not limited to, our relatively limited operating history; our ability to expand, retain and motivate our employees and manage our growth; risks associated with general industry conditions and competition; general economic factors, including interest rate and currency exchange rate fluctuations; the impact of pharmaceutical industry regulation and health care legislation in the United States and internationally; technological advances, new products and patents attained by competitors; challenges inherent in new product development, including obtaining regulatory approval; the Company’s ability to accurately predict future market conditions; manufacturing difficulties or delays; changes in laws, rules or regulations relating to any aspect of the Company’s business operations, or general economic, market and business conditions; financial instability of international economies and sovereign risk; dependence on the effectiveness of the Company’s patents and other protections for innovative products; and the exposure to litigation, including patent litigation, and/or regulatory actions. Furthermore, there can be no guarantees with respect to pipeline products that the products will receive the necessary regulatory approvals or that they will prove to be commercially successful. If underlying assumptions prove inaccurate or risks or uncertainties materialize, actual results may differ materially from those set forth in the forward-looking statements. The Company assumes no obligation and does not intend to update or otherwise revise any forward-looking statement, whether as a result of new information, future events or otherwise, except as required by applicable law. As a result of these and other risks, uncertainties and assumptions, forward-looking events and circumstances discussed herein might not occur in the way that the Company’s management expects, if at all. Accordingly, you should not place reliance on any forward-looking statement, and all forward-looking statements are herein qualified by reference to the cautionary statements set forth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requires otherwise, references in this annual report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NRx,</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similar designations refer to NRx Pharmaceuticals, Inc.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522"/>
        <w:spacing w:after="0" w:line="253" w:lineRule="auto"/>
        <w:rPr>
          <w:sz w:val="20"/>
          <w:szCs w:val="20"/>
          <w:color w:val="auto"/>
        </w:rPr>
      </w:pPr>
      <w:r>
        <w:rPr>
          <w:rFonts w:ascii="Times New Roman" w:cs="Times New Roman" w:eastAsia="Times New Roman" w:hAnsi="Times New Roman"/>
          <w:sz w:val="18"/>
          <w:szCs w:val="18"/>
          <w:color w:val="auto"/>
        </w:rPr>
        <w:t>NRx Pharmaceuticals, Inc. (Nasdaq: NRXP) (“NRX” or the “Company”) is a clinical-stage bio-pharmaceutical company which develops and will distribute, through its wholly-owned operating subsidiary, NeuroRx, Inc. (“NeuroRx”), novel therapeutics for the treatment of central nervous system disorders including suicidal depression, chronic pain, and post-traumatic stress disorder (“PTSD”) and now schizophrenia. All of our current drug development activities are focused drugs that modulate on the N-methyl-D-aspartate (“NMDA”) receptor in the brain and nervous system, a neurochemical pathway that has been disclosed in detail in our annual filings. The Company has two lead drug candidates that are expected to be submitted by year end for Food and Drug Administration ("FDA") approval with anticipated FDA decision dates under the Prescription Drug User Fee Act (“PDUFA”) by the end of June 2025: NRX-101, an oral fixed dose combination of D-cycloserine and lurasidone and NRX-100, a preservative-free formulation of ketamine for intravenous infusion. In February 2024, NRx incorporated HOPE Therapeutics, Inc. (“HOPE”), a medical care delivery organization focused on interventional psychiatric treatment of the above conditions with NMDA-targeted and other psychedelic drugs, neuromodulatory devices, such as Transcranial Magnetic Stimulation (“TMS”), digital therapeutics, and medication management.</w:t>
      </w:r>
    </w:p>
    <w:p>
      <w:pPr>
        <w:spacing w:after="0" w:line="194"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NeuroRx is organized as a traditional research and development ("R&amp;D") company, whereas HOPE is organized as a medical care delivery company intended to own and/or operate clinics that serve patients with suicidal depression, PTSD, and other serious Central Nervous System (CNS) disorders.</w:t>
      </w:r>
    </w:p>
    <w:p>
      <w:pPr>
        <w:spacing w:after="0" w:line="176"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The 2024 fiscal year marked a period of both expansion and change for NRx. Throughout this time, the Company implemented a restructuring of its leadership to address challenges related to capital formation, clinical trial enrollment, and corporate development. These efforts led to measurable achievements in 2024 and positioned the Company for growth and the achievement of our development objectives in 2025. Management’s plan, through the establishment of HOPE is to transform NRx from a pre-revenue biotechnology company to a revenue-generating enterprise that continues to develop life-saving drugs and technologies (through NRx) while also treating patients (through HOPE). During 2024 and through the date of this Annual Report, the Company has achieved the following: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We consummated a series of financing agreements with an institutional investor for up to $16.3 million in debt capital, for which we closed on $10.87 million in 2024 and subsequently closed $8.5 million in a combination of convertible debt and an above-market common stock and warrant offering in January 2025. We were presented with and are currently negotiating a term sheet with a publicly-traded strategic investor to provide additional capital to support the expansion of HOPE clinics. In addition, management is negotiating with several commercial lenders to provide additional financing to support the acquisition of additional clinics on standard commercial loan terms. Although no assurances can be given, and assuming we’re able to consummate the proposed financings, management believes that we will have sufficient financing to consummate our previously announced acquisitions, execute our business plan and achieve our projected revenue objectives.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Development</w:t>
      </w:r>
    </w:p>
    <w:p>
      <w:pPr>
        <w:spacing w:after="0" w:line="227" w:lineRule="exact"/>
        <w:rPr>
          <w:sz w:val="20"/>
          <w:szCs w:val="20"/>
          <w:color w:val="auto"/>
        </w:rPr>
      </w:pPr>
    </w:p>
    <w:p>
      <w:pPr>
        <w:jc w:val="both"/>
        <w:ind w:left="460" w:hanging="223"/>
        <w:spacing w:after="0" w:line="258"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filed module 3 (manufacturing) of our NDA for NRX-100 (preservative-free sterile ketamine) in a tamper-resistant, diversion resistant packaging presentation. NRX-100 was previously granted Fast Track Designation by FDA in combination with use of NRX-101. Ketamine efficacy data is in hand from four clinical trials. Three manufacturing lots are now completed with filed stability data suitable for shelf life exceeding two years at room temperature. The anticipated PDUFA date for this settlement is prior to December 30, 2025. We also anticipate filing an Abbreviated New Drug Application (“ANDA”) for the use of preservative-free ketamine in all currently-indicated clinical applications.</w:t>
      </w:r>
    </w:p>
    <w:p>
      <w:pPr>
        <w:spacing w:after="0" w:line="183" w:lineRule="exact"/>
        <w:rPr>
          <w:rFonts w:ascii="Times New Roman" w:cs="Times New Roman" w:eastAsia="Times New Roman" w:hAnsi="Times New Roman"/>
          <w:sz w:val="18"/>
          <w:szCs w:val="18"/>
          <w:color w:val="auto"/>
        </w:rPr>
      </w:pPr>
    </w:p>
    <w:p>
      <w:pPr>
        <w:jc w:val="both"/>
        <w:ind w:left="460" w:hanging="223"/>
        <w:spacing w:after="0" w:line="258"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initiated the filing of a New Drug Application (“NDA”) in the fourth quarter of 2024 for Accelerated Approval under Breakthrough and Priority Review of NRX-101 in treatment of bipolar depression in people at risk of akathisia, based on the Phase 2b/3 and STABIL-B data. Three manufacturing lots are now completed with more than 24 months of room temperature shelf-stability. The anticipated PDUFA date for this application is prior to December 31, 2025. Work is ongoing to prepare the module 3 manufacturing section documenting our transition from manufacturing at WuXi Apptec in Shanghai to manufacturing of NRX-101 in North Carolina with manufacture of three commercial lots.</w:t>
      </w:r>
    </w:p>
    <w:p>
      <w:pPr>
        <w:spacing w:after="0" w:line="183" w:lineRule="exact"/>
        <w:rPr>
          <w:rFonts w:ascii="Times New Roman" w:cs="Times New Roman" w:eastAsia="Times New Roman" w:hAnsi="Times New Roman"/>
          <w:sz w:val="18"/>
          <w:szCs w:val="18"/>
          <w:color w:val="auto"/>
        </w:rPr>
      </w:pPr>
    </w:p>
    <w:p>
      <w:pPr>
        <w:ind w:left="460" w:hanging="223"/>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accepted a non-binding offer from a commercial pharmaceutical company to license and distribute NRX-100 (preservative-free ketamine) that provides for $325 million in potential milestones plus a sliding scale royalty that ranges from 11% - 16% of sales.</w:t>
      </w:r>
    </w:p>
    <w:p>
      <w:pPr>
        <w:spacing w:after="0" w:line="161" w:lineRule="exact"/>
        <w:rPr>
          <w:rFonts w:ascii="Times New Roman" w:cs="Times New Roman" w:eastAsia="Times New Roman" w:hAnsi="Times New Roman"/>
          <w:sz w:val="18"/>
          <w:szCs w:val="18"/>
          <w:color w:val="auto"/>
        </w:rPr>
      </w:pPr>
    </w:p>
    <w:p>
      <w:pPr>
        <w:jc w:val="both"/>
        <w:ind w:left="460" w:hanging="223"/>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initiated development of and plan to file a citizen’s petition with the FDA to remove benzethonium chloride, a known neurotoxic substance from presentations of ketamine intended for intravenous use. Management believes that the preservative-free feature of NRX-100 will be deemed of benefit to patients because of the known toxicity of benzethonium chloride in current generic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460" w:hanging="223"/>
        <w:spacing w:after="0" w:line="258"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next-generation product, we developed a novel, patentable pH neutral formulation for ketamine (designed as HTX-100) that will be suitable for both intravenous and subcutaneous administration. Initial laboratory lots demonstrate shelf stability and ongoing stability is being assessed. Ketamine in its current commercial presentations cannot be administered subcutaneously because of its high acidic (pH 3.5-4.0) properties, an acidity range that is known to cause pain and skin ulcers. We anticipate long-term patent protection on this novel product. This product is expected to undergo clinical testing in 2025/2026 and be ready for FDA approval in 2027.</w:t>
      </w:r>
    </w:p>
    <w:p>
      <w:pPr>
        <w:spacing w:after="0" w:line="183" w:lineRule="exact"/>
        <w:rPr>
          <w:rFonts w:ascii="Times New Roman" w:cs="Times New Roman" w:eastAsia="Times New Roman" w:hAnsi="Times New Roman"/>
          <w:sz w:val="18"/>
          <w:szCs w:val="18"/>
          <w:color w:val="auto"/>
        </w:rPr>
      </w:pPr>
    </w:p>
    <w:p>
      <w:pPr>
        <w:jc w:val="both"/>
        <w:ind w:left="460" w:hanging="223"/>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NRX-101 in the treatment of Complicated Urinary Tract Infection (“cUTI”) was granted Qualified Infectious Disease Product (“QIDP”), Fast Track, and Priority Review designations in 2024. We have now demonstrated that NRX-101 does not damage the microbiome of the gut, in contrast to all other advanced antibiotics and is less likely to cause C. Difficile infection (a potentially lethal side effect of antibiotic treatment). NRx is reviewing partnership options.</w:t>
      </w:r>
    </w:p>
    <w:p>
      <w:pPr>
        <w:spacing w:after="0" w:line="179" w:lineRule="exact"/>
        <w:rPr>
          <w:rFonts w:ascii="Times New Roman" w:cs="Times New Roman" w:eastAsia="Times New Roman" w:hAnsi="Times New Roman"/>
          <w:sz w:val="18"/>
          <w:szCs w:val="18"/>
          <w:color w:val="auto"/>
        </w:rPr>
      </w:pPr>
    </w:p>
    <w:p>
      <w:pPr>
        <w:jc w:val="both"/>
        <w:ind w:left="460" w:right="20" w:hanging="223"/>
        <w:spacing w:after="0" w:line="26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 Memorandum of Understanding with Foundation FundaMental for rights to develop a potential disease modifying drug for schizophrenia, autism, and acute mania. If successful, this would represent the first drug to reverse the underlying disease mechanism of these conditions, rather than simply treating symptoms.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HOPE Therapeutics</w:t>
      </w:r>
    </w:p>
    <w:p>
      <w:pPr>
        <w:spacing w:after="0" w:line="227" w:lineRule="exact"/>
        <w:rPr>
          <w:sz w:val="20"/>
          <w:szCs w:val="20"/>
          <w:color w:val="auto"/>
        </w:rPr>
      </w:pPr>
    </w:p>
    <w:p>
      <w:pPr>
        <w:jc w:val="both"/>
        <w:ind w:left="460" w:hanging="223"/>
        <w:spacing w:after="0" w:line="26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partnered with representatives of ketamine clinic operators to construct a care platform that will include ketamine, operational support, and digital therapeutic extensions. In advance of FDA approval, HOPE anticipates that it will supply ketamine under 503b pharmacy licensure to meet the national ketamine shortage declared by FDA.</w:t>
      </w:r>
    </w:p>
    <w:p>
      <w:pPr>
        <w:spacing w:after="0" w:line="175" w:lineRule="exact"/>
        <w:rPr>
          <w:rFonts w:ascii="Times New Roman" w:cs="Times New Roman" w:eastAsia="Times New Roman" w:hAnsi="Times New Roman"/>
          <w:sz w:val="18"/>
          <w:szCs w:val="18"/>
          <w:color w:val="auto"/>
        </w:rPr>
      </w:pPr>
    </w:p>
    <w:p>
      <w:pPr>
        <w:jc w:val="both"/>
        <w:ind w:left="460" w:hanging="223"/>
        <w:spacing w:after="0" w:line="258"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signed non-binding letters of intent to acquire three precision psychiatry centers, the closing of which is subject to execution of definitive agreements. Although no assurances can be given, we are also currently negotiating the terms for the acquisition of six additional psychiatry centers, which are subject to due diligence review and execution of a letter of intent. Upon closing, the acquisitions will form the foundation for the development of HOPE to achieve our objective of creating a national network offering interventional psychiatry to treat suicidal depression and PTSD.</w:t>
      </w:r>
    </w:p>
    <w:p>
      <w:pPr>
        <w:spacing w:after="0" w:line="183" w:lineRule="exact"/>
        <w:rPr>
          <w:rFonts w:ascii="Times New Roman" w:cs="Times New Roman" w:eastAsia="Times New Roman" w:hAnsi="Times New Roman"/>
          <w:sz w:val="18"/>
          <w:szCs w:val="18"/>
          <w:color w:val="auto"/>
        </w:rPr>
      </w:pPr>
    </w:p>
    <w:p>
      <w:pPr>
        <w:ind w:left="460" w:hanging="223"/>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BTIG, a leading investment bank, to support us in identifying and acquiring additional clinic candidates to join the HOPE network sufficient to achieve management’s revenue targets by year-end 2025.</w:t>
      </w:r>
    </w:p>
    <w:p>
      <w:pPr>
        <w:spacing w:after="0" w:line="161" w:lineRule="exact"/>
        <w:rPr>
          <w:rFonts w:ascii="Times New Roman" w:cs="Times New Roman" w:eastAsia="Times New Roman" w:hAnsi="Times New Roman"/>
          <w:sz w:val="18"/>
          <w:szCs w:val="18"/>
          <w:color w:val="auto"/>
        </w:rPr>
      </w:pPr>
    </w:p>
    <w:p>
      <w:pPr>
        <w:ind w:left="460" w:hanging="223"/>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acquisition targets have contracts with the Veterans Administration for the treatment of depression and, assuming closing of our previously announced acquisitions, we expect to expand to the treatment of PTSD by year-end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227"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On November 2022, the Company issued a Convertible Promissory Note to Streeterville, LLC, (“Streeterville Notes”) as previously disclosed. In March 2024, Streeterville deemed a proposed dividend of HOPE shares to constitute a basis of default under the Streeterville Notes. Subsequent arbitration found that the proposed HOPE dividend was not a basis for default. In August 2024 the Company signed a settlement agreement with Streeterville to redeem the Streeterville Notes at a discount to the amounts claimed and completed payments of $5.55 million in satisfaction of all claims under the Streeterville Notes in October 2024.</w:t>
      </w:r>
    </w:p>
    <w:p>
      <w:pPr>
        <w:spacing w:after="0" w:line="183"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On March 28, 2024, the Company filed with the Secretary of State of the State of Delaware a Certificate of Amendment to the Company’s Second Amended and Restated Certificate of Incorporation (the “Charter Amendment”) to effect a 1-for-10 reverse stock split (the “Reverse Stock Split”) of the Company’s Common Stock, which Reverse Stock Split was effective as of April 1, 2024. All references in this Annual Report to number of common shares, price per share and weighted average number of shares outstanding have been adjusted to reflect the Reverse Split on a retroactive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The Company has two lead compounds today, NRX-100, a proprietary presentation of ketamine and NRX-101, a patented fixed-dose combination of D-cycloserine and lurasidone. Both products have Fast Track designation from the FDA for the treatment of suicidal bipolar depression. NRX-101 additionally has Breakthrough Therapy Designation and a Biomarker Letter of Support from the FDA for this purpose. To the Company’s knowledge, NRX-101 is the only oral antidepressant demonstrated to reduce suicidal ideation in a phase 2 trial.</w:t>
      </w:r>
    </w:p>
    <w:p>
      <w:pPr>
        <w:spacing w:after="0" w:line="180"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For mechanistic reasons unrelated to its central nervous system N-methyl-D-aspartate (“CNS NMDA”) antagonist properties, NRX-101 interferes with cell wall formation in certain bacteria, rendering it a potent antibiotic and is demonstrated to kill certain treatment-resistant urinary tract bacteria. Accordingly, NRX-101 has been awarded Qualified Infectious Disease Product Designation and Fast Track Designation by the FDA to treat Complicated Urinary Tract Infection and Pyelonephritis. Our strategy is to apply innovative science to known molecules in the pursuit of therapies for high unmet needs, including lethal conditions (NeuroRx) and to distribute ketamine and ancillary therapies to qualified clinics and practitioners who treat patients with suicidal depression (HOPE). The Company has previously announced plans to spin off HOPE as a majority-owned company, with a minority interest held by new shareholders resulting from planned financings.</w:t>
      </w:r>
    </w:p>
    <w:p>
      <w:pPr>
        <w:spacing w:after="0" w:line="189"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NeuroRx was founded in 2015 by Professors Jonathan Javitt, MD, MPH and Daniel Javitt, PhD, MD, as a privately-funded R&amp;D company targeting psychiatry drug development and attracted sufficient capital to enter phase 2b/3 research in 2016. Over the subsequent three years it formulated and manufactured clinical supplies of NRX-101, initiated and completed the STABIL-B trial and established the first Special Protocol Agreement issued by the FDA Division of Psychiatry Products to conduct a confirmatory trial of NRX-101 following induction with NRX-100 in hospital Emergency Department patients with acutely suicidal bipolar depression. That trial was initiated in November 2019 and suspended in February 2020 because of the COVID pandemic lockdown.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25"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The COVID lockdown ended in March 2022 and the Company’s Board unanimously voted to return our focus to CNS drug development. Accordingly, in June 2022 the Company launched a clinical trial of NRX-101 in the treatment of suicidal ideation among patients with bipolar depression (the “003 trial) and in June 2024 announced results indicating that NRX-101 was not superior to standard of care medication for decreasing symptoms of depression (the primary endpoint) but was superior to standard of care for reducing symptoms of suicidal ideation (the declared secondary endpoint).</w:t>
      </w:r>
    </w:p>
    <w:p>
      <w:pPr>
        <w:spacing w:after="0" w:line="180"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In late 2023, the Company recognized the need to create a model for integrated care of patients with suicidal depression, PTSD, and related conditions that combines NMDA-targeted medication therapy (such as NRX-100 and NRX-101) with transcranial magnetic stimulation (“TMS”), psychiatric medication management, and digital therapeutics. Accordingly, in January 2024, management incorporated HOPE as a wholly-owned subsidiary for this purpose. Management recognized that the complexity of these life-threatening diseases required an integrated care model that is largely unavailable today. Throughout 2024, the Company developed HOPE’s business plan, attracted initial capital, and identified key pillar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2024 SPA</w:t>
      </w:r>
    </w:p>
    <w:p>
      <w:pPr>
        <w:spacing w:after="0" w:line="227"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On August 12, 2024, the Company executed a Securities Purchase Agreement (the “August SPA”) and related agreements, under which the Company agreed to sell and issue, and certain purchasers agreed to purchase, an aggregate of $16.3 million of securities. The consideration payable by the purchasers under the August SPA was comprised of three equal closings of $5.435 million, each subject to certain closing conditions. The securities to be issued and sold by the Company include up to $16.3 million of senior secured convertible notes (the “Notes”) and warrants to purchase shares of the Company’s common stock (the “Warrants”). The proceeds arising from the sale of the Notes and the Warrants were used to settle the Company’s outstanding amounts owed to Streeterville (as defined below) and other working capital needs. The Company has, as of the date of this Annual Report, consummated the first tranche, second tranche, and third tranche under the August SPA, with gross proceeds to the Company of $16.3 million.</w:t>
      </w:r>
    </w:p>
    <w:p>
      <w:pPr>
        <w:spacing w:after="0" w:line="189"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The Notes bear interest at the rate of 6% per annum and mature in 15 months following their date of issuance. The Notes may be settled in cash or in shares of the Company’s common stock, at the sole discretion of the holder, at the applicable conversion price. The Notes may not be prepaid by the Company however, the holders of the Notes may elect to convert the Notes, in whole or in part, into shares of the Company’s common stock at any time after the original issuance date. The conversion price: (A) for the Notes issued in the first tranche will equal the lower of (i) $2.4168, or (ii) a price equal to 92% of the lowest volume-weighted average price during the seven-trading day period immediately preceding the applicable conversion date (the “Alternative Conversion Price”); (B) for the Notes issued in the second tranche will equal the lower of (i) $1.766, or (ii) the Alternative Conversion Price; and (C) for the Notes issued in the third tranche will equal the lower of (i) $3.78, or (ii) the Alternative Conversion Price. The Notes include certain redemption, protection features and default interest and penalties. The Notes are secured by all assets of the Company, including its intellectual property.</w:t>
      </w:r>
    </w:p>
    <w:p>
      <w:pPr>
        <w:spacing w:after="0" w:line="192"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Warrants have a term of 5 years, an exercise price of $2.4168 per share for the Warrants issued in the first tranche, $1.766 per share for the Warrants issued in the second tranche, and $3.78 per share for the Warrants issued in the third tranche, each subject to adjustment as more specifically set forth in the Warrants, and are exercisable immediately upon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2024 Offering</w:t>
      </w:r>
    </w:p>
    <w:p>
      <w:pPr>
        <w:spacing w:after="0" w:line="227"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On April 18, 2024, the Company entered into an underwriting agreement (the “April Underwriting Agreement”) with EF Hutton LLC (the “Representative”), as the representative of the several underwriters named therein (the “April Underwriters”), relating to an underwritten public offering (the “April 2024 Public Offering”) of 607,000 shares (the “April Shares”) of Common Stock. The public offering price for each share of Common Stock was $3.30. On April 19, 2024, the offering closed. Aggregated proceeds from the offering were approximately $2.4 million (including proceeds from the exercise of the over-allotment option granted to the Representative, as more fully described below), before deducting underwriting discounts and commission and estimated expenses payable by the Company.</w:t>
      </w:r>
    </w:p>
    <w:p>
      <w:pPr>
        <w:spacing w:after="0" w:line="187"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Pursuant to the April Underwriting Agreement and the engagement letter dated April 18, 2024, by and between the Company and Representative, the Company agreed to issue to the Representative in connection with the April Offering, a warrant to purchase up to a number of shares of Common Stock representing 5.0% of the Shares and any April Option Shares (as defined below) sold, at an initial exercise price of $3.63 per share, subject to certain adjustments (the “April Underwriter's Warrant”). On April 19, 2024, the Company issued to the Representative the April Underwriter's Warrant to purchase up to 30,350 shares of Common Stock. The April Underwriter's Warrants and Over-Allotment Warrants is exercisable nine months following the date of the Underwriting Agreement and terminates on the five-year anniversary of the date of the April Underwriting Agreement.</w:t>
      </w:r>
    </w:p>
    <w:p>
      <w:pPr>
        <w:spacing w:after="0" w:line="187"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Pursuant to the April Underwriting Agreement, the Company also granted the Representative a 45-day option to purchase up to an additional 91,050 shares (the “April Option Shares”) of the Common Stock on the same terms as the April Shares sold in the April 2024 Public Offering (the “April Over-Allotment Option”). In connection with the April Overallotment Exercise, we issued an additional April Underwriter's Warrant to purchase up to 4,553 shares of Common Stock. The April Overallotment Exercise was exercised in full and closed.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 Agreement</w:t>
      </w:r>
    </w:p>
    <w:p>
      <w:pPr>
        <w:spacing w:after="0" w:line="227"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On April 15, 2024, the Company increased the maximum aggregate offering amount of the shares of Common Stock issuable under that certain At the Market Offering Agreement, dated August 14, 2023 (the “Offering Agreement”), with H.C. Wainwright &amp; Co., and filed a prospectus supplement (the “Prospectus Supplement”) under the Offering Agreement for an aggregate of $4.9 million (the “ATM Offering”). On August 14, 2024, the Company reduced the amount to under the Offering Agreement to $0 and suspended the ATM Offering. Though December 31, 2024, the Company received aggregate gross cash proceeds to the Company from the ATM Offering of approximately $1.8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Offerings</w:t>
      </w:r>
    </w:p>
    <w:p>
      <w:pPr>
        <w:spacing w:after="0" w:line="227"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On February 27, 2024, we entered into an underwriting agreement (the “February Underwriting Agreement”) with the Representative (as defined above), as the representative of the several underwriters named therein (the “February Underwriters”), relating to an underwritten public offering (the “February 2024 Public Offering”) of 500,000 shares (the “February Shares”) of the Company’s Common Stock. The public offering price for each share of Common Stock was $3.00, and the February Underwriters purchased the shares of Common Stock pursuant to the February Underwriting Agreement at a price for each share of Common Stock of $2.76. On February 28, 2024, the February 2024 Public offering closed. Aggregate gross proceeds from the February 2024 Public Offering were approximately $1.9 million (including proceeds from the exercise of the over-allotment option granted to the Representative, as more fully described below), before deducting underwriting discounts and commissions and estimated expenses payable by the Company.</w:t>
      </w:r>
    </w:p>
    <w:p>
      <w:pPr>
        <w:spacing w:after="0" w:line="192"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Pursuant to the February Underwriting Agreement and the engagement letter, dated as of February 22, 2024, by and between the Company and the Representative, the Company agreed to issue to the Representative in connection with the February 2024 Public Offering, a warrant to purchase up to a number of shares of Common Stock representing 5.0% of the shares of Common Stock and any February Option Shares (as defined below) sold, at an initial exercise price of $3.30 per share, subject to certain adjustments (the “February Underwriter’s Warrant”). On February 28, 2024, the Company issued to the Representative the February Underwriter’s Warrant to purchase up to 25,000 shares of Common Stock. The February Underwriter’s Warrant is exercisable six months following the date of the February Underwriting Agreement and terminates on the five-year anniversary of the date of the February Underwriting Agreement.</w:t>
      </w:r>
    </w:p>
    <w:p>
      <w:pPr>
        <w:spacing w:after="0" w:line="189"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Pursuant to the February Underwriting Agreement, the Company also granted the Representative a 45-day option to purchase up to an additional 75,000 shares (the “February Option Shares”) of the Common Stock on the same terms as the February Shares sold in the February 2024 Public Offering (the “February Over-Allotment Option”). On March 5, 2024, the February Underwriters exercised the February Over-Allotment Option to purchase the February Option Shares. In connection with the February Overallotment Exercise, we issued an additional February Underwriter’s Warrant to purchase up to 3,750 shares of Common Stock. The February Overallotment Exercise closed on March 6,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On February 29, 2024, we entered into a securities purchase agreement with an investor providing for the issuance and sale of 270,000 shares of Common Stock and warrants to purchase up to 270,000 shares of Common Stock (the “February Warrants”) at a price of $3.80 per share of Common Stock and accompanying warrant, which represents a 26.7% premium to the offering price in February 2024 Public Offering. The Common Stock and the February Warrants were offered pursuant to a private placement (the “February 2024 Private Placement”) under Section 4(a)(2) of the Securities Act of 1933, as amended (the “Securities Act”). The February Warrants will have an exercise price of $3.80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Financings</w:t>
      </w:r>
    </w:p>
    <w:p>
      <w:pPr>
        <w:spacing w:after="0" w:line="229"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As set forth below, subsequent to December 31, 2024, the Company secured $8.5 million in new financing and anticipates supplementing existing capital with commercial credit and strategic investments sufficient to satisfy our working capital requirements through the end of the fiscal year ending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Securities Purchase Agreement</w:t>
      </w:r>
    </w:p>
    <w:p>
      <w:pPr>
        <w:spacing w:after="0" w:line="227"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On January 27, 2025, the Company entered into a securities purchase agreement (the “RD Purchase Agreement”) with Anson Funds (the “Investors”) for the sale by the Company of 1,215,278 shares (the “RD Shares”) of Common Stock to the Investors, at a purchase price of $2.88 per share, in a registered direct offering (the “Registered Direct Offering”). Concurrently with the sale of the RD Shares, pursuant to the RD Purchase Agreement the Company also sold to the Investors unregistered Common Stock purchase warrants (the “RD Warrants”) to purchase up to an aggregate of 1,215,278 shares of Common Stock (the “RD Warrant Shares”), in a private placement. Subject to certain beneficial ownership limitations, the RD Warrants are immediately exercisable upon issuance at an exercise price equal to $2.88 per share of Common Stock, subject to adjustments as provided under the terms of the RD Warrants. The RD Warrants are exercisable for five years from the RD Closing Date (as defined below). The closing of the sales of these securities under the RD Purchase Agreement occurred on or about January 29, 2025 (the “RD Closing Date”).</w:t>
      </w:r>
    </w:p>
    <w:p>
      <w:pPr>
        <w:spacing w:after="0" w:line="192"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gross proceeds to the Company from the offerings were approximately $3,500,000, before deducting offering expenses, and excluding the proceeds, if any, from the exercise of the RD Warrants. The Company intends to use the net proceeds from the transactions for general corporate purposes, including the funding of certain capital expenditures.</w:t>
      </w:r>
    </w:p>
    <w:p>
      <w:pPr>
        <w:spacing w:after="0" w:line="176"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RD Shares were offered and sold by the Company pursuant to an effective shelf registration statement on Form S-3, which was filed with the SEC on June 9, 2022, and subsequently declared effective on June 21, 2022 (File No. 333-265492) (the “Registration Statement”), and the base prospectus dated as of June 21, 2022, contained therein.</w:t>
      </w:r>
    </w:p>
    <w:p>
      <w:pPr>
        <w:spacing w:after="0" w:line="176"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RD Warrants and the RD Warrant Shares were sold and issued without registration under the Securities Act of 1933, as amended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22"/>
        <w:spacing w:after="0" w:line="252" w:lineRule="auto"/>
        <w:rPr>
          <w:sz w:val="20"/>
          <w:szCs w:val="20"/>
          <w:color w:val="auto"/>
        </w:rPr>
      </w:pPr>
      <w:r>
        <w:rPr>
          <w:rFonts w:ascii="Times New Roman" w:cs="Times New Roman" w:eastAsia="Times New Roman" w:hAnsi="Times New Roman"/>
          <w:sz w:val="18"/>
          <w:szCs w:val="18"/>
          <w:color w:val="auto"/>
        </w:rPr>
        <w:t>On January 27, 2025, the Company and the Investors entered into a Consent and Waiver Agreement (the “CWA”), relating to certain rights and prohibitions arising under the August SPA and the Notes. In the CWA, each of the Investors provided its consent under certain restrictive provisions, and waived certain rights, including, among other things, a right to participate in certain Qualified Financings (as defined in the CWA) made by us under the August SPA and the Notes, the prohibition on issuance of certain equity securities, and waiver of any potential liquidated damages arising under that certain Registration Rights Agreement by and between the Company and the Investors dated August 14, 2024, until March 31, 2025. As consideration for entering into the CWA, in the event that the VWAP of the Common Stock is less than the per share purchase price of the Common Stock sold to the Investors in the Registered Direct Offering on the Trading Day (as defined in the RD Purchase Agreement) immediately prior to the date that the Investors submit their first conversion notice to convert any portion of the Notes issued or to be issued in the Second Closing (as defined in the August SPA) or the Third Closing (as defined in the August SPA), respectively, into shares of Common Stock, the Company agreed to issue to the Investors: (i) that number of shares of Common Stock equal to (a) the quotient of (I) aggregate purchase price to be paid for all securities in the Registered Direct Offering, divided by (II) the price per share of Common Stock after giving effect to the VWAP-Based Adjustment (as defined below), minus (b) the number of shares of Common Stock issued, or to be issued, to the Investors at or upon the consummation of the Registered Direct Offering (the “Consideration Shares”), and (ii) Common Stock purchase warrants to purchase shares of Common Stock equal to 100% of the aggregate number of Consideration Shares to be issued, with an exercise price equal to the dollar value of the VWAP-Based Adjustment (the “Consideration Warrants”). For purposes of the CWA, the “VWAP Based-Adjustment” means that amount, in dollars, equal to the greater of either (a) the VWAP of the Common Stock on the Trading Day immediately prior to the date that the Investors submit their first conversion notice to convert any portion of the Notes issued and to be issued in the Second Closing or Third Closing into shares of the Company’s Common Stock, or (b) 80% of the closing price of the Common Stock on the Trading Day immediately prior to the closing of the Registered Direct Offering.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Strategic Investment and Commercial Funding</w:t>
      </w:r>
    </w:p>
    <w:p>
      <w:pPr>
        <w:spacing w:after="0" w:line="227"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The Company was presented with and is currently negotiating a term sheet with a publicly-traded entity engaged in the manufacture of FDA-cleared devices for Transcranial Magnetic Stimulation to provide acquisition capital to support the expansion of HOPE, and is also currently in negotiations with several commercial banks to provide additional acquisition financing for HOPE. Although no assurances can be given, assuming consummation of the financings on terms currently contemplated by management, we will achieve our objective of financing less than 50% of the proposed acquisition costs, thereby enabling the Company to optimize its cost of acquisition capital as it expands the HOPE clinic network.</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Terminated January 2025 Financing</w:t>
      </w:r>
    </w:p>
    <w:p>
      <w:pPr>
        <w:spacing w:after="0" w:line="227"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The Company was a party to definitive stock purchase agreements with an Arizona-based investment firm, Smith and Sauer, through their affiliate, JGS Holdings, LLC (“JGS Holdings”) whereby JGS Holdings committed to invest $2.0 million in NRx’s common stock, with an additional commitment of $25.0 million to be invested directly in HOPE. JGS Holdings defaulted under the terms of the agreements, despite several extensions of the closing date. The Company formally terminated the stock purchase agreement on March 13, 2025. Although no assurances can be given, assuming management is able to consummate the financing referenced above with an alternative strategic investor to replace the investment contemplated with JGS Holdings, together with alternative sources of equity and debt capital, management believes it will able to fund its previously announced acquisitions on terms more favorable to our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NRx Products in Development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NRX-101</w:t>
      </w:r>
    </w:p>
    <w:p>
      <w:pPr>
        <w:spacing w:after="0" w:line="98" w:lineRule="exact"/>
        <w:rPr>
          <w:sz w:val="20"/>
          <w:szCs w:val="20"/>
          <w:color w:val="auto"/>
        </w:rPr>
      </w:pPr>
    </w:p>
    <w:p>
      <w:pPr>
        <w:jc w:val="both"/>
        <w:ind w:firstLine="522"/>
        <w:spacing w:after="0" w:line="260" w:lineRule="auto"/>
        <w:rPr>
          <w:sz w:val="20"/>
          <w:szCs w:val="20"/>
          <w:color w:val="auto"/>
        </w:rPr>
      </w:pPr>
      <w:r>
        <w:rPr>
          <w:rFonts w:ascii="Times New Roman" w:cs="Times New Roman" w:eastAsia="Times New Roman" w:hAnsi="Times New Roman"/>
          <w:sz w:val="18"/>
          <w:szCs w:val="18"/>
          <w:color w:val="auto"/>
        </w:rPr>
        <w:t>NRX-101 is a combined NMDA/5-HT</w:t>
      </w:r>
      <w:r>
        <w:rPr>
          <w:rFonts w:ascii="Times New Roman" w:cs="Times New Roman" w:eastAsia="Times New Roman" w:hAnsi="Times New Roman"/>
          <w:sz w:val="29"/>
          <w:szCs w:val="29"/>
          <w:color w:val="auto"/>
          <w:vertAlign w:val="subscript"/>
        </w:rPr>
        <w:t>2A</w:t>
      </w:r>
      <w:r>
        <w:rPr>
          <w:rFonts w:ascii="Times New Roman" w:cs="Times New Roman" w:eastAsia="Times New Roman" w:hAnsi="Times New Roman"/>
          <w:sz w:val="18"/>
          <w:szCs w:val="18"/>
          <w:color w:val="auto"/>
        </w:rPr>
        <w:t>-targeted medicine designed to address both depression and suicidal ideation, consisting of a patented, oral, fixed dose combination of D-cycloserine (“DCS”) and lurasidone. Although DCS has been known for more than 70 years as an anti-infective, its propensity to cause psychedelic side-effects, together with challenges in maintaining drug stability, limited its clinical use and by the year 2000, DCS was rarely used in the United States. Previously, the critical doses of DCS required to achieve a clinical effect in treatment of these conditions was not understood.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The key discovery by Daniel Javitt that the psychedelic side-effects of DCS can be attenuated by the concomitant use of serotonin-targeted drugs creates a new life for this promising molecule, whose use was previously limited by hallucinogenic effects. The manufacture of DCS was similarly limited by propensity to form inactive dimers and trimers of the cycloserine ring and no modern manufacturing program was undertaken over the past 50 years. The Company has now modernized the required analytic methodology, achieved control over impurities as required for modern commercial drug manufacture, and solved the stability challenges in a manner that achieved five-year shelf stability in the Company’s phase 2 program and management anticipates we can replicate that stability at commercial scale.</w:t>
      </w:r>
    </w:p>
    <w:p>
      <w:pPr>
        <w:spacing w:after="0" w:line="187" w:lineRule="exact"/>
        <w:rPr>
          <w:sz w:val="20"/>
          <w:szCs w:val="20"/>
          <w:color w:val="auto"/>
        </w:rPr>
      </w:pPr>
    </w:p>
    <w:p>
      <w:pPr>
        <w:jc w:val="both"/>
        <w:ind w:firstLine="522"/>
        <w:spacing w:after="0" w:line="215" w:lineRule="auto"/>
        <w:rPr>
          <w:sz w:val="20"/>
          <w:szCs w:val="20"/>
          <w:color w:val="auto"/>
        </w:rPr>
      </w:pPr>
      <w:r>
        <w:rPr>
          <w:rFonts w:ascii="Times New Roman" w:cs="Times New Roman" w:eastAsia="Times New Roman" w:hAnsi="Times New Roman"/>
          <w:sz w:val="18"/>
          <w:szCs w:val="18"/>
          <w:color w:val="auto"/>
        </w:rPr>
        <w:t>Currently, there are numerous atypical antipsychotic drugs targeting the 5-HT2A receptor approved for treatment of bipolar depression. However, all are known to increase a side effect known as akathisia, which is closely linked to suicidal ideation and behavior, and all carry a black box warning on the label regarding the potential for increased risk of suicide. In contrast, DCS has been demonstrated in at least two clinical trials (Nierenberg 2022</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Chen 2019</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to reduce suicidal ideation, a finding also demonstrated for ketamine (Abbar 2022</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Grunebaum 2017</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Because its effect is synergistic to the antidepressant effects of serotonin-targeted drugs and because of the specific effect on suicidal ideation, the NMDA receptor of the brain is increasingly viewed as a key target for treating depression and suicidality. To the Company’s knowledge, NRX-101 is the first investigational medicine to advance for severe bipolar depression in patients with Acute Suicidal Ideation and Behavior (“ASIB”).</w:t>
      </w:r>
    </w:p>
    <w:p>
      <w:pPr>
        <w:spacing w:after="0" w:line="203"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A safe, oral medicine for suicidal depression represents a key unmet medical need because the only currently approved treatment for this condition today is electroconvulsive therapy (“ECT”). Although the effects of NMDA antagonist drugs were first reported by Javitt in 1989, the development of NMDA-targeted medicines has been hampered by the known propensity of direct-acting NMDA-targeted drugs to cause neurotoxicity, addiction, psychedelic effects, and blood pressure elevation. Javitt discovered and patented the finding that when serotonin-targeted drugs are added to NMDA-targeted drugs, the hallucinogenic side effects of NMDA-targeted drugs are blocked and, at the same time, the NMDA component blocks the akathisia that is a known side effect of serotonin-targeted drugs – a side effect associated with suicidal ideation and behavior.</w:t>
      </w:r>
    </w:p>
    <w:p>
      <w:pPr>
        <w:spacing w:after="0" w:line="187" w:lineRule="exact"/>
        <w:rPr>
          <w:sz w:val="20"/>
          <w:szCs w:val="20"/>
          <w:color w:val="auto"/>
        </w:rPr>
      </w:pPr>
    </w:p>
    <w:p>
      <w:pPr>
        <w:jc w:val="both"/>
        <w:ind w:firstLine="522"/>
        <w:spacing w:after="0" w:line="262" w:lineRule="auto"/>
        <w:rPr>
          <w:sz w:val="20"/>
          <w:szCs w:val="20"/>
          <w:color w:val="auto"/>
        </w:rPr>
      </w:pPr>
      <w:r>
        <w:rPr>
          <w:rFonts w:ascii="Times New Roman" w:cs="Times New Roman" w:eastAsia="Times New Roman" w:hAnsi="Times New Roman"/>
          <w:sz w:val="18"/>
          <w:szCs w:val="18"/>
          <w:color w:val="auto"/>
        </w:rPr>
        <w:t>DCS, the NMDA-targeting component of NRX-101, is a mixed NMDA agonist/antagonist that has been demonstrated in nonclinical studies to have no potential for neurotoxicity or addiction. Although it may have psychedelic effects when given as monotherapy, psychedelic effects of DCS have not been seen in four different studies where DCS was administered together with serotonin-targeted drugs. Javitt additionally discovered and patented the finding that DCS is a mixed NMDA agonist/antagonist and a critical dose of DCS must be administered (in the region of 400mg – 500mg per day) to exert its NMDA antagonist properties. This finding explains the failure of DCS to demonstrate clinical effects in a number of published trials at lower doses, where it acts as an agonist at the NMDA receptor.</w:t>
      </w:r>
      <w:r>
        <w:rPr>
          <w:rFonts w:ascii="Times New Roman" w:cs="Times New Roman" w:eastAsia="Times New Roman" w:hAnsi="Times New Roman"/>
          <w:sz w:val="29"/>
          <w:szCs w:val="29"/>
          <w:color w:val="auto"/>
          <w:vertAlign w:val="superscript"/>
        </w:rPr>
        <w:t>11</w:t>
      </w:r>
    </w:p>
    <w:p>
      <w:pPr>
        <w:spacing w:after="0" w:line="18"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Although development of NRX-101 began in 2015, when NeuroRx, Inc. was privately funded, the COVID pandemic interrupted clinical development in March 2020 because of study site closures. The Company was hampered in continuing to manufacture its investigational product in China because of global supply chain and other international challenges. Accordingly, when the Company raised funds in February 2022 to reinitiate the psychiatric drug development program, a strategic decision was made to transfer all manufacture to the United States and to upgrade the Chemical Manufacturing Controls (CMC) level of NRX-101 to a commercial standard prior to entering phase 3 trials.</w:t>
      </w:r>
    </w:p>
    <w:p>
      <w:pPr>
        <w:spacing w:after="0" w:line="183"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Manufacturing is a key component of drug approvals and current estimates suggest that more phase 3 biotechnology products fail or experience delays over manufacturing issues than over safety and efficacy. Moreover, registrational studies require either that the trial be conducted with commercial grade investigational product or compel the sponsor to conduct subsequent bridging studies to prove biological equivalence to commercial grade product. In March 2022, the Company executed a tender process and selected Alcami, Inc. (“Alcami”) (Wilmington, NC) as its manufacturing partner. Technology transfer was accomplished within 3 months and a first phase 3/commercial-scale batch was completed by August 2022. In January 2023, the Company achieved alignment with the FDA on its proposed registration manufacturing and stability plan in a Type C meeting.</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2023, the Company aligned with FDA in a Type B meeting to outline the clinical &amp; preclinical requirements for registration of NRX-</w:t>
      </w:r>
    </w:p>
    <w:p>
      <w:pPr>
        <w:spacing w:after="0" w:line="27" w:lineRule="exact"/>
        <w:rPr>
          <w:sz w:val="20"/>
          <w:szCs w:val="20"/>
          <w:color w:val="auto"/>
        </w:rPr>
      </w:pPr>
    </w:p>
    <w:p>
      <w:pPr>
        <w:jc w:val="both"/>
        <w:ind w:firstLine="8"/>
        <w:spacing w:after="0" w:line="253" w:lineRule="auto"/>
        <w:tabs>
          <w:tab w:leader="none" w:pos="3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the FDA suggested expanding the safety data base of NRX-101 to allow for chronic/intermittent use of NRX-101, as well as a broadening of the addressable population of the indication (under the SPA or otherwise) to patients with severe bipolar depression and recent acute suicidality regardless of how the initial stabilization was achieved. This broader indication would enable the Company to potentially demonstrate the use of NRX-101 to maintain stabilization from acute suicidality in patients stabilized either with ketamine (NRX-100) or with other standard of care therapeutic approaches. FDA encouraged the Company to request a Breakthrough Therapy Planning Meeting for NRX-101.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In late 2022 we confronted the challenges associated with recruiting suicidal patients in the traditional clinical trial site model. We learned that the “suicidality state” is sufficiently transient that simply having trial sites offer our therapy to existing databases of known patients with bipolar disorder was both insufficient to attract sufficient numbers of patients to a clinical trial and overly prone to attracting participants seeking secondary gain. We implemented an artificial intelligence (“AI”) based national recruitment strategy designed to identify and recruit participants who are sincerely looking for the potential benefit offered by NRX-101. We paired this with a distributed clinical trial model developed by Science37, Inc., where traveling nurses are able to visit prospective clinical trial participants who are then treated by their own physicians, rather than relying on our ability to identify participants who live within traveling distance of a “bricks and mortar” study site. Thus, in order to achieve clinical trial feasibility for an enormously complex and potentially lethal disease, in 2023 we invented and demonstrated a new model of clinical trial recruitment and implementation.</w:t>
      </w:r>
    </w:p>
    <w:p>
      <w:pPr>
        <w:spacing w:after="0" w:line="192"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Psychiatry trials succeed or fail based on a high degree of confidence that psychometric ratings are implemented in a reliable manner that is consistent from one study site to the next. An entire industry has emerged of third party rating companies that seek to achieve this consistency on behalf of sponsors. Unfortunately, the lag time between site-rating and central rating is inconsistent with achieving real-time quality control. Accordingly we developed in internal capability to review a study site rating within 24 hours, using an in-house team of master raters. The industry standard has traditionally allowed a 10% difference between site raters and third party rating companies as the standard for “concordance” and has allowed a 90% concordance rate between study sites and central raters. We tightened that standard to allowing only 5% difference between site raters and central master raters and demonstrated that 94% concordance could be maintained, with the exception of one study site that was excluded from the study and replaced at the direction of our Independent Data Safety and Monitoring Committee early in the study (prior to any data unblinding) for failure to maintain rating quality.</w:t>
      </w:r>
    </w:p>
    <w:p>
      <w:pPr>
        <w:spacing w:after="0" w:line="188"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We applied the above technologic infrastructure to our clinical trial of NRX-101 for the treatment of severe bipolar depression in patients with sub-acute suicidal ideation and behavior (“SSIB”), an indication we now call “Suicidal Treatment Resistant Bipolar Depression.” Between 700,000 and 1,000,000 Americans suffer from Suicidal Treatment Resistant Bipolar Depression and 25,000 – 50,000 kill themselves each year.</w:t>
      </w:r>
    </w:p>
    <w:p>
      <w:pPr>
        <w:spacing w:after="0" w:line="176"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In 2024, the Company announced completion of a clinical trial to compare NRX-101 to lurasidone alone in patients with bipolar depression and subacute suicidal ideation (NCT03395392). In previous studies (the STABIL-B trial), NRX-101 administered after the use of ketamine in acutely suicidal patients was superior to lurasidone alone in maintaining remission from depression and suicidality.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123190</wp:posOffset>
            </wp:positionV>
            <wp:extent cx="2871470" cy="1757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7147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291465</wp:posOffset>
            </wp:positionV>
            <wp:extent cx="3454400" cy="1080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5440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i w:val="1"/>
          <w:iCs w:val="1"/>
          <w:color w:val="auto"/>
        </w:rPr>
        <w:t>Figure 1: (Graph) Primary Endpoint for those infused with ketamine vs. placebo in phase I (n=22) and those who responded to ketamine in phase I and were randomized in Phase 2 to receive either NRX-101 or lurasidone (n=17). Table depicts primary and secondary endpoints for those randomized in Phase 2 (n=17).; *, P&lt;0.05. Source: Nierenberg et al., 2023</w:t>
      </w:r>
      <w:r>
        <w:rPr>
          <w:rFonts w:ascii="Times New Roman" w:cs="Times New Roman" w:eastAsia="Times New Roman" w:hAnsi="Times New Roman"/>
          <w:sz w:val="26"/>
          <w:szCs w:val="26"/>
          <w:i w:val="1"/>
          <w:iCs w:val="1"/>
          <w:color w:val="auto"/>
          <w:vertAlign w:val="superscript"/>
        </w:rPr>
        <w:t>6</w:t>
      </w:r>
    </w:p>
    <w:p>
      <w:pPr>
        <w:spacing w:after="0" w:line="23"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In this trial, NRX-101 was found to be equivalent to lurasidone in achieving remission from depression (i.e. both drugs were effective), but was superior to lurasidone (P=.05) in achieving remission from suicidality. Additionally, NRX-101 was seen to achieve a 76% superiority to lurasidone alone in achieving remission from akathisia (P=.026) a symptom of all known serotonin-targeted antidepressants that is closely-linked to suicidality.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123190</wp:posOffset>
            </wp:positionV>
            <wp:extent cx="2374265" cy="1414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7426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2: Superiority of NRX-101 vs. lurasidone alone in reducing symptoms of Akathisia. Presented at the 2004 American Society of Clinical Psychopharmacology</w:t>
      </w:r>
    </w:p>
    <w:p>
      <w:pPr>
        <w:spacing w:after="0" w:line="232"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In this trial, conducted under a Special Protocol Agreement with the FDA, there was no placebo group because suicidal patients were compared to the standard of care and it would not have been ethical to randomize actively suicidal patients to placebo. The Company believes that based on these data, New Drug Approval for NRX-101 can be achieved by conducting a properly-powered phase III trial comparing NRX-101 to placebo in patients with bipolar depression who do not have active suicidal ideation. The Company is in discussion with commercial partners to conduct such a trial. In the interim, the Company believes that accelerated approval for NRX-101 can be obtained for treatment of patients with active suicidal ideation and akathisia despite treatment with currently approved medicines.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NRX-100 and other Ketamine Products in Development</w:t>
      </w:r>
    </w:p>
    <w:p>
      <w:pPr>
        <w:spacing w:after="0" w:line="227" w:lineRule="exact"/>
        <w:rPr>
          <w:sz w:val="20"/>
          <w:szCs w:val="20"/>
          <w:color w:val="auto"/>
        </w:rPr>
      </w:pPr>
    </w:p>
    <w:p>
      <w:pPr>
        <w:jc w:val="both"/>
        <w:ind w:firstLine="522"/>
        <w:spacing w:after="0" w:line="226" w:lineRule="auto"/>
        <w:rPr>
          <w:sz w:val="20"/>
          <w:szCs w:val="20"/>
          <w:color w:val="auto"/>
        </w:rPr>
      </w:pPr>
      <w:r>
        <w:rPr>
          <w:rFonts w:ascii="Times New Roman" w:cs="Times New Roman" w:eastAsia="Times New Roman" w:hAnsi="Times New Roman"/>
          <w:sz w:val="18"/>
          <w:szCs w:val="18"/>
          <w:color w:val="auto"/>
        </w:rPr>
        <w:t>NRX-100 is racemic ketamine that is FDA-approved as a generic anesthetic. NRX-100 has shown efficacy in some clinical studies of depression and suicidality.</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In the Company’s STABIL-B Study, NRX-100 was used for the initial stabilization of patients with bipolar depression who were also acutely suicidal, prior to receiving NRX-101 or lurasidone. The Company has opened an Investigational New Drug (“IND”) file with the FDA for the purpose of developing ketamine as a rapid induction agent in the treatment of Severe Bipolar Depression with Acute Suicidal Ideation and Behavior. The FDA awarded Fast Track Designation to this use.</w:t>
      </w:r>
    </w:p>
    <w:p>
      <w:pPr>
        <w:spacing w:after="0" w:line="202"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Although the Company did not initially plan to develop ketamine as a monotherapy for rapid treatment of suicidal depression, the FDA guided NRx to do so in January 2023. Because of the urgent need, the company elected to license data from several well-controlled, publicly funded clinical trials that had not been submitted to the FDA and to prepare those data in the rigorous patient-level electronic form that is required for FDA review of clinical trial data. These trials demonstrate clear benefit of ketamine over both placebo and active comparator (midazolam), as well as non-inferiority of ketamine to the standard of care electroconvulsive therapy. The Company similarly entered into a manufacturing contract with Nephron Pharmaceuticals (West Columbia, SC) to create a proprietary formulation of ketamine for commercial sale. The company has initiated the filing of a New Drug Application for NRX-100 and anticipates filing the full NDA package by June 2025, aiming for a 2025 PDUFA date.</w:t>
      </w:r>
    </w:p>
    <w:p>
      <w:pPr>
        <w:spacing w:after="0" w:line="189"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The basis of the NDA filing consists of efficacy data gathered from several large clinical trials, representing the experience of more than 1000 patients together with real-world data gathered from more than 20,000 patients that consistently demonstrate the effectiveness of ketamine in treating symptoms of both depression and suicidality. The illustration below has been presented by the Company in public conferences as illustrative of some of the data to be presented as part of the NDA.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New Drug Approval of intravenous ketamine HCl is not anticipated to yield long-term patent protection because ketamine is an old, well-known compound, although the preservative-free presentation of ketamine, together with the proprietary Risk Evaluation Management Strategy (REMS) that will likely be required for FDA approval will confer some degree of market protection. However, ketamine – in any form – is not currently approved for use in psychiatry, although a form of S-ketamine is approved and commands a substantial price in the marketplace.</w:t>
      </w:r>
    </w:p>
    <w:p>
      <w:pPr>
        <w:spacing w:after="0" w:line="180"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FDA regulations do provide for a three-year period of data exclusivity (“Paragraph 4 protection”) for sponsors who obtain a new FDA approval for an already-approved medication. NRx anticipates benefiting from this exclusivity in the case of NRX-100. In recent months, there has been increased support voiced by at senior levels of the U.S. Government for the approval of ketamine and other psychedelic drugs for the treatment of depression and related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125730</wp:posOffset>
            </wp:positionV>
            <wp:extent cx="4474845" cy="2434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7484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Although the use of ketamine is widespread and not currently subject to US patent, all known prior art and commercial presentations of ketamine have included the use of Benzethonium Chloride, a toxic preservative as part of the intravenous administration of ketamine. Benzethonium Chloride is widely used in antibacterial cleaning solutions and cosmetics for topical use. The manufacturer of benzethonium chloride classifies it as toxic if swallowed, capable of causing severe skin burns and eye damage, and corrosive, although those effects are not seen at the levels used in intravenous preparations. However, it has never been shown to be safe for intravenous use in humans and has been demonstrated to be neurotoxic to the cornea when used in eyedrops (Invest Ophthalmol Vis Sci 2012 Apr 18;53(4):1792–1802). For this reason, benzethonium chloride and related preservatives have increasingly been removed from various eyedrops. The inclusion of benzethonium chloride is a remnant from a time when sterile product manufacturing techniques required toxic preservatives to maintain stability and sterility. NRx has demonstrated the ability to maintain stability and sterility for more than two years of room temperature shelf life with its preservative-free presentation of NRX-100.</w:t>
      </w:r>
    </w:p>
    <w:p>
      <w:pPr>
        <w:spacing w:after="0" w:line="188"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While the use of a preservative in ketamine may be safe when ketamine is used for single doses of anesthesia, the repeated use of benzethonium chloride-preserved ketamine has never been shown to be safe in either animals or patients. FDA has published warnings about potential neurotoxicity associated with the repeated use of ketamine, which may be related both to the preservative and to potential excitatory neurotoxicity caused by repeated use of ketamine itself. The Company intends to file a citizens petition with the FDA seeking to have benzethonium chloride removed from ketamine intended for intravenous use. The US Food Drug and Cosmetics Act requires that all ingredients in US drugs have demonstrated safety. The recently confirmed Secretary of Health and Human Services has emphasized in various public comments the importance of removing toxic substances from the US food and drug supply chain. Should the Company be successful in effecting the removal of benzethonium chloride from current preparations of ketamine, the Company may gain additional exclusivity rights with regard to NRX-100.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NRX-100 and NRX-101 Commercial Licensing</w:t>
      </w:r>
    </w:p>
    <w:p>
      <w:pPr>
        <w:spacing w:after="0" w:line="227"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In early March 2024, the Company entered into a non-binding term sheet from a private equity-owned commercial stage pharmaceutical company for the licensing and distribution rights to NRX-100 in the U.S., subject to final regulatory due diligence. The proposed license agreement provides for an immediate milestone payment with proposed milestones and a sliding scale royalty based on sales volume. Under the terms of the proposed license, the Company retains all rights ex-US and future rights to HTX-100 (pH neutral ketamine) should that development path succeed. The Company is in additional discussions with the prospective commercial partner around the licensing of NRX-101.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HTX-100 (pH neutral ketamine)</w:t>
      </w:r>
    </w:p>
    <w:p>
      <w:pPr>
        <w:spacing w:after="0" w:line="22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One path through which the Company has potential to achieve longer term exclusivity around the use of ketamine is through the development of a novel composition of matter that confers benefits not achievable via NRX-100. Although ketamine has demonstrated clear benefit in treating patients with depression and suicidality, ketamine HCl, the generic form of ketamine, is acidic (pH 3.5-4.0) and therefore suitable for dilute intravenous administration, but not for subcutaneous administration. Compounds at this level of acidity are known to cause skin ulceration and cannot be approved for subcutaneous use. Accordingly, ketamine for psychiatric purposes can be administered in clinic settings with trained perfusion nurses and staff, but is unsuitable for office use. Some have attempted to address this problem through oral administration of ketamine or buccal (i.e. allowing ketamine to dissolve against the inside of the mouth) administration. However, these modalities have unpredictable pharmacokinetics and, in the Company’s view are unlikely to result in approvable drugs.</w:t>
      </w:r>
    </w:p>
    <w:p>
      <w:pPr>
        <w:spacing w:after="0" w:line="19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Experience with insulin compounds has yielded a large array of approved medical devices that would be capable of delivering a pH neutral form of ketamine in the office or home setting. In 2024, the Company developed a pH neutral form of ketamine (HTX-100) that is expected to be patentable through 2040 and is expected to be suitable for subcutaneous use. In 2025, the company expects to achieve formulation of this product under Good Manufacturing Practices (GMP) and to initiate a clinical trial of HTX-100 for subcutaneous 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Potential Psychiatry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NRX-101 for the Treatment of Chronic Pain</w:t>
      </w:r>
    </w:p>
    <w:p>
      <w:pPr>
        <w:spacing w:after="0" w:line="22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Chronic pain is commonly defined as pain that lasts beyond three months and extends past normal tissue healing time. Between 18% and 34% of Americans are believed to suffer from chronic pain. The use of opiates to treat chronic pain has led to a national crisis resulting in widespread addiction and death. Few alternatives to opiates have emerged that both treat chronic pain and potentially decrease craving for opiates among chronic pain sufferers. Recent epidemiologic studies indicate that Chronic Back Pain is the leading cause of disability in the US and the seventh leading cause worldwide.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Various non-clinical studies have suggested that NMDA antagonist drugs may be useful in treating animal pain models. Intravenous ketamine has been widely used off-label to treat chronic pain at doses similar to those used in depression studies. A meta-analysis of 7 studies representing 94 participants demonstrated a consistent improvement in pain score but a consistent finding of nausea and psychomimetic effects associated with ketamine administration.</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 pilot study of DCS in the treatment of chronic pain was undertaken by Schnitzer and coworkers in patients with chronic low back pain. The study randomized 41 participants to a placebo-controlled dose-escalation study of 100mg, 200mg, and 400mg (each dose for two weeks) vs. placebo. The primary outcome measure was back pain intensity on a 1-10 numeric rating scale. The study was deemed not to have met its primary endpoint to detect a difference between DCS and placebo over 6 weeks. However, post-hoc analysis demonstrates a significant difference between baseline and six weeks (P&lt;0.01), which is the point in time that the 400mg DCS dose was reached.</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Based on the above data, the Company licensed a method patent for the use of DCS in Chronic Pain from Prof. Apkar Apkarian.</w:t>
      </w:r>
    </w:p>
    <w:p>
      <w:pPr>
        <w:spacing w:after="0" w:line="225"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A 400 person efficacy trial was funded by the US Department of Defense, sponsored by Northwestern University, and achieved primary completion in February 2024. The investigators have not yet released findings from this clinical trial.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NRX-101 for the Treatment of Complicated Urinary Tract Infection and Acute Pyelonephritis</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DCS is a broad-spectrum antibiotic that is currently FDA-approved to treat pulmonary or extrapulmonary tuberculosis disease and urinary tract infection (UTI). The drug inhibits two sequential enzymes in the bacterial cell wall peptidoglycan biosynthetic pathway, alanine racemase and D-Ala-D-Ala ligase. DCS also antagonizes a third bacterial enzyme, D-amino acid dehydrogenase. DCS is bactericidal or bacteriostatic depending on the concentration or microorganism of interest. Since DCS is mostly excreted unchanged by the kidney, the drug reaches substantial levels in the urine. Indeed, DCS was used to treat various types of infections in the 1950s and 60s, including UTI, with numerous reports showing its clinical efficacy. The use of DCS as an antibiotic for the treatment of UTI fell out of favor in the 1970s, however, due to its potential to cause CNS side effects.</w:t>
      </w:r>
    </w:p>
    <w:p>
      <w:pPr>
        <w:spacing w:after="0" w:line="18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incidence of multi-drug-resistant urinary tract pathogens is outpacing the development of new antimicrobial agents. Only 17 new systemic antibiotics and 1 related biologic have been approved by the FDA between 2010 and 2022, and very few antibiotics are in clinical development. This has forced a renewed interest in older antimicrobial drugs. The addition of lurasidone should permit DCS to be administered at dosages that would permit bactericidal action in the urinary tract with dose-limiting side-effects.</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NRx tested DCS and NRX-101 (DCS + lurasidone) against various urinary tract pathogens including several multidrug resistant strains. DCS showed activity against all bacterial isolates tested (Table 1) with minimal inhibitory concentrations (MICs) below levels that can be achieved in the urine. As expected, lurasidone alone had no antibacterial activity, nor did it interfere with the antibacterial activity of DCS. Based on these results, the FDA has awarded Qualified Infectious Disease Product and Fast Track Designation to NRX-101 for the treatment of complicated UTI including acute pyelonephritis.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Table 1. Minimum Inhibitory Concentrations of DCS and Lurasidone in Cation-Adjusted Mueller Hinton Broth</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1860" w:type="dxa"/>
            <w:vAlign w:val="bottom"/>
            <w:tcBorders>
              <w:top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Lurasidone</w:t>
            </w:r>
          </w:p>
        </w:tc>
        <w:tc>
          <w:tcPr>
            <w:tcW w:w="18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DCS (</w:t>
            </w:r>
            <w:r>
              <w:rPr>
                <w:rFonts w:ascii="Times New Roman" w:cs="Times New Roman" w:eastAsia="Times New Roman" w:hAnsi="Times New Roman"/>
                <w:sz w:val="18"/>
                <w:szCs w:val="18"/>
                <w:color w:val="auto"/>
              </w:rPr>
              <w:t>μ</w:t>
            </w:r>
            <w:r>
              <w:rPr>
                <w:rFonts w:ascii="Times New Roman" w:cs="Times New Roman" w:eastAsia="Times New Roman" w:hAnsi="Times New Roman"/>
                <w:sz w:val="18"/>
                <w:szCs w:val="18"/>
                <w:b w:val="1"/>
                <w:bCs w:val="1"/>
                <w:color w:val="auto"/>
              </w:rPr>
              <w:t>g/mL)</w:t>
            </w:r>
          </w:p>
        </w:tc>
        <w:tc>
          <w:tcPr>
            <w:tcW w:w="28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DCS + Lurasidone (</w:t>
            </w:r>
            <w:r>
              <w:rPr>
                <w:rFonts w:ascii="Times New Roman" w:cs="Times New Roman" w:eastAsia="Times New Roman" w:hAnsi="Times New Roman"/>
                <w:sz w:val="18"/>
                <w:szCs w:val="18"/>
                <w:color w:val="auto"/>
              </w:rPr>
              <w:t>μ</w:t>
            </w:r>
            <w:r>
              <w:rPr>
                <w:rFonts w:ascii="Times New Roman" w:cs="Times New Roman" w:eastAsia="Times New Roman" w:hAnsi="Times New Roman"/>
                <w:sz w:val="18"/>
                <w:szCs w:val="18"/>
                <w:b w:val="1"/>
                <w:bCs w:val="1"/>
                <w:color w:val="auto"/>
              </w:rPr>
              <w:t>g/mL)</w:t>
            </w:r>
          </w:p>
        </w:tc>
        <w:tc>
          <w:tcPr>
            <w:tcW w:w="0" w:type="dxa"/>
            <w:vAlign w:val="bottom"/>
          </w:tcPr>
          <w:p>
            <w:pPr>
              <w:spacing w:after="0"/>
              <w:rPr>
                <w:sz w:val="1"/>
                <w:szCs w:val="1"/>
                <w:color w:val="auto"/>
              </w:rPr>
            </w:pPr>
          </w:p>
        </w:tc>
      </w:tr>
      <w:tr>
        <w:trPr>
          <w:trHeight w:val="108"/>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Strain</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Antibiotic</w:t>
            </w:r>
          </w:p>
        </w:tc>
        <w:tc>
          <w:tcPr>
            <w:tcW w:w="186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8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μ</w:t>
            </w:r>
            <w:r>
              <w:rPr>
                <w:rFonts w:ascii="Times New Roman" w:cs="Times New Roman" w:eastAsia="Times New Roman" w:hAnsi="Times New Roman"/>
                <w:sz w:val="18"/>
                <w:szCs w:val="18"/>
                <w:b w:val="1"/>
                <w:bCs w:val="1"/>
                <w:color w:val="auto"/>
              </w:rPr>
              <w:t>g/mL)</w:t>
            </w:r>
          </w:p>
        </w:tc>
        <w:tc>
          <w:tcPr>
            <w:tcW w:w="18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300" w:type="dxa"/>
            <w:vAlign w:val="bottom"/>
          </w:tcPr>
          <w:p>
            <w:pPr>
              <w:spacing w:after="0"/>
              <w:rPr>
                <w:sz w:val="11"/>
                <w:szCs w:val="11"/>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(μg/mL)</w:t>
            </w:r>
          </w:p>
        </w:tc>
        <w:tc>
          <w:tcPr>
            <w:tcW w:w="1860" w:type="dxa"/>
            <w:vAlign w:val="bottom"/>
            <w:vMerge w:val="continue"/>
          </w:tcPr>
          <w:p>
            <w:pPr>
              <w:spacing w:after="0"/>
              <w:rPr>
                <w:sz w:val="11"/>
                <w:szCs w:val="11"/>
                <w:color w:val="auto"/>
              </w:rPr>
            </w:pPr>
          </w:p>
        </w:tc>
        <w:tc>
          <w:tcPr>
            <w:tcW w:w="18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vMerge w:val="continue"/>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 coli 35218</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4"/>
                <w:szCs w:val="14"/>
                <w:color w:val="auto"/>
              </w:rPr>
              <w:t>a</w:t>
            </w:r>
          </w:p>
        </w:tc>
        <w:tc>
          <w:tcPr>
            <w:tcW w:w="18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32</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 coli 25922</w:t>
            </w:r>
          </w:p>
        </w:tc>
        <w:tc>
          <w:tcPr>
            <w:tcW w:w="18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5"/>
                <w:szCs w:val="25"/>
                <w:color w:val="auto"/>
                <w:vertAlign w:val="superscript"/>
              </w:rPr>
              <w:t>a</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 coli 700928</w:t>
            </w:r>
          </w:p>
        </w:tc>
        <w:tc>
          <w:tcPr>
            <w:tcW w:w="18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2-4</w:t>
            </w:r>
            <w:r>
              <w:rPr>
                <w:rFonts w:ascii="Times New Roman" w:cs="Times New Roman" w:eastAsia="Times New Roman" w:hAnsi="Times New Roman"/>
                <w:sz w:val="25"/>
                <w:szCs w:val="25"/>
                <w:color w:val="auto"/>
                <w:vertAlign w:val="superscript"/>
              </w:rPr>
              <w:t>a</w:t>
            </w:r>
          </w:p>
        </w:tc>
        <w:tc>
          <w:tcPr>
            <w:tcW w:w="18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32</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 coli 700336</w:t>
            </w:r>
          </w:p>
        </w:tc>
        <w:tc>
          <w:tcPr>
            <w:tcW w:w="18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25"/>
                <w:szCs w:val="25"/>
                <w:color w:val="auto"/>
                <w:vertAlign w:val="superscript"/>
              </w:rPr>
              <w:t>a</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 coli 2469</w:t>
            </w:r>
          </w:p>
        </w:tc>
        <w:tc>
          <w:tcPr>
            <w:tcW w:w="18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0.03-0.062</w:t>
            </w:r>
            <w:r>
              <w:rPr>
                <w:rFonts w:ascii="Times New Roman" w:cs="Times New Roman" w:eastAsia="Times New Roman" w:hAnsi="Times New Roman"/>
                <w:sz w:val="25"/>
                <w:szCs w:val="25"/>
                <w:color w:val="auto"/>
                <w:vertAlign w:val="superscript"/>
              </w:rPr>
              <w:t>b</w:t>
            </w:r>
          </w:p>
        </w:tc>
        <w:tc>
          <w:tcPr>
            <w:tcW w:w="18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64-128</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E. coli </w:t>
            </w:r>
            <w:r>
              <w:rPr>
                <w:rFonts w:ascii="Times New Roman" w:cs="Times New Roman" w:eastAsia="Times New Roman" w:hAnsi="Times New Roman"/>
                <w:sz w:val="18"/>
                <w:szCs w:val="18"/>
                <w:color w:val="auto"/>
              </w:rPr>
              <w:t>Xen 16</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4"/>
                <w:szCs w:val="14"/>
                <w:color w:val="auto"/>
              </w:rPr>
              <w:t>a</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64</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P. aeruginosa </w:t>
            </w:r>
            <w:r>
              <w:rPr>
                <w:rFonts w:ascii="Times New Roman" w:cs="Times New Roman" w:eastAsia="Times New Roman" w:hAnsi="Times New Roman"/>
                <w:sz w:val="18"/>
                <w:szCs w:val="18"/>
                <w:color w:val="auto"/>
              </w:rPr>
              <w:t>PA01</w:t>
            </w:r>
          </w:p>
        </w:tc>
        <w:tc>
          <w:tcPr>
            <w:tcW w:w="18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5"/>
                <w:szCs w:val="25"/>
                <w:color w:val="auto"/>
                <w:vertAlign w:val="superscript"/>
              </w:rPr>
              <w:t>c</w:t>
            </w:r>
          </w:p>
        </w:tc>
        <w:tc>
          <w:tcPr>
            <w:tcW w:w="18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256</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 aeruginosa 27853</w:t>
            </w:r>
          </w:p>
        </w:tc>
        <w:tc>
          <w:tcPr>
            <w:tcW w:w="18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0.5</w:t>
            </w:r>
            <w:r>
              <w:rPr>
                <w:rFonts w:ascii="Times New Roman" w:cs="Times New Roman" w:eastAsia="Times New Roman" w:hAnsi="Times New Roman"/>
                <w:sz w:val="25"/>
                <w:szCs w:val="25"/>
                <w:color w:val="auto"/>
                <w:vertAlign w:val="superscript"/>
              </w:rPr>
              <w:t>c</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256</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P. aeruginosa </w:t>
            </w:r>
            <w:r>
              <w:rPr>
                <w:rFonts w:ascii="Times New Roman" w:cs="Times New Roman" w:eastAsia="Times New Roman" w:hAnsi="Times New Roman"/>
                <w:sz w:val="18"/>
                <w:szCs w:val="18"/>
                <w:color w:val="auto"/>
              </w:rPr>
              <w:t>Xen 41</w:t>
            </w:r>
          </w:p>
        </w:tc>
        <w:tc>
          <w:tcPr>
            <w:tcW w:w="18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0.5</w:t>
            </w:r>
            <w:r>
              <w:rPr>
                <w:rFonts w:ascii="Times New Roman" w:cs="Times New Roman" w:eastAsia="Times New Roman" w:hAnsi="Times New Roman"/>
                <w:sz w:val="25"/>
                <w:szCs w:val="25"/>
                <w:color w:val="auto"/>
                <w:vertAlign w:val="superscript"/>
              </w:rPr>
              <w:t>c</w:t>
            </w:r>
          </w:p>
        </w:tc>
        <w:tc>
          <w:tcPr>
            <w:tcW w:w="18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128</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P. aeruginosa </w:t>
            </w:r>
            <w:r>
              <w:rPr>
                <w:rFonts w:ascii="Times New Roman" w:cs="Times New Roman" w:eastAsia="Times New Roman" w:hAnsi="Times New Roman"/>
                <w:sz w:val="18"/>
                <w:szCs w:val="18"/>
                <w:color w:val="auto"/>
              </w:rPr>
              <w:t>BAA 3105</w:t>
            </w:r>
          </w:p>
        </w:tc>
        <w:tc>
          <w:tcPr>
            <w:tcW w:w="18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64</w:t>
            </w:r>
            <w:r>
              <w:rPr>
                <w:rFonts w:ascii="Times New Roman" w:cs="Times New Roman" w:eastAsia="Times New Roman" w:hAnsi="Times New Roman"/>
                <w:sz w:val="25"/>
                <w:szCs w:val="25"/>
                <w:color w:val="auto"/>
                <w:vertAlign w:val="superscript"/>
              </w:rPr>
              <w:t>c</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128</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K. pneumoniae </w:t>
            </w:r>
            <w:r>
              <w:rPr>
                <w:rFonts w:ascii="Times New Roman" w:cs="Times New Roman" w:eastAsia="Times New Roman" w:hAnsi="Times New Roman"/>
                <w:sz w:val="18"/>
                <w:szCs w:val="18"/>
                <w:color w:val="auto"/>
              </w:rPr>
              <w:t>1705</w:t>
            </w:r>
          </w:p>
        </w:tc>
        <w:tc>
          <w:tcPr>
            <w:tcW w:w="18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5"/>
                <w:szCs w:val="25"/>
                <w:color w:val="auto"/>
                <w:vertAlign w:val="superscript"/>
              </w:rPr>
              <w:t>a</w:t>
            </w:r>
          </w:p>
        </w:tc>
        <w:tc>
          <w:tcPr>
            <w:tcW w:w="18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128</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 baumannii 19606</w:t>
            </w:r>
          </w:p>
        </w:tc>
        <w:tc>
          <w:tcPr>
            <w:tcW w:w="18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32</w:t>
            </w:r>
            <w:r>
              <w:rPr>
                <w:rFonts w:ascii="Times New Roman" w:cs="Times New Roman" w:eastAsia="Times New Roman" w:hAnsi="Times New Roman"/>
                <w:sz w:val="25"/>
                <w:szCs w:val="25"/>
                <w:color w:val="auto"/>
                <w:vertAlign w:val="superscript"/>
              </w:rPr>
              <w:t>a</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No growth</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512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 baumannii 1605</w:t>
            </w:r>
          </w:p>
        </w:tc>
        <w:tc>
          <w:tcPr>
            <w:tcW w:w="1880" w:type="dxa"/>
            <w:vAlign w:val="bottom"/>
            <w:tcBorders>
              <w:bottom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8"/>
              </w:rPr>
              <w:t>64</w:t>
            </w:r>
            <w:r>
              <w:rPr>
                <w:rFonts w:ascii="Times New Roman" w:cs="Times New Roman" w:eastAsia="Times New Roman" w:hAnsi="Times New Roman"/>
                <w:sz w:val="25"/>
                <w:szCs w:val="25"/>
                <w:color w:val="auto"/>
                <w:w w:val="98"/>
                <w:vertAlign w:val="superscript"/>
              </w:rPr>
              <w:t>d</w:t>
            </w:r>
          </w:p>
        </w:tc>
        <w:tc>
          <w:tcPr>
            <w:tcW w:w="186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&gt;142.3</w:t>
            </w:r>
          </w:p>
        </w:tc>
        <w:tc>
          <w:tcPr>
            <w:tcW w:w="182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512</w:t>
            </w:r>
          </w:p>
        </w:tc>
        <w:tc>
          <w:tcPr>
            <w:tcW w:w="2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1024</w:t>
            </w:r>
          </w:p>
        </w:tc>
        <w:tc>
          <w:tcPr>
            <w:tcW w:w="0" w:type="dxa"/>
            <w:vAlign w:val="bottom"/>
          </w:tcPr>
          <w:p>
            <w:pPr>
              <w:spacing w:after="0"/>
              <w:rPr>
                <w:sz w:val="1"/>
                <w:szCs w:val="1"/>
                <w:color w:val="auto"/>
              </w:rPr>
            </w:pPr>
          </w:p>
        </w:tc>
      </w:tr>
    </w:tbl>
    <w:p>
      <w:pPr>
        <w:ind w:left="500"/>
        <w:spacing w:after="0"/>
        <w:rPr>
          <w:sz w:val="20"/>
          <w:szCs w:val="20"/>
          <w:color w:val="auto"/>
        </w:rPr>
      </w:pPr>
      <w:r>
        <w:rPr>
          <w:rFonts w:ascii="Times New Roman" w:cs="Times New Roman" w:eastAsia="Times New Roman" w:hAnsi="Times New Roman"/>
          <w:sz w:val="18"/>
          <w:szCs w:val="18"/>
          <w:color w:val="auto"/>
        </w:rPr>
        <w:t>a, Gentamicin; b, Colistin; c, Tobramycin; d, Ciprofloxacin</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Development of HOPE Therapeutics</w:t>
      </w:r>
    </w:p>
    <w:p>
      <w:pPr>
        <w:spacing w:after="0" w:line="229"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Psychiatric care for depression, PTSD, and related CNS disorders is experiencing a period of rapid change, based on the discovery of NMDA-targeted and other psychedelic drugs (see above) and Transcranial Magnetic Stimulation (“TMS”). Both are therapies that have been shown to induce new synapse (i.e. nerve connection) within the brain, a process known as “neuroplasticity” or “synaptic plasticity,” Recent science sponsored in part by NRx shows that these disease states are associated with atrophy of the electrical connections between brain cells, rumination on negative – frequently suicidal – thoughts, and ultimately suicidal behavior. NMDA-targeted and other psychedelic drugs are demonstrated to create bursts of glutamine and glutamate in the brain with resulting sprouting of the dendrites that create new synapses and corresponding decreases in depressive and suicidal ideation. TMS is believed to achieve a similar benefit through the application of strong magnetic fields to brain cells and has been demonstrated to relieve symptoms of depression. Accordingly, TMS has been approved for this purpose in the US. In Europe, TMS has been approved for a far broader set of indications including PTSD, treatment of alcohol and drug abuse, stroke, Parkinsons, and brain injury.</w:t>
      </w:r>
    </w:p>
    <w:p>
      <w:pPr>
        <w:spacing w:after="0" w:line="188"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For the first time in human history, responsible scientists are discussing treatments that induce neuroplasticity as potentially curative for depression, PTSD, and related conditions, in contrast to 70 years of serotonin-targeted drugs that were thought to treat the symptoms of these diseases. However, it is increasingly believed that no individual medication, device, or other therapy will be sufficient to achieve comprehensive benefit for patients. Unfortunately, few centers have mastered the art of combining these treatments into a comprehensive approach for treating serious and lethal psychiatry disorders.</w:t>
      </w:r>
    </w:p>
    <w:p>
      <w:pPr>
        <w:spacing w:after="0" w:line="180"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In January 2024, the Company incorporated HOPE Therapeutics as a wholly-owned subsidiary of NRx Pharmaceuticals for the purpose of developing a new clinical paradigm for the treatment of depression, PTSD, obsessive-compulsive disorder, and related CNS conditions. Based on clinical observations with the Company’s drugs, the Company came to the realization that the rapidly-emerging class of NMDA-targeted and other psychedelic drugs have the potential to be paradigm-changing for patients with life-threatening CNS disorders but may not be sufficient to achieve the full clinical benefit that patients require to achieve and maintain a complete, long-term recovery.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154305</wp:posOffset>
            </wp:positionV>
            <wp:extent cx="5383530" cy="3145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8353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We estimate that ketamine and TMS individually have reported remission rates of approximately 50% in patients with severe depression. However, anecdotal observation and the emerging body of evidence suggests that when patients are offered the full array of currently available treatments in an integrated manner, a far greater proportion of patients may achieve long-term remission from conditions that only a few years ago were treated with hospitalization and electroshock therapy. Company executives recently traveled to Israel, where these treatments – together with hyperbaric oxygen therapy</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are being used to significant effect in the treatment of soldiers with PTSD from recent combat, with dramatic efficacy results in university-based clinical trials.</w:t>
      </w:r>
    </w:p>
    <w:p>
      <w:pPr>
        <w:spacing w:after="0" w:line="181" w:lineRule="exact"/>
        <w:rPr>
          <w:sz w:val="20"/>
          <w:szCs w:val="20"/>
          <w:color w:val="auto"/>
        </w:rPr>
      </w:pPr>
    </w:p>
    <w:p>
      <w:pPr>
        <w:jc w:val="both"/>
        <w:ind w:firstLine="522"/>
        <w:spacing w:after="0" w:line="282" w:lineRule="auto"/>
        <w:rPr>
          <w:sz w:val="20"/>
          <w:szCs w:val="20"/>
          <w:color w:val="auto"/>
        </w:rPr>
      </w:pPr>
      <w:r>
        <w:rPr>
          <w:rFonts w:ascii="Times New Roman" w:cs="Times New Roman" w:eastAsia="Times New Roman" w:hAnsi="Times New Roman"/>
          <w:sz w:val="18"/>
          <w:szCs w:val="18"/>
          <w:color w:val="auto"/>
        </w:rPr>
        <w:t>During the second half of 2024, the Company began outlining the plan for HOPE as a national and ultimately international network of interventional psychiatry centers that would combine neuroplastic treatments in an integrated and reproducible manner.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HOPE Acquisition Targets</w:t>
      </w:r>
    </w:p>
    <w:p>
      <w:pPr>
        <w:spacing w:after="0" w:line="229"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In 2024, the Company announced a non-binding term sheet to acquire Kadima, LLC, a pioneering interventional psychiatry clinic in La Jolla, CA. Kadima’s founder, Dr. David Feifel agreed to serve as HOPE’s Chief Medical Innovation Officer post-acquisition. He is one of the first academic psychiatrists to move ketamine and TMS therapy to the community care model and was recently featured on Dr. Sanjay Gupta’s feature entitled “The Wild West of Ketamine Treatment” as an advocate for how ketamine therapy can be delivered reliably and responsibly.</w:t>
      </w:r>
    </w:p>
    <w:p>
      <w:pPr>
        <w:spacing w:after="0" w:line="180"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Additionally, the Company has entered into a non-binding term sheet to acquire two additional clinics in Florida. The Company is in the process of finalizing definitive purchase agreements with both entities. In addition to these acquisitions, the Company is negotiating to acquire an additional six clinics in Florida with the objective of acquiring 15-20 facilities in Florida by year-end 2025, as depicted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123190</wp:posOffset>
            </wp:positionV>
            <wp:extent cx="2571750" cy="3206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 Representative potential targeted 2025 acquisition opportunities in Florida.</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HOPE Financing/Acquisition Model</w:t>
      </w:r>
    </w:p>
    <w:p>
      <w:pPr>
        <w:spacing w:after="0" w:line="225"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clinical centers that are being incorporated in the 2025 acquisition program are currently operating and are profitable centers that the Company believes can experience substantial revenue growth through the addition of a broader array of comprehensive services. Management estimates that the acquisition of 20 clinic networks, each with current revenue of approximately $5.0 million will be required to meet our 2025 growth objectives.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the financing proposals received to date and existing capital, the Company is targeting a blended financing cost of acquisition of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Medical Indications for HOPE</w:t>
      </w:r>
    </w:p>
    <w:p>
      <w:pPr>
        <w:spacing w:after="0" w:line="225" w:lineRule="exact"/>
        <w:rPr>
          <w:sz w:val="20"/>
          <w:szCs w:val="20"/>
          <w:color w:val="auto"/>
        </w:rPr>
      </w:pPr>
    </w:p>
    <w:p>
      <w:pPr>
        <w:jc w:val="both"/>
        <w:ind w:firstLine="522"/>
        <w:spacing w:after="0" w:line="253" w:lineRule="auto"/>
        <w:rPr>
          <w:sz w:val="20"/>
          <w:szCs w:val="20"/>
          <w:color w:val="auto"/>
        </w:rPr>
      </w:pPr>
      <w:r>
        <w:rPr>
          <w:rFonts w:ascii="Times New Roman" w:cs="Times New Roman" w:eastAsia="Times New Roman" w:hAnsi="Times New Roman"/>
          <w:sz w:val="18"/>
          <w:szCs w:val="18"/>
          <w:color w:val="auto"/>
        </w:rPr>
        <w:t>The founding of HOPE began with the Company’s commitment to the treatment of suicidal depression with a plan to utilize (i) current FDA approval for S-ketamine, (ii) TMS, and (iii) if approved by the FDA, NRX-100. Over time, the vision for HOPE has significantly expanded. European approvals are already in place for the use of TMS to treat PTSD, Traumatic Brain Injury, Alzheimer’s, Parkinson’s disease, and alcohol and tobacco addiction. Moreover, Kadima has been a leading research organization in the development of psychedelic drugs and HOPE expects to merge Kadima’s research capabilities with those of NRx Pharmaceuticals. As an example of that expertise, NRx recently published a report in a leading peer-reviewed journal documenting its ability to achieve &gt;95% reliability in the measurement of depression scores across research sites, a reliability factor considerably above industry standards (J Clin Psychopharmacol. 2025 Jan-Feb;45(1):28-31). Hence, HOPE Therapeutics expects to be involved in the treatment of a broad array of CNS diseases that – until now – have offered little in the way of new hope to patients. Unlike the process of drug development, where FDA approval is a protracted process, the use of approved devices for new uses is generally regarded as within the practice of medicine, although insurance reimbursement is frequently tied to FDA-labeled indications.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NRx Material In-licensing Obligations (NRx-100/101)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and License Agreement (“Glytech DLA”)</w:t>
      </w:r>
    </w:p>
    <w:p>
      <w:pPr>
        <w:spacing w:after="0" w:line="227"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Company was founded based upon a development agreement with Glytech, a Company founded by Daniel Javitt (“DLA”). The initial Glytech development agreement was signed on August 6, 2015, and subsequently amended on May 2, 2016, October 19, 2016, June 13, 2018, April 16, 2019, December 31, 2020, August 6, 2022, November 6, 2022 and January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License</w:t>
      </w:r>
    </w:p>
    <w:p>
      <w:pPr>
        <w:spacing w:after="0" w:line="227"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Pursuant to the Glytech DLA, Glytech granted to NeuroRx an irrevocable, perpetual, exclusive (even as to Glytech) royalty-free license, with the right to sublicense, to use the Licensed Technology (as defined below) to develop, manufacture and offer for sale drug products for the treatment of depression and suicide associated with bipolar disorder in humans, including all products containing (a) DCS (including metabolites and structural variants thereof) combined with an antidepressant agent or an antipsychotic agent (including but not limited to lurasidone), or (b) DCS (including metabolites and structural variants thereof) for treatment of all types of bipolar, depressive and/or anxiety disorders and/or symptoms thereof. The key composition of matter patent (U.S. Patent No. 10,583,138) that supports NRx was assigned to us by Glytech in January 2021 and is no longer the subject of a license grant under the Glytech DLA; and (2) Glytech agreed to transfer and assign the remainder of the Licensed Technology and the Excluded Technology (as defined below) which are not essential for the manufacture or sale of NRX-101 to NRx for no additional consideration at any time upon receipt of written notice from us if, on or prior to March 31, 2024, (i) the value of the Glytech equity holdings in NRx (the “Glytech Equity”) has an aggregate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 The Company is working with Glytech to extend this option.</w:t>
      </w:r>
    </w:p>
    <w:p>
      <w:pPr>
        <w:spacing w:after="0" w:line="19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Glytech also agreed to transfer and assign the Licensed Technology and the Excluded Technology to us for no additional consideration simultaneously with the closing of a merger, acquisition or other transaction involving NRx, where, as a result of such transaction, Glytech receives at the closing thereof, by virtue of its status as a stockholder of NRx, at least $50 million in cash proceeds.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As used in this section of the Glytech DLA, the term “Aggregate Liquidity Value” for any given date means the sum of each trading day’s Daily Liquidity Value during the Eligible Measurement Period applicable for such date, and “Daily Liquidity Value” for any particular trading date means the aggregate proceeds Glytech would receive if it sold that number of shares of Glytech Equity on such trading date equal to 5% of the total number of shares of common stock or successor stock sold on such trading date. “Licensed Technology” means the patent rights and know how that disclose, describe or claim subject matter relating to use of DCS in combination with one or more antidepressants or one or more atypical antipsychotics (e.g., lurasidone) that are controlled by Glytech or its affiliates. “Excluded Technology” means any other patent right and knowhow owned by Glytech that does not relate specifically to compositions containing either DCS or lurasidone. Regardless of the option, NRx has the intellectual property necessary to perform it’s business as currently anticipated.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NRx Obligations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Glytech DLA imposes certain obligations on NRx in connection with maintaining the Glytech License, which include:</w:t>
      </w:r>
    </w:p>
    <w:p>
      <w:pPr>
        <w:spacing w:after="0" w:line="225" w:lineRule="exact"/>
        <w:rPr>
          <w:sz w:val="20"/>
          <w:szCs w:val="20"/>
          <w:color w:val="auto"/>
        </w:rPr>
      </w:pPr>
    </w:p>
    <w:p>
      <w:pPr>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NRx is required to pay to Glytech a fixed annual support payment in the amount of $250,000 per year and to reimburse reasonable, documented travel expenses not exceeding $50,000 per year to support travel to meetings related to patent prosecutions.</w:t>
      </w: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NRx has assumed responsibility for the payment of ongoing patent prosecution costs and related costs required to perfect the Licensed Technology and related intellectual property rights.</w:t>
      </w:r>
    </w:p>
    <w:p>
      <w:pPr>
        <w:jc w:val="both"/>
        <w:ind w:left="980" w:right="2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assignment of the Licensed Technology and Excluded Technology by Glytech to NRx (such date, the “Assignment Date”), NRx is required to pay or reimburse Glytech for the full costs of defending any patent rights included in the Licensed Technology and Excluded Technology.</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Assignment Date, NRx has an obligation to institute, prosecute and control any action or proceeding with respect to any suspected or actual infringement or misappropriation by a third party of any Licensed Technology and Excluded Technology at its own expense. After the Assignment Date, NRx will be the owner of the Licensed Technology and the Excluded Technology, and as such will have full discretion in the institution and prosecution of any infringement action involving the Licensed Technology and the Excluded Technology.</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NRx has agreed to indemnify Glytech and certain related parties from and against any liability or expense (including attorneys’ fees) resulting from suits or claims by any third party arising out of (i) NRx’s, or its permitted sublicensee’s, sale or experimental use of products developed from any advice or assistance provided by Glytech hereunder; or (ii) the death of or injury to any person or any damage to property, arising from the development, manufacture, marketing, sale or use of any product developed from the Licensed Technology. NRx’s obligation to indemnify Glytech does not apply to any losses arising from the gross negligence or willful misconduct of Glytech or its related parties or any breach by Glytech of the Glytech DLA.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Glytech Termination Rights</w:t>
      </w:r>
    </w:p>
    <w:p>
      <w:pPr>
        <w:spacing w:after="0" w:line="227"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The term of the Glytech DLA continues for an indefinite period unless terminated by one or both parties in accordance with its terms. Glytech has an independent right to terminate the Glytech DLA in the event that (a) NRx is in material breach of the Glytech DLA, including material breaches of the obligations set forth above, and does not rectify such breach within thirty (30) days of notification (unless such breach is not capable of rectification within such thirty (30) day period and NRx acts diligently in a commercially reasonable manner to correct such breach) or (b) if NRx becomes insolvent or has proceedings in voluntary or involuntary bankruptcy instituted against it.</w:t>
      </w:r>
    </w:p>
    <w:p>
      <w:pPr>
        <w:spacing w:after="0" w:line="183"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If Glytech terminates the Glytech DLA, then the Glytech License is withdrawn and NRx is required to transfer and assign all of its assets to Glytech, including without limitation any inventions, patent rights and knowhow developed by NRx from the Licensed Technology and all data and research, in whatever format, relating to the Licensed Technologies and the products.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NRx is currently in compliance with its obligations under the Glytech DLA.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Sarah Herzog Memorial Hospital License Agreement</w:t>
      </w:r>
    </w:p>
    <w:p>
      <w:pPr>
        <w:spacing w:after="0" w:line="227"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initial clinical trial of D-cycloserine was conducted by Drs. Uri Hersco-Levy and Daniel Javitt at the Sarah Herzog Memorial Hospital (“SHMH”) in Jerusalem and resulted in a patent owned by SHMH in which Heresco-Levy and Javitt share inventorship. NeuroRx entered into an Exclusive License Agreement with SHMH, dated April 16, 2019 (the “SHMH License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The SHMH License Agreement grants NeuroRx an exclusive, worldwide, royalty bearing license to U.S. Patent No. 9,789,093, certain patent applications pending at that time as well as subsequently filed patent applications in the same priority families, and patents issuing therefrom, including corresponding foreign patents and patent applications (together, the “Licensed Patents”), to develop, manufacture, offer for sale and otherwise commercialize drug products for the treatment of depression and suicide associated with bipolar disorder in humans, including certain products containing</w:t>
      </w:r>
    </w:p>
    <w:p>
      <w:pPr>
        <w:spacing w:after="0" w:line="3" w:lineRule="exact"/>
        <w:rPr>
          <w:sz w:val="20"/>
          <w:szCs w:val="20"/>
          <w:color w:val="auto"/>
        </w:rPr>
      </w:pPr>
    </w:p>
    <w:p>
      <w:pPr>
        <w:jc w:val="both"/>
        <w:ind w:firstLine="8"/>
        <w:spacing w:after="0" w:line="253" w:lineRule="auto"/>
        <w:tabs>
          <w:tab w:leader="none" w:pos="2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DCS (including metabolites and structural variants thereof) combined with an antidepressant agent or an antipsychotic agent (including but not limited to lurasidone), or (b) DCS (including metabolites and structural variants thereof) ((a) and (b) collectively the “Licensed Products”) for treatment of all types of bipolar, depressive and/or anxiety disorders and/or symptoms thereof. We have the right to grant sub-licenses, subject to the agreed sub-licensing procedure, but are liable to SHMH for any breaches of a sub-license by a sub-licensee.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NRx Obligations</w:t>
            </w:r>
          </w:p>
        </w:tc>
        <w:tc>
          <w:tcPr>
            <w:tcW w:w="20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 are required to make certain payments in order to maintain the license, including:</w:t>
            </w: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8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8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Phase I Clinical Trials of Licensed Product</w:t>
            </w:r>
          </w:p>
        </w:tc>
        <w:tc>
          <w:tcPr>
            <w:tcW w:w="2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End of Phase II Clinical Trials of Licensed Product</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Phase III Clinical Trials of Licensed Product</w:t>
            </w:r>
          </w:p>
        </w:tc>
        <w:tc>
          <w:tcPr>
            <w:tcW w:w="2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First Commercial Sale of Licensed Product in U.S.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Commercial Sale of Licensed Product in Europe</w:t>
            </w:r>
          </w:p>
        </w:tc>
        <w:tc>
          <w:tcPr>
            <w:tcW w:w="2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Annual Revenues Reach $100,000,000</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750,000</w:t>
            </w:r>
          </w:p>
        </w:tc>
      </w:tr>
    </w:tbl>
    <w:p>
      <w:pPr>
        <w:spacing w:after="0" w:line="179" w:lineRule="exact"/>
        <w:rPr>
          <w:sz w:val="20"/>
          <w:szCs w:val="20"/>
          <w:color w:val="auto"/>
        </w:rPr>
      </w:pPr>
    </w:p>
    <w:p>
      <w:pPr>
        <w:jc w:val="both"/>
        <w:ind w:right="20" w:firstLine="378"/>
        <w:spacing w:after="0" w:line="282" w:lineRule="auto"/>
        <w:rPr>
          <w:sz w:val="20"/>
          <w:szCs w:val="20"/>
          <w:color w:val="auto"/>
        </w:rPr>
      </w:pPr>
      <w:r>
        <w:rPr>
          <w:rFonts w:ascii="Times New Roman" w:cs="Times New Roman" w:eastAsia="Times New Roman" w:hAnsi="Times New Roman"/>
          <w:sz w:val="18"/>
          <w:szCs w:val="18"/>
          <w:color w:val="auto"/>
        </w:rPr>
        <w:t>The milestone payments due above may be reduced by 25% in certain circumstances, and by the application of certain sub-license fees. During the years ended December 31, 2024 and 2023, no payments were made.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A royalty in an amount equal to: (a) 1% of revenues from the sale of any product incorporating a Licensed Product when at least one Licensed Patent remains in force, if such product is not covered by a Valid Claim (as defined below) in the country or region in which the sale occurs, or (b) 2.5% of revenues from the sale of any Licensed Product that is covered by at least one Valid Claim in the country or region in which such product is manufactured or sold. A “Valid Claim” means any issued claim in the Licensed Patents that remains in force and that has not been finally invalidated or held to be unenforceable. The royalty rates above may be doubled if we commence a legal challenge to the validity, enforceability or scope of any of the Licensed Patents during the term of the SHMH License Agreement and do not prevail in such proceeding.</w:t>
      </w:r>
    </w:p>
    <w:p>
      <w:pPr>
        <w:spacing w:after="0" w:line="187"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Royalties shall also apply to any revenues generated by sub-licensees from sale of Licensed Products subject to a cap of 8.5% of the payments received by us from sub-licensees in connection with such sales. During the years ended December 31, 2024 and 2023, no royalties were made.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Maintenance Fee</w:t>
      </w:r>
    </w:p>
    <w:p>
      <w:pPr>
        <w:spacing w:after="0" w:line="227"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A fixed amount of $100,000 was paid on April 16, 2021 and, thereafter, a fixed amount of $150,000 is due on the anniversary of such date during the term of the SHMH License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Licensed Patents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required to reimburse SHMH for any costs incurred in filing and prosecuting the Licensed Patents during the term of the SHMH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responsible for paying directly any ongoing costs associated with the maintenance of the Licensed Patents.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SHMH License Agreement imposes certain other obligations on us, including:</w:t>
      </w:r>
    </w:p>
    <w:p>
      <w:pPr>
        <w:spacing w:after="0" w:line="225" w:lineRule="exact"/>
        <w:rPr>
          <w:sz w:val="20"/>
          <w:szCs w:val="20"/>
          <w:color w:val="auto"/>
        </w:rPr>
      </w:pPr>
    </w:p>
    <w:p>
      <w:pPr>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commercially reasonable efforts to develop, test, manufacture, obtain regulatory approval for and actively market at least one product using the Licensed Patents.</w:t>
      </w:r>
    </w:p>
    <w:p>
      <w:pPr>
        <w:jc w:val="both"/>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of SHMH and certain of its affiliates against any claims, proceedings, and liabilities, including legal expenses, resulting from any third-party claims arising from (i) the development, manufacture, marketing, sale or use of Licensed Products or (ii) arising from any material breach of the SHMH License Agreement. The indemnification obligation does not apply to the extent of the gross negligence or misconduct of SHMH or its affiliates.</w:t>
      </w:r>
    </w:p>
    <w:p>
      <w:pPr>
        <w:spacing w:after="0" w:line="1" w:lineRule="exact"/>
        <w:rPr>
          <w:rFonts w:ascii="Times New Roman" w:cs="Times New Roman" w:eastAsia="Times New Roman" w:hAnsi="Times New Roman"/>
          <w:sz w:val="18"/>
          <w:szCs w:val="18"/>
          <w:color w:val="auto"/>
        </w:rPr>
      </w:pPr>
    </w:p>
    <w:p>
      <w:pPr>
        <w:jc w:val="both"/>
        <w:ind w:left="980" w:right="2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at Company expense of clinical trial and general commercial liability insurance in amounts not less than $1 million per occurrence/aggregate of $3 million for death or personal injury and $1 million per occurrence/aggregate of $3 million for property damage, with SHMH named as an additional insured under such policies.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and reporting requirements.</w:t>
      </w:r>
    </w:p>
    <w:p>
      <w:pPr>
        <w:spacing w:after="0" w:line="234"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Our exclusive rights under the Licensed Patents are at risk if we fail to fulfill our payment and other obligations under the SHMH License Agreement, including the obligations described above. We are currently in compliance with our obligations under the SHMH License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SHMH Termination Rights</w:t>
      </w:r>
    </w:p>
    <w:p>
      <w:pPr>
        <w:spacing w:after="0" w:line="227"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The term of the SHMH License Agreement continues until the expiration of the last-to-expire Licensed Patent or a final judgment of invalidity or unenforceability of the last Licensed Patent.</w:t>
      </w:r>
    </w:p>
    <w:p>
      <w:pPr>
        <w:spacing w:after="0" w:line="162"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SHMH has the independent right to terminate the SHMH License Agreement in the event that NRx (a) is in material breach and does not rectify such breach within sixty (60) days of written notification of such breach or (b) becomes insolvent, or has proceedings in voluntary or involuntary bankruptcy instituted against and such proceeding is not set aside within sixty (60) days. If we make an application or claim that challenges the validity, enforceability or scope of any of the Licensed Patents, SHMH also has the right to terminate the SHMH License Agreement in respect of the Licensed Patents that are included in such proceeding.</w:t>
      </w:r>
    </w:p>
    <w:p>
      <w:pPr>
        <w:spacing w:after="0" w:line="183"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Upon termination of the SHMH License Agreement, the license to use the Licensed Patents will terminate, and all rights included therein shall revert to SHMH.</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the date hereof, we have not received any notice from SHMH alleging any material breach of the SHMH License Agreement by NRx.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NRx Patent Portfolio</w:t>
      </w:r>
    </w:p>
    <w:p>
      <w:pPr>
        <w:spacing w:after="0" w:line="22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Glytech-licensed Patents/Patent Applications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Patent/Appl. No.</w:t>
            </w:r>
          </w:p>
        </w:tc>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Status/Notes</w:t>
            </w:r>
          </w:p>
        </w:tc>
      </w:tr>
      <w:tr>
        <w:trPr>
          <w:trHeight w:val="20"/>
        </w:trPr>
        <w:tc>
          <w:tcPr>
            <w:tcW w:w="2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3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9,737,531</w:t>
            </w:r>
          </w:p>
        </w:tc>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9,486,453</w:t>
            </w:r>
          </w:p>
        </w:tc>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3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10,660,887</w:t>
            </w:r>
          </w:p>
        </w:tc>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European Patent Convention</w:t>
            </w:r>
          </w:p>
        </w:tc>
        <w:tc>
          <w:tcPr>
            <w:tcW w:w="358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8"/>
                <w:szCs w:val="18"/>
                <w:color w:val="auto"/>
              </w:rPr>
              <w:t>EP 2 872 139</w:t>
            </w:r>
          </w:p>
        </w:tc>
        <w:tc>
          <w:tcPr>
            <w:tcW w:w="528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8"/>
                <w:szCs w:val="18"/>
                <w:color w:val="auto"/>
              </w:rPr>
              <w:t>Granted; validated in France, Germany, Ireland, Italy, Netherlands,</w:t>
            </w:r>
          </w:p>
        </w:tc>
      </w:tr>
      <w:tr>
        <w:trPr>
          <w:trHeight w:val="234"/>
        </w:trPr>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Poland, Portugal, Spain, Great Britain</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European Patent Convention</w:t>
            </w:r>
          </w:p>
        </w:tc>
        <w:tc>
          <w:tcPr>
            <w:tcW w:w="3580" w:type="dxa"/>
            <w:vAlign w:val="bottom"/>
            <w:gridSpan w:val="2"/>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EP 3 263 108</w:t>
            </w:r>
          </w:p>
        </w:tc>
        <w:tc>
          <w:tcPr>
            <w:tcW w:w="5280" w:type="dxa"/>
            <w:vAlign w:val="bottom"/>
            <w:gridSpan w:val="2"/>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Granted; validated in France, Germany, Ireland, Italy, Netherlands,</w:t>
            </w:r>
          </w:p>
        </w:tc>
      </w:tr>
      <w:tr>
        <w:trPr>
          <w:trHeight w:val="234"/>
        </w:trPr>
        <w:tc>
          <w:tcPr>
            <w:tcW w:w="2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Poland, Portugal, Spain, Great Britain</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JP 6416762</w:t>
            </w:r>
          </w:p>
        </w:tc>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3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 2013288827</w:t>
            </w:r>
          </w:p>
        </w:tc>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 2018203371</w:t>
            </w:r>
          </w:p>
        </w:tc>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CN 104507477</w:t>
            </w:r>
          </w:p>
        </w:tc>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CN 107875389</w:t>
            </w:r>
          </w:p>
        </w:tc>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3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16/166,101</w:t>
            </w:r>
          </w:p>
        </w:tc>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Pending</w:t>
            </w: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IL 271371</w:t>
            </w:r>
          </w:p>
        </w:tc>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Pending</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6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237"/>
        </w:trPr>
        <w:tc>
          <w:tcPr>
            <w:tcW w:w="1280" w:type="dxa"/>
            <w:vAlign w:val="bottom"/>
            <w:tcBorders>
              <w:top w:val="single" w:sz="8" w:color="0000EE"/>
            </w:tcBorders>
          </w:tcPr>
          <w:p>
            <w:pPr>
              <w:spacing w:after="0"/>
              <w:rPr>
                <w:sz w:val="20"/>
                <w:szCs w:val="20"/>
                <w:color w:val="auto"/>
              </w:rPr>
            </w:pPr>
          </w:p>
        </w:tc>
        <w:tc>
          <w:tcPr>
            <w:tcW w:w="10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040" w:type="dxa"/>
            <w:vAlign w:val="bottom"/>
          </w:tcPr>
          <w:p>
            <w:pPr>
              <w:spacing w:after="0"/>
              <w:rPr>
                <w:sz w:val="20"/>
                <w:szCs w:val="20"/>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11,576,911</w:t>
            </w:r>
          </w:p>
        </w:tc>
        <w:tc>
          <w:tcPr>
            <w:tcW w:w="6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European Patent Convention</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EP 18731195.6</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JP 7305560</w:t>
            </w:r>
          </w:p>
        </w:tc>
        <w:tc>
          <w:tcPr>
            <w:tcW w:w="6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JP 2023-105697</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 3,067,162</w:t>
            </w:r>
          </w:p>
        </w:tc>
        <w:tc>
          <w:tcPr>
            <w:tcW w:w="6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 2018284335</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BR 11 2019 026449 3</w:t>
            </w:r>
          </w:p>
        </w:tc>
        <w:tc>
          <w:tcPr>
            <w:tcW w:w="6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MX/393,950</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KR 10-2609676</w:t>
            </w:r>
          </w:p>
        </w:tc>
        <w:tc>
          <w:tcPr>
            <w:tcW w:w="6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ZA 2019/08616</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Zealand</w:t>
            </w:r>
          </w:p>
        </w:tc>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NZ 760542</w:t>
            </w:r>
          </w:p>
        </w:tc>
        <w:tc>
          <w:tcPr>
            <w:tcW w:w="6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Zealand</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NZ 799961</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IL 270916</w:t>
            </w:r>
          </w:p>
        </w:tc>
        <w:tc>
          <w:tcPr>
            <w:tcW w:w="6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17/586,828</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JP 7308761</w:t>
            </w:r>
          </w:p>
        </w:tc>
        <w:tc>
          <w:tcPr>
            <w:tcW w:w="6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 3,064,846</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 2018274767</w:t>
            </w:r>
          </w:p>
        </w:tc>
        <w:tc>
          <w:tcPr>
            <w:tcW w:w="6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BR 11 2019 024802-1</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394,875</w:t>
            </w:r>
          </w:p>
        </w:tc>
        <w:tc>
          <w:tcPr>
            <w:tcW w:w="6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10-2608479</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ZA 2019/08617</w:t>
            </w:r>
          </w:p>
        </w:tc>
        <w:tc>
          <w:tcPr>
            <w:tcW w:w="6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Granted</w:t>
            </w:r>
          </w:p>
        </w:tc>
      </w:t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Zealand</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NZ 760544</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Pending</w:t>
            </w:r>
          </w:p>
        </w:tc>
      </w:tr>
    </w:tbl>
    <w:p>
      <w:pPr>
        <w:spacing w:after="0" w:line="17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SHMH-licensed Patents and Patent Applications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Patent/Appl. No.</w:t>
            </w: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Status/Notes</w:t>
            </w:r>
          </w:p>
        </w:tc>
      </w:tr>
      <w:tr>
        <w:trPr>
          <w:trHeight w:val="20"/>
        </w:trPr>
        <w:tc>
          <w:tcPr>
            <w:tcW w:w="2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r>
      <w:tr>
        <w:trPr>
          <w:trHeight w:val="20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9,789,093</w:t>
            </w:r>
          </w:p>
        </w:tc>
        <w:tc>
          <w:tcPr>
            <w:tcW w:w="5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7"/>
                <w:szCs w:val="17"/>
                <w:color w:val="auto"/>
              </w:rPr>
            </w:pPr>
          </w:p>
        </w:tc>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EP 2 670 409</w:t>
            </w:r>
          </w:p>
        </w:tc>
        <w:tc>
          <w:tcPr>
            <w:tcW w:w="530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8"/>
                <w:szCs w:val="18"/>
                <w:color w:val="auto"/>
              </w:rPr>
              <w:t>Granted; validated in Switzerland, Germany, Spain, France, Great</w:t>
            </w:r>
          </w:p>
        </w:tc>
      </w:tr>
      <w:tr>
        <w:trPr>
          <w:trHeight w:val="234"/>
        </w:trPr>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Britain, Ireland, Italy, Netherlands</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3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17/502,606</w:t>
            </w:r>
          </w:p>
        </w:tc>
        <w:tc>
          <w:tcPr>
            <w:tcW w:w="5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11,013,721</w:t>
            </w: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 2,826,180</w:t>
            </w:r>
          </w:p>
        </w:tc>
        <w:tc>
          <w:tcPr>
            <w:tcW w:w="5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IL 227611</w:t>
            </w: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NeuroRx-owned Patents and Patent Applications</w:t>
            </w:r>
          </w:p>
        </w:tc>
        <w:tc>
          <w:tcPr>
            <w:tcW w:w="300" w:type="dxa"/>
            <w:vAlign w:val="bottom"/>
          </w:tcPr>
          <w:p>
            <w:pPr>
              <w:spacing w:after="0"/>
              <w:rPr>
                <w:sz w:val="20"/>
                <w:szCs w:val="20"/>
                <w:color w:val="auto"/>
              </w:rPr>
            </w:pPr>
          </w:p>
        </w:tc>
        <w:tc>
          <w:tcPr>
            <w:tcW w:w="5000" w:type="dxa"/>
            <w:vAlign w:val="bottom"/>
          </w:tcPr>
          <w:p>
            <w:pPr>
              <w:spacing w:after="0"/>
              <w:rPr>
                <w:sz w:val="20"/>
                <w:szCs w:val="20"/>
                <w:color w:val="auto"/>
              </w:rPr>
            </w:pP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28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Patent/Appl. No.</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Status/Notes</w:t>
            </w:r>
          </w:p>
        </w:tc>
      </w:tr>
      <w:tr>
        <w:trPr>
          <w:trHeight w:val="20"/>
        </w:trPr>
        <w:tc>
          <w:tcPr>
            <w:tcW w:w="2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3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10,583,138</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Granted</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Agreements</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In 2022, the Company has entered into a manufacturing agreement with Alcami (Wilmington, NC) for the manufacturing of NRX-101. This enabled the technology transfer of manufacturing processes previously done in China to the U.S. In October of 2022 the Company submitted a Module 3 IND amendment to the FDA, allowing it to manufacture clinical supplies in the U.S.</w:t>
      </w:r>
    </w:p>
    <w:p>
      <w:pPr>
        <w:spacing w:after="0" w:line="176"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In December 2022, as part of our agreement with Relief Therapeutics we transferred all manufacturing rights and know-how that we acquired for ZYESAMI (aviptadil) to Relief, including our collaborations with Nephron Pharmaceuticals and Alcami as contract manufacturers, and with the Polypeptide Group as a supplier of active pharmaceutical ingredient (“API”). This technology transfer does not affect our ability to contract with Alcami and Nephron for other purposes.</w:t>
      </w:r>
    </w:p>
    <w:p>
      <w:pPr>
        <w:spacing w:after="0" w:line="180"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In 2023, the Company entered into a development and manufacturing agreement with Nephron Pharmaceuticals, Inc. for the manufacture of ketamine HCl (NRX-100, HTX-100) that the Company intends to distribute via its HOPE franchise. Manufacture will initially consist of the generic formulation of ketamine in a novel diversion-resistant presentation. Under the development portion of the agreement the Company intends to develop a pH-balanced new formulation of ketamine that will be suitable for subcutaneous use and that may be suitable for oral administration with predictable systemic absorption.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and in other countries, at the Federal, state and local level, extensively regulate, among other things, the research, development, testing, manufacture, packaging, storage, recordkeeping, labeling, advertising, promotion, distribution, marketing, import and export, pricing, and government contracting related to pharmaceutical products such as those we are developing. The processes for obtaining marketing approvals in the U.S. and in foreign countries, along with subsequent compliance with applicable statutes and regulations, require the expenditure of substantial time and financial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Regulation</w:t>
      </w:r>
    </w:p>
    <w:p>
      <w:pPr>
        <w:spacing w:after="0" w:line="229"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(“FFDCA”) and its implementing regulations. The process of obtaining marketing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or other actions, such as the FDA’s delay in review of or refusal to approve a pending NDA, withdrawal of an approval, imposition of a clinical hold or study termination, issuance of Warning Letters or Untitled Letters, mandated modifications to promotional materials or issuance of corrective information, requests for product recalls, consent decrees, corporate integrity agreements, deferred prosecution agreements, product seizures or detentions, refusal to allow product import or export, total or partial suspension of or restriction of or imposition of other requirements relating to production or distribution, injunctions, fines, debarment from government contracts and refusal of future orders under existing contracts, exclusion from participation in federal and state healthcare programs, FDA debarment, restitution, disgorgement or civil or criminal penalties, including fines and imprisonment.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process required by the FDA before a new drug may be marketed in the U.S. generally involves the following:</w:t>
      </w:r>
    </w:p>
    <w:p>
      <w:pPr>
        <w:spacing w:after="0" w:line="225" w:lineRule="exact"/>
        <w:rPr>
          <w:sz w:val="20"/>
          <w:szCs w:val="20"/>
          <w:color w:val="auto"/>
        </w:rPr>
      </w:pPr>
    </w:p>
    <w:p>
      <w:pPr>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regulations;</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local or central IRBs who are charged with protecting safety of research subjects before each clinical trial may be initiated;</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human studies that meet the legal standard of “adequate and well-controlled clinical trials”, in accordance with cGCP and other regulations in order to establish the safety and efficacy of the proposed drug product for each indication;</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selected clinical trial sites to determine GCP compliance;</w:t>
      </w:r>
    </w:p>
    <w:p>
      <w:pPr>
        <w:spacing w:after="0" w:line="36"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GMP regulations and to assure that the facilities, methods and controls are adequate to preserve the drug’s identity, strength, quality and purity; and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234" w:lineRule="exact"/>
        <w:rPr>
          <w:sz w:val="20"/>
          <w:szCs w:val="20"/>
          <w:color w:val="auto"/>
        </w:rPr>
      </w:pPr>
    </w:p>
    <w:p>
      <w:pPr>
        <w:jc w:val="both"/>
        <w:ind w:right="20" w:firstLine="378"/>
        <w:spacing w:after="0" w:line="282" w:lineRule="auto"/>
        <w:rPr>
          <w:sz w:val="20"/>
          <w:szCs w:val="20"/>
          <w:color w:val="auto"/>
        </w:rPr>
      </w:pPr>
      <w:r>
        <w:rPr>
          <w:rFonts w:ascii="Times New Roman" w:cs="Times New Roman" w:eastAsia="Times New Roman" w:hAnsi="Times New Roman"/>
          <w:sz w:val="18"/>
          <w:szCs w:val="18"/>
          <w:color w:val="auto"/>
        </w:rPr>
        <w:t>Additionally, if a drug is considered a controlled substance, prior to the commencement of marketing, the DEA must also determine the controlled substance schedule, taking into account the recommendation of the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Studies and IND Submission</w:t>
      </w:r>
    </w:p>
    <w:p>
      <w:pPr>
        <w:spacing w:after="0" w:line="229"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Preclinical studies include laboratory evaluation of product chemistry, pharmacology,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Once the IND is submitted, the sponsor must wait 30 calendar days before initiating any clinical trials. During this time, among other things, the FDA has an opportunity to review the IND for safety to assure that research subjects will not be subjected to unreasonable risk. The FDA may raise concerns or questions related to one or more proposed clinical trials and place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Implications for NRX-100/101</w:t>
      </w:r>
    </w:p>
    <w:p>
      <w:pPr>
        <w:spacing w:after="0" w:line="227"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We have filed INDs and the FDA has accepted INDs 134025 and 129194 for NRX-100 and NRX-101 respectively. The FDA has advised us that no further preclinical studies are needed for submission of an NDA for NRX-100. The FDA has advised us and we have agreed that a genotoxicity study and a non-clinical maternal/fetal study for potential fetal effects are required prior to filing of an NDA for NRX-101. Furthermore, drugs that are potentially used chronic or chronic/intermittently do need to show preclinical carcinogenicity studies. Based on our latest FDA interactions we may be required to do so, even if our initial target indication is for 6 weeks. However, FDA indicated that they would review our request for an exemption, which we intend to submit.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IND to human subjects under the supervision of qualified investigators in accordance with Current Good Clinical Practices (“cGCP”) requirements, which include the requirement that all research subjects provide their informed consent in writing for their participation in any clinical trial, and review and approval by an Institutional Review Board (“IRB”). Clinical trials are conducted under protocols detailing, among other things, the objectives of the trial, the trial procedures, the parameters to be used in monitoring safety and the effectiveness criteria to be evaluated, and a statistical analysis plan. A protocol for each clinical trial and any subsequent protocol amendments must be submitted to the FDA as part of the IND. In addition, a central or local IRB at each institution participating in the clinical trial must review and approve the plan for any clinical trial before it commences at that institution, and the IRB must continue to oversee the clinical trial, including any changes, while it is being conducted. Information about certain clinical trials, including a description of the study and study results, must be submitted within specific timeframes to the NIH for public dissemination on their clinicaltrials.gov website.</w:t>
      </w:r>
    </w:p>
    <w:p>
      <w:pPr>
        <w:spacing w:after="0" w:line="18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 In Phase 1, the drug is initially introduced into healthy human subjects or subjects with the target disease or condition and tested for safety, dosage tolerance, absorption, metabolism, distribution, excretion and, if possible, to gain an early indication of its effectiveness. In Phase 2, the drug typically is administered through well-controlled studies to a limited subject population with the target disease or condition to identify possible adverse effects and safety risks, to preliminarily evaluate the efficacy of the product for specific targeted diseases and to determine dosage tolerance and optimal dosage. In Phase 3, the drug is administered to an expanded subject population, generally at geographically dispersed clinical trial sites, in two adequate and well-controlled clinical trials to generate enough data to statistically evaluate the efficacy and safety of the product for approval, to establish the overall risk-benefit profile of the product and to provide adequate information for the labeling of the product. Furthermore, depending on the expected use of a drug (e.g., acute, intermittent, chronic), regulatory requirements may include a safety database that goes beyond the number of subjects in the efficacy studies.</w:t>
      </w:r>
    </w:p>
    <w:p>
      <w:pPr>
        <w:spacing w:after="0" w:line="188"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current Good Manufacturing Practices (“cGMP”) requirements. Investigational drugs and active pharmaceutical ingredients imported into the U.S. are also subject to regulation by the FDA relating to their labeling and distribution. Further, the export of investigational drug products outside of the U.S. is subject to regulatory requirements of the receiving country as well as U.S. export requirements under the FFDCA.</w:t>
      </w:r>
    </w:p>
    <w:p>
      <w:pPr>
        <w:spacing w:after="0" w:line="18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Progress reports and other summary information detailing the results of the clinical trials must be submitted at least annually to the FDA and more frequently if certain unexpected Serious Adverse Events occur or other significant safety information is found. Phase I,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or the trial is not being conducted in accordance with the applicable regulatory requirements or the protocol. Similarly, an IRB can suspend or terminate approval of a clinical trial at its institution if the clinical trial is not being conducted in accordance with the IRB’s requirements or if the drug has been associated with unexpected serious harm to subjects. Additionally, some clinical trials are overseen by an independent group of qualified experts organized by the clinical trial sponsor, known as a data safety monitoring board (“DSMB”) or data monitoring committee (“DMC”). This group regularly reviews accumulated data and advises the study sponsor regarding the continuing safety of trial subjects, potential trial subjects, and the continuing validity and scientific merit of the clinical trial. We may also suspend or terminate a clinical trial based on evolving business objectives and/or competitive climate.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Implications for NRX-100/101</w:t>
      </w:r>
    </w:p>
    <w:p>
      <w:pPr>
        <w:spacing w:after="0" w:line="22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the case of NRX-100/101, the FDA has agreed with us in writing that the investigational product meets the standards for a 505.b.2 (commonly called drug-repurposing) pathway, whereby the extensive safety literature regarding the individual components of NRX-101 may be cited in lieu of repeating various preclinical and Phase I clinical studies.</w:t>
      </w:r>
    </w:p>
    <w:p>
      <w:pPr>
        <w:spacing w:after="0" w:line="176"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Because of examples in recent years where sponsors have received Complete Response Letters based on lack of agreement with the FDA regarding the research path required for NDA submission, we worked collaboratively with the FDA for one year in order to negotiate a FDA SPA that would govern the development of NRX-101 and would define the Phase 2I trial required for the target indication., should the clinical trial be successful. This FDA SPA was issued to us in April 2018 and defines the single clinical trial required for submission of NRX-101 for treatment of bipolar depression with acute suicidal ideation or behavior. In addition to the defined requirements in the FDA SPA, the FDA may require additional clinical safety data, especially if the use of the drug could be intermittent or chronic/intermittent as deemed by the FDA. As mentioned before, we recently received written guidance from the FDA that the Company is evaluating.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Approval</w:t>
      </w:r>
    </w:p>
    <w:p>
      <w:pPr>
        <w:spacing w:after="0" w:line="227"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These user fees must be filed at the time of the first submission of the application, even if the application is being submitted on a rolling basis. A waiver from the application user fee may be sought by an applicant. One basis for a waiver of the application user fee is if the applicant employs fewer than 500 employees, including employees of affiliates, the applicant does not have a drug product that has been approved under a human drug application and introduced or delivered for introduction into interstate commerce, and the applicant, including its affiliates, is submitting its first human drug application. Under the Prescription Drug User Fee Act (“PDUFA”) guidelines that are currently in effect, the FDA has agreed to certain performance goals regarding the timing of its review of an application. The FDA aims to review 90% of all standard review applications within ten months of acceptance for filing and six months of acceptance for filing for priority review applications.</w:t>
      </w:r>
    </w:p>
    <w:p>
      <w:pPr>
        <w:spacing w:after="0" w:line="194"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In addition, under the Pediatric Research Equity Act,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3"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The FDA may also require submission of a Risk Evaluation and Mitigation Strategies (“REMS”) program either during the application process or after the approval of the drug to ensure the benefits of the drug outweigh the risks. The REMS plan could include medication guides, physician communication plans, assessment plans, and elements to assure safe use, such as restricted distribution methods, patient registries or other risk tracking and minimization tools.</w:t>
      </w:r>
    </w:p>
    <w:p>
      <w:pPr>
        <w:spacing w:after="0" w:line="1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Under the FFDCA, before approving a drug for which no active ingredient (including any ester or salt of active ingredients) has previously been approved by the FDA, the FDA must either refer that drug to an external advisory committee or provide in an action letter, a summary of the reasons why the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by the manufacturer and all of its subcontractors and contract manufacturers. Additionally, before approving an NDA, the FDA will inspect one or more clinical trial sites to assure compliance with GCP regulations.</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testing and approval process for an NDA requires substantial time, effort and financial resources, and each may take several years to complete. Data obtained from preclinical and clinical testing are not always conclusive and may be susceptible to varying interpretations, which could delay, limit or prevent marketing approval. The FDA may not grant approval of an NDA on a timely basis, or at all.</w:t>
      </w:r>
    </w:p>
    <w:p>
      <w:pPr>
        <w:spacing w:after="0" w:line="17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or other information, in order for FDA to reconsider the application. The FDA has a review goal of completing its review of 90% of resubmissions within two or six months after receipt, depending on the type of information included. Even with submission of this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92"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including a black boxed warning, require that post-approval studies, including Phase IV clinical trials, be conducted to further assess a drug’s safety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prevent or limit further marketing of a product based on the results of post- marketing studies or surveillance programs. After approval, certain circumstances may require FDA notification, review, or approval, as well as further testing. These may include some types of changes to the approved product, such as adding new indications, manufacturing changes, and additional labeling claims, or new safety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FDA Expedited Review and Approval Programs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accelerated approval, priority review and Breakthrough Therapy (as defined below) designation, that are intended to expedite or simplify the process for the development and FDA review of drugs that are intended for the treatment of serious or life-threatening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 In addition, the FDA may initiate review of sections of an NDA before the application is complete. This “rolling review” is available if the applicant provides and the FDA approves a schedule for the remaining information.</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some cases, a Fast Track product may be eligible for accelerated approval or priority review.</w:t>
      </w:r>
    </w:p>
    <w:p>
      <w:pPr>
        <w:spacing w:after="0" w:line="22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FDA may give a priority review designation to drugs that are intended to treat serious conditions and provide significant improvements in the safety or effectiveness of the treatment, diagnosis, or prevention of serious conditions. A priority review means that the goal for the FDA is to review an application in six months, rather than the standard review of ten months under current PDUFA guidelines. These six- and ten-month review periods are measured from the “filing” date rather than the receipt date for NDAs, which typically adds approximately two months to the timeline for review and decision from the date of submission. Products that are eligible for Fast Track designation may also be considered appropriate to receive a priority review.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 addition, products studied for their safety and effectiveness in treating serious or life-threatening illnesses or conditions and that fill an unmet medical need may be eligible for accelerated approval and may be approved on the basis of adequate and well-controlled clinical trials establishing that the drug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endpoints, and the drug may be subject to accelerated withdrawal procedures.</w:t>
      </w:r>
    </w:p>
    <w:p>
      <w:pPr>
        <w:spacing w:after="0" w:line="18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Moreover, under the provisions of the new Food and Drug Administration Safety and Innovation Act enacted in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I trials, and a commitment from the FDA to involve senior managers and experienced review staff in a proactive collaborative, cross-disciplinary review.</w:t>
      </w:r>
    </w:p>
    <w:p>
      <w:pPr>
        <w:spacing w:after="0" w:line="189"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for NRX-101</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Subsequent to the issuance of the FDA SPA, in November 2018, the FDA also issued a Breakthrough Therapy designation to NRX-101. Breakthrough Therapy designation is awarded to drugs that have demonstrated preliminary evidence of efficacy for the treatment of a serious medical condition for which there is an unmet medical need.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manufacturing, periodic reporting, product sampling and distribution, advertising and promotion, and reporting of adverse experiences with the product and drug shortages.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post-marketing testing, including Phase IV clinical trials and surveillance to further assess and monitor the product’s safety and effectiveness after commercialization.</w:t>
      </w:r>
    </w:p>
    <w:p>
      <w:pPr>
        <w:spacing w:after="0" w:line="17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list drugs manufactured at their facilities with the FDA. These facilities are further subject to periodic announced and unannounced inspections by the FDA and these state agencies for compliance with cGMP and other regulatory requirements. Changes to the manufacturing process are strictly regulated and may require prior approval by the FDA or notification to the FDA before or after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becomes available in the market.</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0"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 holds or termination of post-approval clinical trials or FDA debarment;</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refusal of the FDA to approve pending NDAs or supplements to approved NDAs, or suspension or revocation of product license approvals;</w:t>
      </w:r>
    </w:p>
    <w:p>
      <w:pPr>
        <w:ind w:left="980" w:right="2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including the FDA, issued safety alerts, Dear Healthcare Provider letters, press releases or other communications containing warnings about such products;</w:t>
      </w: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modifications to promotional material or issuance of corrective information;</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3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 disgorgement and restitution, as well as consent decrees, corporate integrity agreements, deferred prosecution agreements and exclusion from federal healthcare programs.</w:t>
      </w:r>
    </w:p>
    <w:p>
      <w:pPr>
        <w:spacing w:after="0" w:line="162"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Although physicians in the practice of medicine may prescribe approved drugs for unapproved indications, pharmaceutical companies are prohibited from marketing or promoting their drug products for uses outside of the approved indications in the approved prescribing information. The FDA and other agencies actively enforce the laws and regulations prohibiting the promotion of off-label uses, and a company that is found to have improperly marketed or promoted off-label uses may be subject to significant liability, including criminal and civil penalties under the FFDCA and False Claims Act, exclusion from participation in federal healthcare programs, debarment from government contracts and refusal of future orders under existing contracts, and mandatory compliance programs under corporate integrity agreements or deferred prosecution agreements.</w:t>
      </w:r>
    </w:p>
    <w:p>
      <w:pPr>
        <w:spacing w:after="0" w:line="18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including samples, is subject to the Prescription Drug Marketing Act (“PDMA”), which, among other things,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Moreover, the recently enacted Drug Quality and Security Act, imposes new obligations on manufacturers of pharmaceutical products related to product tracking and tracing. Among the requirements of this new legislation, manufacturers will be required to provide certain information regarding drug products to individuals and entities to which product ownership is transferred, label drug products with a product identifier, and keep certain records regarding drug products.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manufactures will have drug product investigation, quarantine, disposition, and FDA and trading partner notification responsibilities related to counterfeit, diverted, stolen, and intentionally adulterated products such that they would result in serious adverse health consequences or death, as well as products that are the subject of fraudulent transactions or which are otherwise unfit for distribution such that they would be reasonably likely to result in serious health consequences or death.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under the Drug Enforcement Administration</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are required to evaluate the abuse potential of our product candidates. If any of our product candidates are considered controlled substances, we will need to comply with additional regulatory requirements. NRX-100 (ketamine) is a controlled substance with high abuse potential. Both components of NRX-101 are approved drugs (DCS and lurasidone) and neither is a controlled substance. We have completed abuse liability studies for DCS and identified no abuse potential.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Certain drug products may be regulated as “controlled substances” as defined in the Controlled Substances Act of 1970 and the DEA’s implementing regulations.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Schedule V substances the lowest relative risk of abuse among such substances. The FDA provides a recommendation to the DEA as to whether a drug should be classified as a controlled substance and the appropriate level of control. If DEA scheduling is required, a drug product may not be marketed until the scheduling process is completed, which could delay the launch of the product.</w:t>
      </w:r>
    </w:p>
    <w:p>
      <w:pPr>
        <w:spacing w:after="0" w:line="18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Depending on the Schedule, drug products may be subject to registration, security, recordkeeping, reporting, storage, distribution, importation, exportation, inventory, quota and other requirements administered by the DEA, which are directly applicable to product applicants, contract manufacturers and to distributors, prescribers and dispensers of controlled substances.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spacing w:after="0" w:line="18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w:t>
      </w:r>
    </w:p>
    <w:p>
      <w:pPr>
        <w:spacing w:after="0" w:line="18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Records must be maintained for the handling of all controlled substances, and periodic reports may be required to made to the DEA for the distribution of certain controlled substances. Reports must also be made for thefts or significant losses of any controlled substance.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Healthcare related, Fraud and Abuse and Data Privacy and Security Laws and Regulations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federal and state fraud and abuse, and other laws regulations, and requirements restrict business practices in the biopharmaceutical industry. These laws include anti-kickback and false claims laws and regulations, state and federal transparency laws regarding payments or other items of value provided to health care professionals, as well as data privacy and security laws and regulations and other requirements applicable to the healthcare industry, including pharmaceutical manufacturers. There are also laws, regulations, and requirements applicable to the award and performance of federal contracts and grants.</w:t>
      </w:r>
    </w:p>
    <w:p>
      <w:pPr>
        <w:spacing w:after="0" w:line="18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narrowly drawn. Practices that involve remuneration that may be alleged to be intended to induce prescribing, purchases, or recommendations may be subject to scrutiny if they do not meet the requirements of a statutory or regulatory exception or safe harbor. Several courts have interpreted the statute’s intent requirement to mean that if any one purpose of an arrangement involving remuneration is to induce referrals of federal healthcare covered business, the statute has been violated.</w:t>
      </w:r>
    </w:p>
    <w:p>
      <w:pPr>
        <w:spacing w:after="0" w:line="188"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reach of the Anti-Kickback Statute was also broadened by the Affordable Care Act, which, among other things, amended the intent requirement of the Federal Anti-Kickback Statute and certain provisions of the criminal health care fraud statute (discussed below) such that a person or entity no longer needs to have actual knowledge of the statute or specific intent to violate it in order to have committed a violation. In addition, the Affordable Care Act provides that the government may assert that a claim for payment for items or services resulting from a violation of the Federal Anti-Kickback Statute constitutes a false or fraudulent claim for purposes of the civil False Claims Act. Penalties for violation of the Anti-Kickback Statute include criminal fines, imprisonment, civil penalties and damages, exclusion from participation in Federal healthcare programs and corporate integrity agreements or deferred prosecution agreements. Conviction or civil judgments are also grounds for debarment from government contracts.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knowingly presenting, or causing to be presented, a false claim for payment to the U.S. Government or knowingly making, using, or causing to be made or used a false record or statement material to a false or fraudulent claim to the federal government, including payments under a federal grant. A claim includes “any request or demand” for money or property presented to the U.S. Government. The False Claims Act also applies to false submissions that cause the government to be paid less than the amount to which it is entitled, such as a rebate. Intent to deceive is not required to establish liability under the civil False Claims Act. Several pharmaceutical and other healthcare companies have been sued under these laws for allegedly providing free product to customers with the expectation that the customers would bill Federal programs for the product. Companies have also been sued for causing false claims to be submitted because of the companies’ marketing of products for unapproved, or off-label, uses. In addition, Federal health care programs require drug manufacturers to report drug pricing information, which is used to quantify discounts and establish reimbursement rates. Several pharmaceutical and other healthcare companies have been sued for reporting allegedly false pricing information, which caused the manufacturer to understate rebates owed or, when used to determine reimbursement rates, caused overpayment to providers. Violations of the civil False Claims Act may result in civil penalties and damages as well as exclusion from Federal healthcare programs and corporate integrity agreements or deferred prosecution agreements. The U.S. Government may further prosecute conduct constituting a false claim under the criminal False Claims Act. The criminal False Claims Act prohibits the making or presenting of a claim to the U.S. Government knowing such claim to be false, fictitious, or fraudulent and, unlike the civil False Claims Act, requires proof of intent to submit a false claim. Violations of the criminal False Claims Act can result in criminal fines and/or imprisonment, as well as exclusion from participation in Federal healthcare programs. Conviction or civil judgments and other conduct are also grounds for debarment from U.S. Government contracts and grants.</w:t>
      </w:r>
    </w:p>
    <w:p>
      <w:pPr>
        <w:spacing w:after="0" w:line="19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HIPAA also created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As discussed above, the Affordable Care Act amended the intent standard for certain of HIPAA’s healthcare fraud provisions such that a person or entity no longer needs to have actual knowledge of the statute or specific intent to violate it in order to have committed a violation. Violations of HIPAA’s fraud and abuse provisions may result in fines or imprisonment, as well as exclusion from participation in Federal healthcare programs, depending on the conduct in question. Also, many states have similar fraud and abuse statutes or regulations that apply to items and services reimbursed under Medicaid and other state programs, or, in several states, apply regardless of the payor.</w:t>
      </w:r>
    </w:p>
    <w:p>
      <w:pPr>
        <w:spacing w:after="0" w:line="18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Veterans Health Care Act requires manufacturers of covered drugs to offer them for sale on the Federal Supply Schedule, which requires compliance with applicable Federal procurement laws and regulations and subjects us to contractual remedies as well as administrative, civil and criminal sanctions.</w:t>
      </w:r>
    </w:p>
    <w:p>
      <w:pPr>
        <w:spacing w:after="0" w:line="17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In addition, there has been a recent trend of increased Federal and state regulation of payments made to physicians and other health care providers. The Affordable Care Act created new Federal requirements for reporting, by applicable manufacturers of covered drugs, payments and other transfers of value to physicians and teaching hospitals, and ownership and investment interests held by physicians and other healthcare providers and their immediate family members. Certain states also require implementation of commercial compliance programs and compliance with the pharmaceutical industry’s voluntary compliance guidelines and the applicable compliance guidance promulgated by the U.S. Government, or otherwise restrict payments or the provision of other items of value that may be made to healthcare providers and other potential referral sources; impose restrictions on marketing practices; and/or require drug manufacturers to track and report information related to payments, gifts and other items of value to physicians and other healthcare providers.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 by both the U.S. Government and the states in which we conduct our business. HIPAA, as amended by HITECH and its implementing regulations, imposes specified requirements relating to the privacy, security and transmission of individually identifiable health information. Penalties for violating HIPAA include civil penalties, criminal penalties and imprisonment. Among other things, HITECH, through its implementing regulations, makes HIPAA’s privacy and security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92"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In addition, other Federal and state laws govern the privacy and security of health and other information in certain circumstances, many of which differ from each other in significant ways and may not have the same requirements, thus complicating compliance efforts.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authorities, private health insurers and other third-party payers provide coverage for and establish adequate reimbursement levels for our therapeutic product candidates. In the U.S., the European Union and other potentially significant markets for our product candidates, government authorities and third-party payers are increasingly imposing additional requirements and restrictions on coverage, attempting to limit reimbursement levels or regulate the price of drugs and other medical products and services, particularly for new and innovative products and therapies, which often has resulted in average selling prices lower than they would otherwise be. For example, in the U.S., Federal and state governments reimburse covered prescription drugs at varying rates generally below average wholesale price. 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Moreover, the Medicare and Medicaid programs increasingly are used as models for how private payers and other governmental payers develop their coverage and reimbursement policies.</w:t>
      </w:r>
    </w:p>
    <w:p>
      <w:pPr>
        <w:spacing w:after="0" w:line="19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 addition, the increased emphasis on managed healthcare in the U.S.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coverage and reimbursement policies and pricing in general. The cost containment measures that healthcare payers and providers are instituting and any healthcare reform implemented in the future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Healthcare Reform on Coverage, Reimbursement, and Pricing</w:t>
      </w:r>
    </w:p>
    <w:p>
      <w:pPr>
        <w:spacing w:after="0" w:line="229"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The Medicare Modernization Act imposed new requirements for the distribution and pricing of prescription drugs for Medicare beneficiaries. Under Part D, Medicare beneficiaries may enroll in prescription drug plans offered by private entities that provide coverage of outpatient prescription, pharmacy drugs pursuant to federal regulations. Part D plans include both standalone prescription drug benefit plans and prescription drug coverage as a supplement to Medicare Advantage plans. Unlike Medicare Part A and B, Part D coverage is not standardized. In general, Part D prescription drug plan sponsors have flexibility regarding coverage of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with certain exceptions. Any formulary used by a Part D prescription drug plan must be developed and reviewed by a pharmacy and therapeutic committee. Government payment for some of the costs of prescription drugs may increase demand for any products for which we receive marketing approval. However, any negotiated prices for our future products covered by a Part D prescription drug plan will likely be discounted, thereby lowering the net price realized on our sales to pharmacies. Moreover, while the Medicare Modernization Act applies only to drug benefits for Medicare beneficiaries, private payers often follow Medicare coverage policy and payment limitations in setting their own payment rates. Any reduction in payment that results from Medicare Part D may result in a similar reduction in payments from non-governmental payers.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American Recovery and Reinvestment Act of 2009 provides funding for the U.S. Government to compare the effectiveness of different treatments for the same illness. A plan for the research will be developed by the Department of Health and Human Services, the Agency for Healthcare Research and Quality and the NIH, and periodic reports on the status of the research and related expenditures will be made to Congress. Although the results of the comparative effectiveness studies are not intended to mandate coverage policies for public or private payers,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payers do not consider our product candidates to be cost-effective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9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The U.S. and some foreign jurisdictions are considering enacting or have enacted a number of additional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 expanding access. In the U.S., the pharmaceutical industry has been a particular focus of these efforts and has been significantly affected by major legislative initiatives, including, most recently, the Affordable Care Act, which became law in March 2010 and substantially changes the way healthcare is financed by both governmental and private insurers. Among other cost containment measures, the Affordable Care Act establishes an annual, nondeductible fee on any entity that manufactures or imports specified branded prescription drugs and biologic agents; a new Medicare Part D coverage gap discount program; expansion of Medicaid benefits and a new formula that increases the rebates a manufacturer must pay under the Medicaid Drug Rebate Program; and expansion of the 340B drug discount program that mandates discounts to certain hospitals, community centers and other qualifying providers. In the future, there may continue to be additional proposals relating to the reform of the U.S. healthcare system, some of which could further limit the prices we are able to charge or the amounts of reimbursement available for our product candidates once they are approved.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Foreign Corrupt Practices Act</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Activities that violate the FCPA, even if they occur wholly outside the U.S., can result in criminal and civil fines, imprisonment, disgorgement, oversight, and debarment from government contracts. The FCPA is currently under a temporary pause in enforcement. This pause was initiated by an executive order from President Trump on February 10, 2025 for a 180-day period. The order aims to reassess the guidelines and policies surrounding FCPA investigations and enforcement actions with a focus on promoting U.S. economic competitiveness and national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Exclusivity and Approval of Competing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Patent Exclusivity</w:t>
      </w:r>
    </w:p>
    <w:p>
      <w:pPr>
        <w:spacing w:after="0" w:line="227"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In seeking approval for a drug through an NDA, applicants are required to list with the FDA each patent with claims that cover the applicant’s product or a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abbreviated new drug application (“ANDA”) or 505(b)(2) NDA. Generally, an ANDA provides for marketing of a drug product that has the same active ingredients in the same strengths, dosage form and route of administration as the listed drug and has been shown to be bioequivalent through in vitro or in vivo testing or otherwise to the listed drug. ANDA applicants are not required to conduct or submit results of preclinical or clinical tests to prove the safety or effectiveness of their drug product, other than the requirement for bioequivalence testing. Drugs approved in this way are commonly referred to as “generic equivalents” to the listed drug, and can often be substituted by pharmacists under prescriptions written for the reference listed drug. 505(b)(2) NDAs generally are submitted for changes to a previously approved drug product, such as a new dosage form or indication.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ANDA or 505(b)(2) NDA applicant is required to provide a certification to the FDA in the product application concerning any patents listed for the approved product in the FDA’s Orange Book, except for patents covering methods of use for which the applicant is not seeking approval. Specifically, the applicant must certify with respect to each patent that:</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25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Generally, the ANDA or 505(b)(2) NDA cannot be approved until all listed patents have expired, except when the ANDA or 505(b)(2) NDA applicant challenges a listed patent or if the listed patent is a patented method of use for which approval is not being sought. A certification that the proposed product will not infringe the already approved product’s listed patents or that such patents are invalid or unenforceable is called a Paragraph IV certification. We may seek Paragraph IV Certification for our product candidates. If the applicant does not challenge the listed patents or does not indicate that it is not seeking approval of a patented method of use, the ANDA or 505(b)(2) NDA application will not be approved until all the listed patents claiming the referenced product have expired.</w:t>
      </w:r>
    </w:p>
    <w:p>
      <w:pPr>
        <w:spacing w:after="0" w:line="18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If the ANDA or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certification. The filing of a patent infringement lawsuit within 45 days after the receipt of notice of the Paragraph IV certification automatically prevents the FDA from approving the ANDA or 505(b)(2) NDA until the earlier of 30 months, expiration of the patent, settlement of the lawsuit, a decision in the infringement case that is favorable to the ANDA applicant or other period determined by a court.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Non-Patent Exclusivity</w:t>
      </w:r>
    </w:p>
    <w:p>
      <w:pPr>
        <w:spacing w:after="0" w:line="22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Market and data exclusivity provisions under the FFDCA also can delay the submission or the approval of certain applications for competing products. The FFDCA provides a five-year period of non- patent data exclusivity within the U.S. to the first applicant to gain approval of an NDA for a new chemical entity.</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 infringement.</w:t>
      </w:r>
    </w:p>
    <w:p>
      <w:pPr>
        <w:spacing w:after="0" w:line="180"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The FFDCA also provides three years of marketing exclusivity for an NDA, 505(b)(2) NDA, or supplement to an existing NDA or 505(b)(2) NDA if new clinical investigations, other than bioavailability studies, that were conducted or sponsored by the applicant, are deemed by the FDA to be essential to the approval of the application or supplement. Three-year exclusivity may be awarded for changes to a previously approved drug product, such as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 controlled clinical trials necessary to demonstrate safety and effectiveness.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22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U.S. and, if granted, provides for the attachment of an additional six months of marketing protection to the term of any existing regulatory exclusivity, including the non-patent exclusivity period described above.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Orange Book listed patent protection that cover the drug are extended by six months. This is not a patent term extension, but it effectively extends the regulatory period during which the FDA cannot approve an ANDA or 505(b)(2) application owing to regulatory exclusivity or listed patents.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The Orphan Drug Act provides incentives for the development of drugs intended to treat rare diseases or conditions, which generally are diseases or conditions affecting less than 200,000 individuals annually in the U.S., or affecting more than 200,000 in the U.S. and for which there is no reasonable expectation that the cost of developing and making the drug available in the U.S. will be recovered from U.S. sales.</w:t>
      </w:r>
    </w:p>
    <w:p>
      <w:pPr>
        <w:spacing w:after="0" w:line="17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Additionally, sponsors must present a plausible hypothesis for clinical superiority to obtain orphan drug designation if there is a drug already approved by the FDA that is intended for the same indication and that is considered by the FDA to be the same drug as the already approved drug. This hypothesis must be demonstrated to obtain orphan drug exclusivity. Orphan drug designation entitles a party to financial incentives such as opportunities for grant funding towards clinical study costs, tax advantages, and user fee waivers. In addition, if a product receives FDA approval for the indication for which it has orphan drug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Regulation</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U.S., we would need to comply with numerous and varying regulatory requirements of other countries regarding safety and efficacy and governing, among other things, clinical trials, marketing authorization, commercial sales and distribution of our products. For example, in the European Union, we must obtain authorization of a clinical trial application in each member state in which we intend to conduct a clinical trial.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 Drug Approval Process</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To obtain marketing authorization of a drug in the European Union, we may submit MAAs either under the so-called centralized or national authorization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Centralized procedure</w:t>
      </w:r>
    </w:p>
    <w:p>
      <w:pPr>
        <w:spacing w:after="0" w:line="227"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following a favorable opinion by the EMA that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authorization procedures</w:t>
      </w:r>
    </w:p>
    <w:p>
      <w:pPr>
        <w:spacing w:after="0" w:line="227"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162" w:lineRule="exact"/>
        <w:rPr>
          <w:sz w:val="20"/>
          <w:szCs w:val="20"/>
          <w:color w:val="auto"/>
        </w:rPr>
      </w:pPr>
    </w:p>
    <w:p>
      <w:pPr>
        <w:jc w:val="both"/>
        <w:ind w:left="980" w:hanging="324"/>
        <w:spacing w:after="0" w:line="257"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Decentralized procedure. Using the decentralized procedure, an applicant may apply for simultaneous authorization in more than one European Union country of medicinal products that have not yet been authorized in any European Union country and that do not fall within the mandatory scope of the centralized procedure.</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recognition procedure. In the mutual recognition procedure, a medicine is first authorized in one European Union Member State, in accordance with the national procedures of that country. Following this, further marketing authorizations can be sought from other European Union countries in a procedure whereby the countries concerned agree to recognize the validity of the original, national marketing authorization.</w:t>
      </w:r>
    </w:p>
    <w:p>
      <w:pPr>
        <w:spacing w:after="0" w:line="189"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In the European Union, new products authorized for marketing (i.e.,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data on which the reference product was first authorized in the European Union. The market exclusivity period prevents a successful generic applicant from commercializing its product in the European Union until ten years have elapsed from the initial authorization of the reference product in the European Union.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We are an early-stage company with a history of losses and our business faces significant risks and uncertainties, which are summarized below and are more fully described in the following section. Our business, prospects, financial condition, and results of operations could be materially and adversely affected if one or more of these risks occurs. In addition, other events that we do not currently anticipate, or that we currently deem immaterial, may also affect our business, prospects, financial condition and results of operations. Accordingly, in evaluating our business, we encourage you to consider the following discussion of risk factors, in its entirety, in addition to other information contained in or incorporated by reference into this annual report and our other public filings with the SEC. The following summary of the Risk Factors is subject to the full description of the Risk Factors set forth in this Item 1A.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upon which to base an investment decision.</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company with a history of losses. We have not been profitable historically and may not achieve or maintain profitability in the future.</w:t>
      </w: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raise additional capital to operate our business and finance our proposed acquisitions. If we fail to obtain the capital necessary to fund our operations, we will be unable to continue as a going concern, complete our product development or fund our proposed acquisitions.</w:t>
      </w: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NRX-101 is still Phase 2/3 in clinical testing and we cannot predict with any certainty if or when we might submit an NDA for regulatory approval.</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scaled manufacturing of our drug products to levels that are required for sustained sales.</w:t>
      </w:r>
    </w:p>
    <w:p>
      <w:pPr>
        <w:spacing w:after="0" w:line="17"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current or future disputes, claims, arbitration and litigation could have a material adverse effect on our business, financial condition and results of operations.</w:t>
      </w: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or maintain FDA and other regulatory clearances for our products, or if such clearances are delayed, we will be unable to commercially distribute and market our products in the U.S.</w:t>
      </w:r>
    </w:p>
    <w:p>
      <w:pPr>
        <w:jc w:val="both"/>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will face significant competition in the markets for such products and future products may never achieve market acceptance. We are faced with rapid technological change and developments by competitors may render our products or technologies obsolete or non-competitive.</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political and social conditions, armed conflicts and uncertainties in the market that we serve may adversely impact our business.</w:t>
      </w:r>
    </w:p>
    <w:p>
      <w:pPr>
        <w:jc w:val="both"/>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potential customers and payors will be subject to applicable anti-kickback, fraud and abuse, transparency, and other healthcare laws and regulations, which could expose us to criminal sanctions, civil penalties, contractual damages, reputational harm, and administrative burdens.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growth as we expand operations may strain our resources and we may not successfully manage our growth.</w:t>
      </w:r>
    </w:p>
    <w:p>
      <w:pPr>
        <w:spacing w:after="0" w:line="17"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have entered into non-binding letters of intent to acquire certain psychiatry clinics and for sources of funding for such acquisitions, we have not entered into definitive agreements, and cannot assure you that such transactions will be consummated on the terms set forth in the letters of intent, if at all.</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acquire additional financing to fund our potential obligations under certain non-binding letters of intent, and we cannot guaranty that the terms of such financings will be favorable and such financings may result in additional dilution, and if such financing cannot be acquired, it could have a material adverse effect on our business.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growth strategy focuses on our subsidiary, Hope Therapeutics, Inc., and ability to purchase psychiatry clinics, and failure to consummate any such transactions may have a material adverse effect on our ability to increase assets, revenues, and net income, or on our business and the trading price of our common stock.</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drug product is approved, the regulators may impose limitations on the use or marketing of such product.</w:t>
      </w:r>
    </w:p>
    <w:p>
      <w:pPr>
        <w:spacing w:after="0" w:line="17"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design, conduct and complete clinical trials successfully, our drug candidates will not be able to receive regulatory approval. We cannot predict whether regulatory agencies will determine that the data from our clinical trials of our product candidates supports marketing approval.</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regulators will grant NDA approval of our current or future product candidates and failure to obtain necessary clearances or approvals for our current and future product candidates would adversely affect our ability to grow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adverse event occurs during a clinical trial, the regulators or an internal review board may delay or terminate the trial.</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and guidance of clinical trials are not binding obligations on the part of regulatory authorities. The results of our current or future clinical trials may not support our product candidate claims or may result in the discovery of unexpected adverse side effects.</w:t>
      </w:r>
    </w:p>
    <w:p>
      <w:pPr>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or completion of pharmaceutical development, manufacturing or clinical efficacy and safety testing could result in increased costs to us and delay our ability to generate revenues.</w:t>
      </w:r>
    </w:p>
    <w:p>
      <w:pPr>
        <w:ind w:left="980" w:right="2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products are approved by regulatory authorities, if we or our suppliers fail to comply with ongoing FDA regulation or if we experience unanticipated problems with our products, these products could be subject to market restrictions or withdrawals.</w:t>
      </w:r>
    </w:p>
    <w:p>
      <w:pPr>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of our drug candidates or commercial sales of a drug candidate may expose us to expensive product liability claims and we may not be able to maintain product liability insurance on reasonable terms or at all.</w:t>
      </w:r>
    </w:p>
    <w:p>
      <w:pPr>
        <w:ind w:left="980" w:right="2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 controlled substance in our NRX-100 drug candidate subjects us to DEA scrutiny and compliance, which may result in additional expense and clinical delays.</w:t>
      </w:r>
    </w:p>
    <w:p>
      <w:pPr>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our products may require new NDA approvals and some of our other product candidates will require Risk Evaluation and Mitigation Strategies.</w:t>
      </w: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on certain licensing rights that can be terminated in certain circumstances.</w:t>
      </w:r>
    </w:p>
    <w:p>
      <w:pPr>
        <w:spacing w:after="0" w:line="17"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upon securing and protecting critical intellectual property. If we are found to be infringing on patents or trade secrets owned by others, we may be forced to cease or alter our product development efforts, obtain a license to continue development or sale of our products, and/or pay damages.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by our employees or other parties may allow our trade secrets to become known to our competitors.</w:t>
      </w:r>
    </w:p>
    <w:p>
      <w:pPr>
        <w:spacing w:after="0" w:line="17"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royalty or milestone revenue relating to our product candidates under our collaboration and future license agreements for several years, or at all.</w:t>
      </w:r>
    </w:p>
    <w:p>
      <w:pPr>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direct control of third parties performing preclinical and clinical trials. If such third parties do not perform as contractually required or expected, we may not be able to obtain regulatory approval for or commercialize our products.</w:t>
      </w:r>
    </w:p>
    <w:p>
      <w:pPr>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manufacturing capabilities and depend on other parties for manufacturing operations. These manufacturers may fail to satisfy our requirements and applicable regulatory requirements.</w:t>
      </w:r>
    </w:p>
    <w:p>
      <w:pPr>
        <w:jc w:val="both"/>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shares of common stock or convertible securities could make it difficult for another company to acquire us, may dilute your ownership of us and could adversely affect our stock price. Future sales, or the perception of sales, of our common stock by us or our existing stockholders could cause the market price for our common stock to decline.</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announced spin-off of HOPE into an independent, publicly traded company may not be completed on the previously announced timeline, or if at all, and if completed, may not achieve the intended benefits and expose us to new risks, any of which could have a material adverse impact on our business and results of operations.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“smaller reporting company” within the meaning of the Securities Act, which could make our securities less attractive to investors and may make it more difficult to evaluate our performance.</w:t>
      </w:r>
    </w:p>
    <w:p>
      <w:pPr>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governing documents and under Delaware law could make an acquisition of us more difficult, limit attempts by our stockholders to replace or remove our current management and limit the market price of our common stock.</w:t>
      </w:r>
    </w:p>
    <w:p>
      <w:pPr>
        <w:jc w:val="both"/>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stockholders have effective control of NRx, and their interests may conflict with NRx’s or yours in the future. We are no longer a “controlled company” under the corporate governance rules of Nasdaq. However, we continue to rely on certain exceptions from corporate governance standards.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the applicable continued listing requirements of the Nasdaq Capital Market, Nasdaq may delist our common stock, in which case the liquidity and market price of our common stock could decline.</w:t>
      </w: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cash dividends on our common stock for the foreseeable future.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Early-Stage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company with a history of losses. We have not been profitable historically and may not achieve or maintain profitability in the future.</w:t>
      </w:r>
    </w:p>
    <w:p>
      <w:pPr>
        <w:spacing w:after="0" w:line="15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experienced net losses in each year since inception, including net losses of $25.1 million and $30.2 million for the years ended, December 31, 2024 and 2023, respectively. We believe we will continue to incur operating losses and negative cash flow in the near-term as we continue to invest significantly in our business, in particular across our research and development efforts, clinical trial programs and future sales and marketing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These investments may not result in revenue or growth in our business. In addition, as a newly- public company, we incur significant additional legal, accounting and other expenses that we did not incur as a private company. These increased expenditures may make it harder for us to achieve and maintain future profitability. Until we have a product candidate approved by the FDA, which could take several years, revenue growth will not be possible, and we are unlikely to achieve or maintain profitability. Further, there can be no assurance that the products under development by us will be approved for sales in the U.S. or elsewhere.</w:t>
      </w:r>
    </w:p>
    <w:p>
      <w:pPr>
        <w:spacing w:after="0" w:line="18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expect a substantial portion of our revenue going forward to be generated from the sale and distribution of our product candidates, but until one of our product candidates is approved for sale, it is difficult for us to predict our future operating results. Even if we succeed in developing and commercializing one or more of our product candidates, we expect to incur substantial net losses and negative cash flows for the foreseeable future due in part to increasing research and development expenses, including clinical trials, and increasing expenses from leasing additional facilities and hiring additional personnel. As a result, we will need to generate significant revenues in order to achieve and maintain profitability. We may not be able to generate these revenues or achieve profitability in the future. Even if we do achieve profitability, we may not be able to sustain or increase profitability.</w:t>
      </w:r>
    </w:p>
    <w:p>
      <w:pPr>
        <w:spacing w:after="0" w:line="18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may incur significant losses in the future for a number of reasons, and we may encounter unforeseen expenses, difficulties, complications and delays and other unknown events. As a result, our losses may be larger than anticipated, we may incur significant losses for the foreseeable future, and we may not achieve profitability when expected, or at all, and even if we do, we may not be able to maintain or increase profitability. Furthermore, if our future growth and operating performance fail to meet investor or analyst expectations, or if we have future negative cash flow or losses resulting from our investment in acquiring customers or expanding our operations, this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fluctuate from period to period.</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If and when any of our product candidates are successfully commercialized, we anticipate that our operating results and financial condition will fluctuate from quarter-to-quarter and year-to-year due to a number of factors, many of which will not be within our control. Both our business and the pharmaceutical industry are changing and evolving rapidly, and our operating results in any given year may not be useful in predicting our future operating results. If our operating results do not meet the guidance that we provide to the marketplace or the expectations of securities analysts or investors, the market price of our common stock will likely decline. Fluctuations in our future operating results and financial condition may be due to a number of factors, including:</w:t>
      </w:r>
    </w:p>
    <w:p>
      <w:pPr>
        <w:spacing w:after="0" w:line="187" w:lineRule="exact"/>
        <w:rPr>
          <w:sz w:val="20"/>
          <w:szCs w:val="20"/>
          <w:color w:val="auto"/>
        </w:rPr>
      </w:pPr>
    </w:p>
    <w:p>
      <w:pPr>
        <w:ind w:left="820" w:hanging="164"/>
        <w:spacing w:after="0" w:line="26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products in sufficient quantities with chemical manufacturing controls (“CMC”) that meet governmental regulatory standards;</w:t>
      </w: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acceptance and differentiation of our products and services in the broader healthcare industry;</w:t>
      </w:r>
    </w:p>
    <w:p>
      <w:pPr>
        <w:spacing w:after="0" w:line="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competitors and new entrants into our markets;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and services that we are able to sell during any period;</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sales and distribution of our products to customers;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distribution of our sales;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on those of our competitors, including our response to price competition;</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research and develop new products or technologies;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and/or liabilities resulting from litigation;</w:t>
      </w:r>
    </w:p>
    <w:p>
      <w:pPr>
        <w:spacing w:after="0" w:line="36" w:lineRule="exact"/>
        <w:rPr>
          <w:rFonts w:ascii="Times New Roman" w:cs="Times New Roman" w:eastAsia="Times New Roman" w:hAnsi="Times New Roman"/>
          <w:sz w:val="18"/>
          <w:szCs w:val="18"/>
          <w:color w:val="auto"/>
        </w:rPr>
      </w:pPr>
    </w:p>
    <w:p>
      <w:pPr>
        <w:ind w:left="820" w:hanging="164"/>
        <w:spacing w:after="0" w:line="26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research and develop new or enhanced products or technologies, the necessary regulatory approvals and the generation of revenue from those products or technologies;</w:t>
      </w: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liabilities or difficulties in integrating any businesses that we choose to acquire;</w:t>
      </w:r>
    </w:p>
    <w:p>
      <w:pPr>
        <w:spacing w:after="0" w:line="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information technology systems or our third-party contract manufacturers;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that affect customer demand;</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customers, suppliers, manufacturers and operations;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and tax laws; and</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geopolitical conditions.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upon which to base an investment decision.</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limited operating history may hinder your ability to evaluate our prospects due to a lack of historical financial data and our unproven potential to generate profits. You should evaluate the likelihood of financial and operational success in light of the risks, uncertainties, expenses and difficulties associated with an early-stage business, many of which may be beyond our control, including:</w:t>
      </w:r>
    </w:p>
    <w:p>
      <w:pPr>
        <w:spacing w:after="0" w:line="176" w:lineRule="exact"/>
        <w:rPr>
          <w:sz w:val="20"/>
          <w:szCs w:val="20"/>
          <w:color w:val="auto"/>
        </w:rPr>
      </w:pPr>
    </w:p>
    <w:p>
      <w:pPr>
        <w:ind w:left="820" w:hanging="164"/>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continue to undertake preclinical studies, pharmaceutical development and clinical trials,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obtain regulatory approvals, and</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manufacture, sell and market our products.</w:t>
      </w:r>
    </w:p>
    <w:p>
      <w:pPr>
        <w:spacing w:after="0" w:line="25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operations have been limited to organizing and staffing our company, acquiring, developing and securing our proprietary technology and intellectual property and undertaking preclinical studies and early-stage clinical trials of our principal product candidates. These operations provide a limited basis for you to assess our ability to commercialize our product candidates.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raise additional capital to operate our business. If we fail to obtain the capital necessary to fund our operations, we will be unable to continue or complete our product development and we may not be able to continue as a going concern.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company focused on product development and have not generated any product revenues to date. Until, and if, we receive approval from the FDA and other regulatory authorities for our product candidates, we cannot sell our drugs and will not have product revenues. We had cash and cash equivalents of approximately $1.4 million as of December 31, 2024. However, we will need to continue to seek capital from time to time to continue the development and potential commercialization of our product candidates, including any expansion of our clinical programs to facilitate a larger safety database for the use of NRX-101 as a chronic, or chronic-intermittent, treatment as advised by FDA in our recent Type B meeting, and to acquire and develop other product candidates. Accordingly, we believe that we will need to raise substantial additional capital to fund our continuing operations and the development and potential commercialization of our product candidates during calendar year 2025. We may raise capital through future share offerings, the issuance of debt instruments and grant monies. Our actual capital requirements will depend on many factors. For instance, our business or operations may change in a manner that would consume available funds more rapidly than anticipated and substantial additional funding may be required to maintain operations, fund expansion, develop new or enhanced products, acquire complementary products, business or technologies or otherwise respond to competitive pressures and opportunities, such as a change in the regulatory environment or a change in preferred depression treatment. If we experience unanticipated cash requirements, we may need to seek additional sources of financing, which may not be available on favorable terms, if at all.</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not be able to secure funding when we need it or on favorable terms. If we cannot raise adequate funds to satisfy our capital requirements, we will have to delay, scale-back or eliminate our research and development activities, clinical studies or future operations and we may be unable to complete planned nonclinical studies and clinical trials or obtain approval of our product candidates from the FDA and other regulatory authorities. In addition, we could be forced to discontinue product development, reduce or forego sales and marketing efforts and attractive business opportunities, reduce overhead, or be unable to continue as a going concern. We may also be required to obtain funds through arrangements with collaborators, which arrangements may require us to relinquish rights to certain technologies or products that we otherwise would not consider relinquishing, including rights to future product candidates or certain major geographic markets. We may further have to license our technology to others. This could result in sharing revenues which we might otherwise retain for ourselves. Any of these actions may harm our business, financial condition and results of operations.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amount of capital we may need depends on many factors, including the progress, timing and scope of our product development programs; the progress, timing and scope of our nonclinical studies and clinical trials; the time and cost necessary to obtain regulatory approvals; the time and cost necessary to further develop manufacturing processes and arrange for contract manufacturing; our ability to enter into and maintain collaborative, licensing and other commercial relationships; and our partners’ commitment of time and resources to the development and commercialization of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access the capital markets and even if we can raise additional funding, we may be required to do so on terms that are dilutive.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capital markets have been unpredictable in the recent past for unprofitable companies such as ours. In addition, it is generally difficult for companies to raise capital under current market conditions. The amount of capital that a company such as ours is able to raise often depends on variables that are beyond our control. As a result, we cannot assure you that we will be able to secure financing on terms attractive to us, or at all. If we are able to consummate a financing arrangement, the amount raised may not be sufficient to meet our future needs. If adequate funds are not available on acceptable terms, or at all, our business, results of operations, financial condition and our continued viability will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using the proceeds of shares sold to investors, and we may not spend the proceeds in an effective manner.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not limited in the use of proceeds of shares sold to investors. We may use such proceeds for working capital and general corporate purposes to support our growth, to pay dividends on our outstanding securities, or for acquisitions or other strategic investments. We have not allocated such funds to any particular purpose, and our management will have the discretion to allocate the proceeds as it determines. We may not apply the proceeds effectively.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NRX-101 is still in Phase 2/3 of clinical testing.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NRX-101 is in Phase 2b/3 of clinical testing with Breakthrough Therapy designation, a Biomarker Letter and a Special Protocol Agreement issued by the FDA on April 20, 2018. A Special Protocol Agreement is a mechanism by which the FDA indicates that the proposed clinical trial, if successful, will be adequate to support an application for drug approval. FDA approval requires that a drug candidate complete a Phase 2I study program, which tests the safety and efficacy of the drug candidate on a large sample of patients. We are conducting a new registrational study of NRX-101 for severe bipolar depression in patients with ASIB after initial stabilization with NRX-100 (ketamine). We are using newly-manufactured material that was manufactured using the expected commercial process. In addition, we have initiated a Phase 2 clinical study for bipolar depression with sub-acute suicidal ideation and behavior. This population is significantly larger than the Bipolar Depression population with ASIB, and does not require initial stabilization with NRX-100. On January 3, 2023, the Company announced that its first clinical trial site had been contracted for a Phase II/III clinical trial of NRX-101 for the treatment of Severe Bipolar Depression in patients with Acute Suicidal Ideation and Behavior, a potentially lethal condition that currently takes the lives of thousands of Americans each year. Because NRX-101 is a Breakthrough Therapy, we anticipate being able to file a New Drug Application (“NDA”) based upon a single, successful Phase 2I trial. While we cannot predict with any certainty if or when we might submit an NDA for regulatory approval of NRX-101, we aim to submit an NDA to the FDA on a rolling basis for the regulatory approval and commercialization of NRX-101 in the U.S. in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are newly-formulated and we have not yet scaled manufacturing to levels that will be required for sustained sales.</w:t>
      </w:r>
    </w:p>
    <w:p>
      <w:pPr>
        <w:spacing w:after="0" w:line="22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NRX-101 has been formulated under Current Good Manufacturing Practices (“cGMP”) and long-term stability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five years) has been achieved for our solid dose formulation of NRX-101. Although the Company completed a Type C meeting in which FDA agreed to the Company's Chemical Manufacturing Control and stability program for drug manufacture, and production of NRX-101 has been transferred to a commercial scale cGMP manufacturing facility in South Carolina, we have yet to attempt large scale manufacturing.</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 of any current or future disputes, claims, arbitration and litigation could have a material adverse effect on our business, financial condition and results of operations.</w:t>
      </w:r>
    </w:p>
    <w:p>
      <w:pPr>
        <w:spacing w:after="0" w:line="15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may, in the future, be involved in one or more lawsuits, claims or other proceedings. These suits could concern issues including contract disputes, employment actions, employee benefits, taxes, environmental, health and safety, fraud and abuse, personal injury and product liability matters.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are in litigation with a former employee of the Company regarding their termination of their employment. While the Company will vigorously defend the claims asserted in this matter, the litigation is ongoing and we may be subject to other lawsuits, claims, or proceedings. See “Item 3. Legal Proceedings” for a full description of such proceedings.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FDA and other regulatory clearances for our products, or if such clearances are delayed, we will be unable to commercially distribute and market our products.</w:t>
      </w:r>
    </w:p>
    <w:p>
      <w:pPr>
        <w:spacing w:after="0" w:line="15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Our products are subject to rigorous regulation by national regulators around in the world, and by the FDA in the U.S. The process of seeking regulatory clearance or approval to market a drug product is expensive and time consuming and, notwithstanding the effort and expense incurred, clearance or approval is never guaranteed. If we are not successful in obtaining timely clearance or approval of our products from the FDA, we may never be able to generate significant revenue in the U.S. and may be forced to focus on international markets where we currently do not have a presence or an established partnership, which will limit the revenue potential of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In the U.S., the FDA permits commercial distribution of a new drug product only after the product has received approval of an NDA filed with the FDA, seeking permission to market the product in interstate commerce in the U.S. The NDA process is costly, lengthy and uncertain. Any NDA application filed by us will have to be supported by extensive data, including, but not limited to, technical, nonclinical, clinical trial, manufacturing and labelling data, to demonstrate to the FDA’s satisfaction the safety and efficacy of the product for its intended use.</w:t>
      </w:r>
    </w:p>
    <w:p>
      <w:pPr>
        <w:spacing w:after="0" w:line="18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Obtaining clearances or approvals from the FDA and from the regulatory agencies in other countries could result in unexpected and significant costs for us and consume management’s time and other resources. The FDA and other agencies could ask us to supplement our submissions, collect non-clinical data, conduct additional clinical trials or engage in other time-consuming actions, or they could simply deny our applications. In addition, even if we obtain an NDA approval or pre-market approvals in other countries, the approval could be revoked or other restrictions imposed if post-market data demonstrates safety issues or lack of effectiveness. We cannot predict with certainty how, or when, the FDA will act. If we are unable to obtain the necessary regulatory approvals, our financial condition and cash flow may be adversely affected, and our ability to grow domestically and internationally may be limited. Additionally, even if cleared or approved, our products may not be approved for the specific indications that are most necessary or desirable for successful commercialization or profitability.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contractual obligations and limitations on our ability to consummate future financings under the August SPA (as defined below) and the Notes (as defined below) issued by us to the Investors (as defined below).</w:t>
      </w:r>
    </w:p>
    <w:p>
      <w:pPr>
        <w:spacing w:after="0" w:line="159"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Pursuant to a securities purchase agreement we entered into on August 12, 2024 (the “August SPA”) with certain accredited investors (the “Investors”), we issued an aggregate gross total of $16.3 million of Senior Secured Convertible Promissory Notes (the “Notes”), and warrants to purchase shares of common stock equal to 50%. In connection with the issuance of the Notes, we are subject to certain restrictions on our ability to issue securities during the term of the Note. Specifically, we have agreed, among other things, to obtain the Investor’s consent prior to issuing any debt securities or certain equity securities where the pricing of such equity securities is tied to the public trading price of our common stock. If we are unable to obtain the Investor’s consent prior to issuing any debt or certain equity securities, such issuance may be a breach of the August SPA, and we may be obligated to indemnify the Investors for loss or damage arising as a result of any breach or alleged breach by us of the August SPA, which may affect our business operations and financial condition.</w:t>
      </w:r>
    </w:p>
    <w:p>
      <w:pPr>
        <w:spacing w:after="0" w:line="192"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Furthermore, from August 12, 2024 until the 12-month anniversary of the date on which the Notes or Warrants are no longer outstanding, we also must offer the Investors the right to purchase up to 50% of future equity and debt securities offerings, subject to certain exceptions and limitations (the “Participation Right”). If we are unable to obtain the Investor’s consent prior to issuing any debt securities or certain equity securities, we may be obligated to pay to the Investors certain damages.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 first priority security interest in substantially all of our assets, which could materially and adversely affect our business, financial condition, and ability to operate.</w:t>
      </w:r>
    </w:p>
    <w:p>
      <w:pPr>
        <w:spacing w:after="0" w:line="15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In connection with the August SPA, we entered into a Security Agreement, Patent Security Agreement, and Subsidiary Guaranty, pursuant to which we granted the Investors a security interest in substantially all of our assets to secure the Company’s obligations under the August SPA and the Notes. As a result, if we fail to meet our obligations under the August SPA or the Notes, our secured creditors may exercise their rights to foreclose upon or seize our assets, which could materially and adversely affect our ability to continue as a going concern.</w:t>
      </w:r>
    </w:p>
    <w:p>
      <w:pPr>
        <w:spacing w:after="0" w:line="180"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The existence of liens on our assets may also limit our ability to obtain additional financing, as potential lenders may be unwilling to provide additional credit that is subordinate to the secured interests of the Investors. Furthermore, restrictive covenants in the August SPA and the Notes may limit our operational flexibility, including our ability to incur additional debt, make investments, pay dividends, or dispose of assets, which could negatively impact our ability to execute our business strategy.</w:t>
      </w:r>
    </w:p>
    <w:p>
      <w:pPr>
        <w:spacing w:after="0" w:line="180"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Additionally, the conversion of the principal and interest due under the Notes into shares of our common stock could lead to significant dilution for our existing stockholders. The Notes are convertible into shares of the Company’s common stock, and the issuance of such shares could result in downward pressure on our stock price and reduce the ownership percentage of existing investors. The potential for such conversions, or market anticipation of conversions, could increase the volatility of our stock price.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or otherwise obtain funds necessary to meet our debt obligations, we may be forced to seek alternative financing, which may not be available on favorable terms, or at all. In the event of default, the Investors could accelerate our repayment obligations and exercise remedies against our pledged assets, which could force us into bankruptcy or liquidation and result in a loss of value for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stream will depend upon third-party reimbursement.</w:t>
      </w:r>
    </w:p>
    <w:p>
      <w:pPr>
        <w:spacing w:after="0" w:line="229"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Once our product candidates are cleared or approved by the regulatory authorities, the commercial success of our products in both domestic and international markets will be substantially dependent on whether third-party coverage and reimbursement is available for patients that use our products. However, the availability of insurance coverage and reimbursement for newly approved drugs is uncertain, and therefore, third-party coverage may be particularly difficult to obtain even if our products are approved by national regulatory authorities as safe and efficacious. Many patients using existing approved therapies are generally reimbursed all or part of the product cost by governmental and non-governmental insurance plans. Such payors are increasingly attempting to contain healthcare costs by limiting both coverage and the level of reimbursement of new drugs, and, as a result, they may not cover or provide adequate payment for these products. Submission of applications for reimbursement approval generally does not occur prior to the filing of an NDA for that product and may not be granted for as long as many months after NDA approval. In order to obtain reimbursement arrangements for these products, we or our commercialization partners may have to agree to a net sales price lower than the net sales price we might charge in other sales channels. The continuing efforts of government and third-party payors to contain or reduce the costs of healthcare may limit our revenue. Initial dependence on the commercial success of our products may make our revenues particularly susceptible to any cost containment or reduction efforts.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conflicts with our partners that could delay or prevent the development or commercialization of our product candidates.</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are not aware of any material commercial conflicts that could delay or prevent development or commercialization. However, commercial conflicts such as the interpretation of contractual obligations, payments for services, development obligations or the ownership of intellectual property could arise in any joint development activity. If any conflicts arise with any of our partners, such partner may act in a manner that is adverse to our best interests. Any such disagreement could result in one or more of the following, each of which could delay or prevent the development or commercialization of our product candidates, and in turn prevent us from generating revenues: unwillingness on the part of a partner to pay us a share in profits that we believe are due to us under a collaboration; uncertainty regarding ownership of intellectual property rights arising from our collaborative activities, which could prevent us from entering into additional collaborations; unwillingness on the part of a partner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will face significant competition in the markets for such products, and if they are unable to compete successfully, our business will suffer.</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Our product candidates face, and will continue to face, intense competition from large pharmaceutical companies, specialty pharmaceutical and biotechnology companies as well as academic and research institutions. We compete in an industry that is characterized by: (i) rapid technological change,</w:t>
      </w:r>
    </w:p>
    <w:p>
      <w:pPr>
        <w:jc w:val="both"/>
        <w:ind w:firstLine="8"/>
        <w:spacing w:after="0" w:line="255" w:lineRule="auto"/>
        <w:tabs>
          <w:tab w:leader="none" w:pos="27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industry standards, (iii) emerging competition and (iv) new product introductions. Our competitors have existing products and technologies that will compete with our products and technologies and may develop and commercialize additional products and technologies that will compete with our products and technologies.</w:t>
      </w:r>
    </w:p>
    <w:p>
      <w:pPr>
        <w:spacing w:after="0" w:line="18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Because several competing companies and institutions have greater financial resources than us, they may be able to: (i) provide broader services and product lines, (ii) make greater investments in research and development, and (iii) carry on larger R&amp;D initiatives. Our competitors also have greater development capabilities than we do and have substantially greater experience in undertaking non-clinical and clinical testing of products, obtaining regulatory approvals, and manufacturing and marketing pharmaceutical products. They also have greater name recognition and better access to customers than us. Our chief competitors in the psychiatry area include companies such as Johnson &amp; Johnson, Pfizer, Eli Lilly, Sage Therapeutics, Axsome, and Relmada, among others.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faced with intense competition and rapid technological change, which may make it more difficult for us to achieve significant market penetration. If we cannot compete successfully for market share against other drug companies, we may not achieve sufficient product revenues and our business will suffer.</w:t>
      </w:r>
    </w:p>
    <w:p>
      <w:pPr>
        <w:spacing w:after="0" w:line="17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The market for our product candidates is characterized by intense competition and rapid technological advances. If our product candidates receive regulatory approval in any jurisdiction, they will compete with a number of existing and future drugs and therapies developed, manufactured and marketed by others. If our competitors’ existing products or new products are more effective than or considered superior to our future products, the commercial opportunity for our product candidates will be reduced or eliminated. Existing or future competing products may provide greater therapeutic convenience or clinical or other benefits for a specific indication than our products, or may offer comparable performance at a lower cost. We face competition from fully integrated pharmaceutical companies and smaller companies that are collaborating with larger pharmaceutical companies, academic institutions, government agencies and other public and private research organizations. If we are successful in penetrating the relevant markets for treatment with our product candidates, other companies may be attracted to the market. Many of our competitors have products already approved or in development. In addition, many of these competitors, either alone or together with their collaborative partners, are larger than we are and have substantially greater financial, technical, research, marketing, sales, distribution and other resources than we do. Our competitors may develop or market products that are more effective or commercially attractive than any that we are developing or marketing. Our competitors may obtain regulatory approvals, and introduce and commercialize products before we do. These developments could have a significant negative effect on our financial condition. Even if we are able to compete successfully, we may not be able to do so in a profitable manner.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products may never achieve market acceptance.</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Future products that we may develop may never gain market acceptance among physicians, patients and the medical community. The degree of market acceptance of any of our products will depend on a number of factors, including the actual and perceived effectiveness and reliability of our products; the results of any long-term clinical trials relating to use of our products; the availability, relative cost and perceived advantages and disadvantages of alternative technologies; the degree to which treatments using our products are approved for reimbursement by public and private insurers; the strength of our marketing and distribution infrastructure; and the level of education and awareness among physicians and hospitals concerning our products. The failure of any of our products to significantly penetrate current or new markets would negatively impact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be commercially successful, physicians must be persuaded that using our products are effective alternatives to existing therapies and treatments.</w:t>
      </w:r>
    </w:p>
    <w:p>
      <w:pPr>
        <w:spacing w:after="0" w:line="229"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We believe that doctors and other physicians will not widely adopt our products unless they determine, based on experience, clinical data, and published peer reviewed journal articles, that the use of our products provides an effective alternative to other therapies and treatments. Patient studies or clinical experience may indicate that treatment with our products does not provide patients with sufficient benefits and/or improvement in quality of life. We believe that recommendations and support for the use of our products from medical societies and / or influential physicians will be essential for widespread market acceptance. Our products are still in the development stage and it is premature to attempt to gain support from physicians at this time. We can provide no assurance that such support will ever be obtained. If our products do not receive such support from these physicians and from long-term data, physicians may not use or continue to use, and hospitals may not purchase or continue to purchase,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22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The testing and marketing of medical products entails an inherent risk of product liability. We may be held liable if serious adverse reactions from the use of our product candidates occur. If we cannot successfully defend ourselves against product liability claims, we may incur substantial liabilities or be required to limit commercialization of our product candidates. Our inability to obtain sufficient product liability insurance at an acceptable cost to protect against potential product liability claims could prevent or inhibit the commercialization of pharmaceutical products we develop, alone or with corporate collaborators. We currently carry clinical trials liability insurance, but we do not currently carry product liability insurance.</w:t>
      </w:r>
    </w:p>
    <w:p>
      <w:pPr>
        <w:spacing w:after="0" w:line="18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While we plan to obtain product liability insurance as we near commercialization, we, or any corporate collaborators, may not be able to obtain insurance at a reasonable cost, if at all. Even if our agreements with any future corporate collaborators entitle us to indemnification against losses, such indemnification may not be available or adequate if any claim arises.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Hatch-Waxman Act marketing exclusivity or equivalent regulatory data exclusivity protection in other jurisdictions for our products.</w:t>
      </w:r>
    </w:p>
    <w:p>
      <w:pPr>
        <w:spacing w:after="0" w:line="15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Should we not obtain or fail to maintain patent protection on our products, we intend to rely, in part, on Hatch-Waxman exclusivity for the commercialization of our products in the U.S. The Hatch- Waxman Act provides marketing exclusivity to the first applicant to gain approval of an NDA under specific provisions of the Federal Food, Drug, and Cosmetic Act (“FFDCA”) for a product using an active ingredient that the FDA has not previously approved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five years) or for a new dosage form, route or indication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three years). This market exclusivity will not prevent the FDA from approving a competitor’s NDA if the competitor’s NDA is based on studies it has performed and not on our studies. However, there can be no assurance that we will obtain Hatch-Waxman exclusivity for our products or that such exclusivity, if obtained, will protect us from direct competition.</w:t>
      </w:r>
    </w:p>
    <w:p>
      <w:pPr>
        <w:spacing w:after="0" w:line="18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color w:val="auto"/>
        </w:rPr>
        <w:t>Similarly, in the European Union, new products authorized for marketing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reference products) qualify for eight years of data exclusivity and an additional two years of market exclusivity upon marketing authorization, which, if obtained, would prevent generic applicants from relying on our preclinical and clinical trial data. However, there can be no assurance that European authorities will grant data exclusivity for our products. Even if European data exclusivity is granted for our products, that may not protect us from direct competition. A competitor with a generic version of our products may be able to obtain approval of their product during our product’s period of data exclusivity by submitting a marketing authorization application (“MAA”) with a less than full package of nonclinical and clinical data.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future, we may undertake international operations, which would subject us to risks inherent with operations outside of the U.S.</w:t>
      </w:r>
    </w:p>
    <w:p>
      <w:pPr>
        <w:spacing w:after="0" w:line="22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Although we do not have any foreign manufacturing or distribution operations at this time, we may seek to obtain market clearances in foreign markets that we deem could generate significant opportunities. However, even with the cooperation of a commercialization partner, conducting drug development in foreign countries involves inherent risks, including, but not limited to: difficulties in staffing, funding and managing foreign operations; unexpected changes in regulatory requirements; export restrictions; tariffs and other trade barriers; difficulties in protecting, acquiring, enforcing and litigating intellectual property rights; fluctuations in currency exchange rates; and potentially adverse tax consequences.</w:t>
      </w:r>
    </w:p>
    <w:p>
      <w:pPr>
        <w:spacing w:after="0" w:line="183"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We would need to obtain approvals from the appropriate regulatory, pricing and reimbursement authorities to market any of our proposed products internationally, and we may be unable to obtain foreign regulatory approvals. Pursuing foreign regulatory approvals would be time-consuming and expensive. The regulations can vary among countries and foreign regulatory authorities may require different or additional clinical trials than the trials we conducted to obtain FDA approval for our product candidates. In addition, adverse clinical trial results in such countries, such as death or injury due to side effects, could jeopardize not only regulatory approval, but if approval is granted, may also lead to marketing restrictions. Our product candidates may also face foreign regulatory requirements applicable to controlled substances.</w:t>
      </w:r>
    </w:p>
    <w:p>
      <w:pPr>
        <w:spacing w:after="0" w:line="187"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If we were to experience any of the difficulties listed above, or any other difficulties, any international development activities and our overall financial condition may suffer and cause us to reduce or discontinue our international development and registration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commercialization of our product candidates requires successful collaborations.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plan to commercialize some of our products internationally through collaborative relationships with foreign partners. We have limited foreign regulatory, clinical and commercial resources. Future partners are critical to our international success. However, we may not be able to enter into collaboration agreements with appropriate partners for important foreign markets on acceptable terms, or at all. Future collaborations with foreign partners may not be effective or profitable for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could face disruption due to pandemics and other public health emergencies.</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We monitor pandemics and other public health emergencies and have made certain assumptions regarding their potential impact on our business, operations and financial condition and results for purposes of our operational planning and financial projections, including assumptions regarding the duration and severity of the pandemic and the global macroeconomic impact of the pandemic. Despite careful tracking and planning, however, we are unable to accurately predict the extent of the impact of pandemics and other public health emergencies on our business, operations and financial condition and results. If a new pandemic and public health emergency arises, the research and development of our products will be delayed and we may be unable to perform fully on our contracts, which will likely result in increases in costs and reduction in revenue. These cost increases may not be fully recoverable or adequately covered by insurance. The long-term effects of any pandemic to the global economy and to us will be difficult to assess or predict and may include a decline in the market prices of our products, risks to employee health and safety, risks for the deployment of our products and services and reduced sales in geographic locations impacted. Any prolonged restrictive measures put in place in response to public health emergencies in any of our targeted markets may have a material and adverse effect on our business operations and results of operations. Prior concerns about potential business disruption from the COVID-19 pandemic are no longer relevant to the Company’s business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political and social conditions, armed conflicts and uncertainties in the market that we serve may adversely impact our business.</w:t>
      </w:r>
    </w:p>
    <w:p>
      <w:pPr>
        <w:spacing w:after="0" w:line="229" w:lineRule="exact"/>
        <w:rPr>
          <w:sz w:val="20"/>
          <w:szCs w:val="20"/>
          <w:color w:val="auto"/>
        </w:rPr>
      </w:pPr>
    </w:p>
    <w:p>
      <w:pPr>
        <w:jc w:val="both"/>
        <w:ind w:right="20" w:firstLine="378"/>
        <w:spacing w:after="0" w:line="282" w:lineRule="auto"/>
        <w:rPr>
          <w:sz w:val="20"/>
          <w:szCs w:val="20"/>
          <w:color w:val="auto"/>
        </w:rPr>
      </w:pPr>
      <w:r>
        <w:rPr>
          <w:rFonts w:ascii="Times New Roman" w:cs="Times New Roman" w:eastAsia="Times New Roman" w:hAnsi="Times New Roman"/>
          <w:sz w:val="18"/>
          <w:szCs w:val="18"/>
          <w:color w:val="auto"/>
        </w:rPr>
        <w:t>Our performance depends on the financial health and strength of our potential customers, which in turn is dependent on the economic conditions of the markets in which we and our customers operate.</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recent declines in the global economy, difficulties in the financial services sector and credit markets, continuing geopolitical uncertainties and other macroeconomic factors all affect the spending behavior of potential customers. The economic uncertainty in Europe, the U.S., India, China and other countries may cause end-users to further delay or reduce technology purchases.</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also face risks from financial difficulties or other uncertainties experienced by our suppliers, distributors or other third parties on which we rely. If third parties are unable to supply us with required materials or components or otherwise assist us in operating our business, our business could be harmed.</w:t>
      </w:r>
    </w:p>
    <w:p>
      <w:pPr>
        <w:spacing w:after="0" w:line="16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For example, the possibility of trade disputes and tariffs between countries with whom we are engaged may impact the cost of raw materials, finished products or components used in our products and our ability to sell our products in various markets. In addition, the consequences of the ongoing conflict between Russia and Ukraine, including related sanctions and countermeasures, and the effects of rising global inflation, are difficult to predict, and could adversely affect our business and operations. Other changes in U.S. social, political, regulatory and economic conditions or in laws and policies governing foreign trade, manufacturing, development and investment could also adversely affect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materially adversely affected by the negative impact on the global economy and capital markets resulting from new international conflicts or any other geopolitical tensions.</w:t>
      </w:r>
    </w:p>
    <w:p>
      <w:pPr>
        <w:spacing w:after="0" w:line="15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U.S. and global markets generally experience volatility and disruption as a result of geopolitical tensions and military conflicts, including significant volatility in commodity prices, credit and capital markets, as well as supply chain disruptions.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Additionally, international sanctions and other penalties can disrupt payment systems and imports/exports and lead to instability and lack of liquidity in capital markets, potentially making it more difficult for us to obtain additional funds. Any such disruptions may also magnify the impact of other risks described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hiring and retaining key employees and contractors.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future operations and successes depend in large part upon the continued service of key members of our senior management team whom we are highly dependent upon to manage our business, including our Chief Executive Officer. If he terminates his relationship with us, such a departure could have a material adverse effect on our business.</w:t>
      </w:r>
    </w:p>
    <w:p>
      <w:pPr>
        <w:spacing w:after="0" w:line="17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Our future success also depends on our ability to identify, attract, hire or engage, retain and motivate other well-qualified managerial, technical, clinical and regulatory personnel. We will need to hire additional qualified personnel with expertise in nonclinical pharmacology and toxicology, pharmaceutical development, clinical research, regulatory affairs, manufacturing, sales and marketing. We compete for qualified individuals with numerous biopharmaceutical companies, universities and other research institutions. Competition for such individuals, particularly in the U.S., is intense, and we may not be able to hire sufficient personnel to support our efforts. There can be no assurance that these professionals will be available in the market, or that we will be able to retain existing professionals or to meet or to continue to meet their compensation requirements. Furthermore, the cost base in relation to such compensation, which may include equity compensation, may increase significantly, which could have a material adverse effect on us. Failure to establish and maintain an effective management team and work force could adversely affect our ability to operate, grow and manage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w:t>
      </w:r>
    </w:p>
    <w:p>
      <w:pPr>
        <w:spacing w:after="0" w:line="225" w:lineRule="exact"/>
        <w:rPr>
          <w:sz w:val="20"/>
          <w:szCs w:val="20"/>
          <w:color w:val="auto"/>
        </w:rPr>
      </w:pPr>
    </w:p>
    <w:p>
      <w:pPr>
        <w:ind w:left="820" w:hanging="164"/>
        <w:spacing w:after="0" w:line="261"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 provide accurate information to the FDA or comparable foreign regulatory authorities;</w:t>
      </w:r>
    </w:p>
    <w:p>
      <w:pPr>
        <w:ind w:left="820" w:hanging="164"/>
        <w:spacing w:after="0" w:line="250"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ind w:left="820" w:hanging="16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 or</w:t>
      </w:r>
    </w:p>
    <w:p>
      <w:pPr>
        <w:spacing w:after="0" w:line="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 to us.</w:t>
      </w:r>
    </w:p>
    <w:p>
      <w:pPr>
        <w:spacing w:after="0" w:line="252"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Business Code of Conduct and Anti-Corruption Policy,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potential customers and payors will be subject to applicable anti-kickback, fraud and abuse, transparency, and other healthcare laws and regulations, which could expose use to criminal sanctions, civil penalties, contractual damages, reputational harm, and administrative burdens.</w:t>
      </w:r>
    </w:p>
    <w:p>
      <w:pPr>
        <w:spacing w:after="0" w:line="17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payors play a primary role in the recommendation and prescription of any product candidates for which we may obtain marketing approval. Our arrangements with payors and customers may expose us to broadly applicable fraud and abuse and other healthcare laws and regulations that may constrain the business or financial arrangements and relationships through which we market, sell and distribute any product candidates for which we may obtain marketing approval. Restrictions under applicable federal, state and foreign healthcare laws and regulations may affect our ability to operate, including:</w:t>
      </w:r>
    </w:p>
    <w:p>
      <w:pPr>
        <w:spacing w:after="0" w:line="183" w:lineRule="exact"/>
        <w:rPr>
          <w:sz w:val="20"/>
          <w:szCs w:val="20"/>
          <w:color w:val="auto"/>
        </w:rPr>
      </w:pPr>
    </w:p>
    <w:p>
      <w:pPr>
        <w:jc w:val="both"/>
        <w:ind w:left="820" w:hanging="164"/>
        <w:spacing w:after="0" w:line="255"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2" w:lineRule="exact"/>
        <w:rPr>
          <w:rFonts w:ascii="Times New Roman" w:cs="Times New Roman" w:eastAsia="Times New Roman" w:hAnsi="Times New Roman"/>
          <w:sz w:val="18"/>
          <w:szCs w:val="18"/>
          <w:color w:val="auto"/>
        </w:rPr>
      </w:pPr>
    </w:p>
    <w:p>
      <w:pPr>
        <w:jc w:val="both"/>
        <w:ind w:left="820" w:hanging="164"/>
        <w:spacing w:after="0" w:line="250"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which prohibits, among other things,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w:t>
      </w:r>
    </w:p>
    <w:p>
      <w:pPr>
        <w:spacing w:after="0" w:line="1" w:lineRule="exact"/>
        <w:rPr>
          <w:rFonts w:ascii="Times New Roman" w:cs="Times New Roman" w:eastAsia="Times New Roman" w:hAnsi="Times New Roman"/>
          <w:sz w:val="18"/>
          <w:szCs w:val="18"/>
          <w:color w:val="auto"/>
        </w:rPr>
      </w:pPr>
    </w:p>
    <w:p>
      <w:pPr>
        <w:jc w:val="both"/>
        <w:ind w:left="820" w:hanging="164"/>
        <w:spacing w:after="0" w:line="250"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Foreign Assets Control, which prohibits, among other things, transactions or dealings with specified countries, their governments, and in certain circumstances, their nationals, and with individuals and entities that are specially designated, including narcotics traffickers and terrorists or terrorist organization;</w:t>
      </w:r>
    </w:p>
    <w:p>
      <w:pPr>
        <w:spacing w:after="0" w:line="1" w:lineRule="exact"/>
        <w:rPr>
          <w:rFonts w:ascii="Times New Roman" w:cs="Times New Roman" w:eastAsia="Times New Roman" w:hAnsi="Times New Roman"/>
          <w:sz w:val="18"/>
          <w:szCs w:val="18"/>
          <w:color w:val="auto"/>
        </w:rPr>
      </w:pPr>
    </w:p>
    <w:p>
      <w:pPr>
        <w:ind w:left="820" w:hanging="164"/>
        <w:spacing w:after="0" w:line="250"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on Foreign Investment in the U.S., which has regulatory oversight over the sources and amounts of investment we may accept from non-US investors;</w:t>
      </w:r>
    </w:p>
    <w:p>
      <w:pPr>
        <w:jc w:val="both"/>
        <w:ind w:left="820" w:hanging="164"/>
        <w:spacing w:after="0" w:line="250"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Times New Roman" w:cs="Times New Roman" w:eastAsia="Times New Roman" w:hAnsi="Times New Roman"/>
          <w:sz w:val="18"/>
          <w:szCs w:val="18"/>
          <w:color w:val="auto"/>
        </w:rPr>
      </w:pPr>
    </w:p>
    <w:p>
      <w:pPr>
        <w:ind w:left="820" w:right="20" w:hanging="164"/>
        <w:spacing w:after="0" w:line="250"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anti-kickback and false claims laws, which may apply to sales or marketing arrangements and claims involving healthcare items or services reimbursed by non-governmental payors, including private insurers;</w:t>
      </w:r>
    </w:p>
    <w:p>
      <w:pPr>
        <w:jc w:val="both"/>
        <w:ind w:left="820" w:right="20" w:hanging="164"/>
        <w:spacing w:after="0" w:line="255"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of 2009 (“HITECH”), which imposes criminal and civil liability for executing a scheme to defraud any healthcare benefit program or making false statements relating to healthcare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820" w:hanging="164"/>
        <w:spacing w:after="0" w:line="255"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Times New Roman" w:cs="Times New Roman" w:eastAsia="Times New Roman" w:hAnsi="Times New Roman"/>
          <w:sz w:val="18"/>
          <w:szCs w:val="18"/>
          <w:color w:val="auto"/>
        </w:rPr>
      </w:pPr>
    </w:p>
    <w:p>
      <w:pPr>
        <w:ind w:left="820" w:hanging="164"/>
        <w:spacing w:after="0" w:line="250"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which require pharmaceutical companies to comply with the pharmaceutical industry’s voluntary compliance guidelines and the relevant compliance guidance promulgated by the federal government or otherwise restricting payments that may be made to healthcare providers; and</w:t>
      </w:r>
    </w:p>
    <w:p>
      <w:pPr>
        <w:jc w:val="both"/>
        <w:ind w:left="820" w:hanging="164"/>
        <w:spacing w:after="0" w:line="255"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requiring drug manufacturers to report information related to payments and other transfers of value made to physicians and other healthcare providers, as well as ownership or investment interests held by physicians and their immediate family members, including under the federal open payments program, as well as other state and foreign laws regulating marketing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our growth as we expand operations may strain our resources and we may not successfully manage our growth.</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expect to need to grow rapidly in order to support additional, larger, and potentially international, pivotal clinical trials of our drug candidates, which will place a significant strain on our financial, managerial and operational resources. In order to achieve and manage growth effectively, we must continue to improve and expand our operational and financial management capabilities. Moreover, we will need to increase staffing and to train, motivate and manage our employees. All of these activities will increase our expenses and may require us to raise additional capital sooner than expected. If we grow significantly, such growth will place a significant strain on our management and on our administrative, operational and financial resources. To manage this growth, we must expand our facilities, augment our operational, financial and management systems, internal controls and infrastructure and hire and train additional qualified personnel. Our future success is heavily dependent upon growth and acceptance of our future products. If we are unable to scale our business appropriately or otherwise adapt to anticipated growth and new product introduction, our business and financial condition will be harmed.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the acquisition of rights to new drug candidates that could disrupt our business, harm our financial condition and may also dilute current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ownership interests in our company.</w:t>
      </w:r>
    </w:p>
    <w:p>
      <w:pPr>
        <w:spacing w:after="0" w:line="15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Our business strategy includes expanding our products and capabilities, and we may seek acquisitions of drug candidates or technologies to do so. Acquisitions involve numerous risks, including substantial cash expenditures; potentially dilutive issuances of equity securities; incurrence of debt and contingent liabilities, some of which may be difficult or impossible to identify at the time of acquisition; difficulties in assimilating the acquired technologies or the operations of the acquired companies; diverting our management’s attention away from other business concerns; risks of entering markets in which we have limited or no direct experience; and the potential loss of our key employees or key employees of the acquired companies.</w:t>
      </w:r>
    </w:p>
    <w:p>
      <w:pPr>
        <w:spacing w:after="0" w:line="18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We cannot assure you that any acquisition will result in short-term or long-term benefits to us. We may incorrectly judge the value or worth of an acquired product, company or business. Any such transaction could also result in impairment of goodwill and other intangibles, write-offs and other related expenses. In addition, our future success would depend in part on our ability to manage the rapid growth associated with some of these acquisitions. We cannot assure you that we will be able to make the combination of our business with that of acquired products, businesses or companies work or be successful. Furthermore, the development or expansion of our business or any acquired products, business or companies may require a substantial capital investment by us. We may not have these necessary funds or they might not be available to us on acceptable terms or at all. We may also seek to raise funds by selling shares of our preferred or common stock, which could dilute each current stockholder’s ownership interest in NRx.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limit our ability to operate our business.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operations as well as those of our collaborators on which we depend are vulnerable to damage or interruption from computer viruses, human error, natural disasters, electrical and telecommunication failures, international acts of terror and similar events. We have not established a formal disaster recovery plan and our back-up operations and our business interruption insurance may not be adequate to compensate us for losses we may suffer. A significant business interruption could result in losses or damages incurred by us and require us to cease or curtail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security attacks, internal system or service failures may adversely impact our business and operations.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Any system or service disruptions, including those caused by projects to improve our information technology systems, if not anticipated and appropriately mitigated, could disrupt our business and impair our ability to effectively provide products and related services to our customers and could have a material adverse effect on our business. We could also be subject to systems failures, including network, software or hardware failures, whether caused by us, third-party service providers, intruders or hackers, computer viruses, natural disasters, power shortages or terrorist attacks.</w:t>
      </w:r>
    </w:p>
    <w:p>
      <w:pPr>
        <w:spacing w:after="0" w:line="18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Cyber security threats are evolving and include, but are not limited to, malicious software, phishing and other unauthorized attempts to gain access to sensitive, confidential or otherwise protected information related to us or our products, customers or suppliers, or other acts that could lead to disruptions in our business. Since the COVID-19 pandemic, many of our employees have shifted to work-from-home arrangements, which increases our vulnerability to email phishing, social engineering or “hacking” through our remote networks, and similar cyber-attacks aimed at employees working remotely. Because the techniques used by cyber-attackers to access or sabotage networks change frequently and may not be recognized until launched against a target, we may be unable to anticipate these tactics. Any such failures to prevent or mitigate cyber-attacks could cause loss of data and interruptions or delays in our business, cause us to incur remediation costs or subject us to claims and damage our reputation.</w:t>
      </w:r>
    </w:p>
    <w:p>
      <w:pPr>
        <w:spacing w:after="0" w:line="18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In addition, the failure or disruption of our communications or utilities could cause us to interrupt or suspend our operations or otherwise adversely affect our business. Although we utilize various procedures and controls to monitor and mitigate the risk of these threats and training our employees to recognize attacks, there can be no assurance that these procedures and controls will be sufficient. Our property and business interruption insurance may be inadequate to compensate us for all losses that may occur as a result of any system or operational failure or disruption which would adversely affect our business, results of operations and financial condition. Moreover, expenditures incurred in implementing cyber security and other procedures and controls could adversely affect our results of operations and financial condition.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w:t>
      </w:r>
    </w:p>
    <w:p>
      <w:pPr>
        <w:spacing w:after="0" w:line="175"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Our management has significant requirements for enhanced financial reporting and internal controls as a public company. The process of designing and implementing effective internal controls is a continuous effort that will require us to anticipate and react to changes in our business and the economic and regulatory environments and to expend significant resources to maintain a system of internal controls that is adequate to satisfy our reporting obligations as a public company.</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If we are unable to establish and maintain appropriate internal financial reporting controls and procedures, in accordance with Section 404 of the Sarbanes-Oxley Act, it could impact our operating results, result in material misstatements in our consolidated financial statements and cause us to fail to meet our reporting obligations on a timely basis. Testing and maintaining internal controls may divert management’s attention from other matters that are important to our business. Our independent registered public accounting firm may be required to attest to the effectiveness of our internal control over financial reporting on an annual basis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Hope Therapeutics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plans to partially spin-off Hope as an independent, publicly traded company may not be completed on the currently contemplated timeline or at all and, if completed, may not achieve the intended benefits and expose us to new risks.</w:t>
      </w:r>
    </w:p>
    <w:p>
      <w:pPr>
        <w:spacing w:after="0" w:line="15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have previously announced our plan partially spin-off Hope as a separately traded company. A spin off would be through a partial pro rata distribution of shares to our common stockholders resulting in two distinct, publicly traded companies. The proposed spin-off is subject to various conditions, is complex in nature, and may be affected by unanticipated developments, credit and equity markets, or changes in market conditions. As independent, publicly traded companies, each of the resulting companies will be smaller and less diversified than the existing company, with a narrower business focus, and they may be more vulnerable to changing market conditions.</w:t>
      </w:r>
    </w:p>
    <w:p>
      <w:pPr>
        <w:spacing w:after="0" w:line="18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that we anticipate to result from the spin-off, or such benefits may be delayed or not occur at all. We may experience negative reactions from financial markets if we do not complete the separation in a reasonable time period, or at all. Following the proposed spin-off, the combined value of the shares of the two publicly traded companies may not be equal to or greater than what the value of our common stock would have been had the proposed separation not occurred. In addition, the cost and resources required to effectuate the separation may be significantly higher than what we currently anticipate, and we will likely incur one-time costs in connection with the proposed spin-off that may negate some of the benefits we expect to achieve. Moreover, we may determine to change our strategy, including to pursue, modify or abandon such spin-off at any time, and, in any event, there can be no assurance we will be successful in executing on our current strategy or any changed strategy.</w:t>
      </w:r>
    </w:p>
    <w:p>
      <w:pPr>
        <w:spacing w:after="0" w:line="18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Any of these factors could have a material adverse effect on our business, financial condition, results of operations, cash flows or the price of our common stock.</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entered into non-binding letters of intent with Kadima Neuropsychiatry Institute and Dura Medical, we have not entered definitive agreements, and we cannot assure you that the transactions will be consummated or, if consummated, that they will be consummated on the terms set forth in such letters of intent or that they will be accretive to stockholder value.</w:t>
      </w:r>
    </w:p>
    <w:p>
      <w:pPr>
        <w:spacing w:after="0" w:line="17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As previously reported by the Company, we entered into non-binding letters of intent with each of Kadima Neuropsychiatry Institute and Dura Medical pursuant to which we agreed to explore an acquisition of each of the clinics. We are also negotiating a letter of intent with a strategic investor (the “LOI’s”), to partially fund our planned acquisitions of Kadima Neuropsychiatry Institute and Dura Medical, the first step in creating our planned international network of interventional psychiatry clinics.</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currently do not have binding commitments to fully finance the proposed acquisitions, and the LOI’s do not include many of the material terms to any potential transaction with each individual party, and there is no guarantee that we will agree to terms or definitive agreements with such parties in order to affect the proposed transactions. Further, even if we are able to agree to terms with each of the counterparties for a transaction, no assurances can be given that the terms will be favorable to our stockholders, that the transaction will be completed in the time frame or in the manner currently anticipated, that we will recognize the anticipated benefits of the transactions, or that we will be able to obtain adequate financing to fund the acquisitions.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or strategic transactions, which may require us to seek additional financing or financial commitments, increase our expenses and/or present significant distractions to our management.</w:t>
      </w:r>
    </w:p>
    <w:p>
      <w:pPr>
        <w:spacing w:after="0" w:line="15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will need to acquire additional financing to fund our potential obligations under the LOI’s, or to fund other potential acquisitions or strategic transactions (particularly, if the acquired entity is not cash flow positive or does not have significant cash on hand). Obtaining financing through the issuance or sale of additional equity and/or debt securities, if possible, may not be at favorable terms and may result in additional dilution to our current stockholders. Additionally, any such transaction may require us to incur non-recurring or other charges, may increase our near and long-term expenses and may pose significant integration challenges or disrupt our management or business, which could adversely affect our operations and financial results. For example, an acquisition or strategic transaction may entail numerous operational and financial risks, including the risks outlined above and additionally:</w:t>
      </w:r>
    </w:p>
    <w:p>
      <w:pPr>
        <w:spacing w:after="0" w:line="187" w:lineRule="exact"/>
        <w:rPr>
          <w:sz w:val="20"/>
          <w:szCs w:val="20"/>
          <w:color w:val="auto"/>
        </w:rPr>
      </w:pPr>
    </w:p>
    <w:p>
      <w:pPr>
        <w:ind w:left="1140" w:hanging="160"/>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36"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or technologies;</w:t>
      </w:r>
    </w:p>
    <w:p>
      <w:pPr>
        <w:spacing w:after="0" w:line="36"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36"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36"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36"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36"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36"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52"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Although there can be no assurance that we will undertake or successfully complete any transactions of the nature described above, and any transactions that we do complete could have a material adverse effect on our business, results of operations, financial condition and prospects.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41"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identify, audit, negotiate, finance or close future acquisitions</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A significant component of our growth strategy for HOPE focuses on acquiring majority equity ownership interests in interventional psychiatry clinics. However, we may not be able to identify, audit, or acquire such equity ownership interests on acceptable terms, if at all. No guarantee or assurance whatsoever can be given that discussions/negotiations with any potential acquisition candidates will result in any letter of intent or definitive agreements. If we do enter any letter of intent or definitive agreements, we may need to finance all or a portion of the purchase price for an acquisition by incurring indebtedness or by selling shares of our common or convertible preferred stock. There can be no assurance that we will be able to obtain financing on terms that are favorable, if at all, which will limit our ability to acquire such equity ownership interests in the future. Target companies may not decide to proceed forward with mergers that are the subject of letters of intent. Failure to acquire such equity ownership interests on acceptable terms, if at all, may have a material adverse effect on our ability to increase assets, revenues and net income. The foregoing risks may have a material adverse effect on our Company and the trading price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render our products or technologies obsolete or non-competitive.</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Alternative technologies and products are being developed to treat depression and some may target suicidal bipolar depression and post-traumatic stress disorder (“PTSD”). Many of the organizations competing with us have substantially greater capital resources, larger research and development staffs and facilities, greater experience in drug development and in obtaining regulatory approvals and greater manufacturing and marketing capabilities than we do. Our competitors may market less expensive or more effective drugs that would compete with our drug candidates or reach market with competing drugs before we are able to reach market with our drug candidates. These organizations also compete with us to attract qualified personnel and partners for acquisitions, joint ventures or other collaborations.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and Regulatory Matters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the necessary regulatory approvals, or if such approvals are limited, we will not be allowed to commercialize our drug candidates, and we will not generate product revenues.</w:t>
      </w:r>
    </w:p>
    <w:p>
      <w:pPr>
        <w:spacing w:after="0" w:line="15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Satisfaction of all regulatory requirements for commercialization of a drug candidate typically takes many years, is dependent upon the type, complexity and novelty of the product candidate, and requires the expenditure of substantial resources for research and development. Our research and clinical approaches may not lead to drugs that regulators consider safe for humans and effective for indicated uses we are studying. Regulators may require additional studies, in which case we and any product collaborators would have to expend additional time and resources and would likely delay the date of potentially receiving regulatory approval. The approval process may also be delayed by changes in government regulation, future legislation or administrative action or changes in regulatory policy that occur prior to or during our regulatory review.</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Delays in obtaining regulatory approvals would:</w:t>
      </w:r>
    </w:p>
    <w:p>
      <w:pPr>
        <w:spacing w:after="0" w:line="225" w:lineRule="exact"/>
        <w:rPr>
          <w:sz w:val="20"/>
          <w:szCs w:val="20"/>
          <w:color w:val="auto"/>
        </w:rPr>
      </w:pPr>
    </w:p>
    <w:p>
      <w:pPr>
        <w:ind w:left="820" w:hanging="164"/>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product revenues from, our product candidates; and</w:t>
      </w:r>
    </w:p>
    <w:p>
      <w:pPr>
        <w:spacing w:after="0" w:line="36" w:lineRule="exact"/>
        <w:rPr>
          <w:rFonts w:ascii="Times New Roman" w:cs="Times New Roman" w:eastAsia="Times New Roman" w:hAnsi="Times New Roman"/>
          <w:sz w:val="18"/>
          <w:szCs w:val="18"/>
          <w:color w:val="auto"/>
        </w:rPr>
      </w:pPr>
    </w:p>
    <w:p>
      <w:pPr>
        <w:ind w:left="820" w:hanging="164"/>
        <w:spacing w:after="0" w:line="282"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the competitive advantages that we may have otherwise enjoyed, which would have an adverse effect on our operating results and financial condition.</w:t>
      </w:r>
    </w:p>
    <w:p>
      <w:pPr>
        <w:spacing w:after="0" w:line="162"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Even if we comply with all regulatory requirements, our product candidates may never obtain regulatory approval. If we fail to obtain regulatory approval for any of our product candidates we will have fewer commercial products, if any, and corresponding lower product revenues,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 drug product is approved, the regulators may impose limitations on the use or marketing of such product.</w:t>
      </w:r>
    </w:p>
    <w:p>
      <w:pPr>
        <w:spacing w:after="0" w:line="22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from regulators, they may limit the approved indications for use of the product, require that contraindications, warnings or precautions be included in the product labeling, including a black boxed warning. Regulators may also require us or our collaborators to commit to perform lengthy Phase IV post-approval clinical efficacy or safety studies, require testing and surveillance programs to monitor the product after commercialization, or impose other conditions, including distribution restrictions or other risk management mechanisms that could materially affect the potential market and profitability of the product. Our expending of additional resources on such trials or programs would have an adverse effect on our operating results and financial condition.</w:t>
      </w:r>
    </w:p>
    <w:p>
      <w:pPr>
        <w:spacing w:after="0" w:line="18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After approval, certain circumstances may require additional regulatory notification, review, or approval, as well as further testing. These may include some types of changes to the approved product, such as adding new indications, manufacturing changes, and additional labeling claims, or new safety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 approval, later discovery of previously unknown problems with a product will have adverse consequences for us.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0" w:lineRule="exact"/>
        <w:rPr>
          <w:sz w:val="20"/>
          <w:szCs w:val="20"/>
          <w:color w:val="auto"/>
        </w:rPr>
      </w:pPr>
    </w:p>
    <w:p>
      <w:pPr>
        <w:ind w:left="820" w:hanging="164"/>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 holds or termination of post-approval clinical trials or FDA debarment;</w:t>
      </w:r>
    </w:p>
    <w:p>
      <w:pPr>
        <w:spacing w:after="0" w:line="36" w:lineRule="exact"/>
        <w:rPr>
          <w:rFonts w:ascii="Times New Roman" w:cs="Times New Roman" w:eastAsia="Times New Roman" w:hAnsi="Times New Roman"/>
          <w:sz w:val="18"/>
          <w:szCs w:val="18"/>
          <w:color w:val="auto"/>
        </w:rPr>
      </w:pPr>
    </w:p>
    <w:p>
      <w:pPr>
        <w:ind w:left="820" w:hanging="164"/>
        <w:spacing w:after="0" w:line="282"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refusal of regulators to approve pending NDAs or supplements to approved NDAs, or suspension or revocation of product license approvals;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6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820" w:right="20" w:hanging="164"/>
        <w:spacing w:after="0" w:line="261"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including the FDA, issued safety alerts, Dear Healthcare Provider letters, press releases or other communications containing warnings about such products;</w:t>
      </w:r>
    </w:p>
    <w:p>
      <w:pPr>
        <w:ind w:left="820" w:hanging="164"/>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modifications to promotional material or issuance of corrective information;</w:t>
      </w:r>
    </w:p>
    <w:p>
      <w:pPr>
        <w:spacing w:after="0" w:line="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36" w:lineRule="exact"/>
        <w:rPr>
          <w:rFonts w:ascii="Times New Roman" w:cs="Times New Roman" w:eastAsia="Times New Roman" w:hAnsi="Times New Roman"/>
          <w:sz w:val="18"/>
          <w:szCs w:val="18"/>
          <w:color w:val="auto"/>
        </w:rPr>
      </w:pPr>
    </w:p>
    <w:p>
      <w:pPr>
        <w:ind w:left="820" w:hanging="164"/>
        <w:spacing w:after="0" w:line="282"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 disgorgement and restitution, as well as consent decrees, corporate integrity agreements, deferred prosecution agreements and exclusion from federal healthcare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design, conduct and complete clinical trials successfully, our drug candidates will not be able to receive regulatory approval.</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In order to obtain regulatory approval for any of our drug candidates, we must submit an NDA or request for EUA that demonstrates with substantive evidence that the drug candidate is both safe and effective in humans for its intended use. This demonstration requires significant research and animal tests, which are referred to as preclinical studies, as well as human tests, which are referred to as clinical trials.</w:t>
      </w:r>
    </w:p>
    <w:p>
      <w:pPr>
        <w:spacing w:after="0" w:line="176"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Results from Phase I clinical programs may not support moving a drug candidate to Phase 2 or Phase 2I clinical trials. Phase 2I clinical trials may not demonstrate the safety or efficacy of our drug candidates. Success in preclinical studies and early clinical trials does not ensure that later clinical trials will be successful. Results of later clinical trials may not replicate the results of prior clinical trials and preclinical studies.</w:t>
      </w:r>
    </w:p>
    <w:p>
      <w:pPr>
        <w:spacing w:after="0" w:line="176"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Even if the results of Phase 2I clinical trials are positive, we may have to commit substantial time and additional resources to conducting further preclinical studies and clinical trials before obtaining FDA approval for any of our drug candidates.</w:t>
      </w:r>
    </w:p>
    <w:p>
      <w:pPr>
        <w:spacing w:after="0" w:line="162"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Clinical trials are very expensive and difficult to design and implement, in part because they are subject to rigorous requirements. The clinical trial process also consumes a significant amount of time. Furthermore, if participating patients in clinical trials suffer drug-related adverse reactions during the course of such clinical trials, or if we or the FDA believe that participating patients are being exposed to unacceptable health risks, such clinical trials will have to be suspended or terminated. Failure can occur at any stage of the clinical trials, and we could encounter problems that cause abandonment or repetition of clinical trials. The success in clinical trials depends on reaching statistically significant changes in patients’ symptoms based on clinician-rated scales. Due in part to a lack of consensus on standardized processes for assessing clinical outcomes, these scores may or may not be reliable, useful or acceptable to regulatory agencies.</w:t>
      </w:r>
    </w:p>
    <w:p>
      <w:pPr>
        <w:spacing w:after="0" w:line="18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We do not know whether any of our planned clinical trials will result in marketable drugs. In addition, completion of clinical trials can be delayed by numerous factors, including:</w:t>
      </w:r>
    </w:p>
    <w:p>
      <w:pPr>
        <w:spacing w:after="0" w:line="162" w:lineRule="exact"/>
        <w:rPr>
          <w:sz w:val="20"/>
          <w:szCs w:val="20"/>
          <w:color w:val="auto"/>
        </w:rPr>
      </w:pPr>
    </w:p>
    <w:p>
      <w:pPr>
        <w:ind w:left="820" w:hanging="16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and agreeing on acceptable terms with prospective clinical trial sites;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and enrollment;</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patient dropout rates; and</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time required to complete monitoring of patients during or after participation in a clinical trial.</w:t>
      </w:r>
    </w:p>
    <w:p>
      <w:pPr>
        <w:spacing w:after="0" w:line="252"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Any of these delays could significantly impact the timing, approval and commercialization of our drug candidates and could significantly increase our overall costs of drug development.</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Even if clinical trials are completed as planned, their results may not support expectations or intended marketing claims. The clinical trials process may fail to demonstrate that our drug candidates are safe and effective for indicated uses. Such failure would cause us to abandon a drug candidate and could delay development of other drug candidates.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whether regulatory agencies will determine that the data from our clinical trials of our product candidates supports marketing approval.</w:t>
      </w:r>
    </w:p>
    <w:p>
      <w:pPr>
        <w:spacing w:after="0" w:line="15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FDA’s and other regulatory agencies’ decision to approve our drug candidates will depend on our ability to demonstrate with substantial clinical evidence through well-controlled clinical trials, that the product candidates are effective, as measured statistically by comparing the overall improvement in actively- treated patients against improvement in the control group (usually a placebo control). However, there is a possibility that our data may fail to show a statistically significant difference from the placebo-control or the active control. Alternatively, there is a possibility that our data may be statistically significant, but that the actual clinical benefit of the product candidates may not be considered to be clinically significant, clinically relevant or clinically meaningful. Consequently, we believe that regulators may consider additional data, such as a “responder” analysis, secondary efficacy endpoints and safety when evaluating whether our product candidates can be approved. We cannot predict whether the regulatory agencies will find that our clinical trial results provide compelling “responder” or other secondary endpoint data. Even if we believe that the data from our trials will support marketing approval in the U.S. or in Europe, we cannot predict whether the agencies will agree with our analysis and approve our applications.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regulatory authorities will grant NDA approval of our current or future product candidates and failure to obtain necessary clearances or approvals for our current and future product candidates would adversely affect our ability to grow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initiated a Phase 2b/3 clinical research program of NRX-101 during the second half of 2017 under an FDA Investigational New Drug (“IND”) application that was granted Fast Track designation by the FDA in August 2017 and was granted the Breakthrough Therapy designation by the FDA in November 2018. In April 2018, the FDA granted a Special Protocol Agreement. We successfully completed a Phase 2 clinical trial of NRX-101 in patients with severe bipolar depression and acute suicidal ideation following stabilization with a single dose of ketamine and saw a statistically significant reduction in depression (P=0.04) and suicidal ideation (P=0.02) compared to lurasidone alone over 42 days of treatment. If this statistically-significant advantage is replicated in the current Phase 2I clinical trial, under the terms agreed to with the FDA in our Special Protocol Agreement, we aim to submit a NDA to the FDA on a rolling basis for the regulatory approval and commercialization of NRX-101 in the U.S. in 2025.</w:t>
      </w:r>
    </w:p>
    <w:p>
      <w:pPr>
        <w:spacing w:after="0" w:line="18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cannot assure investors that the FDA or any other regulator will approve or clear NRX-101 or other product candidates for the indications that are necessary or desirable for successful commercialization. Indeed, the FDA may refuse our requests for NDA market approval of new products, new intended uses or indications to existing or future products. Failure to receive approval for our new products would have an adverse effect on our ability to expand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 respect to clinical trials, discussions and guidance are not binding obligations on the part of regulatory authorities.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Regulatory authorities may revise previous guidance or decide to ignore previous guidance at any time during the course of our clinical activities or after the completion of our clinical trials. Even with successful clinical safety and efficacy data, including such data from a clinical trial conducted pursuant to a special protocol agreement, we may be required to conduct additional, expensive clinical trials to obtain regulatory approval.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current or future clinical trials may not support our product candidate claims or may result in the discovery of unexpected adverse side effects.</w: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Even if our clinical trials are completed as planned, we cannot be certain that their results will support our drug candidates’ claims or that the regulatory authorities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In particular, our clinical trials performed until now involve a relatively small patient population. Because of the small sample size, their results may not be indicative of future results. It is also possible that patients enrolled in clinical trials will experience adverse side effects that are not currently part of the product candidate’s profile. Accordingly, the clinical trial process may fail to demonstrate that our drug candidates are safe and effective for the proposed indicated uses. If the FDA concludes that the clinical trials for any of our products for which we might seek clearance have failed to demonstrate safety and effectiveness, we would not receive regulatory clearance to market that product in the applicable countries for the indications sought. In addition, such an outcome could cause us to abandon the product candidate and might delay development of others. Any delay or termination of our clinical trials will delay the filing of any product submissions with regulatory authorities and, ultimately, our ability to commercialize our product candidates and generate revenues.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or completion of pharmaceutical development, manufacturing or clinical efficacy and safety testing could result in increased costs to us and delay our ability to generate revenues.</w:t>
      </w:r>
    </w:p>
    <w:p>
      <w:pPr>
        <w:spacing w:after="0" w:line="15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We do not know whether our pharmaceutical development, manufacturing or clinical efficacy and safety testing will begin on time or be completed on schedule, if at all. For example, we may encounter delays during the manufacture of pilot scale batches including delays with our contract development or manufacturing organization, sourcing satisfactory quantities of active pharmaceutical ingredient, narcotic import and export permits, sourcing of excipients, contract disputes with our third-party vendors and manufacturers, or failure of the product to meet specification.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commencement and completion of clinical trials can be disrupted for a variety of reasons, including difficulties in:</w:t>
      </w:r>
    </w:p>
    <w:p>
      <w:pPr>
        <w:spacing w:after="0" w:line="225" w:lineRule="exact"/>
        <w:rPr>
          <w:sz w:val="20"/>
          <w:szCs w:val="20"/>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 suitable clinical sites;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enrolling patients to participate in a clinical trial;</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commence a clinical trial;</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clinical research organizations and trial sites;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 fraud, including data fabrication by clinical trial personnel;</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controlled substances by clinical trial personnel; and</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may also be suspended or terminated by us or by regulatory authorities due to a number of factors, including:</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in accordance with our clinical protocols;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 by regulatory authorities resulting in the imposition of a clinical hold;</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patient enrollment or lack of adequate funding to continue the clinical trial.</w:t>
      </w:r>
    </w:p>
    <w:p>
      <w:pPr>
        <w:spacing w:after="0" w:line="25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 addition, changes in regulatory requirements and guidance may occur and we may need to amend clinical trial protocols to reflect these changes, which could impact the cost, timing or successful completion of a clinical trial. If we experience delays in the commencement or completion of our clinical trials, the commercial prospects for our product candidates will be harmed, and our ability to generate product revenues will be delayed. Many of the factors that cause, or lead to, a delay in the commencement or completion of clinical trials may also lead to the denial of regulatory approval of a product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the enrollment of large numbers of patients, and suitable patients may be difficult to identify and recruit.</w:t>
      </w:r>
    </w:p>
    <w:p>
      <w:pPr>
        <w:spacing w:after="0" w:line="229"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the number of ongoing clinical trials in the same indication that compete for the same patients;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Pandemic or pandemic-like conditions may limit the ability of patients to participate in studies.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sufficient and appropriate clinical protocols to demonstrate safety and efficacy are required and we may not adequately develop such protocols to support clearance and approval.</w:t>
      </w:r>
    </w:p>
    <w:p>
      <w:pPr>
        <w:spacing w:after="0" w:line="15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Regulators may require us to submit data on a greater number of patients than we originally anticipated and/or for a longer follow-up period or change the data collection requirements or data analysis applicable to our clinical trials. They may also require additional data on certain categories of patients, should it emerge during the conduct of our clinical trials that certain categories of patients are likely to be affected in different and/or additional manner than most of the patients. In addition to regulatory authority requirements, our clinical trial requires the approval of the institutional review board (“IRB”) at each site selected for participation in our clinical trial.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delays to the completion of clinical studies may result from modifications being made to the protocol during the clinical trial, if such modifications are warranted and/or required by the occurrences in the given trial.</w:t>
      </w:r>
    </w:p>
    <w:p>
      <w:pPr>
        <w:spacing w:after="0" w:line="15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may choose to make modifications to a clinical trial protocol during the clinical trial if such modifications are warranted and/or required by the occurrences in the trial. Each of such modifications has to be submitted to a regulatory authority. This could result in the delay or halt of a clinical trial while the modification is evaluated. In addition, depending on the magnitude and nature of the changes made, the regulatory authority could take the position that the data generated by the clinical trial cannot be pooled because the same protocol was not used throughout the trial. This might require the enrollment of additional subjects, which could result in the extension of the clinical trial and the FDA delaying clearance or approval of a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data generated using modified protocols will be acceptable to regulators.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data generated using modified protocols will be acceptable to the regulators or that if future modifications during the trial are necessary, any such modifications will be acceptable to regulators. If the regulators believe that prior approval is required for a particular modification, they can delay or halt a clinical trial while they evaluate additional information regarding the change.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 adverse event occurs during a clinical trial, the regulators or an IRB may delay (clinical hold) or terminate the trial, which could adversely affect our business and prospects.</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Serious injury or death resulting from a failure of one of our drug candidates during current or future clinical trials could result in the regulators delaying our clinical trials or denying or delaying clearance or approval of a product. Even though an adverse event may not be the result of the failure of our drug candidate, the regulators or an IRB could delay or halt a clinical trial for an indefinite period of time while an adverse event is reviewed, and likely would do so in the event of multiple such events.</w:t>
      </w:r>
    </w:p>
    <w:p>
      <w:pPr>
        <w:spacing w:after="0" w:line="180"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Any delay or termination of our current or future clinical trials as a result of the risks summarized above, including delays in obtaining or maintaining required approvals from IRBs, delays in patient enrollment, the failure of patients to continue to participate in a clinical trial, and delays or termination of clinical trials as a result of protocol modifications or adverse events during the trials, may cause an increase in costs and delays in the filing of any product submissions with the FDA, delay the approval and commercialization of our products or result in the failure of the clinical trial, which could adversely affect our business, operating results and prospects. Lengthy delays in the completion of clinical trials of our products would adversely affect our business and prospects and could cause us to cease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establish standards of care that affect our ability to conduct our clinical trials as planned.</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Changes in standards related to clinical trial design could affect our ability to design and conduct clinical trials as planned. For example, regulatory authorities may not allow us to compare our drug candidates to placebo in a particular clinical indication where approved products are available. In that case, both the cost and the amount of time required to conduct a clinical trial could increase. Our NRX-101 clinical trial is against a strong active ingredient as opposed to a placebo.</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are approved by regulatory authorities, if we or our suppliers fail to comply with ongoing FDA regulation or if we experience unanticipated problems with our products, these products could be subject to restrictions or withdrawal from the market.</w:t>
      </w:r>
    </w:p>
    <w:p>
      <w:pPr>
        <w:spacing w:after="0" w:line="15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In particular, we and our suppliers are required to comply with the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clearance or approval.</w:t>
      </w:r>
    </w:p>
    <w:p>
      <w:pPr>
        <w:spacing w:after="0" w:line="18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Regulatory bodies, such as the FDA, enforce these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enforcement actions by the FDA.</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7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Even if regulatory clearance or approval of a product is granted, such clearance or approval may be subject to limitations on the intended uses for which the product may be marketed and reduce the potential to successfully commercialize the product and generate revenue from the product. If the FDA determines that the product promotional materials, labeling, training or other marketing or educational activities constitute promotion of an unapproved use, it could request that we or our commercialization partners cease or modify our training or promotional materials or subject us to regulatory enforcement actions. It is also possible that other federal, state or foreign enforcement authorities might take action if they consider such training or other promotional materials to constitute promotion of an unapproved use, which could result in significant fines or penalties under other statutory authorities, such as laws prohibiting false claims for reimbursement.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In addition, we may be required to conduct costly post-market testing and surveillance to monitor the safety or effectiveness of our products, and we must comply with adverse event and pharmacovigilance reporting requirements, including the reporting of adverse events which occur in connection with, and whether or not directly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recall, replace or refund the cost of any product we manufacture or distribute, fines, suspension of regulatory approvals, product seizures, injunctions or the imposition of civil or criminal penalties which would adversely affect our business, operating results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government regulation may affect the commercialization of our product candidate.</w:t>
      </w:r>
    </w:p>
    <w:p>
      <w:pPr>
        <w:spacing w:after="0" w:line="22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We cannot predict the likelihood, nature or extent of adverse government regulation that may arise from future legislation or administrative action, either in the U.S. or abroad. If we are not able to maintain regulatory compliance, we may be subject to fines, suspension or withdrawal of regulatory approvals, product recalls, seizure of products, operating restrictions and criminal prosecution. Any of these events could prevent us from marketing our drugs and our business could suffer. If time and resources devoted are limited or there is a failure to fund the continued development of our drug candidates or there is otherwise a failure to perform as we expect to do, we may not achieve clinical and regulatory milestones and regulatory submissions and related product introductions may be delayed or prevented, and revenues that we would receive from these activities will be less than expected.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Conducting clinical trials of our drug candidates or commercial sales of a drug candidate may expose us to expensive product liability claims and we may not be able to maintain product liability insurance on reasonable terms or at all.</w:t>
      </w:r>
    </w:p>
    <w:p>
      <w:pPr>
        <w:spacing w:after="0" w:line="15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risk of product liability is inherent in the testing of pharmaceutical products. If we cannot successfully defend ourselves against product liability claims, we may incur substantial liabilities or be required to limit or terminate testing of one or more of our drug candidates. Our inability to obtain sufficient product liability insurance at an acceptable cost to protect against product liability claims could prevent or inhibit the commercialization of our drug candidates. We currently carry clinical trial insurance but do not carry product liability insurance. If we successfully commercialize one or more of our drug candidates, we may face product liability claims, regardless of FDA approval for commercial manufacturing and sale. We may not be able to obtain such insurance at a reasonable cost, if at all. Even if our agreements with any current or future corporate collaborators entitle us to indemnification against product liability losses, such indemnification may not be available or adequate should any claim arise.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a controlled substance in our NRX-100 drug candidate subjects us to DEA scrutiny and compliance, which may result in additional expense and clinical delays.</w:t>
      </w:r>
    </w:p>
    <w:p>
      <w:pPr>
        <w:spacing w:after="0" w:line="15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U.S. Drug Enforcement Administration (“DEA”) regulates chemical compounds as Schedule I, II, III, IV or V substances, with Schedule I substances considered to present the highest risk of substance abuse and Schedule V substances the lowest risk. One of the ingredients in NRX-100 is ketamine, a Schedule III controlled substance with high abuse potential. Consequently, the manufacture, research, shipment, storage, sale and use of this drug candidate is subject to a high degree of oversight and regulation. None of our other drugs currently under development, including NRX-101, include a scheduled chemical compound.</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DEA oversight and regulation can have the following impact on our efforts to develop new drug candidates:</w:t>
      </w:r>
    </w:p>
    <w:p>
      <w:pPr>
        <w:spacing w:after="0" w:line="225" w:lineRule="exact"/>
        <w:rPr>
          <w:sz w:val="20"/>
          <w:szCs w:val="20"/>
          <w:color w:val="auto"/>
        </w:rPr>
      </w:pPr>
    </w:p>
    <w:p>
      <w:pPr>
        <w:ind w:left="820" w:right="20" w:hanging="164"/>
        <w:spacing w:after="0" w:line="261"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interference with, or limits on, the supply of the drugs used in clinical trials for our product candidates, and, in the future, the ability to produce and distribute our products in the volume needed to meet commercial demand;</w:t>
      </w:r>
    </w:p>
    <w:p>
      <w:pPr>
        <w:jc w:val="both"/>
        <w:ind w:left="820" w:hanging="164"/>
        <w:spacing w:after="0" w:line="255"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provides recommendations to DEA as to whether a drug should be scheduled as a controlled substance and the appropriate level of control; if DEA scheduling is required, a drug product may not be marketed until the scheduling process is completed, which could delay the launch of the product;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820" w:hanging="164"/>
        <w:spacing w:after="0" w:line="257"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Schedule, drug products may be subject to registration, security, recordkeeping, reporting, storage, distribution, importation, exportation, inventory, quota and other requirements administered by the DEA, which are directly applicable to product applicants, contract manufacturers, distributors, prescribers and dispensers of controlled substances; and</w:t>
      </w:r>
    </w:p>
    <w:p>
      <w:pPr>
        <w:spacing w:after="0" w:line="1" w:lineRule="exact"/>
        <w:rPr>
          <w:rFonts w:ascii="Times New Roman" w:cs="Times New Roman" w:eastAsia="Times New Roman" w:hAnsi="Times New Roman"/>
          <w:sz w:val="18"/>
          <w:szCs w:val="18"/>
          <w:color w:val="auto"/>
        </w:rPr>
      </w:pPr>
    </w:p>
    <w:p>
      <w:pPr>
        <w:jc w:val="both"/>
        <w:ind w:left="820" w:hanging="164"/>
        <w:spacing w:after="0" w:line="255"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 regulates the handling of controlled substances through a closed chain of distribution. This control extends to the equipment and raw materials used in their manufacture and packaging in order to prevent loss and diversion into illicit channels of commerce, which limits our ability to increase the availability of any controlled substances needed for clinical trials or commercial manufacturing.</w:t>
      </w:r>
    </w:p>
    <w:p>
      <w:pPr>
        <w:spacing w:after="0" w:line="186"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substantial penalties for failing to comply with DEA regulations.</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However, records must be maintained for the handling of all controlled substances, and periodic reports may be required to be made to the DEA for the distribution of certain controlled substances. Reports must also be made for thefts or significant losses of any controlled substance.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limitations on the availability of controlled substances used in NRX-100 that may limit the availability of the active ingredients for this drug product.</w:t>
      </w:r>
    </w:p>
    <w:p>
      <w:pPr>
        <w:spacing w:after="0" w:line="15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DEA limits the availability and production of all scheduled substances, including ketamine, through a quota system. The DEA requires substantial evidence and documentation of expected legitimate medical and scientific needs before assigning quotas to manufacturers. In future years, we may need greater amounts of controlled substances to sustain our Phase 2b/3 development program for NRX-101 after stabilization with NRX-100, and we will need significantly greater amounts to implement our commercialization plans if the FDA approves our proposed formulations. Any delay or refusal by the DEA in establishing the procurement quota or a reduction in our quota for scheduled controlled substances or a failure to increase it over time as we anticipate could delay or stop the clinical development or commercial sale of some of our products or product candidates. This could have a material adverse effect on our business, results of operations, financial condition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demonstrate the reduced risk we believe is applicable.</w:t>
      </w:r>
    </w:p>
    <w:p>
      <w:pPr>
        <w:spacing w:after="0" w:line="22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Schedule III drugs have lower abuse potential than Schedule I and II drugs. However, despite the foregoing reduced risk of abuse from Schedule III drugs, when compared to Schedule II drugs, there is no assurance that such reduced risk can be demonstrated in well controlled non-clinical and/or clinical studies in models of physical dependence, psychic dependence, addiction or precipitated withdrawal, or in studies of addiction or abuse liability in addicts, ex-addicts or recreational drug users. In the event that a reduced risk of abuse from Schedule III drugs, when compared to Schedule II drugs, is demonstrated in well controlled non- clinical and/or clinical studies, there is no assurance that the FDA will agree to incorporation of such favorable language in the products prescribing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controlled substances in our product candidates may generate controversy.</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Products containing controlled substances may generate public controversy. Opponents of these products may seek restrictions on marketing and withdrawal of any regulatory approvals. In addition, these opponents may seek to generate negative publicity and media stories in an effort to persuade the medical community to reject these products. Political pressures and adverse publicity could lead to additional regulatory hurdles, delays in, increased expenses for, and limit or restrict the introduction and marketing of, our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focus our future efforts in new therapeutic areas where we have little or no experience</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Although our primary strategic interests are in the areas of depression therapies, NRX-101 has potential benefits in other therapeutic areas. If our drug development efforts in bipolar depression fails, or if the competitive landscape or investment climate for antidepressant drug development therapies is less attractive, we may need to change our strategic focus to include development of our product candidates, or of newly acquired product candidates, for therapeutic areas other than depression. We have very limited drug development experience in other therapeutic areas and we may be unsuccessful in making this change to a company with a focus in areas other than depression or a company with a focus in multiple therapeutic areas including depression.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for clinical trials may be manufactured outside the U.S.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Currently, clinical trial supplies for NRX-101 are being manufactured in the U.S., and no supplies are sourced from outside the U.S. Switching or adding manufacturing capability outside the U.S. can involve substantial cost and require extensive management time and focus, additional regulatory filings and compliance with import/ export regulations. In addition, there is a natural transition period when a new manufacturing facility commences work. As a result, delays may occur, which can materially impact our ability to meet our desired timelines, thereby increasing our costs and reducing our ability to generate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to our products may require new NDA approvals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Once a particular company product receives FDA approval or clearance, expanded uses or uses in new indications of our products may require additional human clinical trials and new regulatory approvals or clearances, including additional IND and NDA submissions and premarket approvals before we can begin clinical development, and/or prior to marketing and sales. If the FDA requires new clearances or approvals for a particular use or indication, we may be required to conduct additional clinical studies, which would require additional expenditures and negatively impact our operating results. If the products are already being used for these new indications, we may also be subject to significant enforcement actions.</w:t>
      </w:r>
    </w:p>
    <w:p>
      <w:pPr>
        <w:spacing w:after="0" w:line="183"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Conducting clinical trials and obtaining clearances and approvals can be a time-consuming process, and delays in obtaining required future clearances or approvals could adversely affect our ability to introduce new or enhanced products in a timely manner, which in turn would harm our future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other product candidates will require Risk Evaluation and Mitigation Strategies.</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FDA Amendments Act of 2007 implemented safety-related changes to product labeling and requires the adoption of REMS. Some of our product candidates, including the controlled substance-based products and potentially others, will require REMS. The REMS may include requirements for special labeling or medication guides for patients, special communication plans to health care professionals and restrictions on distribution and use.</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cannot predict the specific REMS to be required as part of the FDA’s approval of any of our products. Depending on the extent of the REMS requirements, our costs to commercialize our products may increase significantly. Furthermore, controlled substances risks that are not adequately addressed through proposed REMS for our product candidates may also prevent or delay their approval for commercialization.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reliant on third party manufacturers to produce controlled substances that conform to our specifications and the FDA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strict regulatory requirements.</w:t>
      </w:r>
    </w:p>
    <w:p>
      <w:pPr>
        <w:spacing w:after="0" w:line="15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The facilities of any of our future manufacturers of controlled substances must be approved by the FDA after we submit our NDA and before approval. We are dependent on the continued adherence of third-party manufacturers to cGMP manufacturing. If our manufacturers cannot successfully produce material that conforms to our specifications and the FDA’s strict regulatory requirements, they will not be able to secure FDA approval for their manufacturing facilities. If the FDA does not approve these facilities for the commercial manufacture, we will need to find alternative suppliers, which would result in significant delays in obtaining FDA approvals. These challenges may have a material adverse impact on our business, results of operations, financial condition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will involve the use of hazardous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7" w:lineRule="exact"/>
        <w:rPr>
          <w:sz w:val="20"/>
          <w:szCs w:val="20"/>
          <w:color w:val="auto"/>
        </w:rPr>
      </w:pPr>
    </w:p>
    <w:p>
      <w:pPr>
        <w:jc w:val="both"/>
        <w:ind w:right="20" w:firstLine="378"/>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relies on certain licensing rights that can be terminated in certain circumstances.</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Our ability to continue to develop our product candidates is dependent on the use of certain intellectual property that is licensed to us, or in the process of being licensed to us, by third parties. These licenses are granted, or being granted, pursuant to agreements setting forth certain terms and condition for maintaining such licenses. In the event that the terms and conditions are not met, the licenses are at risk of being revoked and the granting process may be terminated. The primary license agreements include the Development and License Agreement, as amended, between Glytech LLC (“Glytech”) and NeuroRx (the “Glytech DLA”) and the Exclusive License Agreement, dated as of April 16, 2019, by and between NeuroRx and Sarah Herzog Memorial Hospital Ezrat Nashim.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licensing rights in the future, which may not be attainable.</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ability to fully develop the full commercial potential of our product candidates may require us to acquire additional licensing rights from third parties in the future. There are no assurances that such rights will be available in the market when required, or that an agreement could be reached to license such rights from a third party on terms acceptable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succeed at in-licensing drug candidates or technologies to expand our product pipeline.</w:t>
      </w:r>
    </w:p>
    <w:p>
      <w:pPr>
        <w:spacing w:after="0" w:line="22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may not be able to successfully in-license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licensing of patent technology or know-how developed by a third party in lieu of developing the technology ourselves) drug candidates or technologies to expand our product pipeline. The number of such candidates and technologies is limited. Competition among large pharmaceutical companies and biopharmaceutical companies for promising drug candidates and technologies is intense because such companies generally desire to expand their product pipelines through in- licensing. If we are unable to carry out such in-licensing and expand our product pipeline, our potential future revenues may suffer.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upon securing and protecting critical intellectual property.</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part on our obtaining and maintaining patent, trade secret, copyright and trademark protection of our technologies in the U.S. and other jurisdictions as well as successfully enforcing this intellectual property and defending this intellectual property against third-party challenges. We will only be able to protect our technologies from unauthorized use by third parties to the extent that valid and enforceable intellectual property protection, such as patents or trade secrets, cover them. In particular, we place considerable emphasis on obtaining patent and trade secret protection for significant new technologies, products and processes. Furthermore, the degree of future protection of our proprietary rights is uncertain because legal means afford only limited protection and may not adequately protect our rights or permit us to gain or keep our competitive advantage. Moreover, the degree of future protection of our proprietary rights is uncertain for products that are currently in the early stages of development because we cannot predict which of these products will ultimately reach the commercial market or whether the commercial versions of these products will incorporate proprietary technologies.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 position is highly uncertain and involves complex legal and factual questions.</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Our patent position is highly uncertain and involves complex legal and factual questions. Accordingly, we cannot predict the breadth of claims that may be allowed or enforced in our patents or in third-party patents. For example, we or our licensors might not have been the first to make the inventions covered by each of our pending patent applications and issued patents; we or our licensors might not have been the first to file patent applications for these inventions; others may independently develop similar or alternative technologies or duplicate any of our technologies; it is possible that none of our pending patent applications or the pending patent applications of our licensors will result in issued patents; our issued patents and issued patents of our licensors may not provide a basis for commercially viable technologies, or may not provide us with any competitive advantages, or may be challenged and invalidated by third parties; and, we may not develop additional proprietary technologies that are patentable.</w:t>
      </w:r>
    </w:p>
    <w:p>
      <w:pPr>
        <w:spacing w:after="0" w:line="18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As a result, the validity of our owned and licensed patents may be challenged and we may not be able to obtain and enforce patents and to maintain trade secret protection for the full commercial extent of our technology. The extent to which we are unable to do so could materially harm our business.</w:t>
      </w:r>
    </w:p>
    <w:p>
      <w:pPr>
        <w:spacing w:after="0" w:line="16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or our licensors have applied for and will continue to apply for patents for certain products. Such applications may not result in the issuance of any patents, and any patents now held or that may be issued may not provide us with adequate protection from competition. Furthermore, it is possible that patents issued or licensed to us may be challenged successfully. In that event, if we have a preferred competitive position because of such patents, any preferred position held by us would be lost. If we are unable to secure or to continue to maintain a preferred position, we could become subject to competition from the sale of generic products. Failure to receive, inability to protect, or expiration of our patents would adversely affect our business and operations.</w:t>
      </w:r>
    </w:p>
    <w:p>
      <w:pPr>
        <w:spacing w:after="0" w:line="18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Patents issued or licensed to us may be infringed by the products or processes of others. The cost of enforcing our patent rights against infringers, if such enforcement is required, could be significant, and we do not currently have the financial resources to fund such litigation. Further, such litigation can go on for years and the time demands could interfere with our normal operations and may absorb significant management time. There has been substantial litigation and other proceedings regarding patent and other intellectual property rights in the pharmaceutical industry. We may become a party to patent litigation and other proceedings. The cost to us of any patent litigation, even if resolved in our favor, could be substantial. Some of our competitors may be able to sustain the costs of such litigation more effectively than we can because of their substantially greater financial resources.</w:t>
      </w:r>
    </w:p>
    <w:p>
      <w:pPr>
        <w:spacing w:after="0" w:line="18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Unpatented trade secrets, improvements, confidential know-how and continuing technological innovation are important to our scientific and commercial success. Although we attempt to and will continue to attempt to protect our proprietary information through reliance on trade secret laws and the use of confidentiality agreements with our corporate partners, collaborators, employees and consultants and other appropriate means, these measures may not effectively prevent disclosure of our proprietary information, and, in any event, others may develop independently, or obtain access to, the same or similar information.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is unenforceable or may refuse to stop the other party from using the technology at issue on the grounds that our patents do not cover the technology in question.</w:t>
      </w:r>
    </w:p>
    <w:p>
      <w:pPr>
        <w:spacing w:after="0" w:line="18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8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currently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For example, patents covering therapeutic methods of treating humans are not available in many foreign countries.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U.S. These products may compete with our product candidates in jurisdictions where we do not have any issued patents and our patent claims or other intellectual property rights may not be effective or sufficient to prevent them from competing.</w:t>
      </w:r>
    </w:p>
    <w:p>
      <w:pPr>
        <w:spacing w:after="0" w:line="18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and political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be impossible or impractical due to sanctions or trade disputes between countries,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be infringing on patents or trade secrets owned by others, we may be forced to cease or alter our product development efforts, obtain a license to continue the development or sale of our products, and/or pay damages.</w:t>
      </w:r>
    </w:p>
    <w:p>
      <w:pPr>
        <w:spacing w:after="0" w:line="159"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Our manufacturing processes and potential products may violate proprietary rights of patents that have been or may be granted to competitors, universities or others, or the trade secrets of those persons and entities. As the pharmaceutical industry expands and more patents are issued, the risk increases that our processes and potential products may give rise to claims that they infringe the patents or trade secrets of others. These other persons could bring legal actions against us claiming damages and seeking to enjoin clinical testing, manufacturing and marketing of the affected product or process. If any of these actions are successful, in addition to any potential liability for damages, we could be required to obtain a license in order to continue to conduct clinical tests, manufacture or market the affected product or use the affected process. Required licenses may not be available on acceptable terms, if at all, and the results of litigation are uncertain. If we become involved in litigation or other proceedings, it could consume a substantial portion of our financial resources and the efforts of our personnel.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and enforce our patents does not guarantee that we will secure the right to commercialize our patents.</w:t>
      </w:r>
    </w:p>
    <w:p>
      <w:pPr>
        <w:spacing w:after="0" w:line="22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A patent is a limited exclusionary right conferred upon an inventor, and his successors in title, in return for the making and disclosing of a new and non-obvious invention. This exclusionary right is of limited duration but, while in force, allows the patent holder to prevent others from making and/or using his invention. While a patent gives the holder this right to exclude others, it is not an authorization to commercialize the invention, where other permissions may be required for permissible commercialization to occur. For example, a drug cannot be marketed without the appropriate authorization from the FDA, regardless of the existence of a patent covering the product. Further, the invention, even if patented itself, may not be able to be successfully commercialized if it infringes the valid patent rights of another party.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confidentiality agreements to protect our trade secrets. If these agreements are breached by our employees or other parties, our trade secrets may become known to our competitors.</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rely on trade secrets that we seek to protect through confidentiality agreements with our employees and other parties. If these agreements are breached, our competitors may obtain and use our trade secrets to gain a competitive advantage over us. We may not have any remedies against our competitors and any remedies that may be available to us may not be adequate to protect our business or compensate us for the damaging disclosure. In addition, we may have to expend resources to protect our interests from possible infringement by others.</w:t>
      </w:r>
    </w:p>
    <w:p>
      <w:pPr>
        <w:spacing w:after="0" w:line="18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If we are unable to obtain the statutory patent extension related to the review time in the U.S., we may need to rely on the 3-year Hatch-Waxman Act marketing exclusivity, the six-month pediatric exclusivity, any approved Orphan Drug exclusivities, potential future formulation patents and up to ten years of data exclusivity in Europe. See “</w:t>
      </w:r>
      <w:r>
        <w:rPr>
          <w:rFonts w:ascii="Times New Roman" w:cs="Times New Roman" w:eastAsia="Times New Roman" w:hAnsi="Times New Roman"/>
          <w:sz w:val="18"/>
          <w:szCs w:val="18"/>
          <w:i w:val="1"/>
          <w:iCs w:val="1"/>
          <w:color w:val="auto"/>
        </w:rPr>
        <w:t>Risks Related to Clinical and Regulatory Matters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We may not be able to obtain Hatch-Waxman Act marketing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exclusivity or equivalent regulatory data exclusivity protection in other jurisdictions for our products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royalty or milestone revenue relating to our product candidates under our collaboration and future license agreements for several years, or at all</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expect that our future collaboration agreements and future license agreements relating to our product candidates will provide for payments on achievement of development or commercialization milestones and for royalties on product sales. However, because none of our drug candidates has been approved for commercial sale, many of our drug candidates are at early stages of development and drug development entails a high risk of failure, we may never realize much of the milestone revenue provided for in our future collaboration and future license agreements and we do not expect to receive any royalty revenue for several years, if at all. Similarly, drugs we select to commercialize ourselves, or partner for later stage co-development and commercialization, may not generate revenue for several years,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direct control of third parties performing preclinical and clinical trials.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may depend on independent investigators and collaborators, such as universities and medical institutions, to conduct our preclinical and clinical trials under agreements with us. These investigators and collaborators are not our employees, and we cannot control the amount or timing of resources that they devote to our programs. They may not assign as great a priority to our programs or pursue them as diligently as we would if we were undertaking such activities ourselves. If these investigators or collaborators fail to devote sufficient time and resources to our drug development programs, or if their performance is substandard, the approval of our regulatory submissions and our introductions of new drugs will be delayed or prevented.</w:t>
      </w:r>
    </w:p>
    <w:p>
      <w:pPr>
        <w:spacing w:after="0" w:line="18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potential collaborators may also have relationships with other commercial entities, some of which may compete with us. If outside collaborators assist our competitors to our detriment, the approval of our regulatory submissions will be delayed and the sales from our products, if any are commercialized, will be less than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approval for or commercialize our products.</w:t>
      </w:r>
    </w:p>
    <w:p>
      <w:pPr>
        <w:spacing w:after="0" w:line="15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all the pre-clinical and clinical trials for our products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manufacturing capabilities and depend on other parties for our manufacturing operations. If these manufacturers fail to meet our requirements and strict regulatory requirements, our product development and commercialization efforts may be materially harmed.</w:t>
      </w:r>
    </w:p>
    <w:p>
      <w:pPr>
        <w:spacing w:after="0" w:line="15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currently depend on contract manufacturers. We plan to enter into long-term commercial supply agreements for our product candidates. If any manufacturer is unable to produce required quantities on a timely basis or at all, our operations would be delayed and our business harmed. Our reliance on contract manufacturers exposes us to additional risks, including:</w:t>
      </w:r>
    </w:p>
    <w:p>
      <w:pPr>
        <w:spacing w:after="0" w:line="176" w:lineRule="exact"/>
        <w:rPr>
          <w:sz w:val="20"/>
          <w:szCs w:val="20"/>
          <w:color w:val="auto"/>
        </w:rPr>
      </w:pPr>
    </w:p>
    <w:p>
      <w:pPr>
        <w:ind w:left="820" w:hanging="16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future manufacturers to comply with strictly-enforced regulatory requirements;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to our specifications, or to deliver sufficient quantities in a timely manner;</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terminate a contract manufacturer and need to engage a replacement;</w:t>
      </w:r>
    </w:p>
    <w:p>
      <w:pPr>
        <w:spacing w:after="0" w:line="36" w:lineRule="exact"/>
        <w:rPr>
          <w:rFonts w:ascii="Times New Roman" w:cs="Times New Roman" w:eastAsia="Times New Roman" w:hAnsi="Times New Roman"/>
          <w:sz w:val="18"/>
          <w:szCs w:val="18"/>
          <w:color w:val="auto"/>
        </w:rPr>
      </w:pPr>
    </w:p>
    <w:p>
      <w:pPr>
        <w:ind w:left="820" w:hanging="164"/>
        <w:spacing w:after="0" w:line="261"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future manufacturers may not be able to manufacture our product candidates and products without infringing the intellectual property rights of others;</w:t>
      </w:r>
    </w:p>
    <w:p>
      <w:pPr>
        <w:ind w:left="820" w:right="20" w:hanging="164"/>
        <w:spacing w:after="0" w:line="250"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future manufacturers may not have adequate intellectual property rights to provide for exclusivity and prevent competition; and</w:t>
      </w:r>
    </w:p>
    <w:p>
      <w:pPr>
        <w:ind w:left="820" w:hanging="164"/>
        <w:spacing w:after="0" w:line="260"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intellectual property rights to any improvements in the manufacturing processes or new manufacturing processes for our products.</w:t>
      </w:r>
    </w:p>
    <w:p>
      <w:pPr>
        <w:spacing w:after="0" w:line="18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Any of these factors could result in significant delay or suspension of our clinical trials, regulatory submissions, receipt of required approvals or commercialization of our products and harm our business. If we are not able to secure favorable arrangements with such third parties, our business and financial condition could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enter into agreements with, and depend upon, one or more partners to assist us in commercializing our product candidates.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ability to commercialize depends upon our continued ability to purchase raw materials from suppliers, our ability to arrange manufacture at contract manufacturers, our ability to deploy commercial sales force via third party partnerships, and our ability to manage shipping and logistics. Any collaboration agreement we enter into may contain unfavorable terms, for example, with respect to product candidates covered, control over decisions and responsibilities, termination rights, payment, and other significant terms.</w:t>
      </w:r>
    </w:p>
    <w:p>
      <w:pPr>
        <w:spacing w:after="0" w:line="180"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Our ability to receive any significant revenue from our product candidates covered by the collaboration agreement will be dependent on the efforts of our collaboration partner and may result in lower levels of income to us than if we marketed our product candidates entirely on our own. The collaboration partner may not fulfill its obligations or commercialize our product candidates as quickly as we would like. Even if the collaboration partner performs well, there is no assurance that our proposed products will achieve acceptance by patients, health care providers and insurance companies.</w:t>
      </w:r>
    </w:p>
    <w:p>
      <w:pPr>
        <w:spacing w:after="0" w:line="18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could also become involved in disputes with our partner, which could lead to delays in or termination of our commercialization programs and time-consuming and expensive litigation or arbitration. If a collaboration partner terminates or breaches its agreement with us, or otherwise fails to complete its obligations in a timely manner, the chances of successfully developing or commercializing our product candidates would be materially and adversely affected.</w:t>
      </w:r>
    </w:p>
    <w:p>
      <w:pPr>
        <w:spacing w:after="0" w:line="180" w:lineRule="exact"/>
        <w:rPr>
          <w:sz w:val="20"/>
          <w:szCs w:val="20"/>
          <w:color w:val="auto"/>
        </w:rPr>
      </w:pPr>
    </w:p>
    <w:p>
      <w:pPr>
        <w:jc w:val="both"/>
        <w:ind w:right="20" w:firstLine="360"/>
        <w:spacing w:after="0" w:line="261" w:lineRule="auto"/>
        <w:rPr>
          <w:sz w:val="20"/>
          <w:szCs w:val="20"/>
          <w:color w:val="auto"/>
        </w:rPr>
      </w:pPr>
      <w:r>
        <w:rPr>
          <w:rFonts w:ascii="Times New Roman" w:cs="Times New Roman" w:eastAsia="Times New Roman" w:hAnsi="Times New Roman"/>
          <w:sz w:val="18"/>
          <w:szCs w:val="18"/>
          <w:color w:val="auto"/>
        </w:rPr>
        <w:t>Additionally, depending upon the collaboration partner that we choose, other companies that might otherwise be interested in developing products with us could be less inclined to do so because of our relationship with the collaboration partner. If our ability to work with present or future strategic partners or collaborators is adversely affected as a result of our collaboration agreement, our business prospects may be limited, and our financial condition may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Upon commercialization of our products, we may be dependent on third parties to market, distribute and sell our products. If we are not successful in contracting with third parties for these services on favorable terms, or at all, our product revenues could be disappointing.</w:t>
      </w:r>
    </w:p>
    <w:p>
      <w:pPr>
        <w:spacing w:after="0" w:line="15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have no experience selling, marketing or distributing products and no internal capability to do so. In order to commercialize our products, if any are approved by the FDA, we will either have to develop such capabilities internally or collaborate with third parties who can perform these services for us. We have entered into a partnership and collaboration agreement with Alvogen (as defined below) for the commercialization of NRX-101. If we decide to commercialize NRX-101, notwithstanding these agreements, or any future drugs ourselves, we may not be able to hire the necessary experienced personnel and build sales, marketing and distribution operations which are capable of successfully launching new drugs and generating sufficient product revenues. In addition, establishing such operations will take time and involve significant expense.</w:t>
      </w:r>
    </w:p>
    <w:p>
      <w:pPr>
        <w:spacing w:after="0" w:line="18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If we decide to enter into new co-promotion or other licensing arrangements with third parties, we may be unable to locate acceptable collaborators because the number of potential collaborators is limited and because of competition from others for similar alliances with potential collaborators. Even if we are able to identify one or more acceptable new collaborators, we may not be able to enter into any collaborative arrangements on favorable terms, or at all.</w:t>
      </w:r>
    </w:p>
    <w:p>
      <w:pPr>
        <w:spacing w:after="0" w:line="180" w:lineRule="exact"/>
        <w:rPr>
          <w:sz w:val="20"/>
          <w:szCs w:val="20"/>
          <w:color w:val="auto"/>
        </w:rPr>
      </w:pPr>
    </w:p>
    <w:p>
      <w:pPr>
        <w:jc w:val="both"/>
        <w:ind w:right="20" w:firstLine="360"/>
        <w:spacing w:after="0" w:line="261" w:lineRule="auto"/>
        <w:rPr>
          <w:sz w:val="20"/>
          <w:szCs w:val="20"/>
          <w:color w:val="auto"/>
        </w:rPr>
      </w:pPr>
      <w:r>
        <w:rPr>
          <w:rFonts w:ascii="Times New Roman" w:cs="Times New Roman" w:eastAsia="Times New Roman" w:hAnsi="Times New Roman"/>
          <w:sz w:val="18"/>
          <w:szCs w:val="18"/>
          <w:color w:val="auto"/>
        </w:rPr>
        <w:t>In addition, any revenues we receive would depend upon our collaborators’ efforts which may not be adequate due to lack of attention or resource commitments, management turnover, change of strategic focus, business combinations or other factors outside of our control. Depending upon the terms of our collaboration, the remedies we have against an under-performing collaborator may be limited. If we were to terminate the relationship, it may be difficult or impossible to find a replacement collaborator on acceptable terms,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shares of common stock or convertible securities could make it difficult for another company to acquire us, may dilute your ownership of us and could adversely affect our stock price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From time to time in the future, we may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8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w:t>
      </w:r>
    </w:p>
    <w:p>
      <w:pPr>
        <w:spacing w:after="0" w:line="1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 See the “Description of Capital Stock” filed as an exhibit to this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by us or our existing stockholders in the public market could cause the market price for our common stock to decline.</w:t>
      </w:r>
    </w:p>
    <w:p>
      <w:pPr>
        <w:spacing w:after="0" w:line="15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 addition, the shares of common stock reserved for future issuance under the NRx 2021 Omnibus Incentive Plan (the “Incentive Plan”) are eligible for sale in the public market once those shares are issued, subject to provisions relating to various vesting agreements, lock-up agreements and, in some cases, limitations on volume and manner of sale applicable to affiliates under Rule 144 of the Exchange Act, as applicable. The original number of shares reserved for future issuance under the Incentive Plan was 380,182. In addition, the Incentive Plan includes an evergreen feature that will allow our Board, in its sole discretion, to reserve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w:t>
      </w:r>
    </w:p>
    <w:p>
      <w:pPr>
        <w:spacing w:after="0" w:line="1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Accordingly, our stockholders and the holders of insider shares may sell large amounts of common stock or warrants in the open market or in privately negotiated transactions when permitted, which could have the effect of increasing the volatility in the trading price of the common stock or the warrants or putting significant downward pressure on the price of the common stock or the warrants.</w:t>
      </w:r>
    </w:p>
    <w:p>
      <w:pPr>
        <w:spacing w:after="0" w:line="176"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Further, sales of common stock or warrants upon expiration of any applicable lockup periods could encourage short sales of our common stock or warrants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Short sales of our common stock or warrants could have a tendency to depress the price of our common stock or warrants, respectively, which could increase the potential for short sales.</w:t>
      </w:r>
    </w:p>
    <w:p>
      <w:pPr>
        <w:spacing w:after="0" w:line="183"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We cannot predict the size of future issuances of our common stock or warrants or the effect, if any, that future issuances and sales of shares of our common stock or warrants will have on the market price of our common stock or warrants. Sales of substantial amounts of common stock, or the perception that such sales could occur, may adversely affect prevailing market prices of our common stock or warrants.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qualify as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smaller reporting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within the meaning of the Securities Act, and if we take advantage of certain exemptions from disclosure requirements available to smaller reporting companies, it could make our securities less attractive to investors and may make it more difficult to compare our performance to the performance of other public companies.</w:t>
      </w:r>
    </w:p>
    <w:p>
      <w:pPr>
        <w:spacing w:after="0" w:line="175"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We qualify as a “smaller reporting company” as defined in Item 10(f)(1) of Regulation S-K. Smaller reporting companies may take advantage of certain reduced disclosure obligations, including, among other things, providing only two (2)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and under Delaware law could make an acquisition of us more difficult, limit attempts by our stockholders to replace or remove our current management and limit the market price of our common stock.</w:t>
      </w:r>
    </w:p>
    <w:p>
      <w:pPr>
        <w:spacing w:after="0" w:line="15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Charter, the Bylaws and DGCL contain provisions that could have the effect of rendering more difficult, delaying, or preventing an acquisition deemed undesirable by our Board. Among other things, the Charter and/or the Bylaws include the following provisions:</w:t>
      </w:r>
    </w:p>
    <w:p>
      <w:pPr>
        <w:spacing w:after="0" w:line="162" w:lineRule="exact"/>
        <w:rPr>
          <w:sz w:val="20"/>
          <w:szCs w:val="20"/>
          <w:color w:val="auto"/>
        </w:rPr>
      </w:pPr>
    </w:p>
    <w:p>
      <w:pPr>
        <w:ind w:left="820" w:hanging="164"/>
        <w:spacing w:after="0" w:line="261"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which means that our Board is classified into three classes of directors with staggered three-year terms and directors are only able to be removed from office for cause;</w:t>
      </w:r>
    </w:p>
    <w:p>
      <w:pPr>
        <w:ind w:left="820" w:hanging="164"/>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convening special stockholder meetings, which could make it difficult for our stockholders to adopt desired governance changes;</w:t>
      </w:r>
    </w:p>
    <w:p>
      <w:pPr>
        <w:spacing w:after="0" w:line="17" w:lineRule="exact"/>
        <w:rPr>
          <w:rFonts w:ascii="Times New Roman" w:cs="Times New Roman" w:eastAsia="Times New Roman" w:hAnsi="Times New Roman"/>
          <w:sz w:val="18"/>
          <w:szCs w:val="18"/>
          <w:color w:val="auto"/>
        </w:rPr>
      </w:pPr>
    </w:p>
    <w:p>
      <w:pPr>
        <w:ind w:left="820" w:hanging="164"/>
        <w:spacing w:after="0" w:line="261"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our stockholders will only be able to take action at a meeting of stockholders;</w:t>
      </w:r>
    </w:p>
    <w:p>
      <w:pPr>
        <w:ind w:left="820" w:hanging="164"/>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forum selection clause, which means certain litigation against us can only be brought in Delaware;</w:t>
      </w:r>
    </w:p>
    <w:p>
      <w:pPr>
        <w:spacing w:after="0" w:line="17" w:lineRule="exact"/>
        <w:rPr>
          <w:rFonts w:ascii="Times New Roman" w:cs="Times New Roman" w:eastAsia="Times New Roman" w:hAnsi="Times New Roman"/>
          <w:sz w:val="18"/>
          <w:szCs w:val="18"/>
          <w:color w:val="auto"/>
        </w:rPr>
      </w:pPr>
    </w:p>
    <w:p>
      <w:pPr>
        <w:ind w:left="820" w:hanging="164"/>
        <w:spacing w:after="0" w:line="261"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undesignated preferred stock, the terms of which may be established and shares of which may be issued without further action by our stockholders; and</w:t>
      </w:r>
    </w:p>
    <w:p>
      <w:pPr>
        <w:ind w:left="820" w:hanging="164"/>
        <w:spacing w:after="0" w:line="260"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which apply for stockholders to nominate candidates for election as directors or to bring matters before an annual meeting of stockholders.</w:t>
      </w:r>
    </w:p>
    <w:p>
      <w:pPr>
        <w:spacing w:after="0" w:line="181"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We have elected in the Charter not to be subject to Section 203 of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at least 85% of the common stock, or</w:t>
      </w:r>
    </w:p>
    <w:p>
      <w:pPr>
        <w:spacing w:after="0" w:line="3" w:lineRule="exact"/>
        <w:rPr>
          <w:sz w:val="20"/>
          <w:szCs w:val="20"/>
          <w:color w:val="auto"/>
        </w:rPr>
      </w:pPr>
    </w:p>
    <w:p>
      <w:pPr>
        <w:jc w:val="both"/>
        <w:ind w:firstLine="8"/>
        <w:spacing w:after="0" w:line="253" w:lineRule="auto"/>
        <w:tabs>
          <w:tab w:leader="none" w:pos="3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board approval, such business combination receives the approval of the holders of at least two-thirds of our outstanding common stock not held by such interested stockholder at an annual or special meeting of stockholders. However, the Charter contains provisions that have the same effect as Section 203 of the DGCL, except they provide that Jonathan Javitt and Daniel Javitt and their respective affiliates will not be deemed to be “interested stockholders” regardless of the percentage of common stock owned by them and, accordingly, will not be subject to such restrictions.</w:t>
      </w:r>
    </w:p>
    <w:p>
      <w:pPr>
        <w:spacing w:after="0" w:line="1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Any provision of the Charter, the Bylaws or DGCL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Charter and the Bylaws provide that the Court of Chancery of the State of Delaware will be the sole and exclusive forum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7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The Charter and the Bylaws provide that, unless we consent in writing to the selection of an alternative forum, the (a) Court of Chancery of the State of Delaware (the “</w:t>
      </w:r>
      <w:r>
        <w:rPr>
          <w:rFonts w:ascii="Times New Roman" w:cs="Times New Roman" w:eastAsia="Times New Roman" w:hAnsi="Times New Roman"/>
          <w:sz w:val="18"/>
          <w:szCs w:val="18"/>
          <w:i w:val="1"/>
          <w:iCs w:val="1"/>
          <w:color w:val="auto"/>
        </w:rPr>
        <w:t>Chancery Court</w:t>
      </w:r>
      <w:r>
        <w:rPr>
          <w:rFonts w:ascii="Times New Roman" w:cs="Times New Roman" w:eastAsia="Times New Roman" w:hAnsi="Times New Roman"/>
          <w:sz w:val="18"/>
          <w:szCs w:val="18"/>
          <w:color w:val="auto"/>
        </w:rPr>
        <w:t>”)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our behalf; (ii) any action, suit or proceeding asserting a claim of breach of fiduciary duty owed by any of our directors, officers, or stockholders to us or to our stockholders; (iii) any action, suit or proceeding asserting a claim arising pursuant to the DGCL, the Charter or the Bylaws; or (iv) any action, suit or proceeding asserting a claim governed by the internal affairs doctrine; and (b) subject to the foregoing, the federal district courts of the U.S. shall be the exclusive forum for the resolution of any complaint asserting a cause of action arising under the Securities Act. Notwithstanding the foregoing, such forum selection provisions shall not apply to suits brought to enforce any liability or duty created by the Exchange Act or any other claim for which the federal courts of the U.S.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Additionally, Section 22 of the Securities Act creates concurrent jurisdiction for federal and state courts over all suits brought to enforce any duty or liability created by the Securities Act or the rules and regulations thereunder. As noted above, the Charter and the Bylaws will provide that the federal district courts of the U.S. shall have jurisdiction over any action arising under the Securities Act.</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Accordingly, there is uncertainty as to whether a court would enforce such provision. Our stockholders will not be deemed to have waived our compliance with the federal securities laws and the rules and regulations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stockholders have effective control of NRx, and their interests may conflict with NRx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or yours in the future.</w:t>
      </w:r>
    </w:p>
    <w:p>
      <w:pPr>
        <w:spacing w:after="0" w:line="229"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Jonathan Javitt and Daniel Javitt beneficially own approximately 9.0% and 5.8% of the outstanding shares of common stock, respectively. For so long as Jonathan Javitt and Daniel Javitt continue to own a significant percentage of common stock, Jonathan Javitt and Daniel Javitt will still be able to significantly influence the composition of our Board and the approval of actions requiring stockholder approval. Accordingly, for such period of time, Jonathan Javitt and Daniel Javitt will have significant influence with respect to our management, business plans and policies. In particular, for so long as Jonathan Javitt and Daniel Javitt continue to own a significant percentage of common stock, Jonathan Javitt and Daniel Javitt will be able to influence the composition of our Board and could preclude any unsolicited acquisition of NRx. The concentration of ownership could deprive you of an opportunity to receive a premium for your shares of common stock as part of a sale of NRx and ultimately might affect the market price of common stock. So long as Jonathan Javitt and Daniel Javitt continue to own a significant amount of our combined voting power, even if such amount is less than 50%, Jonathan Javitt and Daniel Javitt will continue to be able to strongly influence or effectively control our decisions.</w:t>
      </w:r>
    </w:p>
    <w:p>
      <w:pPr>
        <w:spacing w:after="0" w:line="18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Notwithstanding Jonathan Javitt’s and Daniel Javitt’s substantial influence over NRx, we may from time to time enter into transactions with Jonathan Javitt and Daniel Javitt and their respective affiliates, or enter into transactions in which Jonathan Javitt and Daniel Javitt or their respective affiliates otherwise have a direct or indirect material interest. We have adopted a formal written policy for the review and approval of transactions with related persons. A description of the policy we adopted with respect to the approval or ratification of transactions in which related persons, such as Jonathan Javitt and Daniel Javitt and their respective affiliates, have a direct or indirect material interest is included in this annual report. For more information,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section of this annual report.</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will not prevent Jonathan Javitt and Daniel Javitt and their respective affiliates from engaging in business activities which compete with us or otherwise conflict with our interests.</w:t>
      </w:r>
    </w:p>
    <w:p>
      <w:pPr>
        <w:spacing w:after="0" w:line="15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Although Jonathan Javitt and Daniel Javitt are precluded from engaging, directly or indirectly, in the same business activities or similar business activities or lines of business in which our Company operates based on Jonathan Javitt’s prior employment contract and current consulting contract with us and the Glytech DLA, respectively, our Charter provides that none of Jonathan Javitt and Daniel Javitt or their respective affiliates will have any duty to refrain from engaging, directly or indirectly, in the same business activities or similar business activities or lines of business in which NRx operates. Jonathan Javitt and Daniel Javitt also may pursue corporate opportunities that may be complementary to our business and, as a result, those corporate opportunities may not be available to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no longer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under the corporate governance rules of Nasdaq. However, we continue to rely on an exception in the listing requirements to allow a non-independent director to sit on the Nominating and Governance Committee.</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Previously, Jonathan Javitt and Daniel Javitt controlled the votes of the majority of our common stock. As a result, we were a “controlled company” for purposes of the Nasdaq corporate governance rules and were exempt from certain governance requirements otherwise required by Nasdaq, including requirements that we have a nominating and corporate governance committee that is composed entirely of independent directors with a written charter addressing the committee’s purpose and responsibilities.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no longer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under the corporate governance rules of Nasdaq. Under the Nasdaq listing requirements, a company that ceases to be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must comply with the independent board committee requirements as they relate to the nominating and corporate governance</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Previously, Jonathan Javitt and Daniel Javitt controlled the votes of the majority of our common stock. As a result, we were a “controlled company” for purposes of the Nasdaq corporate governance rules and were exempt from certain governance requirements otherwise required by Nasdaq, including requirements that we have a nominating and corporate governance committee that is composed entirely of independent directors with a written charter addressing the committee’s purpose and responsibilities.</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are no longer a “controlled company” under the corporate governance rules of Nasdaq. Under the Nasdaq listing requirements, a company that ceases to be a “controlled company” must comply with the independent board committee requirements as they relate to the nominating and corporate governance.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The Company is now subject to all the requirements of Nasdaq. Our common stock may become the target of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squeeze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In recent years, the securities of several companies have increasingly experienced significant and extreme volatility in stock price due to short sellers of common stock and buy-and-hold decisions of longer investors, resulting in what is sometimes described as a “short squeeze.” Short squeezes have caused extreme volatility in those companies and in the market and have led to the price per share of those companies to trade at a significantly inflated rate that is disconnected from the underlying value of the company. Sharp rises in a company’s stock price may force traders in a short position to buy the shares to avoid even greater losses. Many investors who have purchased shares in those companies at an inflated rate face the risk of losing a significant portion of their original investment as the price per share has declined steadily as interest in those shares have abated. We may be a target of a short squeeze, and investors may lose a significant portion or all of their investment if they purchase our shares at a rate that is significantly disconnected from our underlying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be volatile or may decline regardless of our operating performance. You may lose some or all of your investment.</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 xml:space="preserve">The trading price of our common stock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 </w:t>
      </w:r>
      <w:r>
        <w:rPr>
          <w:rFonts w:ascii="Times New Roman" w:cs="Times New Roman" w:eastAsia="Times New Roman" w:hAnsi="Times New Roman"/>
          <w:sz w:val="18"/>
          <w:szCs w:val="18"/>
          <w:i w:val="1"/>
          <w:iCs w:val="1"/>
          <w:color w:val="auto"/>
        </w:rPr>
        <w:t>Risks Related to Our Business and Industry</w:t>
      </w:r>
      <w:r>
        <w:rPr>
          <w:rFonts w:ascii="Times New Roman" w:cs="Times New Roman" w:eastAsia="Times New Roman" w:hAnsi="Times New Roman"/>
          <w:sz w:val="18"/>
          <w:szCs w:val="18"/>
          <w:color w:val="auto"/>
        </w:rPr>
        <w:t>” and the following:</w:t>
      </w:r>
    </w:p>
    <w:p>
      <w:pPr>
        <w:spacing w:after="0" w:line="176" w:lineRule="exact"/>
        <w:rPr>
          <w:sz w:val="20"/>
          <w:szCs w:val="20"/>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resurgence of the COVID-19 pandemic on our financial condition and the results of operations;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compared to market expectations;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our products;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our product users’ businesses or our competitors’ businesses;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public float;</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growth strategy;</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our capital stock;</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new or pending litigation against us; and</w:t>
      </w:r>
    </w:p>
    <w:p>
      <w:pPr>
        <w:spacing w:after="0" w:line="36" w:lineRule="exact"/>
        <w:rPr>
          <w:rFonts w:ascii="Times New Roman" w:cs="Times New Roman" w:eastAsia="Times New Roman" w:hAnsi="Times New Roman"/>
          <w:sz w:val="18"/>
          <w:szCs w:val="18"/>
          <w:color w:val="auto"/>
        </w:rPr>
      </w:pPr>
    </w:p>
    <w:p>
      <w:pPr>
        <w:ind w:left="820" w:hanging="164"/>
        <w:spacing w:after="0" w:line="282"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U.S. and global economies or financial markets, including those resulting from natural disasters, terrorist attacks, acts of war and responses to such events.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Securities litigation could have a substantial cost and divert resources and the attention of executive management from our business regardless of the outcome of such litigation.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us, or if they issue unfavorable commentary about us or our industry or downgrade our common stock, the price of our common stock could decline.</w:t>
      </w:r>
    </w:p>
    <w:p>
      <w:pPr>
        <w:spacing w:after="0" w:line="159"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third-party securities analysts publish about us and the industries in which we operate. We may be unable, or slow, to attract and maintain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involve significant expenses and will require significant resources and management attention, which may divert from our business operations.</w:t>
      </w:r>
    </w:p>
    <w:p>
      <w:pPr>
        <w:spacing w:after="0" w:line="15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Sarbanes- Oxley Act. The Exchange Act requires that we file annual, quarterly and current reports with respect to our business and financial condition. The Sarbanes-Oxley Act requires, among other things, that we establish and maintain effective internal control over financial reporting. As a result, we will incur significant legal, accounting and other expenses that we did not previously incur. Our entire management team and many of our other employees will need to devote substantial time to compliance and may not effectively or efficiently manage our transition into a public company.</w:t>
      </w:r>
    </w:p>
    <w:p>
      <w:pPr>
        <w:spacing w:after="0" w:line="183"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In addition, the need to establish the corporate infrastructure demanded of a public company may also divert management’s attention from implementing our business strategy, which could prevent us from improving our business, results of operations and financial condition. We have made, and will continue to make, changes to our internal control over financial reporting, including IT controls, and procedures for financial reporting and accounting systems to meet our reporting obligations as a public company. However, the measures we take may not be sufficient to satisfy our obligations as a public company.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9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These rules and regulations result in our incurring legal and financial compliance costs and will make some activities more time-consuming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our Board committees or as executive officers.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7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As a public reporting company, 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80"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For additional information related to the risks and uncertainties of our compliance with the Sarbanes-Oxley Act, see “</w:t>
      </w:r>
      <w:r>
        <w:rPr>
          <w:rFonts w:ascii="Times New Roman" w:cs="Times New Roman" w:eastAsia="Times New Roman" w:hAnsi="Times New Roman"/>
          <w:sz w:val="18"/>
          <w:szCs w:val="18"/>
          <w:i w:val="1"/>
          <w:iCs w:val="1"/>
          <w:color w:val="auto"/>
        </w:rPr>
        <w:t>Risk Related to an Early-Stage Company</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Failure to achieve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applicable continued listing requirements of the Nasdaq Capital Market, Nasdaq may delist our common stock, in which case the liquidity and market price of our common stock could decline.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certain continued listing requirements. On August 6, 2024, we received a written notification from the Staff indicating that we were not in compliance with Nasdaq Listing Rule 5550(b)(2) because we had not maintained a minimum market value of listed securities (“MLVS”) of $35,000,000 for the previous 33 consecutive business days. We were provided an initial compliance period of 180 calendar days, or until February 3, 2025, to regain compliance with the minimum MVLS requirement. If the Company did not regain compliance by the Compliance Date, Nasdaq was to provide written notice to the Company that its securities are subject to delisting. On January 17, 2025, the Company received a written notice from Nasdaq that the Company had regained compliance with the minimum market value of listed securities requirement under Nasdaq Listing Rule 5550(b)(2).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guaranty that we will continue to meet the continued listing requirements to be traded on Nasdaq. If our Common Stock is delisted, an active trading market for our common stock may not be sustained and the market price of our common stock could decline. Delisting of our common stock could adversely affect our ability to raise additional capital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price of our common stock may be volatile, which could subject us to securities class action litigation and result in substantial losses for our stockholders.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price of shares of our common stock could be subject to wide fluctuations in response to many risk factors listed in this section and the documents incorporated by reference in this prospectus supplement and the accompanying prospectus as well as other factors others beyond our control.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shares of our common stock at or above the price at which they purchased their shares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common stock for the foreseeable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and will depend on, among other things, our business prospects, results of operations, financial condition, cash requirements and availability, legal requirements, certain restrictions related to our indebtedness, industry trends and other factors that our Board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The Company maintains a cyber risk management program designed to identify, assess, manage, mitigate, and respond to cybersecurity threats. The underlying processes and controls of NRx’s cyber risk management program incorporate recognized best practices and standards for cybersecurity and information technology, including the National Institute of Standards and Technology (“NIST”) Cybersecurity Framework (“CSF”). NRx has an annual assessment performed by a third-party specialist of the Company’s cyber risk management program against the NIST CSF. The annual risk assessment identifies, quantifies, and categorizes material cyber risks. In addition, the Company, in conjunction with the third-party cyber risk management specialists develop a risk mitigation plan to address such risks and, where necessary, remediate potential vulnerabilities identified through the annual assessment process.</w:t>
      </w:r>
    </w:p>
    <w:p>
      <w:pPr>
        <w:spacing w:after="0" w:line="187"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In addition, NRx maintains policies over areas such as access and account management to help govern the processes put in place by management designed to protect NRx’s IT assets, data, and services from threats and vulnerabilities. NRx employs additional key practices within the cybersecurity risk management program including, but not limited to maintenance of an IT assets inventory, identity access management controls including restricted access of privileged accounts, and critical data backups to reduce cybersecurity risk.</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Cybersecurity partners to the Company, including consultants, are a key part of NRx’s cybersecurity risk management strategy and infrastructure.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cybersecurity partners provide services including, but not limited to cybersecurity strategy, cyber risk advisory, assessment, and remediation.</w:t>
      </w:r>
    </w:p>
    <w:p>
      <w:pPr>
        <w:spacing w:after="0" w:line="207"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NRx’s management team, in conjunction with cybersecurity service providers are responsible for oversight and administration of NRx’s cyber risk management program, and for informing senior management and other relevant stakeholders regarding the prevention, detection, mitigation, and remediation of cybersecurity incidents. The Company’s management team has prior experience selecting, deploying, and overseeing cybersecurity technologies, initiatives, and processes via engagement of strategic third-party partners. The Company also relies on threat intelligence as well as other information obtained from governmental, public, or private sources, including external consultants engaged by NRx for strategic cyber risk management, advisory and decision making.</w:t>
      </w:r>
    </w:p>
    <w:p>
      <w:pPr>
        <w:spacing w:after="0" w:line="187"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of Directors oversees NRx’s cybersecurity risk exposures and the steps taken by management to monitor and mitigate cybersecurity risks. The cybersecurity stakeholders, including member(s) of management assigned with cybersecurity oversight responsibility and/or third-party consultants providing cyber risk services, brief the Audit Committee on cyber vulnerabilities identified through the risk management process, the effectiveness of NRx’s cyber risk management program, and the emerging threat landscape and new cyber risks on at least an annual basis. This includes updates on NRx's processes to prevent, detect, and mitigate cybersecurity incidents.</w:t>
      </w:r>
    </w:p>
    <w:p>
      <w:pPr>
        <w:spacing w:after="0" w:line="174"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NRx faces risks from cybersecurity threats that could have a material adverse effect on its business, financial condition, results of operations, cash flows or reputation. NRx acknowledges that the risk of cyber incident is prevalent in the current threat landscape and that a future cyber incident may occur in the normal course of its business. However, prior cybersecurity incidents have not had a material adverse effect on NRx’s business, financial condition, results of operations, or cash flows. Further, there is increasing regulation regarding responses to cybersecurity incidents, including reporting to regulators, investors, and additional stakeholders, which could subject the Company to additional liability and reputational harm. In response to such risks, the Company has implemented initiatives such as a cybersecurity risk assessment process and development of an incident response plan. See Item 1A. "Risk Factors" for more information on cybersecurity risks.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1201 Orange Street, Suite 600 Wilmington, DE 19801. We believe that our current facilities are suitable and adequate to meet our current needs. We believe that suitable additional space or substitute space will be available in the future to accommodate our operations as needed.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On November 12, 2022, the Company entered into a Settlement Agreement and Asset Purchase Agreement (“APA”) with Relief Therapeutics Holding AG and Relief Therapeutics International (the “Relief Parties”) to settle the outstanding lawsuit with respect to the Binding Collaboration Agreement dated September 18, 2020 between the Company and the Relief Parties (the “Collaboration Agreement”). The closing under the APA occurred on December 17, 2022 and the parties dismissed their respective claims against each other.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On August 12, 2022, the Company received a demand for arbitration (the “Demand”) from GEM Yield Bahamas Limited and GEM Global Yield LLC SCS (collectively, “GEM”). The Demand claims that the Company’s subsidiary, NeuroRx, Inc. (“NeuroRx"), failed to satisfy its obligation to pay GEM a commitment fee in the amount of HK$ 15,000,000 (approximately US$1,914,087 at current exchange rates) pursuant to a Share Subscription Facility Agreement, executed on October 18, 2019, by and among NeuroRx and GEM (the “Agreement”).</w:t>
      </w:r>
    </w:p>
    <w:p>
      <w:pPr>
        <w:spacing w:after="0" w:line="180"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On July 17, 2023, the Company and GEM entered into a settlement and release agreement (the “Settlement Agreement”) pursuant to which the parties agreed to dismiss the arbitration proceeding with prejudice. Pursuant to the Settlement Agreement on August 31, 2023, the Company issued 67,568 shares of common stock to GEM in full satisfaction of the Settlement Agreement for the approximately $0.3 million which was previously accrued and expensed as “Settlement expense.” The shares are registered under a prospectus supplement to the Company’s registration statement on Form S-3 and are subject to a restriction that they cannot be sold or traded for a period of six months from the effective date of the Settlement Agreement.</w:t>
      </w:r>
    </w:p>
    <w:p>
      <w:pPr>
        <w:spacing w:after="0" w:line="183" w:lineRule="exact"/>
        <w:rPr>
          <w:sz w:val="20"/>
          <w:szCs w:val="20"/>
          <w:color w:val="auto"/>
        </w:rPr>
      </w:pPr>
    </w:p>
    <w:p>
      <w:pPr>
        <w:jc w:val="both"/>
        <w:ind w:firstLine="522"/>
        <w:spacing w:after="0" w:line="253" w:lineRule="auto"/>
        <w:rPr>
          <w:sz w:val="20"/>
          <w:szCs w:val="20"/>
          <w:color w:val="auto"/>
        </w:rPr>
      </w:pPr>
      <w:r>
        <w:rPr>
          <w:rFonts w:ascii="Times New Roman" w:cs="Times New Roman" w:eastAsia="Times New Roman" w:hAnsi="Times New Roman"/>
          <w:sz w:val="18"/>
          <w:szCs w:val="18"/>
          <w:color w:val="auto"/>
        </w:rPr>
        <w:t>The Company was a defendant in litigation filed by Streeterville in the Third Judicial District Court of Salt Lake County, Utah. The Complaint sought, among other things: (i) declaratory relief for an order enjoining the Company from undertaking any Fundamental Transaction, including the Spin-Off, or otherwise issuing common stock or other equity securities (such as the shares of HOPE pursuant to the announced Spin-Off); and (ii) repayment of the Streeterville Note and other unspecified amounts of damages, costs and fees, but no less than $6,537,027, or the amounts currently outstanding under the Streeterville Note. On July 29, 2024, in connection with the alleged Event of Default that Streeterville claimed occurred with respect to the Streeterville Note, the Company announced an order of the Utah arbitrator denying the petition of Streeterville to enjoin the planned Spin-Off of 49% of shares in HOPE to current shareholders of the Company. The purpose of the proposed Spin-Off was to provide the Company’s shareholders with valuable consideration and to provide HOPE (currently a wholly-owned subsidiary) with a sufficient shareholder base to enable future listing on a national exchange. The arbitrator also denied Streeterville’s petition to enjoin the Company from selling additional shares of common stock to finance ongoing operations.</w:t>
      </w:r>
    </w:p>
    <w:p>
      <w:pPr>
        <w:spacing w:after="0" w:line="194"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On August 12, 2024, the Company and Streeterville entered into a Settlement and Release of Claims (the “Settlement Agreement”), whereby the Company and Streeterville agreed to settle all disputes between the parties and release the Company from all obligations arising from the Notes at certain Securities Purchase Agreement, dated November 4, 2022 (“Streeterville Notes”), between the Company and Streeterville, and that certain Convertible Promissory Note, dated November 4, 2022, issued to Streeterville by the Company, in exchange for a payment of $2.5 million upon the initial closing of the sale of the Anson Notes, and within 60 days thereafter, a second payment of $3.05 million. The Company made the $2.5 million payment upon the Anson Notes closing on August 15, 2024. The Company made the $3.05 million payment in October 2024 in satisfaction of the Streeterville Note.</w:t>
      </w:r>
    </w:p>
    <w:p>
      <w:pPr>
        <w:spacing w:after="0" w:line="187"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we may become involved in various legal actions incidental to our business. As of the date of this annual report, we are not involved in any other legal proceedings that we believe could have a material adverse effect on our financial position or results of operations, but regardless of the outcome, litigation can have an adverse impact on the Company because of defense and settlement costs, and diversion of management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Market or Markets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shares of common stock are currently quoted on the Nasdaq Capital Market under the symbol “NRXP.” Our common stock commenced trading on the Nasdaq Capital Market on May 25, 2021. Prior to such date, our shares of common stock were traded on the Nasdaq Capital Market under the symbol “BRPA.”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Number of Holders of Common Stock</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approximately 59 record holders of the Company’s common stock. The actual number of stockholders is greater than the number of record holders because stockholders who are beneficial owners but whose shares are held in street name by brokers or other nominees are not counted as separate record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receive such dividends as may be declared by our Board. No cash dividends have been declared or paid with respect to our common stock and no cash dividends are anticipated to be paid in the foreseeable future. Any future decisions as to the payment of dividends will be at the discretion of our Board, subject to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by the Company of Unregistered Securities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entered into a Confidential Settlement Agreement and Release, dated July 17, 2023 (the “Settlement Agreement”), with NeuroRx, Inc., GEM Yield Bahamas Limited and GEM Global Yield LLC SCS, pursuant to which we agreed to issue an aggregate of 67,568 shares (the “Settlement Shares”) of common stock to GEM Global Yield LLC SCS. On August 31, 2023, we issued the Settlement Shares to GEM in a private placement under the terms of the Settlement Agreement and, accordingly, we did not receive any proceeds in connection with the issuance of the Settlement Shares. The Settlement Shares were issued pursuant to an exemption to registration requirement of the Securities Act in reliance on Section 4(a)(2) of the Securities Act.</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On August 28, 2023, the Company entered into a securities purchase agreement (the “Preferred Stock Securities Purchase Agreement”) with certain purchasers (the “August Investors”), pursuant to which the Company issued 3,000,000 shares of the Company’s Series A Convertible Preferred Stock, par value $0.001 per share (the “Series A Preferred Stock”), and one (1) investor warrant (each an “August Investor Warrant”) for every share of Series A Preferred Stock issued. The shares of Series A Preferred Stock and the August Investor Warrants were offered pursuant to a private placement under Section 4(a)(2) of the Securities Act. Each August Investor Warrant entitles the holder to purchase one (1) share of common stock at a purchase price of $4.00 per share. The aggregate purchase price for each share of Series A Preferred Stock and associated August Investor Warrant was $4.00. The August Investor Warrants are exercisable starting on the six-month anniversary of the date of issuance and will have a term of five years from the date of issuance. The August Investor Warrants may also be exercised during the initial six-month period after issuance, at the option of the August Investors, if the closing share price of the common stock equals or exceeds $1.20 per share on any trading day. The aggregate net cash proceeds to the Company from the August Offering were approximately $1.0 million.</w:t>
      </w:r>
    </w:p>
    <w:p>
      <w:pPr>
        <w:spacing w:after="0" w:line="194"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On February 7, 2024, we entered into the First Amendment (the “Amendment”) to the License Agreement (as defined below) with Alvogen, effective as of the same date. Pursuant to the terms of the Amendment, we issued to Alvogen 419,598 warrants to purchase the Company’s common stock, at a strike price of $4.00 per share with three (3) year term (“Alvogen Warrants”). The Alvogen Warrants were issues pursuant to an exemption to registration requirement of the Securities Act in reliance on Section 4(a)(2) of the Securities Act.</w:t>
      </w:r>
    </w:p>
    <w:p>
      <w:pPr>
        <w:spacing w:after="0" w:line="18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On February 29, 2024, we entered into a securities purchase agreement with an investor providing for the issuance and sale of 270,000 shares of common stock and warrants to purchase up to 270,000 shares of common stock (the “February Warrants”) at a price of $3.80 per share of common stock and accompanying warrant, which represents a 26.7% premium to the offering price in February 2024 Public Offering. The common stock and the February Warrants were offered pursuant to a private placement (the “February 2024 Private Placement”) under Section 4(a)(2) of the Securities Act of 1933, as amended (the “Securities Act”). The February Warrants will have an exercise price of $3.80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On August 12, 2024, the Company executed a Securities Purchase Agreement (the “August SPA”) and related agreements, under which the Company agreed to sell and issue, and certain purchasers agreed to purchase, an aggregate of $16.3 million of securities. The consideration payable by the purchasers under the August SPA will be comprised of three equal closings of $5.435 million, each subject to certain closing conditions. The securities to be issued and sold by the Company include up to $16.3 million of senior secured convertible notes (the “Notes”) and warrants to purchase shares of the Company’s common stock (the “Warrants”). On each of August, 14, 2024, October 10, 2024, and January 28, 2025, the consummated the first tranche, second tranche, and third tranche, respectively, under the August SPA, with gross proceeds to the Company of $16.3 million. The Notes and Warrants were offered pursuant to a private placement under Section 4(a)(2) of the Securities Act.</w:t>
      </w:r>
    </w:p>
    <w:p>
      <w:pPr>
        <w:spacing w:after="0" w:line="18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The Notes bear interest at the rate of 6% per annum and mature in 15 months following their date of issuance. The Notes may be settled in cash or in shares of the Company’s common stock, at the sole discretion of the holder, at the applicable conversion price. The Notes may not be prepaid by the Company however, the holders of the Notes may elect to convert the Notes, in whole or in part, into shares of the Company’s common stock at any time after the original issuance date. The conversion price: (A) for the Notes issued in the first tranche will equal the lower of (i) $2.4168, or (ii) a price equal to 92% of the lowest volume-weighted average price during the seven-trading day period immediately preceding the applicable conversion date (the “Alternative Conversion Price”); (B) for the Notes issued in the second tranche will equal the lower of (i) $1.766, or (ii) the Alternative Conversion Price; and (C) for the Notes issued in the third tranche will equal the lower of (i) $3.78, or (ii) the Alternative Conversion Price. The Notes include certain redemption, protection features and default interest and penalties. The Warrants have a term of 5 years, an exercise price of $2.4168 per share for the Warrants issued in the first tranche, $1.766 per share for the Warrants issued in the second tranche, and $3.78 per share for the Warrants issued in the third tranche, each subject to adjustment as more specifically set forth in the Warrants, and are exercisable immediately upon issuance.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intends to use the net proceeds from the offerings detailed above for working capital and general corporate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NRx Pharmaceuticals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financial condition and plan of operations together with NRx Pharmaceuticals' consolidated financial statements and the related notes appearing elsewhere herein. In addition to historical information, this discussion and analysis contains forward looking statements that involve risks, uncertainties and assumptions. NRx Pharmaceuticals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actual results may differ materially from those discussed below. Factors that could cause or contribute to such differences include, but are not limited to, those identified below, and those discussed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elsewhere herein.</w:t>
      </w:r>
    </w:p>
    <w:p>
      <w:pPr>
        <w:spacing w:after="0" w:line="183"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NRx Pharmaceuticals, Inc. (Nasdaq: NRXP) (“</w:t>
      </w:r>
      <w:r>
        <w:rPr>
          <w:rFonts w:ascii="Times New Roman" w:cs="Times New Roman" w:eastAsia="Times New Roman" w:hAnsi="Times New Roman"/>
          <w:sz w:val="18"/>
          <w:szCs w:val="18"/>
          <w:i w:val="1"/>
          <w:iCs w:val="1"/>
          <w:color w:val="auto"/>
        </w:rPr>
        <w:t>NRX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 a clinical-stage bio-pharmaceutical company which develops and will distribute, through its wholly-owned operating subsidiaries, NeuroRx, Inc. (“</w:t>
      </w:r>
      <w:r>
        <w:rPr>
          <w:rFonts w:ascii="Times New Roman" w:cs="Times New Roman" w:eastAsia="Times New Roman" w:hAnsi="Times New Roman"/>
          <w:sz w:val="18"/>
          <w:szCs w:val="18"/>
          <w:i w:val="1"/>
          <w:iCs w:val="1"/>
          <w:color w:val="auto"/>
        </w:rPr>
        <w:t>NeuroRx</w:t>
      </w:r>
      <w:r>
        <w:rPr>
          <w:rFonts w:ascii="Times New Roman" w:cs="Times New Roman" w:eastAsia="Times New Roman" w:hAnsi="Times New Roman"/>
          <w:sz w:val="18"/>
          <w:szCs w:val="18"/>
          <w:color w:val="auto"/>
        </w:rPr>
        <w:t>”), and HOPE Therapeutics, Inc. (“</w:t>
      </w:r>
      <w:r>
        <w:rPr>
          <w:rFonts w:ascii="Times New Roman" w:cs="Times New Roman" w:eastAsia="Times New Roman" w:hAnsi="Times New Roman"/>
          <w:sz w:val="18"/>
          <w:szCs w:val="18"/>
          <w:i w:val="1"/>
          <w:iCs w:val="1"/>
          <w:color w:val="auto"/>
        </w:rPr>
        <w:t>HOPE</w:t>
      </w:r>
      <w:r>
        <w:rPr>
          <w:rFonts w:ascii="Times New Roman" w:cs="Times New Roman" w:eastAsia="Times New Roman" w:hAnsi="Times New Roman"/>
          <w:sz w:val="18"/>
          <w:szCs w:val="18"/>
          <w:color w:val="auto"/>
        </w:rPr>
        <w:t>”), novel therapeutics for the treatment of central nervous system disorders including suicidal depression, chronic pain, and post-traumatic stress disorder (“</w:t>
      </w:r>
      <w:r>
        <w:rPr>
          <w:rFonts w:ascii="Times New Roman" w:cs="Times New Roman" w:eastAsia="Times New Roman" w:hAnsi="Times New Roman"/>
          <w:sz w:val="18"/>
          <w:szCs w:val="18"/>
          <w:i w:val="1"/>
          <w:iCs w:val="1"/>
          <w:color w:val="auto"/>
        </w:rPr>
        <w:t>PTSD</w:t>
      </w:r>
      <w:r>
        <w:rPr>
          <w:rFonts w:ascii="Times New Roman" w:cs="Times New Roman" w:eastAsia="Times New Roman" w:hAnsi="Times New Roman"/>
          <w:sz w:val="18"/>
          <w:szCs w:val="18"/>
          <w:color w:val="auto"/>
        </w:rPr>
        <w:t>”) and now schizophrenia. All of our current drug development activities are focused drugs that modulate on the N-methyl-D-aspartate (“</w:t>
      </w:r>
      <w:r>
        <w:rPr>
          <w:rFonts w:ascii="Times New Roman" w:cs="Times New Roman" w:eastAsia="Times New Roman" w:hAnsi="Times New Roman"/>
          <w:sz w:val="18"/>
          <w:szCs w:val="18"/>
          <w:i w:val="1"/>
          <w:iCs w:val="1"/>
          <w:color w:val="auto"/>
        </w:rPr>
        <w:t>NMDA</w:t>
      </w:r>
      <w:r>
        <w:rPr>
          <w:rFonts w:ascii="Times New Roman" w:cs="Times New Roman" w:eastAsia="Times New Roman" w:hAnsi="Times New Roman"/>
          <w:sz w:val="18"/>
          <w:szCs w:val="18"/>
          <w:color w:val="auto"/>
        </w:rPr>
        <w:t>”) receptor in the brain and nervous system, a neurochemical pathway that has been disclosed in detail in our annual filings. NeuroRx is organized as a traditional research and development ("</w:t>
      </w:r>
      <w:r>
        <w:rPr>
          <w:rFonts w:ascii="Times New Roman" w:cs="Times New Roman" w:eastAsia="Times New Roman" w:hAnsi="Times New Roman"/>
          <w:sz w:val="18"/>
          <w:szCs w:val="18"/>
          <w:i w:val="1"/>
          <w:iCs w:val="1"/>
          <w:color w:val="auto"/>
        </w:rPr>
        <w:t>R&amp;D</w:t>
      </w:r>
      <w:r>
        <w:rPr>
          <w:rFonts w:ascii="Times New Roman" w:cs="Times New Roman" w:eastAsia="Times New Roman" w:hAnsi="Times New Roman"/>
          <w:sz w:val="18"/>
          <w:szCs w:val="18"/>
          <w:color w:val="auto"/>
        </w:rPr>
        <w:t>") company, whereas HOPE is organized as a specialty pharmaceutical company intended to distribute ketamine and other therapeutic options to clinics that serve patients with suicidal depression and PTSD. The Company has two lead drug candidates that are expected to be submitted by year end for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approval with anticipated FDA decision dates under the Prescription Drug User Fee Act (“</w:t>
      </w:r>
      <w:r>
        <w:rPr>
          <w:rFonts w:ascii="Times New Roman" w:cs="Times New Roman" w:eastAsia="Times New Roman" w:hAnsi="Times New Roman"/>
          <w:sz w:val="18"/>
          <w:szCs w:val="18"/>
          <w:i w:val="1"/>
          <w:iCs w:val="1"/>
          <w:color w:val="auto"/>
        </w:rPr>
        <w:t>PDUFA</w:t>
      </w:r>
      <w:r>
        <w:rPr>
          <w:rFonts w:ascii="Times New Roman" w:cs="Times New Roman" w:eastAsia="Times New Roman" w:hAnsi="Times New Roman"/>
          <w:sz w:val="18"/>
          <w:szCs w:val="18"/>
          <w:color w:val="auto"/>
        </w:rPr>
        <w:t>”) by the end of June 2025: NRX-101, an oral fixed dose combination of D-cycloserine and lurasidone and NRX-100, a preservative-free formulation of ketamine for intravenous infusion.</w:t>
      </w:r>
    </w:p>
    <w:p>
      <w:pPr>
        <w:spacing w:after="0" w:line="187"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The 2024 fiscal year marked a period of both expansion and change for NRx. During the year the Company implemented a restructuring of its leadership to address challenges related to capital formation, clinical trial enrollment, and corporate development. These efforts led to measurable achievements in 2024 and positioned the Company for growth and the achievement of our development objectives in 2025. During 2024 and through the date of this Annual Report, the Company has achieved the following: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We consummated a series of financing agreements with an institutional investor for up to $16.3 million in debt capital, for which we closed on $10.87 million in 2024 and subsequently closed $8.5 million in a combination of convertible debt and an above-market common stock and warrant offering in January 2025. We were presented with and are currently negotiating a term sheet with a publicly-traded strategic investor to provide additional capital to support the expansion of HOPE clinics. In addition, management is negotiating with several commercial lenders to provide additional financing to support the acquisition of additional clinics on standard commercial loan terms. Although no assurances can be given, and assuming we’re able to consummate the proposed financings, management believes that we will have sufficient financing to consummate our previously announced acquisitions, execute our business plan and achieve our projected revenue objectives.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Development</w:t>
      </w:r>
    </w:p>
    <w:p>
      <w:pPr>
        <w:spacing w:after="0" w:line="227" w:lineRule="exact"/>
        <w:rPr>
          <w:sz w:val="20"/>
          <w:szCs w:val="20"/>
          <w:color w:val="auto"/>
        </w:rPr>
      </w:pPr>
    </w:p>
    <w:p>
      <w:pPr>
        <w:jc w:val="both"/>
        <w:ind w:left="6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initiated the filing of a New Drug Application (“NDA”) in the fourth quarter of 2024 for Accelerated Approval under Breakthrough and Priority Review of NRX-101 in treatment of bipolar depression in people at risk of akathisia, based on the Phase 2b/3 and STABIL-B data. Three manufacturing lots are now completed with more than 12 months of room temperature shelf-stability. The anticipated PDUFA date for this application is prior to June 30, 2025. Work is ongoing to prepare the module 3 manufacturing section documenting our transition from manufacturing at WuXi Apptec in Shanghai to manufacturing of NRX-101 in the United States.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accepted a non-binding offer from a commercial pharmaceutical company to license and distribute NRX-100 (preservative-free ketamine) that provides for $325 million in potential milestones plus a sliding scale royalty that ranges from 11% - 16% of sales.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retained counsel to file a citizen’s petition with the FDA to remove benzethonium chloride, a known neurotoxic substance from presentations of ketamine intended for intravenous use. Management believes that the preservative-free feature of NRX-100 will be deemed of benefit to patients because of the known toxicity of benzethonium chloride in current generic products.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filed module 3 (manufacturing) of its NDA for NRX-100 (preservative-free sterile ketamine) in a tamper-resistant, diversion resistant packaging presentation. NRX-100 was previously granted Fast Track Designation by FDA in combination with use of NRX-101. Ketamine efficacy data is in hand from four clinical trials. Three manufacturing lots are now completed with filed stability data suitable for shelf life exceeding two years at room temperature. The anticipated PDUFA date for this settlement is prior to December 30, 2025. We also anticipate filing an Abbreviated New Drug Application (“ANDA”) for the use of preservative-free ketamine in all currently-indicated clinical applications.</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next-generation product, we developed a novel, patentable pH neutral formulation for ketamine (designed as HTX-100) that will be suitable for both intravenous and subcutaneous administration. Initial laboratory lots demonstrate shelf stability and ongoing stability is being assessed. Ketamine in its current commercial presentations cannot be administered subcutaneously because of its high acidic (pH 3.5-4.0) properties, an acidity range that is known to cause pain and skin ulcers. We anticipate that this product will begin clinical testing in by 2026.</w:t>
      </w:r>
    </w:p>
    <w:p>
      <w:pPr>
        <w:spacing w:after="0" w:line="20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NRX-101 in the treatment of Complicated Urinary Tract Infection (“cUTI”) was granted Qualified Infectious Disease Product (“</w:t>
      </w:r>
      <w:r>
        <w:rPr>
          <w:rFonts w:ascii="Times New Roman" w:cs="Times New Roman" w:eastAsia="Times New Roman" w:hAnsi="Times New Roman"/>
          <w:sz w:val="18"/>
          <w:szCs w:val="18"/>
          <w:i w:val="1"/>
          <w:iCs w:val="1"/>
          <w:color w:val="auto"/>
        </w:rPr>
        <w:t>QIDP</w:t>
      </w:r>
      <w:r>
        <w:rPr>
          <w:rFonts w:ascii="Times New Roman" w:cs="Times New Roman" w:eastAsia="Times New Roman" w:hAnsi="Times New Roman"/>
          <w:sz w:val="18"/>
          <w:szCs w:val="18"/>
          <w:color w:val="auto"/>
        </w:rPr>
        <w:t xml:space="preserve">”), Fast Track, and Priority Review designations. We have now demonstrated that NRX-101 does not damage the microbiome of the gut, in contrast to all other advanced antibiotics and is less likely to cause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infection (a potentially lethal side effect of antibiotic treatment). NRx is reviewing partnership options.</w:t>
      </w:r>
    </w:p>
    <w:p>
      <w:pPr>
        <w:spacing w:after="0" w:line="208"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 Memorandum of Understanding with Foundation FundaMental for rights to develop a potential disease modifying drug for schizophrenia, autism, and acute mania. If successful, this would represent the first drug to reverse the underlying disease mechanism of these conditions, rather than simply treating symptoms.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HOPE Therapeutics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partnered with representatives of ketamine clinic operators to construct a care platform that will include ketamine, operational support, and digital therapeutic extensions. In advance of FDA approval, HOPE anticipates that it will supply ketamine under 503b pharmacy licensure to meet the national ketamine shortage declared by FDA;</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signed non-binding letters of intent to acquire three precision psychiatry centers, the closing of which is subject to execution of definitive agreements. We are also currently negotiating the terms and conditions for the acquisition of six other psychiatry centers, which are subject to due diligence review and execution of definitive agreements. Upon closing, the acquisitions will form the foundation for the development of HOPE to achieve our objective of creating a national network offering interventional psychiatry to treat suicidal depression and PTSD;</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BTIG, a leading investment bank, to support us in identifying and acquiring additional clinic candidates to join the HOPE network, sufficient to achieve management’s forecasted revenue targets by year-end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acquisition targets have contracts with the Veterans Administration for the treatment of depression and, assuming closing of our previously announced acquisitions, we expect to expand to the treatment of PTSD by year-end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227"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In November 2022, the Company issued a Convertible Promissory Note to Streeterville, LLC (“Streeterville Notes”) as previously disclosed. In March 2024, Streeterville deemed a proposed dividend of HOPE shares to constitute a basis of default under the Streeterville Notes. Subsequent arbitration found that the proposed HOPE dividend was not a basis for default. In August 2024 the Company signed a settlement agreement with Streeterville to redeem the Streeterville Notes at a discount to the amounts claimed and completed payments of $5.55 million in satisfaction of all claims under the Streeterville Notes in October 2024.</w:t>
      </w:r>
    </w:p>
    <w:p>
      <w:pPr>
        <w:spacing w:after="0" w:line="183"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On March 28, 2024, the Company filed with the Secretary of State of the State of Delaware a Certificate of Amendment to the Company’s Second Amended and Restated Certificate of Incorporation (the “Charter Amendment”) to effect a 1-for-10 reverse stock split (the “Reverse Stock Split”) of the Company’s Common Stock, which Reverse Stock Split was effective as of April 1, 2024. All references in this Annual Report to number of common shares, price per share and weighted average number of shares outstanding have been adjusted to reflect the Reverse Split on a retroactive basis.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The Company has two lead compounds today, NRX-100, a proprietary presentation of ketamine and NRX-101, a patented fixed-dose combination of D-cycloserine and lurasidone. Both products have Fast Track designation from the FDA for the treatment of suicidal bipolar depression. NRX-101 additionally has Breakthrough Therapy Designation and a Biomarker Letter of Support from the FDA for this purpose. To the Company’s knowledge, NRX-101 is the only oral antidepressant demonstrated to reduce suicidal ideation in a phase 2 trial.</w:t>
      </w:r>
    </w:p>
    <w:p>
      <w:pPr>
        <w:spacing w:after="0" w:line="180"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For mechanistic reasons unrelated to its central nervous system N-methyl-D-aspartate (“CNS NMDA”) antagonist properties, NRX-101 interferes with cell wall formation in certain bacteria, rendering it a potent antibiotic and is demonstrated to kill certain treatment-resistant urinary tract bacteria. Accordingly, NRX-101 has been awarded Qualified Infectious Disease Product Designation and Fast Track Designation by the FDA to treat Complicated Urinary Tract Infection and Pyelonephritis. Our strategy is to apply innovative science to known molecules in the pursuit of therapies for high unmet needs, including lethal conditions (NeuroRx) and to distribute ketamine and ancillary therapies to qualified clinics and practitioners who treat patients with suicidal depression (HOPE). The Company has announced plans to spin off HOPE to a freestanding company, to be owned by the Company, current investors in the Company, and future investors.</w:t>
      </w:r>
    </w:p>
    <w:p>
      <w:pPr>
        <w:spacing w:after="0" w:line="189"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NeuroRx was founded in 2015 by Professors Jonathan Javitt, MD, MPH and Daniel Javitt, PhD, MD, as a privately-funded R&amp;D company targeting psychiatry drug development and attracted sufficient capital to enter phase 2b/3 research in 2016. The Company was forced to suspend CNS drug development in January 2020, due to the COVID pandemic. However, activities related to development of COVID drugs (as disclosed in prior filings) enabled the Company to continue operations and attract capital to return to CNS development.</w:t>
      </w:r>
    </w:p>
    <w:p>
      <w:pPr>
        <w:spacing w:after="0" w:line="180"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The COVID lockdown ended in March 2022 and the Company’s Board unanimously voted to return NRx’s focus to CNS drug development and to recruit a new Chief Executive Officer with legal and business skills that would complement the scientific strength of the Company’s Founder, Chairman, and Chief Scientist. Subsequently, in June 2022, the NIH trial announced futility in its attempt to replicate the survival benefit reported for Aviptadil in patients on ventilators for COVID-19 and subsequently disclosed its failure to fully treat 30% of those randomized to Aviptadil. The trial could not be restarted because it was unrecruitable in the aftermath of the pandemic. In December 2022, the Company agreed to return all Aviptadil assets to Relief in exchange for a commitment by Relief to use commercially-reasonable efforts to develop Aviptadil and to pay NRx more than $30 million in royalties and milestones from its future success, if any.</w:t>
      </w:r>
    </w:p>
    <w:p>
      <w:pPr>
        <w:spacing w:after="0" w:line="189"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In December 2023, the Company’s reorganized Board of Directors re-elected Dr. Javitt as its Chairman. At the same time, the Company announced its plan to form HOPE Therapeutics as a specialty pharmaceutical company to develop a clinical market for ketamine and other treatments for suicidal depression. In November 2024, the Board asked Dr. Javitt to return as interim CEO and appointed him CEO in December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2024 SPA</w:t>
      </w:r>
    </w:p>
    <w:p>
      <w:pPr>
        <w:spacing w:after="0" w:line="227"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On August 12, 2024, the Company executed a Securities Purchase Agreement (the “August SPA”) and related agreements, under which the Company agreed to sell and issue, and certain purchasers agreed to purchase, an aggregate of $16.3 million of securities. The consideration payable by the purchasers under the August SPA will be comprised of three equal closings of $5.435 million, each subject to certain closing conditions. The securities to be issued and sold by the Company include up to $16.3 million of senior secured convertible notes (the “Notes”) and warrants to purchase shares of the Company’s common stock (the “Warrants”). The proceeds arising from the sale of the Notes and the Warrants were used to settle the Company’s outstanding amounts owed to Streeterville (as defined below) and other working capital needs. The Company has, as of the date of this Annual Report, consummated the first tranche, second tranche, and third tranche under the August SPA, with gross proceeds to the Company of $16.3 million.</w:t>
      </w:r>
    </w:p>
    <w:p>
      <w:pPr>
        <w:spacing w:after="0" w:line="189"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The Notes bear interest at the rate of 6% per annum and mature in 15 months following their date of issuance. The Notes may be settled in cash or in shares of the Company’s common stock, at the sole discretion of the holder, at the applicable conversion price. The Notes may not be prepaid by the Company however, the holders of the Notes may elect to convert the Notes, in whole or in part, into shares of the Company’s common stock at any time after the original issuance date. The conversion price: (A) for the Notes issued in the first tranche will equal the lower of (i) $2.4168, or (ii) a price equal to 92% of the lowest volume-weighted average price during the seven-trading day period immediately preceding the applicable conversion date (the “Alternative Conversion Price”); (B) for the Notes issued in the second tranche will equal the lower of (i) $1.766, or (ii) the Alternative Conversion Price; and (C) for the Notes issued in the third tranche will equal the lower of (i) $3.78, or (ii) the Alternative Conversion Price. The Notes include certain redemption, protection features and default interest and penalties. The Notes are secured by all assets of the Company, including its intellectual property.</w:t>
      </w:r>
    </w:p>
    <w:p>
      <w:pPr>
        <w:spacing w:after="0" w:line="192" w:lineRule="exact"/>
        <w:rPr>
          <w:sz w:val="20"/>
          <w:szCs w:val="20"/>
          <w:color w:val="auto"/>
        </w:rPr>
      </w:pPr>
    </w:p>
    <w:p>
      <w:pPr>
        <w:jc w:val="both"/>
        <w:ind w:firstLine="522"/>
        <w:spacing w:after="0" w:line="282" w:lineRule="auto"/>
        <w:rPr>
          <w:sz w:val="20"/>
          <w:szCs w:val="20"/>
          <w:color w:val="auto"/>
        </w:rPr>
      </w:pPr>
      <w:r>
        <w:rPr>
          <w:rFonts w:ascii="Times New Roman" w:cs="Times New Roman" w:eastAsia="Times New Roman" w:hAnsi="Times New Roman"/>
          <w:sz w:val="18"/>
          <w:szCs w:val="18"/>
          <w:color w:val="auto"/>
        </w:rPr>
        <w:t>The Warrants have a term of 5 years, an exercise price of $2.4168 per share for the Warrants issued in the first tranche, $1.766 per share for the Warrants issued in the second tranche, and $3.78 per share for the Warrants issued in the third tranche.</w:t>
      </w:r>
    </w:p>
    <w:p>
      <w:pPr>
        <w:spacing w:after="0" w:line="162" w:lineRule="exact"/>
        <w:rPr>
          <w:sz w:val="20"/>
          <w:szCs w:val="20"/>
          <w:color w:val="auto"/>
        </w:rPr>
      </w:pPr>
    </w:p>
    <w:p>
      <w:pPr>
        <w:jc w:val="both"/>
        <w:ind w:firstLine="522"/>
        <w:spacing w:after="0" w:line="252" w:lineRule="auto"/>
        <w:rPr>
          <w:sz w:val="20"/>
          <w:szCs w:val="20"/>
          <w:color w:val="auto"/>
        </w:rPr>
      </w:pPr>
      <w:r>
        <w:rPr>
          <w:rFonts w:ascii="Times New Roman" w:cs="Times New Roman" w:eastAsia="Times New Roman" w:hAnsi="Times New Roman"/>
          <w:sz w:val="18"/>
          <w:szCs w:val="18"/>
          <w:color w:val="auto"/>
        </w:rPr>
        <w:t>On January 27, 2025, the Company and the Investors entered into a Consent and Waiver Agreement (the “CWA”), relating to certain rights and prohibitions arising under the August SPA and the Notes. In the CWA, each of the Investors provided its consent under certain restrictive provisions, and waived certain rights, including, among other things, a right to participate in certain Qualified Financings (as defined in the CWA) made by us under the August SPA and the Notes, the prohibition on issuance of certain equity securities, and waiver of any potential liquidated damages arising under that certain Registration Rights Agreement by and between the Company and the Investors dated August 14, 2024, until March 31, 2025. As consideration for entering into the CWA, in the event that the VWAP of the common stock is less than the per share purchase price of the common stock sold to the Investors in the Registered Direct Offering on the Trading Day (as defined in the RD Purchase Agreement) immediately prior to the date that the Investors submit their first conversion notice to convert any portion of the Notes issued or to be issued in the Second Closing (as defined in the August SPA) or the Third Closing (as defined in the August SPA), respectively, into shares of common stock, the Company agreed to issue to the Investors: (i) that number of shares of common stock equal to (a) the quotient of (I) aggregate purchase price to be paid for all securities in the Registered Direct Offering, divided by (II) the price per share of common stock after giving effect to the VWAP-Based Adjustment (as defined below), minus (b) the number of shares of common stock issued, or to be issued, to the Investors at or upon the consummation of the Registered Direct Offering (the “Consideration Shares”), and (ii) common stock purchase warrants to purchase shares of common stock equal to 100% of the aggregate number of Consideration Shares to be issued, with an exercise price equal to the dollar value of the VWAP-Based Adjustment (the “Consideration Warrants”). For purposes of the CWA, the “VWAP Based-Adjustment” means that amount, in dollars, equal to the greater of either (a) the VWAP of the common stock on the Trading Day immediately prior to the date that the Investors submit their first conversion notice to convert any portion of the Notes issued and to be issued in the Second Closing or Third Closing into shares of the Company’s common stock, or (b) 80% of the closing price of the common stock on the Trading Day immediately prior to the closing of the Registered Direct Offering, subject to adjustment as more specifically set forth in the Warrants, and are exercisable immediately upon issuance.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2024 Offering</w:t>
      </w:r>
    </w:p>
    <w:p>
      <w:pPr>
        <w:spacing w:after="0" w:line="227"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On April 18, 2024, the Company entered into an underwriting agreement (the “April Underwriting Agreement”) with EF Hutton LLC (the “Representative”), as the representative of the several underwriters named therein (the “April Underwriters”), relating to an underwritten public offering (the “April 2024 Public Offering”) of 607,000 shares (the “April Shares”) of common stock. The public offering price for each share of common stock was $3.30. On April 19, 2024, the offering closed. Aggregated proceeds from the offering were approximately $2.4 million (including proceeds from the exercise of the over-allotment option granted to the Representative, as more fully described below), before deducting underwriting discounts and commission and estimated expenses payable by the Company.</w:t>
      </w:r>
    </w:p>
    <w:p>
      <w:pPr>
        <w:spacing w:after="0" w:line="187"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Pursuant to the April Underwriting Agreement and the engagement letter dated April 18, 2024, by and between the Company and Representative, the Company agreed to issue to the Representative in connection with the April Offering, a warrant to purchase up to a number of shares of common stock representing 5.0% of the Shares and any April Option Shares (as defined below) sold, at an initial exercise price of $3.63 per share, subject to certain adjustments (the “April Underwriter's Warrant”). On April 19, 2024, the Company issued to the Representative the April Underwriter's Warrant to purchase up to 30,350 shares of common stock. The April Underwriter's Warrants and Over-Allotment Warrants is exercisable nine months following the date of the Underwriting Agreement and terminates on the five-year anniversary of the date of the April Underwriting Agreement.</w:t>
      </w:r>
    </w:p>
    <w:p>
      <w:pPr>
        <w:spacing w:after="0" w:line="187"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Pursuant to the April Underwriting Agreement, the Company also granted the Representative a 45-day option to purchase up to an additional 91,050 shares (the “April Option Shares”) of the common stock on the same terms as the April Shares sold in the April 2024 Public Offering (the “April Over-Allotment Option”). In connection with the April Overallotment Exercise, we issued an additional April Underwriter's Warrant to purchase up to 4,553 shares of common stock. The April Overallotment Exercise was exercised in full and closed.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 Agreement</w:t>
      </w:r>
    </w:p>
    <w:p>
      <w:pPr>
        <w:spacing w:after="0" w:line="227"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On April 15, 2024, the Company increased the maximum aggregate offering amount of the shares of common stock issuable under that certain At the Market Offering Agreement, dated August 14, 2023 (the “</w:t>
      </w:r>
      <w:r>
        <w:rPr>
          <w:rFonts w:ascii="Times New Roman" w:cs="Times New Roman" w:eastAsia="Times New Roman" w:hAnsi="Times New Roman"/>
          <w:sz w:val="18"/>
          <w:szCs w:val="18"/>
          <w:i w:val="1"/>
          <w:iCs w:val="1"/>
          <w:color w:val="auto"/>
        </w:rPr>
        <w:t>Offering Agreement</w:t>
      </w:r>
      <w:r>
        <w:rPr>
          <w:rFonts w:ascii="Times New Roman" w:cs="Times New Roman" w:eastAsia="Times New Roman" w:hAnsi="Times New Roman"/>
          <w:sz w:val="18"/>
          <w:szCs w:val="18"/>
          <w:color w:val="auto"/>
        </w:rPr>
        <w:t>”), with H.C. Wainwright &amp; Co., and filed a prospectus supplement (the “</w:t>
      </w:r>
      <w:r>
        <w:rPr>
          <w:rFonts w:ascii="Times New Roman" w:cs="Times New Roman" w:eastAsia="Times New Roman" w:hAnsi="Times New Roman"/>
          <w:sz w:val="18"/>
          <w:szCs w:val="18"/>
          <w:i w:val="1"/>
          <w:iCs w:val="1"/>
          <w:color w:val="auto"/>
        </w:rPr>
        <w:t>Current Prospectus Supplement</w:t>
      </w:r>
      <w:r>
        <w:rPr>
          <w:rFonts w:ascii="Times New Roman" w:cs="Times New Roman" w:eastAsia="Times New Roman" w:hAnsi="Times New Roman"/>
          <w:sz w:val="18"/>
          <w:szCs w:val="18"/>
          <w:color w:val="auto"/>
        </w:rPr>
        <w:t>”) under the Offering Agreement for an aggregate of $4.9 million (the “</w:t>
      </w:r>
      <w:r>
        <w:rPr>
          <w:rFonts w:ascii="Times New Roman" w:cs="Times New Roman" w:eastAsia="Times New Roman" w:hAnsi="Times New Roman"/>
          <w:sz w:val="18"/>
          <w:szCs w:val="18"/>
          <w:i w:val="1"/>
          <w:iCs w:val="1"/>
          <w:color w:val="auto"/>
        </w:rPr>
        <w:t>ATM Offering</w:t>
      </w:r>
      <w:r>
        <w:rPr>
          <w:rFonts w:ascii="Times New Roman" w:cs="Times New Roman" w:eastAsia="Times New Roman" w:hAnsi="Times New Roman"/>
          <w:sz w:val="18"/>
          <w:szCs w:val="18"/>
          <w:color w:val="auto"/>
        </w:rPr>
        <w:t>”). On August 14, 2024, the Company reduced the amount to under the Offering Agreement to $0 and suspended the ATM Offering. Though December 31, 2024, the Company received aggregate net cash proceeds to the Company from the ATM Offering of approximately $1.6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Offerings</w:t>
      </w:r>
    </w:p>
    <w:p>
      <w:pPr>
        <w:spacing w:after="0" w:line="227"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On February 27, 2024, we entered into an underwriting agreement (the “February Underwriting Agreement”) with the Representative (as defined above), as the representative of the several underwriters named therein (the “February Underwriters”), relating to an underwritten public offering (the “February 2024 Public Offering”) of 500,000 shares (the “February Shares”) of the Company’s common stock. The public offering price for each share of common stock was $3.00, and the February Underwriters purchased the shares of common stock pursuant to the February Underwriting Agreement at a price for each share of common stock of $2.76. On February 28, 2024, the February 2024 Public offering closed. Aggregate gross proceeds from the February 2024 Public Offering were approximately $1.7 million (including proceeds from the exercise of the over-allotment option granted to the Representative, as more fully described below), before deducting underwriting discounts and commissions and estimated expenses payable by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Pursuant to the February Underwriting Agreement and the engagement letter, dated as of February 22, 2024, by and between the Company and the Representative, the Company agreed to issue to the Representative in connection with the February 2024 Public Offering, a warrant to purchase up to a number of shares of common stock representing 5.0% of the shares of common stock and any February Option Shares (as defined below) sold, at an initial exercise price of $3.30 per share, subject to certain adjustments (the “February Underwriter’s Warrant”). On February 28, 2024, the Company issued to the Representative the February Underwriter’s Warrant to purchase up to 25,000 shares of common stock. The February Underwriter’s Warrant is exercisable six months following the date of the February Underwriting Agreement and terminates on the five-year anniversary of the date of the February Underwriting Agreement.</w:t>
      </w:r>
    </w:p>
    <w:p>
      <w:pPr>
        <w:spacing w:after="0" w:line="189"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Pursuant to the February Underwriting Agreement, the Company also granted the Representative a 45-day option to purchase up to an additional 75,000 shares (the “February Option Shares”) of the common stock on the same terms as the February Shares sold in the February 2024 Public Offering (the “February Over-Allotment Option”). On March 5, 2024, the February Underwriters exercised the February Over-Allotment Option to purchase the February Option Shares. In connection with the February Overallotment Exercise, we issued an additional February Underwriter’s Warrant to purchase up to 3,750 shares of common stock. The February Overallotment Exercise closed on March 6, 2024.</w:t>
      </w:r>
    </w:p>
    <w:p>
      <w:pPr>
        <w:spacing w:after="0" w:line="183"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On February 29, 2024, we entered into a securities purchase agreement with an investor providing for the issuance and sale of 270,000 shares of common stock and warrants to purchase up to 270,000 shares of common stock (the “February Warrants”) at a price of $3.80 per share of common stock and accompanying warrant, which represents a 26.7% premium to the offering price in February 2024 Public Offering. The common stock and the February Warrants were offered pursuant to a private placement (the “February 2024 Private Placement”) under Section 4(a)(2) of the Securities Act. The February Warrants will have an exercise price of $3.80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Financings</w:t>
      </w:r>
    </w:p>
    <w:p>
      <w:pPr>
        <w:spacing w:after="0" w:line="229"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As set forth below, subsequent to December 31, 2024, the Company secured $8.5 million in new financing and anticipates supplementing existing capital with commercial credit and strategic investments sufficient to satisfy our working capital requirements through the end of the fiscal year ending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Securities Purchase Agreement</w:t>
      </w:r>
    </w:p>
    <w:p>
      <w:pPr>
        <w:spacing w:after="0" w:line="227"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On or about January 27, 2025, the Company entered into a securities purchase agreement (the “RD Purchase Agreement”) with certain accredited investors (the “Investors”) for the sale by the Company of 1,215,278 shares (the “RD Shares”) of common stock to the Investors, at a purchase price of $2.88 per share, in a registered direct offering (the “Registered Direct Offering”). Concurrently with the sale of the RD Shares, pursuant to the RD Purchase Agreement the Company also sold to the Investors unregistered common stock purchase warrants (the “RD Warrants”) to purchase up to an aggregate of 1,215,278 shares of common stock (the “RD Warrant Shares”), in a private placement. Subject to certain beneficial ownership limitations, the RD Warrants are immediately exercisable upon issuance at an exercise price equal to $2.88 per share of common stock, subject to adjustments as provided under the terms of the RD Warrants. The RD Warrants are exercisable for five years from the RD Closing Date (as defined below). The closing of the sales of these securities under the RD Purchase Agreement occurred on or about January 29, 2025 (the “RD Closing Date”).</w:t>
      </w:r>
    </w:p>
    <w:p>
      <w:pPr>
        <w:spacing w:after="0" w:line="192"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gross proceeds to the Company from the offerings were approximately $3,500,000, before deducting offering expenses, and excluding the proceeds, if any, from the exercise of the RD Warrants. The Company intends to use the net proceeds from the transactions for general corporate purposes, including the funding of certain capital expenditures.</w:t>
      </w:r>
    </w:p>
    <w:p>
      <w:pPr>
        <w:spacing w:after="0" w:line="176"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RD Shares were offered and sold by the Company pursuant to an effective shelf registration statement on Form S-3, which was filed with the SEC on June 9, 2022, and subsequently declared effective on June 21, 2022 (File No. 333-265492) (the “Registration Statement”), and the base prospectus dated as of June 21, 2022, contained therein.</w:t>
      </w:r>
    </w:p>
    <w:p>
      <w:pPr>
        <w:spacing w:after="0" w:line="176"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RD Warrants and the RD Warrant Shares were sold and issued without registration under the Securities Act of 1933, as amended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Proposed Strategic Investment and Commercial Funding</w:t>
      </w:r>
    </w:p>
    <w:p>
      <w:pPr>
        <w:spacing w:after="0" w:line="227"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The Company is currently in negotiations with a publicly-traded entity engaged in the manufacture of FDA-cleared devices for Transcranial Magnetic Stimulation to provide acquisition capital to support the expansion of HOPE, and is currently in negotiations with several commercial banks to provide additional acquisition financing for HOPE. Although no assurances can be given, assuming consummation of the financings on terms currently contemplated by management, we will achieve our objective of financing less than 50% of the proposed acquisition costs, thereby enabling the Company to optimize its cost of acquisition capital as it expands the HOPE clinic network.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Terminated January 2025 Financing</w:t>
      </w:r>
    </w:p>
    <w:p>
      <w:pPr>
        <w:spacing w:after="0" w:line="227"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The Company was a party to definitive stock purchase agreements with an Arizona-based investment firm, Smith and Sauer, through their affiliate, JGS Holdings, LLC (“JGS Holdings”) whereby JGS Holdings committed to invest $2.0 million in NRx’s common stock, with an additional commitment of $25.0 million to be invested directly in HOPE. JGS Holdings defaulted under the terms of the agreements, despite several extensions of the closing date. The Company formally terminated the stock purchase agreement on March 13, 2025. Although no assurances can be given, management is currently negotiating with an alternative strategic investor to replace the investment contemplated with JGS Holdings, and, together with alternative sources of equity and debt capital, management believes it will able to fund its previously announced acquisitions on terms more favorable to our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229"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Since inception, NRx has incurred significant operating losses. For the years ended December 31, 2024 and 2023, NRx Pharmaceuticals’ net loss was $25.1 million and $30.2 million, respectively. As of December 31, 2024, NRx Pharmaceuticals had an accumulated deficit of $278.3 million, a stockholders’ deficit of $23.5 million and a working capital deficit of $18.8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522"/>
        <w:spacing w:after="0" w:line="253" w:lineRule="auto"/>
        <w:rPr>
          <w:sz w:val="20"/>
          <w:szCs w:val="20"/>
          <w:color w:val="auto"/>
        </w:rPr>
      </w:pPr>
      <w:r>
        <w:rPr>
          <w:rFonts w:ascii="Times New Roman" w:cs="Times New Roman" w:eastAsia="Times New Roman" w:hAnsi="Times New Roman"/>
          <w:sz w:val="18"/>
          <w:szCs w:val="18"/>
          <w:color w:val="auto"/>
        </w:rPr>
        <w:t>The Company’s ongoing clinical activities continue to generate losses and net cash outflows from operations. The Company plans to pursue additional equity or debt financing or refinancing opportunities in 2025 to fund ongoing clinical activities, to meet obligations under its current debt arrangements and for the general corporate purposes of the Company.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We will continue to carefully monitor the impact of our continuing operations on our working capital needs and debt repayment obligations. As such, the Company has concluded that substantial doubt exists about the Company’s ability to continue as a going concern for a period of at least twelve months from the date of issuance of these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522"/>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Requirements</w:t>
      </w:r>
    </w:p>
    <w:p>
      <w:pPr>
        <w:spacing w:after="0" w:line="229"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On July 20, 2023, we received a written notification (the “Notice”) from the Nasdaq Stock Market LLC (“Nasdaq”) indicating that NRx Pharmaceuticals is not in compliance with Nasdaq Listing Rule 5450(b)(2)(A) – Market Value of Listed Securities (“MVLS”) because the Company had not maintained a minimum MVLS of $50,000,000 for the last thirty-three (33) consecutive business days. Pursuant to Nasdaq Listing Rule 5810(c)(3)(C), we have been provided an initial compliance period of 180 calendar days, or until January 22, 2024, to regain compliance with the MVLS requirement. To regain compliance, our MVLS must meet or exceed $50,000,000 for a minimum period of ten consecutive business days prior to January 22, 2024. If we do not regain compliance within the allotted compliance period Nasdaq will provide notice that our shares of common stock will be subject to delisting and may potentially be traded on the Over-the-Counter market thereafter.</w:t>
      </w:r>
    </w:p>
    <w:p>
      <w:pPr>
        <w:spacing w:after="0" w:line="189" w:lineRule="exact"/>
        <w:rPr>
          <w:sz w:val="20"/>
          <w:szCs w:val="20"/>
          <w:color w:val="auto"/>
        </w:rPr>
      </w:pPr>
    </w:p>
    <w:p>
      <w:pPr>
        <w:jc w:val="both"/>
        <w:ind w:firstLine="522"/>
        <w:spacing w:after="0" w:line="253" w:lineRule="auto"/>
        <w:rPr>
          <w:sz w:val="20"/>
          <w:szCs w:val="20"/>
          <w:color w:val="auto"/>
        </w:rPr>
      </w:pPr>
      <w:r>
        <w:rPr>
          <w:rFonts w:ascii="Times New Roman" w:cs="Times New Roman" w:eastAsia="Times New Roman" w:hAnsi="Times New Roman"/>
          <w:sz w:val="18"/>
          <w:szCs w:val="18"/>
          <w:color w:val="auto"/>
        </w:rPr>
        <w:t>On October 17, 2023, we received formal notice from the Nasdaq Listing Qualifications Staff (the “Staff”) indicating that, based upon our non-compliance with the minimum bid price requirement for continued listing on The Nasdaq Global Market, as set forth in Nasdaq Listing Rule 5550(a)(2) (the “Rule”), our securities were subject to delisting unless we timely request a hearing before the Nasdaq Hearings Panel (the “Panel”), which such hearing was timely requested and subsequently held on January 4, 2024. On January 16, 2024, the Panel granted our request for an exception to the Nasdaq Listing Rules until April 16, 2024, to demonstrate compliance with the Minimum Bid Price Requirement, subject to our filing all necessary documentation required to transfer our listing from the Nasdaq Global Market to the Nasdaq Capital Market on or before January 19, 2024, and our demonstrating compliance with the Minimum Bid Price Requirement on or before April 16, 2024. On February 1, 2024, the Nasdaq Stock Market informed us that it had approved our application to transfer our listing to the Nasdaq Capital Market. Our securities were transferred from the Nasdaq Global Market to the Nasdaq Capital Market at the opening of business on January 19, 2024. The Company subsequently established compliance with the Nasdaq Market Value of Listed Securities requirement and was notified of this by the Nasdaq.</w:t>
      </w:r>
    </w:p>
    <w:p>
      <w:pPr>
        <w:spacing w:after="0" w:line="194"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On August 6, 2024, we received a written notification from the Staff indicating that we were not in compliance with Nasdaq Listing Rule 5550(b)(2) because we had not maintained a minimum MVLS of $35,000,000 for the previous 33 consecutive business days. We were provided an initial compliance period of 180 calendar days, or until February 3, 2025, to regain compliance with the minimum MVLS requirement. On January 17, 2025, the Company received a written notice from Nasdaq that the Company had regained compliance with the minimum market value of listed securities requirement under Nasdaq Listing Rule 5550(b)(2).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The Company’s research and development expense consists primarily of costs associated with its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52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consists primarily of salaries, stock-based compensation, consultant fees, and professional fees for legal and accounting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(income) expense</w:t>
      </w:r>
    </w:p>
    <w:p>
      <w:pPr>
        <w:spacing w:after="0" w:line="227"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Settlement expense during the year ended December 31, 2023 consists of settlement expenses related to the NeuroRx and GEM settlement and release agreement (the “Settlement Agreement”). See Note 8 “Commitment and Contingencies” of the notes to the Company’s consolidated financial statements included elsewhere in this report for further information.</w:t>
      </w:r>
    </w:p>
    <w:p>
      <w:pPr>
        <w:spacing w:after="0" w:line="176"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Settlement income during the year ended December 31, 2024 consists of settlement income related to the Company’s costs related to clinical trials with a specific vendor. A closing cost adjustment was applied to these clinical trial and research expenses, resulting in the issuance of a credit memo for approximately $1.2 million, significantly lower than the original billing.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selected statements of operations data for the following periods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326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63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Pr>
          <w:p>
            <w:pPr>
              <w:spacing w:after="0"/>
              <w:rPr>
                <w:sz w:val="18"/>
                <w:szCs w:val="18"/>
                <w:color w:val="auto"/>
              </w:rPr>
            </w:pPr>
          </w:p>
        </w:tc>
      </w:tr>
      <w:tr>
        <w:trPr>
          <w:trHeight w:val="209"/>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jc w:val="right"/>
              <w:ind w:right="75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6,199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13,371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(7,172)</w:t>
            </w: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13,505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(income) expense</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(1,452)</w:t>
            </w:r>
          </w:p>
        </w:tc>
      </w:tr>
      <w:tr>
        <w:trPr>
          <w:trHeight w:val="20"/>
        </w:trPr>
        <w:tc>
          <w:tcPr>
            <w:tcW w:w="6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18,502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(9,335)</w:t>
            </w: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880" w:type="dxa"/>
            <w:vAlign w:val="bottom"/>
          </w:tcPr>
          <w:p>
            <w:pPr>
              <w:jc w:val="right"/>
              <w:ind w:right="75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(18,502)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(27,837)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9,335</w:t>
            </w:r>
          </w:p>
        </w:tc>
      </w:tr>
      <w:tr>
        <w:trPr>
          <w:trHeight w:val="209"/>
        </w:trPr>
        <w:tc>
          <w:tcPr>
            <w:tcW w:w="63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 default penalty</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 payable and accrued interest</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1,677</w:t>
            </w: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convertible note redemptions</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0"/>
        </w:trPr>
        <w:tc>
          <w:tcPr>
            <w:tcW w:w="6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4,311</w:t>
            </w: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ind w:right="75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(25,126)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(30,150)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5,024</w:t>
            </w:r>
          </w:p>
        </w:tc>
      </w:tr>
      <w:tr>
        <w:trPr>
          <w:trHeight w:val="20"/>
        </w:trPr>
        <w:tc>
          <w:tcPr>
            <w:tcW w:w="6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the Company recorded $6.2 million of research and development expense compared to approximately $13.4 million for the year ended December 31, 2023. The decrease of $7.2 million is related primarily to a decrease of $7.6 million in clinical trials and development expense due to the conclusion of the phase 2 study related to NRX-101 and the Company's cash conservation efforts, $0.3 million in shipping, freight, and delivery, $0.1 million in other regulatory and process development costs, and $0.4 million in payroll and payroll related expenses, partially offset by an increase in $1.3 million related to Alvogen warrants and $0.3 million related to stock based compensation. The research and development expenses for the years ended December 31, 2024 and 2023, respectively, include $0.1 million and ($0.2) million, respectively, of non-cash stock-based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NRx Pharmaceuticals recorded $13.5 million of general and administrative expenses compared to approximately $14.2 million for the year ended December 31, 2023. The decrease of $0.7 million is related primarily to a decrease of $2.2 million in insurance expense, $1.3 million in employee expense, $0.2 million in stock-based compensation expense, and $0.2 million in patent expense, partially offset by an increase of $1.6 million in consultant fees, and $1.3 million in legal expense. The general and administrative expenses for the years ended December 31, 2024 and 2023, respectively, include $0.4 million and $0.6 million, respectively, of non-cash stock-based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recorded less than $0.1 million of interest income compared to approximately $0.5 million of interest income for the year ended December 31, 2023. The decrease of $0.5 million is due to a large decrease in the balance in the Company’s money market account at December 31, 2024 as compared to the prior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right="20" w:firstLine="52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recorded $0.2 million of interest expense, compared to $0.1 million of interest expense for the year ended December 31, 2023. The increase of $0.1 million is due to premiums for cash payments on the convertible note.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default penalty</w:t>
      </w:r>
    </w:p>
    <w:p>
      <w:pPr>
        <w:spacing w:after="0" w:line="227" w:lineRule="exact"/>
        <w:rPr>
          <w:sz w:val="20"/>
          <w:szCs w:val="20"/>
          <w:color w:val="auto"/>
        </w:rPr>
      </w:pPr>
    </w:p>
    <w:p>
      <w:pPr>
        <w:jc w:val="both"/>
        <w:ind w:right="20" w:firstLine="52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recorded $0.8 million of a default penalty, compared to $0 for the year ended December 31, 2023. The increase is due to alleged default in connection with the Streeterville convertible note.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convertible note payable</w:t>
      </w:r>
    </w:p>
    <w:p>
      <w:pPr>
        <w:spacing w:after="0" w:line="227"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recorded a loss of approximately $2.7 million related to the change in fair value of the convertible notes payable which are accounted for under the fair value option. For the year ended December 31, 2023, the Company recorded a loss of approximately $2.7 million related to the change in fair value of the convertible note payable which is accounted for under the fair value 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27"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recorded a loss of $1.7 million related to the change in fair value of the warrant liabilities compared to a gain of less than $0.1 million for the year ended December 31, 2023. The increase in loss during the year ended December 31, 2024 was attributed to the warrants issued in conjunction with the First and the Second Trenches of the Anson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convertible note redemptions</w:t>
      </w:r>
    </w:p>
    <w:p>
      <w:pPr>
        <w:spacing w:after="0" w:line="227"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For year ended December 31, 2024, the Company recorded a loss of $1.3 million related to convertible note redemptions calculated as the difference between the redemption price as calculated as per the terms of the Anson and Streeterville Notes (See Note 7) relative to the fair value of the common stock on the date of redemption.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The Company has generated no revenues, has incurred operating losses since inception, expects to continue to incur significant operating losses for the foreseeable future and may never become profitable. Until such time as the Company is able to establish a revenue stream from the sale of its therapeutic products, it is dependent upon obtaining necessary equity and/or debt financing to continue operations. The Company cannot make any assurances that sales of NRX-101 will commence in the near term or that additional financings will be available to it on acceptable terms or at all. This could negatively impact our business and operations and could also lead to the reduction of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2025 Securities Purchase Agreement</w:t>
      </w:r>
    </w:p>
    <w:p>
      <w:pPr>
        <w:spacing w:after="0" w:line="229"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On or about January 27, 2025, the Company entered into the RD Purchase Agreement with the Investors for the sale by the Company of the RD Shares to the Investors in an aggregate of 1,215,278 shares of common stock, at a purchase price of $2.88 per share, in the Registered Direct Offering. Concurrently with the sale of the RD Shares, pursuant to the RD Purchase Agreement the Company also sold to the Investors the unregistered RD Warrants to purchase the RD Warrant Shares, in a private placement. Subject to certain beneficial ownership limitations, the RD Warrants are immediately exercisable upon issuance at an exercise price equal to $2.88 per share of common stock, subject to adjustments as provided under the terms of the RD Warrants. The RD Warrants are exercisable for five years from the RD Closing Date. The closing of the sales of these securities under the RD Purchase Agreement occurred on or about the RD Closing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gross proceeds to the Company from the offerings were approximately $3,500,000, before deducting offering expenses, and excluding the proceeds, if any, from the exercise of the RD Warrants. The Company intends to use the net proceeds from the transactions for general corporate purposes, including the funding of certain capital expenditures.</w:t>
      </w:r>
    </w:p>
    <w:p>
      <w:pPr>
        <w:spacing w:after="0" w:line="176"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RD Shares were offered and sold by the Company pursuant to an effective shelf registration statement on Form S-3, which was filed with the SEC on June 9, 2022, and subsequently declared effective on June 21, 2022 (File No. 333-265492) (the “Registration Statement”), and the base prospectus dated as of June 21, 2022, contained therein.</w:t>
      </w:r>
    </w:p>
    <w:p>
      <w:pPr>
        <w:spacing w:after="0" w:line="176"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RD Warrants and the RD Warrant Shares were sold and issued without registration under the Securities Act of 1933, as amended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2024 SPA</w:t>
      </w:r>
    </w:p>
    <w:p>
      <w:pPr>
        <w:spacing w:after="0" w:line="229"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On August 12, 2024, the Company executed the August SPA and related agreements, under which the Company agreed to sell and issue, and certain purchasers agreed to purchase, an aggregate of $16.3 million of Notes and Warrants. The consideration payable by the purchasers under the August SPA will be comprised of three equal closings of $5.435 million, each subject to certain closing conditions. The proceeds arising from the sale of the Notes and the Warrants were used to settle the Company’s outstanding amounts owed to Streeterville (as defined below) and other working capital needs. The Company has, as of the date of this Annual Report, consummated the first tranche, second tranche, and third tranche under the August SPA, with gross proceeds to the Company of $16.3 million.</w:t>
      </w:r>
    </w:p>
    <w:p>
      <w:pPr>
        <w:spacing w:after="0" w:line="187"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The Notes bear interest at the rate of 6% per annum and mature in 15 months following their date of issuance. The Notes may be settled in cash or in shares of the Company’s common stock, at the sole discretion of the holder, at the applicable conversion price. The Notes may not be prepaid by the Company however, the holders of the Notes may elect to convert the Notes, in whole or in part, into shares of the Company’s common stock at any time after the original issuance date. The conversion price: (A) for the Notes issued in the first tranche will equal the lower of (i) $2.4168, or (ii) the Alternative Conversion Price; (B) for the Notes issued in the second tranche will equal the lower of (i) $1.766, or (ii) the Alternative Conversion Price; and (C) for the Notes issued in the third tranche will equal the lower of (i) $3.78, or (ii) the Alternative Conversion Price. The Notes include certain redemption, protection features and default interest and penalties. The Notes are secured by all assets of the Company, including its intellectual property.</w:t>
      </w:r>
    </w:p>
    <w:p>
      <w:pPr>
        <w:spacing w:after="0" w:line="189"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Warrants have a term of 5 years, an exercise price of $2.4168 per share for the Warrants issued in the first tranche, $1.766 per share for the Warrants issued in the second tranche, and $3.78 per share for the Warrants issued in the third tranche, each subject to adjustment as more specifically set forth in the Warrants, and are exercisable immediately upon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Offering</w:t>
      </w:r>
    </w:p>
    <w:p>
      <w:pPr>
        <w:spacing w:after="0" w:line="229"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On April 18, 2024, we entered into the April Underwriting Agreement with the Representative, as the representative of the April Underwriters, relating to the April Offering of the Shares, which April Offering closed on the April Closing Date. The public offering price for each share of common stock was $3.30. Pursuant to the April Underwriting Agreement, the Company also granted the Representative the April Over-Allotment Option. Aggregated gross proceeds from the April Underwriting Agreement were approximately $2.4 million (including April Overallotment Exercise proceeds), before deducting and commissions and estimated expenses payable by the Company. The Company intends to use the net proceeds from the April 2024 Public Offering for working capital and general corporate purposes.</w:t>
      </w:r>
    </w:p>
    <w:p>
      <w:pPr>
        <w:spacing w:after="0" w:line="187"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On May 23, 2024, the Underwriters in the April 2024 Public Offering exercised their April Over-Allotment Option to purchase an additional 91,050 April Option Shares. In connection with the April Overallotment Exercise, we issued an additional April Underwriter Warrant to purchase up to 4,553 shares of common stock. The April Overallotment was exercised in full and closed on May 23,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Offerings</w:t>
      </w:r>
    </w:p>
    <w:p>
      <w:pPr>
        <w:spacing w:after="0" w:line="229"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On February 27, 2024, the Company entered into a February Underwriting Agreement with EF Hutton LLC, as the Representative of the February Underwriters, relating to the February 2024 Public Offering. The public offering price for each share of common stock was $3.00 and the February Underwriters purchased the shares of common stock pursuant to the February Underwriting Agreement at a price for each share of common stock of $2.76. Pursuant to the February Underwriting Agreement, the Company also granted the Representative the February Over-Allotment Option. Aggregate gross proceeds from the February Underwriting Agreement were approximately $1.7 million (including February Overallotment Exercise proceeds), before deducting underwriting discounts and commissions and estimated expenses payable by the Company. The Company intends to use the net proceeds from the February 2024 Public Offering for working capital and general corporate purposes. The Company also used the proceeds from February 2024 Public Offering to repay the Convertible Promissory Note initially issued to Streeterville Capital, LLC in November 2022.</w:t>
      </w:r>
    </w:p>
    <w:p>
      <w:pPr>
        <w:spacing w:after="0" w:line="192"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On March 5, 2024, the Underwriters in the February 2024 Public Offering exercised their February Over-Allotment Option to purchase an additional 75,000 February Option Shares. In connection with the February Overallotment Exercise, we issued an additional February Underwriter’s Warrant to purchase up to 3,750 shares of common stock. The February Overallotment Exercise closed on March 6, 2024.</w:t>
      </w:r>
    </w:p>
    <w:p>
      <w:pPr>
        <w:spacing w:after="0" w:line="176"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On February 29, 2024, the Company completed the February 2024 Private Placement. Pursuant to the securities purchase agreement, the Company issued and sold 270,000 shares of common stock and warrants to purchase up to 270,000 shares of common stock at a price of $3.80 per share of common stock and accompanying warrant, which represents a 26.7% premium to the offering price in February 2024 Public Offering. The common stock and the February Warrants were offered pursuant to a private placement under Section 4(a)(2) of the Securities Act. The February Warrants will have an exercise price of $3.80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 Market Offering Agreement</w:t>
      </w:r>
    </w:p>
    <w:p>
      <w:pPr>
        <w:spacing w:after="0" w:line="229"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On April 15, 2024, the Company increased the maximum aggregate offering amount of the shares of common stock issuable under that certain At the Market Offering Agreement, dated August 14, 2023 (the “Offering Agreement”), with H.C. Wainwright &amp; Co., and filed a prospectus supplement (the “Current Prospectus Supplement”) under the Offering Agreement for an aggregate of $4.9 million (the “ATM Offering”). On August 14, 2024, the Company reduced the amount to under the Offering Agreement to $0 and suspended the ATM Offering. Through December 31, 2024, the Company received aggregate net cash proceeds to the Company from the ATM Offering of approximately $1.6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and statistics for each of the periods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26,874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(23,223)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(11,733)</w:t>
            </w: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Statement of Cash Flow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(decrease) increase in cash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(10,637)</w:t>
            </w:r>
          </w:p>
        </w:tc>
        <w:tc>
          <w:tcPr>
            <w:tcW w:w="5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(21,657)</w:t>
            </w:r>
          </w:p>
        </w:tc>
      </w:tr>
      <w:tr>
        <w:trPr>
          <w:trHeight w:val="216"/>
        </w:trPr>
        <w:tc>
          <w:tcPr>
            <w:tcW w:w="5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6,201</w:t>
            </w:r>
          </w:p>
        </w:tc>
      </w:tr>
      <w:tr>
        <w:trPr>
          <w:trHeight w:val="209"/>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(15,459)</w:t>
            </w:r>
          </w:p>
        </w:tc>
        <w:tc>
          <w:tcPr>
            <w:tcW w:w="60" w:type="dxa"/>
            <w:vAlign w:val="bottom"/>
          </w:tcPr>
          <w:p>
            <w:pPr>
              <w:spacing w:after="0"/>
              <w:rPr>
                <w:sz w:val="18"/>
                <w:szCs w:val="1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-582295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-307975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approximately $10.6 million of cash, primarily resulting from a net loss of $25.1 million, partially offset by (a) net non-cash losses of $9.2 million, including a loss of $2.7 million in change in fair value of convertible promissory notes, and loss of $1.7 million in change in fair value of warrants, $0.5 million of stock-based compensation, $1.3 million loss in convertible note redemptions, $1.3 million of warrant issuance costs related to Alvogen termination, $0.8 million of default penalties, $0.9 million in debt issuance costs, and (b) changes in operating assets and liabilities of $5.3 million.</w:t>
      </w:r>
    </w:p>
    <w:p>
      <w:pPr>
        <w:spacing w:after="0" w:line="183"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approximately $21.7 million of cash, primarily resulting from a net loss of $30.2 million, reduced by (a) net non-cash losses of $3.3 million, including $2.7 million in change in fair value of convertible promissory note, $0.4 million of stock-based compensation, and $0.3 million of non-cash settlement expenses, and (b) changes in operating assets and liabilities of $5.2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 w:firstLine="522"/>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investing activities used $0. During the year ended December 31, 2023 investing activities used less than $0.1 million of cash related to the purchase of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financing activities provided $7.4 million of cash resulting from $1.0 million in proceeds from issuance of common stock and warrants issued in a private placement, $4.9 million in proceeds from issuance of common stock and warrants, $6.0 million in proceeds from the Anson Notes, and $4.0 million from warrant proceeds attributes to the Anson Notes offset by $7.9 million in repayments of the convertible notes and $0.9 million in debt issuance costs due to the fair value election on Anson Notes.</w:t>
      </w:r>
    </w:p>
    <w:p>
      <w:pPr>
        <w:spacing w:after="0" w:line="180"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financing activities provided $6.2 million of cash resulting from $8.1 million in proceeds from issuance of common stock and warrants issued in a private placement, $1.2 million in proceeds from issuance of Series A preferred stock and warrants, partially offset by $3.1 million of repayments of convertible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522"/>
        <w:spacing w:after="0" w:line="282" w:lineRule="auto"/>
        <w:rPr>
          <w:sz w:val="20"/>
          <w:szCs w:val="20"/>
          <w:color w:val="auto"/>
        </w:rPr>
      </w:pPr>
      <w:r>
        <w:rPr>
          <w:rFonts w:ascii="Times New Roman" w:cs="Times New Roman" w:eastAsia="Times New Roman" w:hAnsi="Times New Roman"/>
          <w:sz w:val="18"/>
          <w:szCs w:val="18"/>
          <w:color w:val="auto"/>
        </w:rPr>
        <w:t>See Note 7, Debt, and Note 8, Commitments and Contingencies, of the notes to the Company’s consolidated financial statements as of and for the year ended December 31, 2024 included elsewhere in this report for further discussion of the Company’s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227"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522"/>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transactions. The Company has no guarantees or obligations other than those which arise out of normal business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The Company's management’s discussion and analysis of its financial condition and results of operations is based on its financial statements, which have been prepared in accordance with generally accepted accounting principles in the United States of America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significant estimates relate to the earnout cash liability, stock-based compensation, and the valuation of warrants.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The Company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the Company applies those principles. While its significant accounting policies are more fully described in Note 3 to its financial statements, the Company believes the following are the critical accounting policies used in the preparation of its financial statements that require significant estimates and judgments.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spacing w:after="0" w:line="180"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92"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payable</w:t>
      </w:r>
    </w:p>
    <w:p>
      <w:pPr>
        <w:spacing w:after="0" w:line="227"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As permitted under Financial Accounting Standards Board (“FASB”) Accounting Standards Codification (“ASC”) Topic 825, Financial Instruments (“ASC 825”), the Company elects to account for its convertible promissory notes,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w:t>
      </w:r>
    </w:p>
    <w:p>
      <w:pPr>
        <w:spacing w:after="0" w:line="180"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the convertible notes payable using a Monte Carlo simulation model, which uses as inputs the fair value of our common stock and estimates for the equity volatility and volume volatility of our common stock, the time to expiration (i.e. expected termination date) of the convertible note, the risk-free interest rate for a period that approximates the time to expiration, and probability of default. Therefore, we estimate our expected future equity and volume volatility based on the historical volatility of both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spacing w:after="0" w:line="192"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the fair value of the convertible note payable represent reasonable estimates, but the estimates involve inherent uncertainties and the application of our judgment. As a result, if factors change and we use significantly different assumptions or estimates, the change in fair value of the convertible note payable recorded to other (income) expense could be materially different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91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723"/>
        </w:trPr>
        <w:tc>
          <w:tcPr>
            <w:tcW w:w="91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40" w:type="dxa"/>
            <w:vAlign w:val="bottom"/>
            <w:gridSpan w:val="3"/>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NRX Pharmaceuticals, Inc.</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2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08"/>
        </w:trPr>
        <w:tc>
          <w:tcPr>
            <w:tcW w:w="91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Independence Registered Public Accounting Firm </w:t>
            </w:r>
            <w:r>
              <w:rPr>
                <w:rFonts w:ascii="Times New Roman" w:cs="Times New Roman" w:eastAsia="Times New Roman" w:hAnsi="Times New Roman"/>
                <w:sz w:val="18"/>
                <w:szCs w:val="18"/>
                <w:color w:val="000000"/>
              </w:rPr>
              <w:t>(PCAOB firm ID. 106)</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F-1</w:t>
            </w: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12"/>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2240" w:type="dxa"/>
            <w:vAlign w:val="bottom"/>
            <w:gridSpan w:val="3"/>
          </w:tcPr>
          <w:p>
            <w:pPr>
              <w:spacing w:after="0"/>
              <w:rPr>
                <w:sz w:val="24"/>
                <w:szCs w:val="24"/>
                <w:color w:val="auto"/>
              </w:rPr>
            </w:pPr>
          </w:p>
        </w:tc>
        <w:tc>
          <w:tcPr>
            <w:tcW w:w="484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F-3</w:t>
            </w: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12"/>
        </w:trPr>
        <w:tc>
          <w:tcPr>
            <w:tcW w:w="91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F-4</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12"/>
        </w:trPr>
        <w:tc>
          <w:tcPr>
            <w:tcW w:w="91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 of Changes in Stockholders’ Equity (Deficit)</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F-5</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12"/>
        </w:trPr>
        <w:tc>
          <w:tcPr>
            <w:tcW w:w="4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 of Cash Flows</w:t>
            </w:r>
          </w:p>
        </w:tc>
        <w:tc>
          <w:tcPr>
            <w:tcW w:w="4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F-6</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12"/>
        </w:trPr>
        <w:tc>
          <w:tcPr>
            <w:tcW w:w="91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 xml:space="preserve">F-7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F-37</w:t>
            </w:r>
          </w:p>
        </w:tc>
      </w:tr>
      <w:tr>
        <w:trPr>
          <w:trHeight w:val="594"/>
        </w:trPr>
        <w:tc>
          <w:tcPr>
            <w:tcW w:w="128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823335" cy="5060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2333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NRX Pharmaceuticals,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Opinion on the Financial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NRX Pharmaceuticals, Inc. and subsidiaries (the “Company”) as of December 31, 2024 and 2023, the related consolidated statements of operations and comprehensive loss, changes in stockholders’ equity (deficit) and cash flows for each of the two years in the period ended December 31, 2024, and the related notes (collectively referred to as the “consolidated financial statements”). In our opinion, the consolidated financial statements present fairly, in all material respects, the consolidated financial position of the Company as of December 31, 2024 and 2023, and the consolidated results of its operations and its cash flows for each of the two years in the period ended December 31, 2024,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no revenues, has suffered operating losses since inception and has a working capital deficit at December 31, 2024. These matters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for Opinion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Audit Matters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spacing w:after="0" w:line="266" w:lineRule="auto"/>
        <w:rPr>
          <w:sz w:val="20"/>
          <w:szCs w:val="20"/>
          <w:color w:val="auto"/>
        </w:rPr>
      </w:pPr>
      <w:r>
        <w:rPr>
          <w:rFonts w:ascii="Times New Roman" w:cs="Times New Roman" w:eastAsia="Times New Roman" w:hAnsi="Times New Roman"/>
          <w:sz w:val="18"/>
          <w:szCs w:val="18"/>
          <w:color w:val="auto"/>
        </w:rPr>
        <w:t>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the Convertible Note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in Note 3 “Convertible Notes Payable and Fair Value Election” and in Notes 7 and 11 to the consolidated financial statements, the Company uses a Monte Carlo simulation model to estimate the fair value of its convertible notes.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identified the valuation of fair value of the convertible note as of December 31, 2024 as a critical audit matter. Auditing management’s assumptions and estimates relating to the Monte Carlo simulation model is especially challenging, complex and subjective.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(a) gained an understanding of management’s process to develop an estimate of the fair value of the convertible note, (b) tested the data and assumptions used as inputs to the Monte Carlo simulation model for reasonableness, (c) computed an independent expectation of the fair value of the convertible note and (d) compared management’s valuation to our independent expectation. We agreed with management’s estimate.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Salberg &amp; Company, 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SALBERG &amp; COMPANY, 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7,315</w:t>
            </w:r>
          </w:p>
        </w:tc>
      </w:tr>
      <w:tr>
        <w:trPr>
          <w:trHeight w:val="197"/>
        </w:trPr>
        <w:tc>
          <w:tcPr>
            <w:tcW w:w="8000" w:type="dxa"/>
            <w:vAlign w:val="bottom"/>
            <w:tcBorders>
              <w:top w:val="single" w:sz="8" w:color="CCEEFF"/>
            </w:tcBorders>
          </w:tcPr>
          <w:p>
            <w:pPr>
              <w:ind w:left="19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20" w:type="dxa"/>
            <w:vAlign w:val="bottom"/>
          </w:tcPr>
          <w:p>
            <w:pPr>
              <w:spacing w:after="0"/>
              <w:rPr>
                <w:sz w:val="18"/>
                <w:szCs w:val="18"/>
                <w:color w:val="auto"/>
              </w:rPr>
            </w:pP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clinical site costs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 payable and accrued interest – short term</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loan payable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 payable and accrued interest – long term</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26,874</w:t>
            </w:r>
          </w:p>
        </w:tc>
        <w:tc>
          <w:tcPr>
            <w:tcW w:w="120" w:type="dxa"/>
            <w:vAlign w:val="bottom"/>
          </w:tcPr>
          <w:p>
            <w:pPr>
              <w:spacing w:after="0"/>
              <w:rPr>
                <w:sz w:val="18"/>
                <w:szCs w:val="18"/>
                <w:color w:val="auto"/>
              </w:rPr>
            </w:pP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19,048</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$0.001 par value, 50,000,000 shares authorized;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12,000,000 shares authorized; 0 and 3,000,000</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December 31, 2024 and 2023, respectively</w:t>
            </w: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14,591,505 and 8,391,956 shares issued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 at December 31, 2024 and 2023, respectively</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241,406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(278,273)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(253,147)</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(23,223)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(11,733)</w:t>
            </w:r>
          </w:p>
        </w:tc>
      </w:tr>
      <w:tr>
        <w:trPr>
          <w:trHeight w:val="209"/>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NRX PHARMACEUTICALS,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LOSS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13,371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14,216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Settlement (income) expense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09"/>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(27,837)</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Convertible note default penalty</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convertible note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convertible note redemptions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(30,150)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Deemed dividend - warrants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(25,126)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(30,159)</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(30,150)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 attributed to credit risk</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(25,126)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(30,153)</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10,644,461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7,576,176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7"/>
                <w:szCs w:val="17"/>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7"/>
                <w:szCs w:val="17"/>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December 31, 2022</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6,644,299</w:t>
            </w:r>
          </w:p>
        </w:tc>
        <w:tc>
          <w:tcPr>
            <w:tcW w:w="6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230,399</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(222,997)</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and warrants issued, net of</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 $2,519</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1,353,667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and warrants issued, net of</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costs $27</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3,000,000</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convertible note</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attributed to credit risk</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as repayment of principal and</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for convertible note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326,423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to settle GEM settlement</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liability</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for deferred offering cost</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(30,150)</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(30,150)</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3,000,000</w:t>
            </w:r>
          </w:p>
        </w:tc>
        <w:tc>
          <w:tcPr>
            <w:tcW w:w="180" w:type="dxa"/>
            <w:vAlign w:val="bottom"/>
          </w:tcPr>
          <w:p>
            <w:pPr>
              <w:spacing w:after="0"/>
              <w:rPr>
                <w:sz w:val="17"/>
                <w:szCs w:val="17"/>
                <w:color w:val="auto"/>
              </w:rPr>
            </w:pP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8,391,956</w:t>
            </w:r>
          </w:p>
        </w:tc>
        <w:tc>
          <w:tcPr>
            <w:tcW w:w="6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241,406</w:t>
            </w:r>
          </w:p>
        </w:tc>
        <w:tc>
          <w:tcPr>
            <w:tcW w:w="10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(253,147)</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(11,733)</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Series A preferred stock into</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(3,000,000)</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At-the-market “ATM” offering, net of offering</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costs of $197</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385,515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and warrants issued, net of</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costs $975</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1,273,050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and warrants issued in private</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placement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as repayment of principal and</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interest for convertible note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3,820,444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shares related to reverse stock split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73,040</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Contract cost related to Alvogen termination</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(see Note 6)</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issued in exchange for services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AOCI upon settlement of</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Streeterville Note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(25,126)</w:t>
            </w: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(25,126)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14,591,505</w:t>
            </w:r>
          </w:p>
        </w:tc>
        <w:tc>
          <w:tcPr>
            <w:tcW w:w="6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255,035</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(278,273)</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(23,223)</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NRX PHARMACEUTICALS,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(25,126)</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(30,150)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Common stock issued in exchange for services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convertible notes redemptions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 for debt issuance costs due to fair value election on Anson Notes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issuance costs related to Alvogen termination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Convertible note default penalty</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settlement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(decreases)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(10,637)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(21,657)</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computer equipment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convertible note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insurance loan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for debt issuance costs due to fair value election on Anson Notes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insurance loan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Anson convertible notes, net of OID</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liability classified warrants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Series A preferred stock and warrants issued in private placement, net of issuance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9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net of issuance costs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issued in private placement, net of issuance costs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6,201</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(15,459)</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as principal and interest repayment for convertible notes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warrants as offering costs</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settlement of accrued liability</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Series A preferred stock into common stock</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NRx Pharmaceuticals, Inc. (Nasdaq: NRXP) (“NRX” or the “Company”) is a clinical-stage bio-pharmaceutical company which develops and intends to distribute, through its wholly-owned operating subsidiaries, NeuroRx, Inc., (“NeuroRx”) and HOPE Therapeutics, Inc. (“HOPE”), and collectively with NRX and NeuroRx, the (“Company”, “we”, “us”, or “our”), novel therapeutics for the treatment of central nervous system disorders including suicidal depression, chronic pain, and post-traumatic stress disorder (“PTSD”) and now schizophrenia. All of our current drug development activities are focused drugs that modulate on the N-methyl-D-aspartate (“NMDA”) receptor in the brain and nervous system, a neurochemical pathway that has been disclosed in detail in our annual filings. NeuroRx is organized as a traditional research and development (“R&amp;D”) company, whereas HOPE is organized as a specialty pharmaceutical company intended to distribute ketamine and other therapeutic options to clinics that serve patients with suicidal depression and PTSD. The Company has two lead drug candidates that are expected to be submitted by year end for Food and Drug Administration (“FDA”) approval with anticipated FDA decision dates under the Prescription Drug User Fee Act ("PDUFA") by the end of June 2025: NRX-101, an oral fixed dose combination of D-cycloserine and lurasidone and NRX-100, a preservative-free formulation of ketamine for intravenous infusion.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drug development activities have expanded from its original focus on development of NRX-101, a fixed dose combination of D-cycloserine (“DCS”) and lurasidone for the treatment of suicidal bipolar depression to encompass the development of NRX-101 for the treatment of chronic pain and PTSD and to the development of intravenous ketamine (NRX-100/HTX-100) for the treatment of suicidal depression. These additional indications have been added as the Company has gained access to clinical trials data funded by governmental entities in France and potentially in the United States which has the potential to afford the Company potential safety and efficacy data on key indications at low cost.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which contemplates the realization of assets and settlement of liabilities and commitments in the normal course of business. Since inception, the Company has experienced net losses and negative cash flows from operations each fiscal year and has a working capital deficit at December 31, 2024. The Company has no revenues and expects to continue to incur operating losses into 2025. Although the Company projects operating revenue to be derived from the operation of clinical facilities through its HOPE subsidiary and sales of its pharmaceutical products in 2025, these projections are subject to completion of anticipated clinical acquisitions in the first case and regulatory approvals in the latter case. In the absence of these projected developments, the Company’s ability to support its ongoing capital needs is dependent on its ability to continue to raise equity and/or debt financing, which may not be available on favorable terms, or at all, in order to continue operations.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had $1.4 million in cash and cash equivalents. On August 12, 2024, the Company entered into that certain Securities Purchase Agreement dated August 12, 2024 (the “Purchase Agreement”) with certain accredited investors (the “Investors”), pursuant to which the Company agreed to sell Senior Secured Convertible Promissory Notes (the “Anson Notes”) in the aggregate principal amount of up to approximately $16.3 million in three tranches of $5.435 million, and warrants to purchase that amount of shares of the Company’s common stock, $0.001 par value (“Common Stock”) equal to 50% of the principal amount of the Notes in the respective tranche divided by the volume weighted average price (“VWAP”) of the Company’s Common Stock, as listed on the Nasdaq Capital Market, on the day prior to the closing of each respective tranche under the Purchase Agreement (the “Anson Warrants”). The Company consummated the sale of the first tranche of $5.435 million ($4.5 million in net proceeds) in Notes and Warrants (the “First Closing”) on August 14, 2024 (the “First Closing Date”), and the second tranche of $5.435 million in Notes and Warrants (the “Second Closing”) on October 10, 2024 (the “Second Closing Date”), for aggregate gross proceeds of approximately $10.87 million, before deducting fees, costs, and other expenses including the use of proceeds to repay $5.55 million of the Streeterville Note.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secured operating capital that it anticipates as sufficient to fund its drug development operations through [●] and to finance submission of FDA New Drug Applications for NRX-100 and NRX-101. The Company may pursue additional equity or debt financing or refinancing opportunities in 2025 and 2026 to fund ongoing clinical activities, to meet obligations under its current debt arrangements and for general corporate purposes.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the Company’s working capital needs and debt repayment obligations. As such, the Company has concluded that substantial doubt exists regarding the Company’s ability to continue as a going concern for a period of at least twelve months from the date of issuance of these consolidated financial statements. The accompanying consolidated financial statements do not include any adjustments to reflect the recoverability and classification of recorded asset amounts and classification of liabilities that might be necessary should the company be unable to continue as a going concern.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in the United States of America (“GAAP”) as determined by the Financial Accounting Standards Board (“FASB”) Accounting Standards Codification (“ASC”). The consolidated financial statements include the accounts of NRX Pharmaceuticals, Inc. and its wholly owned subsidiaries. All intercompany transactions and balances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management to make estimates and assumptions that affect the reported amounts of assets, liabilities and expenses and the disclosure of contingent assets and liabilities in its consolidated financial statements and the reported amounts of expenses during the reporting period. The most significant estimates in the Company’s consolidated financial statements relate to the fair value of convertible notes payable, fair value of warrant liabilities, fair value of stock options and warrants, and the utilization of deferred tax assets.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guidance classifies fair value measurements in one of the following three categories for disclosure purposes: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Off-Balance Sheet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Deposits in financial institutions may, from time to time, exceed federally insured limits. As of December 31, 2024 the Company’s cash and cash equivalents balance within money market accounts was in excess of the U.S. federally insured limits by $1.2 million. The Company has not experienced any losses on its deposits of cash. The Company maintains a portion of its cash and cash equivalent balances in the form of a money market account with a financial institution that management believes to be creditworthy.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including balances held in the Company’s money market accounts. The Company maintains its cash and cash equivalents with financial institutions, in which balances from time to time may exceed the U.S. federally insured limits. The objectives of the Company’s cash management policy are to safeguard and preserve funds to maintain liquidity sufficient to meet the Company’s cash flow requirements, and to attain a market rate of return.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revenue under FASB ASC Topic 606, </w:t>
      </w:r>
      <w:r>
        <w:rPr>
          <w:rFonts w:ascii="Times New Roman" w:cs="Times New Roman" w:eastAsia="Times New Roman" w:hAnsi="Times New Roman"/>
          <w:sz w:val="18"/>
          <w:szCs w:val="18"/>
          <w:i w:val="1"/>
          <w:iCs w:val="1"/>
          <w:color w:val="auto"/>
        </w:rPr>
        <w:t>Revenue for Contract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or other accounting standards for revenue not derived from customers. Arrangements may include licenses to intellectual property, research services and participation on joint research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research,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contractual arrangements that may include licenses to intellectual property and research and development services. When such contractual arrangements are determined to be accounted for in accordance with ASC 606, the Company evaluates the promised good or services to determine which promises, or group of promises, represent performance obligations.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License Agreement (the “</w:t>
      </w: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with Alvogen Pharma US, Inc., Alvogen, Inc. and Lotus Pharmaceutical Co. Ltd. (collectively, “</w:t>
      </w:r>
      <w:r>
        <w:rPr>
          <w:rFonts w:ascii="Times New Roman" w:cs="Times New Roman" w:eastAsia="Times New Roman" w:hAnsi="Times New Roman"/>
          <w:sz w:val="18"/>
          <w:szCs w:val="18"/>
          <w:i w:val="1"/>
          <w:iCs w:val="1"/>
          <w:color w:val="auto"/>
        </w:rPr>
        <w:t>Alvogen</w:t>
      </w:r>
      <w:r>
        <w:rPr>
          <w:rFonts w:ascii="Times New Roman" w:cs="Times New Roman" w:eastAsia="Times New Roman" w:hAnsi="Times New Roman"/>
          <w:sz w:val="18"/>
          <w:szCs w:val="18"/>
          <w:color w:val="auto"/>
        </w:rPr>
        <w:t>”) (as further discussed in Note 6 below) was accounted for in accordance with ASC 606. In accordance with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it performs the following five steps: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identify the contract(s) with a customer;</w:t>
      </w:r>
    </w:p>
    <w:p>
      <w:pPr>
        <w:spacing w:after="0" w:line="27" w:lineRule="exact"/>
        <w:rPr>
          <w:sz w:val="20"/>
          <w:szCs w:val="20"/>
          <w:color w:val="auto"/>
        </w:rPr>
      </w:pPr>
    </w:p>
    <w:p>
      <w:pPr>
        <w:ind w:left="520" w:hanging="188"/>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within the contract; and</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only applies the five-step model to contracts when it determines that it is probable it will collect the consideration it is entitled to in exchange for the goods or services it transfers to the customer.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intellectual property and research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as deferred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arrangements may include the following:</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an agreement that includes milestone payments, the Company evaluates each milestone to determine when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For arrangements that include sales-based royalties, including milestone payments based on a level of sales, and the license is deemed to 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 item to which the royalties relate, the Company will recognize revenue at the later of (i) when the related sales occur, or (ii) when the performance obligation to which some or all of the royalty has been allocated has been satisfied (or partially satisfied).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Research Services</w:t>
      </w:r>
      <w:r>
        <w:rPr>
          <w:rFonts w:ascii="Times New Roman" w:cs="Times New Roman" w:eastAsia="Times New Roman" w:hAnsi="Times New Roman"/>
          <w:sz w:val="18"/>
          <w:szCs w:val="18"/>
          <w:color w:val="auto"/>
        </w:rPr>
        <w:t>: The Company incurred research costs in association with the License Agreement. After the First Milestone Payment (as defined in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 below), the Company would have been reimbursed for certain costs incurred related to reasonable and documented out-of-pocket costs for clinical and non-clinical development activities. The Company would have recognized revenue for the reimbursed costs when the First Milestone Payment contingencies had been achieved and the Company had an enforceable claim to the reimbursed costs.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recorded as prepaid assets and expensed when the activity has been performed or when the goods have been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Non-cancellable 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record certain obligations as liabilities related to non-cancellable contracts. If appropriate, the offsetting costs may be recorded as a deferred cost asset.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Payable and Fair Value Election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permitted under FASB ASC Topic 825, Financial Instruments (“</w:t>
      </w:r>
      <w:r>
        <w:rPr>
          <w:rFonts w:ascii="Times New Roman" w:cs="Times New Roman" w:eastAsia="Times New Roman" w:hAnsi="Times New Roman"/>
          <w:sz w:val="18"/>
          <w:szCs w:val="18"/>
          <w:i w:val="1"/>
          <w:iCs w:val="1"/>
          <w:color w:val="auto"/>
        </w:rPr>
        <w:t>ASC 825</w:t>
      </w:r>
      <w:r>
        <w:rPr>
          <w:rFonts w:ascii="Times New Roman" w:cs="Times New Roman" w:eastAsia="Times New Roman" w:hAnsi="Times New Roman"/>
          <w:sz w:val="18"/>
          <w:szCs w:val="18"/>
          <w:color w:val="auto"/>
        </w:rPr>
        <w:t>”), the Company elected to account for its promissory notes, which meet the required criteria, at fair value at inception. Subsequent changes in fair value are recorded as a component of non-operating loss in the consolidated statements of operations. The portion of total changes in fair value of the notes attributable to changes in instrument-specific credit risk are determined through specific measurement of periodic changes in the discount rate assumption exclusive of base market changes and are presented as a component of comprehensive income in the accompanying consolidated statements of operations and comprehensive loss. As a result of electing the fair value option, direct costs and fees related to the promissory notes are expensed as incurred.</w:t>
      </w:r>
    </w:p>
    <w:p>
      <w:pPr>
        <w:spacing w:after="0" w:line="1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its notes payable using a Monte Carlo simulation model, which uses as inputs the fair value of its Common Stock and estimates for the equity volatility of its Common Stock, the time to expiration (i.e., expected term) of the note, the risk-free interest rate for a period that approximates the time to expiration, and probability of default. Therefore, the Company estimates its expected future equity volatility based on the historical volatility of its Common Stock price utilizing a lookback period consistent with the time to expiration. The time to expiration is based on the contractual maturity date, giving consideration to the redemption features embedded in the notes. The risk-free interest rate is determined based on the U.S. Treasury yield curve in effect at the time of measurement for time periods approximately equal to the time to expiration. Unless otherwise specified, the probability of default is estimated using Bloomberg’s Default Risk function which uses its financial information to calculate a default risk specific to the Company. At September 30, 2024, the Streeterville Note valuation was adjusted to the post settlement amount agreed upon. Interest expense is included within the change in fair value of the notes payable and accrued interest is included within the fair value of the convertible notes payable on the balance sheet. See Note 7 for Streeterville and Anson convertible notes. Management believes those assumptions are reasonable but if these assumptions change, it could materially affect the 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general and administrative or research and development costs in the consolidated statements of operations and comprehensive loss based upon the underlying individual’s role at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480</w:t>
      </w:r>
      <w:r>
        <w:rPr>
          <w:rFonts w:ascii="Times New Roman" w:cs="Times New Roman" w:eastAsia="Times New Roman" w:hAnsi="Times New Roman"/>
          <w:sz w:val="18"/>
          <w:szCs w:val="18"/>
          <w:color w:val="auto"/>
        </w:rPr>
        <w:t xml:space="preserve">”) and FASB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The assessment considers whether the warrants are freestanding financial instruments pursuant to ASC 480, meet the definition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Company generally determines fair value of the Common Stock Warrants (as defined below) using a Black Scholes valuation methodology.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change in any of the terms or conditions of warrants is accounted for as a modification.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480, the Company’s Series A Preferred Stock was classified as permanent equity as it was not mandatorily redeemable upon an event that is considered outside of the Company’s control. Further,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Contracts in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 Equity</w:t>
      </w:r>
      <w:r>
        <w:rPr>
          <w:rFonts w:ascii="Times New Roman" w:cs="Times New Roman" w:eastAsia="Times New Roman" w:hAnsi="Times New Roman"/>
          <w:sz w:val="18"/>
          <w:szCs w:val="18"/>
          <w:color w:val="auto"/>
        </w:rPr>
        <w:t>, the Series A Preferred Stock did not meet any of the criteria that would preclude equity classification. The Company concluded that the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Preferred Stock was more akin to an equity-type instrument than a debt-type instrument, therefore the conversion features associated with the convertible preferred stock were deemed to be clearly and closely related to the host instrument and were not bifurcated as a derivative under ASC 815.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who reviews financial information presented for purposes of making operating decisions, assessing financial performance, and allocating resources. The Company operates as a single operating and reportable segment, consistent with the manner in which the CODM evaluates performance and allocates resources, see Note 12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applies the two-class method when computing net income or loss per share attributable to common stockholders. In determining net income or loss attributable to common stockholders, the two-class method requires income or loss allocable to participating securities for the period to be allocated between common and participating securities based on their respective rights to share in the earnings as if all of the income or loss allocable for the period had been distributed. In periods of net loss, there is no allocation required under the two-class method as the participating securities do not have an obligation to fund the losses of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1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121,833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264,983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21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124,167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7,173,766</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3,321,499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Anson Notes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4,920,126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1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w:t>
      </w:r>
    </w:p>
    <w:p>
      <w:pPr>
        <w:spacing w:after="0" w:line="121"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In November 2023, the FASB issued Accounting Standard Update (ASU) No.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 Segment Reporting (Topic 280)-</w:t>
      </w:r>
      <w:r>
        <w:rPr>
          <w:rFonts w:ascii="Times New Roman" w:cs="Times New Roman" w:eastAsia="Times New Roman" w:hAnsi="Times New Roman"/>
          <w:sz w:val="18"/>
          <w:szCs w:val="18"/>
          <w:i w:val="1"/>
          <w:iCs w:val="1"/>
          <w:color w:val="auto"/>
        </w:rPr>
        <w:t>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 (ASU 2023-07)</w:t>
      </w:r>
      <w:r>
        <w:rPr>
          <w:rFonts w:ascii="Times New Roman" w:cs="Times New Roman" w:eastAsia="Times New Roman" w:hAnsi="Times New Roman"/>
          <w:sz w:val="18"/>
          <w:szCs w:val="18"/>
          <w:color w:val="auto"/>
        </w:rPr>
        <w:t>, which is intended to improve reportable segment disclosure requirements, primarily through enhanced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significant segment expenses. ASU 2023-07 should be applied on a retrospective basis. ASU 2023-07 is effective for annual periods beginning after December 15, 2023, and interim periods within fiscal years beginning after December 15, 2024. Early adoption is permitted. The Company has adopted the reportable segment disclosure requirements. See Note 12.</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2023-09-Income Taxes (Topic 740): I</w:t>
      </w:r>
      <w:r>
        <w:rPr>
          <w:rFonts w:ascii="Times New Roman" w:cs="Times New Roman" w:eastAsia="Times New Roman" w:hAnsi="Times New Roman"/>
          <w:sz w:val="18"/>
          <w:szCs w:val="18"/>
          <w:i w:val="1"/>
          <w:iCs w:val="1"/>
          <w:color w:val="auto"/>
        </w:rPr>
        <w:t>mprovements to Income Tax Disclosures (ASU 2023-09)</w:t>
      </w:r>
      <w:r>
        <w:rPr>
          <w:rFonts w:ascii="Times New Roman" w:cs="Times New Roman" w:eastAsia="Times New Roman" w:hAnsi="Times New Roman"/>
          <w:sz w:val="18"/>
          <w:szCs w:val="18"/>
          <w:color w:val="auto"/>
        </w:rPr>
        <w:t>,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 2023-09 is effective for annual periods beginning after December 15, 2024. Early adoption is permitted. The Company is in the process of evaluating the impact of this new guidance on its disclosures.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clinical development costs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prepaid expense</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Accrued and Other Current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at the dates indicated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 liability (see Note 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costs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research and development expense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expense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ind w:left="5440"/>
              <w:spacing w:after="0"/>
              <w:rPr>
                <w:sz w:val="20"/>
                <w:szCs w:val="20"/>
                <w:color w:val="auto"/>
              </w:rPr>
            </w:pPr>
            <w:r>
              <w:rPr>
                <w:rFonts w:ascii="Times New Roman" w:cs="Times New Roman" w:eastAsia="Times New Roman" w:hAnsi="Times New Roman"/>
                <w:sz w:val="18"/>
                <w:szCs w:val="18"/>
                <w:color w:val="auto"/>
              </w:rPr>
              <w:t>F- 13</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Alvogen Licensing Agreement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2023, the Company entered into a License Agreement with Alvogen. Under the License Agreement, the Company granted Alvogen certain license rights to develop, manufacture, and commercialize the Company’s candidate therapeutic product, NRX-101, for the treatment of bipolar depression with suicidality. In exchange for the license granted and the participation of the Company in certain development, regulatory and commercial activities, Alvogen was obligated to pay the Company specified regulatory and commercial milestones, the first of which was $9 million upon the later of a positive data read-out from the Company’s ongoing Phase 2b/3 clinical trial and completion of the Type B meeting with the FDA (the “</w:t>
      </w:r>
      <w:r>
        <w:rPr>
          <w:rFonts w:ascii="Times New Roman" w:cs="Times New Roman" w:eastAsia="Times New Roman" w:hAnsi="Times New Roman"/>
          <w:sz w:val="18"/>
          <w:szCs w:val="18"/>
          <w:i w:val="1"/>
          <w:iCs w:val="1"/>
          <w:color w:val="auto"/>
        </w:rPr>
        <w:t>First Milestone Payment</w:t>
      </w:r>
      <w:r>
        <w:rPr>
          <w:rFonts w:ascii="Times New Roman" w:cs="Times New Roman" w:eastAsia="Times New Roman" w:hAnsi="Times New Roman"/>
          <w:sz w:val="18"/>
          <w:szCs w:val="18"/>
          <w:color w:val="auto"/>
        </w:rPr>
        <w:t>”). In February 2024, the parties executed an amendment accelerating payment of up to $5 million related to the First Milestone Payment, with the remaining $4 million due upon the original agreement’s terms (see below for advances received through December 31, 2024). As compensation for advancing the milestone, Alvogen received warrants to purchase up to 419,598 shares of the Company's Common Stock, at a strike price of $4.00 with a three year term (See Note 9). The grant date fair value of the warrants was approximately $1.3 million, which the Company planned to account for as consideration paid to a customer (see below). The second portion of the first milestone was to be $4 million and, as before, triggered by a positive response to the Company's planned end of phase 2 meeting with FDA. If the first milestone was not achieved by September 3, 2024, the Company would have been obligated to repay any amount received against the $5 million advance of the First Milestone Payment to Alvogen. As there was significant uncertainty relative to approval of any drug candidate in development, the Company concluded that it was not probable that a significant reversal of revenue would not occur if the Company were to include the First Milestone Payment, or any advances thereof, in the transaction price prior to receiving FDA approval. Accordingly, the transaction price was fully constrained and advances from Alvogen were recorded as a refund liability until such time as the refund right expired. Further, the Company accounted for the warrants issued to Alvogen within additional paid-in capital consistent with the accounting for unfunded stock subscription agreements until such time as the uncertainty around the First Milestone was resolved.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License Agreement, as amended, Alvogen was granted early termination rights. On June 21, 2024, the Company received a notice of termination from Alvogen effective immediately. Following the termination of the License Agreement by Alvogen, the amounts advanced pursuant to the amendment became due and payable to Alvogen. Accordingly, the refund liability has not been reclassified to deferred revenue or recorded as revenue as of December 31, 2024 and will remain permanent as refund liability until settled.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termination of the License Agreement, the intellectual property rights licensed to Alvogen under the License Agreement reverted to the Company, and all other rights and obligations of each of the parties immediately ceased, except for outstanding amounts owed as of the time of such expiration or termination. As of December 31, 2024, the refund liability due to Alvogen was $4.7 million, which represents all payments made by Alvogen through December 31, 2024, and is included as a component of accrued expense and other current liabilities on the consolidated balance sheet (refer to Note 5). Following the early termination by Alvogen, the Company does not anticipate recognizing any revenue under the License Agreement. Additionally, in June 2024 the Company wrote-off the unfunded stock subscription receivable of $1.3 million related to the warrants previously classified in additional paid-in capital to research and development expense following the termination.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Streeterville Convertible Note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4, 2022, the Company issued an 9% redeemable promissory note (as amended, the “</w:t>
      </w:r>
      <w:r>
        <w:rPr>
          <w:rFonts w:ascii="Times New Roman" w:cs="Times New Roman" w:eastAsia="Times New Roman" w:hAnsi="Times New Roman"/>
          <w:sz w:val="18"/>
          <w:szCs w:val="18"/>
          <w:i w:val="1"/>
          <w:iCs w:val="1"/>
          <w:color w:val="auto"/>
        </w:rPr>
        <w:t>Streeterville Note</w:t>
      </w:r>
      <w:r>
        <w:rPr>
          <w:rFonts w:ascii="Times New Roman" w:cs="Times New Roman" w:eastAsia="Times New Roman" w:hAnsi="Times New Roman"/>
          <w:sz w:val="18"/>
          <w:szCs w:val="18"/>
          <w:color w:val="auto"/>
        </w:rPr>
        <w:t>”) to Streeterville Capital, LLC, a Utah limited liability company (“</w:t>
      </w:r>
      <w:r>
        <w:rPr>
          <w:rFonts w:ascii="Times New Roman" w:cs="Times New Roman" w:eastAsia="Times New Roman" w:hAnsi="Times New Roman"/>
          <w:sz w:val="18"/>
          <w:szCs w:val="18"/>
          <w:i w:val="1"/>
          <w:iCs w:val="1"/>
          <w:color w:val="auto"/>
        </w:rPr>
        <w:t>Streeterville</w:t>
      </w:r>
      <w:r>
        <w:rPr>
          <w:rFonts w:ascii="Times New Roman" w:cs="Times New Roman" w:eastAsia="Times New Roman" w:hAnsi="Times New Roman"/>
          <w:sz w:val="18"/>
          <w:szCs w:val="18"/>
          <w:color w:val="auto"/>
        </w:rPr>
        <w:t>”), for an aggregate principal amount of $11.0 million. The Streeterville Note originally matured 18 months from the date of issuance subject to certain acceleration provisions. The Streeterville Note carried an original issue discount of $1.0 million which was deducted from the principal balance of the Streeterville Note. The net proceeds from the issuance of the Streeterville Note was $10.0 million after transaction costs including the original issue discount, legal and other fees are included.</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initial terms of the Streeterville Note included the following provisions, certain of which were subsequently modified, as described below. The Company had the option to prepay the Streeterville Note during the term by paying an amount equal to 110% of the principal, interest, and fees owed as of the prepayment date. The noteholder had the right to redeem up to $1.0 million of the outstanding balance of the Streeterville Note per month starting six months after the issuance date (the “</w:t>
      </w:r>
      <w:r>
        <w:rPr>
          <w:rFonts w:ascii="Times New Roman" w:cs="Times New Roman" w:eastAsia="Times New Roman" w:hAnsi="Times New Roman"/>
          <w:sz w:val="18"/>
          <w:szCs w:val="18"/>
          <w:i w:val="1"/>
          <w:iCs w:val="1"/>
          <w:color w:val="auto"/>
        </w:rPr>
        <w:t>Maximum Monthly Redemption Amount</w:t>
      </w:r>
      <w:r>
        <w:rPr>
          <w:rFonts w:ascii="Times New Roman" w:cs="Times New Roman" w:eastAsia="Times New Roman" w:hAnsi="Times New Roman"/>
          <w:sz w:val="18"/>
          <w:szCs w:val="18"/>
          <w:color w:val="auto"/>
        </w:rPr>
        <w:t>”). Payments could be made by the Company at their option in: (i) in cash with a 10% premium (the “</w:t>
      </w:r>
      <w:r>
        <w:rPr>
          <w:rFonts w:ascii="Times New Roman" w:cs="Times New Roman" w:eastAsia="Times New Roman" w:hAnsi="Times New Roman"/>
          <w:sz w:val="18"/>
          <w:szCs w:val="18"/>
          <w:i w:val="1"/>
          <w:iCs w:val="1"/>
          <w:color w:val="auto"/>
        </w:rPr>
        <w:t>Redemption Premium</w:t>
      </w:r>
      <w:r>
        <w:rPr>
          <w:rFonts w:ascii="Times New Roman" w:cs="Times New Roman" w:eastAsia="Times New Roman" w:hAnsi="Times New Roman"/>
          <w:sz w:val="18"/>
          <w:szCs w:val="18"/>
          <w:color w:val="auto"/>
        </w:rPr>
        <w:t>”) for the amount redeemed, (ii) by paying the redemption amount in the form of shares of Common Stock with the number of redemption shares being equal to the portion of the applicable redemption amount divided by the Redemption Conversion Price (as defined below), or (iii) a combination of cash and shares of Common Stock. The “</w:t>
      </w:r>
      <w:r>
        <w:rPr>
          <w:rFonts w:ascii="Times New Roman" w:cs="Times New Roman" w:eastAsia="Times New Roman" w:hAnsi="Times New Roman"/>
          <w:sz w:val="18"/>
          <w:szCs w:val="18"/>
          <w:i w:val="1"/>
          <w:iCs w:val="1"/>
          <w:color w:val="auto"/>
        </w:rPr>
        <w:t>Redemption Conversion Price</w:t>
      </w:r>
      <w:r>
        <w:rPr>
          <w:rFonts w:ascii="Times New Roman" w:cs="Times New Roman" w:eastAsia="Times New Roman" w:hAnsi="Times New Roman"/>
          <w:sz w:val="18"/>
          <w:szCs w:val="18"/>
          <w:color w:val="auto"/>
        </w:rPr>
        <w:t>” on any given redemption date equaled 85% multiplied by the average of the two lowest daily volume weighted average prices per share of the Common Stock during the ten trading days immediately preceding the date that the noteholder delivered notice electing to redeem a portion of the Streeterville Note. Beginning May 1, 2023, in the event (a) the daily dollar trading volume of the Common Stock of the Company on any given trading day was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was at least thirty percent (30%) greater than the Nasdaq Minimum Price, then the lender would be entitled to redeem over the following ten (10) trading days an amount of indebtedness then outstanding under the Streeterville Note equal to twice the monthly redemption amount of $1.0 million solely by payment by stock, if permitted under the agreement, subject to the Maximum Percentage (as defined in the Streeterville Note) and other ownership limitations.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Streeterville Note contained certain Trigger Events (as defined in the Streeterville Note) that generally, if uncured within five trading days, could result in an event of default in accordance with the terms of the Streeterville Note (such event,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Upon an Event of a Default, the Lender could consider the Streeterville Note immediately due and payable. Upon an Event of Default, the interest rate could also be increased to the lesser of 18% per annum or the maximum rate permitted under applicable law (see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these embedded features within the Streeterville Note, the Company elected to account for the Streeterville Note at fair value at inception.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changes in fair value were recorded as a component of other income (loss) in the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StreetervilleConvertible Note Amendments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On March 30, 2023, the Company entered into an Amendment to the Note (the “</w:t>
      </w:r>
      <w:r>
        <w:rPr>
          <w:rFonts w:ascii="Times New Roman" w:cs="Times New Roman" w:eastAsia="Times New Roman" w:hAnsi="Times New Roman"/>
          <w:sz w:val="18"/>
          <w:szCs w:val="18"/>
          <w:i w:val="1"/>
          <w:iCs w:val="1"/>
          <w:color w:val="auto"/>
        </w:rPr>
        <w:t>First Amendment</w:t>
      </w:r>
      <w:r>
        <w:rPr>
          <w:rFonts w:ascii="Times New Roman" w:cs="Times New Roman" w:eastAsia="Times New Roman" w:hAnsi="Times New Roman"/>
          <w:sz w:val="18"/>
          <w:szCs w:val="18"/>
          <w:color w:val="auto"/>
        </w:rPr>
        <w:t>”), pursuant to which the Maximum Percentage was set at 9.99% of the number of shares of Common Stock outstanding on a given date.</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7, 2023, the Company entered into Amendment #2 to the Streeterville Note with Streeterville (the “</w:t>
      </w:r>
      <w:r>
        <w:rPr>
          <w:rFonts w:ascii="Times New Roman" w:cs="Times New Roman" w:eastAsia="Times New Roman" w:hAnsi="Times New Roman"/>
          <w:sz w:val="18"/>
          <w:szCs w:val="18"/>
          <w:i w:val="1"/>
          <w:iCs w:val="1"/>
          <w:color w:val="auto"/>
        </w:rPr>
        <w:t>Second Amendment</w:t>
      </w:r>
      <w:r>
        <w:rPr>
          <w:rFonts w:ascii="Times New Roman" w:cs="Times New Roman" w:eastAsia="Times New Roman" w:hAnsi="Times New Roman"/>
          <w:sz w:val="18"/>
          <w:szCs w:val="18"/>
          <w:color w:val="auto"/>
        </w:rPr>
        <w:t>”). Pursuant to the Second Amendment, the Company agreed to amend the redemption provisions of the Streeterville Note to provide that the Company would pay to Streeterville an amount in cash equal to $1.8 million on or before July 10, 2023, which amount was paid on July 10, 2023. In addition, the Company agreed that, beginning on or before July 31, 2023, and on or before the last day of each month until December 31, 2023, the Company would pay Streeterville an amount equal to $0.4 million in cash, less any amount satisfied by the delivery of Redemption Conversion Shares (as defined below). Notwithstanding the foregoing, Streeterville could also submit a request for redemption of up to an aggregate of $1.0 million per month in accordance with the terms of the Second Amendment. However, the portion of each payment that was not satisfied by the delivery of Redemption Conversion Shares was the maximum amount of cash the Company would have been required to pay in accordance with the Second Amendment during the period from July 31, 2023 and on or before the last day of each month until December 31, 2023. The redemption of the Maximum Monthly Redemption Amount in excess of the Minimum Amount would be satisfied by the delivery of additional Redemption Conversion Shares.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9, 2024, the Company entered into Amendment #3 to the Streeterville Note (the “</w:t>
      </w:r>
      <w:r>
        <w:rPr>
          <w:rFonts w:ascii="Times New Roman" w:cs="Times New Roman" w:eastAsia="Times New Roman" w:hAnsi="Times New Roman"/>
          <w:sz w:val="18"/>
          <w:szCs w:val="18"/>
          <w:i w:val="1"/>
          <w:iCs w:val="1"/>
          <w:color w:val="auto"/>
        </w:rPr>
        <w:t>Third Amendment</w:t>
      </w:r>
      <w:r>
        <w:rPr>
          <w:rFonts w:ascii="Times New Roman" w:cs="Times New Roman" w:eastAsia="Times New Roman" w:hAnsi="Times New Roman"/>
          <w:sz w:val="18"/>
          <w:szCs w:val="18"/>
          <w:color w:val="auto"/>
        </w:rPr>
        <w:t>”), with Streeterville. In accordance with the Third Amendment, the Company and Streeterville agreed to amend the redemption provisions of the Streeterville Note to provide that the Company would pay to Streeterville an amount in cash equal to $1.1 million on February 12, 2024, which the amount was paid on February 12, 2024. In addition, beginning on or before February 29, 2024, and on or before the last day of each month until July 31, 2024, the Company was obligated to pay Streeterville an amount equal to $0.4 million in cash, less any amount satisfied by the delivery of Redemption Conversion Shares. During the first three months of this amended payment period, Streeterville could not request to redeem amounts greater than $0.4 million per month.</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April 30, 2024, and for the remainder of the payment period through July 31, 2024, Streeterville could redeem any Redemption Amount (as defined in the Streeterville Note), including an amount in excess of the Minimum Payment, subject to the Maximum Monthly Redemption Amount. During the period through July 31, 2024, the Company was permitted to pay the Redemption Amounts by delivery of the Redemption Conversion Shares (as defined below) without regard to the existence of any Equity Conditions Failure, to the extent Streeterville submits redemption notices during such month pursuant to the terms of the Streeterville Note, and only for the Redemption Amounts covered by such notices. Moreover, the Redemption Premium would continue to apply to the Redemption Amounts. To the extent there was an outstanding balance under the Streeterville Note after July 31, 2024, the Company would be required to pay such outstanding balance in full in cash by August 31, 2024. As a result of the alleged Event of Default mentioned below, the Company did not pay any Redemption Amounts during the three months ended September 30, 2024, prior to the settlement, also as described below.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Minimum Payment Period (defined in the Streeterville Note, as amended), the Company was permitted to pay the Redemption Amounts in the form of shares of Common Stock of the Company (the “</w:t>
      </w:r>
      <w:r>
        <w:rPr>
          <w:rFonts w:ascii="Times New Roman" w:cs="Times New Roman" w:eastAsia="Times New Roman" w:hAnsi="Times New Roman"/>
          <w:sz w:val="18"/>
          <w:szCs w:val="18"/>
          <w:i w:val="1"/>
          <w:iCs w:val="1"/>
          <w:color w:val="auto"/>
        </w:rPr>
        <w:t>Redemption Conversion Shares</w:t>
      </w:r>
      <w:r>
        <w:rPr>
          <w:rFonts w:ascii="Times New Roman" w:cs="Times New Roman" w:eastAsia="Times New Roman" w:hAnsi="Times New Roman"/>
          <w:sz w:val="18"/>
          <w:szCs w:val="18"/>
          <w:color w:val="auto"/>
        </w:rPr>
        <w:t>”) calculated on the basis of the Redemption Conversion Price (as defined in the Streeterville Note) without regard to the existence of an Equity Conditions Failure. Moreover, the Redemption Premium (as defined in the Streeterville Note) would continue to apply to the Redemption Amounts.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Both the Second Amendment and the Third Amendment (considered cumulatively with the Second Amendment) were deemed to be debt modifications and did not give rise to a debt extinguishment in accordance with FASB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which was accounted for prospectively. The modification did not result in recognition of a gain or loss in the consolidated statements of operations as the modifications were not considered debt extinguishments, but impacted interest expense recognized in subsequent periods, prior to the settlement of the Streeterville Note.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 Fair Value Measurements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estimated the fair value of the Streeterville Note using a Monte Carlo simulation model, which used as inputs the fair value of its Common Stock and estimated for the equity volatility and volume volatility of its Common Stock, the time to expiration of the Streeterville Note, the risk-free interest rate for a period that approximated the time to expiration, and probability of default. Therefore, the Company estimated its expected future volatility based on the actual volatility of its Common Stock and historical volatility of its Common Stock utilizing a lookback period consistent with the time to expiration. The time to expiration was based on the contractual maturity date, giving consideration to the mandatory and potential accelerated redemptions beginning six months from the issuance date. The risk-free interest rate was determined by reference to the U.S. Treasury yield curve in effect at the time of measurement for time periods approximately equal to the time to expiration. Probability of default was estimated using either Bloomberg's Default Risk function, which uses its financial information to calculate a default risk specific to the Company, or management's estimates which included, the Company's current cash runway, current efforts to raise financing, and current economic environment.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discount to the principal amount was included in the carrying value of the Streeterville Note. During 2022, the Company recorded a debt discount of approximately $1.0 million upon issuance of the Streeterville Note for the original issue discount of $1.0 million. As a result of electing the fair value option, any direct costs and fees related to the Streeterville Note were expensed as incurred. For the years ended December 31, 2024 and 2023, the Company recorded a gain from the change in fair value of the Streeterville Note of $1.8 million and $2.7 million, respectively, which was recognized in other (income) expense on the consolidated statements of operations as a result of the Company’s election of the fair value option.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made cash principal repayments on the Note of approximately $7.4 million, made cash interest payments on the Note of approximately $0.5 million, including $0.2 million of redemption premiums, issued shares of Common Stock as principal repayment of $0.3 million, and issued shares of Common Stock as interest repayment of $0.1 million, and incurred a default penalty of $0.8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made cash principal repayments on the Note of approximately $2.3 million, made cash interest payments on the Note of approximately $0.9 million, including $0.1 million of redemption premiums, issued shares of Common Stock as principal repayment of $0.7 million, and issued shares of Common Stock as interest repayment of $0.2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Note carried a remaining principle balance of $0 and $8.3 million, respectively. Refer to Note 11 for the reconciliation of the fair values for the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Alleged Default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24, 2024, the Company received written notice from counsel for Streeterville that an alleged event of default occurred with respect to the Streeterville Note issued by the Company in favor of Streeterville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The Notice alleged that, among other things, (i) the announcement of the plan to partially spin-off of HOPE (the “</w:t>
      </w:r>
      <w:r>
        <w:rPr>
          <w:rFonts w:ascii="Times New Roman" w:cs="Times New Roman" w:eastAsia="Times New Roman" w:hAnsi="Times New Roman"/>
          <w:sz w:val="18"/>
          <w:szCs w:val="18"/>
          <w:i w:val="1"/>
          <w:iCs w:val="1"/>
          <w:color w:val="auto"/>
        </w:rPr>
        <w:t>Spin-Off</w:t>
      </w:r>
      <w:r>
        <w:rPr>
          <w:rFonts w:ascii="Times New Roman" w:cs="Times New Roman" w:eastAsia="Times New Roman" w:hAnsi="Times New Roman"/>
          <w:sz w:val="18"/>
          <w:szCs w:val="18"/>
          <w:color w:val="auto"/>
        </w:rPr>
        <w:t>”), constituted a “Fundamental Transaction” (as defined in the Streeterville Note) for which the Company failed to obtain Streeterville’s prior written consent before undertaking such transaction; and (ii) the Company failed to pay the Minimum Payment, as defined in the Streeterville Note, by April 8, 2024, following a Redemption Notice issued on April 3, 2024 by Streeterville to the Company, each of which resulted in the failure to cure a Trigger Event and subsequent Event of Default of the Streeterville Note, resulting in the acceleration of all of the outstanding amounts due thereunder.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Streeterville also filed a complaint (the “</w:t>
      </w:r>
      <w:r>
        <w:rPr>
          <w:rFonts w:ascii="Times New Roman" w:cs="Times New Roman" w:eastAsia="Times New Roman" w:hAnsi="Times New Roman"/>
          <w:sz w:val="18"/>
          <w:szCs w:val="18"/>
          <w:i w:val="1"/>
          <w:iCs w:val="1"/>
          <w:color w:val="auto"/>
        </w:rPr>
        <w:t>Complaint</w:t>
      </w:r>
      <w:r>
        <w:rPr>
          <w:rFonts w:ascii="Times New Roman" w:cs="Times New Roman" w:eastAsia="Times New Roman" w:hAnsi="Times New Roman"/>
          <w:sz w:val="18"/>
          <w:szCs w:val="18"/>
          <w:color w:val="auto"/>
        </w:rPr>
        <w:t>”) naming the Company as a defendant in the Third Judicial District Court of Salt Lake County, Utah. The Complaint was seeking, among other things: (i) declaratory relief for an order enjoining the Company from undertaking any Fundamental Transaction, including the Spin-Off, or otherwise issuing Common Stock or other equity securities (such as the shares of HOPE pursuant to the announced Spin-Off); and (ii) repayment of the Streeterville Note and other unspecified amounts of damages, costs and fees, but no less than $6.5 million, or the amounts currently outstanding under the Streeterville Note.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29, 2024, in connection with the alleged Event of Default that Streeterville claimed occurred with respect to the Streeterville Note, the Company announced an order of the Utah arbitrator denying the petition of Streeterville to enjoin Spin-Off of 49% of shares in HOPE to current shareholders of the Company. The purpose of the proposed Spin-Off was to provide the Company’s shareholders with valuable consideration and to provide HOPE (currently a wholly-owned subsidiary) with a sufficient shareholder base to enable future listing on a national exchange. The arbitrator also denied Streeterville’s petition to enjoin the Company from selling additional shares of Common Stock to finance ongoing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Streeterville Settlement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12, 2024, the Company and Streeterville entered into a Settlement and Release of Claims (the “Settlement Agreement”), whereby the Company and Streeterville agreed to settle all disputes between the parties and release the Company from all obligations arising from the Notes at certain Securities Purchase Agreement, dated November 4, 2022 (“Streeterville Notes”), between the Company and Streeterville, and that certain Convertible Promissory Note, dated November 4, 2022, issued to Streeterville by the Company, in exchange for a payment of $2.5 million upon the initial closing of the sale of the Anson Notes, and within 60 days thereafter, a second payment of $3.05 million. The Company made the $2.5 million payment upon the Anson Notes closing on August 15, 2024. The Company made the final $3.05 million payment in October 10, 2024 using proceeds from the Second Closing of Anson Convertible Promissory Note.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evaluated the terms of the Settlement Amendment in accordance with ASC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Both the Settlement Amendment and the Third Amendment (considered cumulatively with the Settlement Amendment) were deemed to be debt modifications and did not give rise to a debt extinguishment in accordance with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which will be accounted for prospectively. The modifications did not result in recognition of a gain or loss in the consolidated statements of operations as the modifications were not considered debt extinguishments, but will impact interest expense and the determination of fair value in future periods.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Streeterville Note as of December 31, 2024 and 2023 (in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of the Note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11,020</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11,020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Default penalty</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 and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(12,324)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(4,072)</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Carrying value of the Note before current period change in fair value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6,451</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Cumulative fair value adjustments through earnings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fair value adjustments through accumulated other comprehensive loss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carrying value of Note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9,161</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 current portion</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 net of current portion</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Anson Convertible Promissory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12, 2024, the Company entered into the Purchase Agreement with Investors. The Company agreed to sell, in three equal tranches, original issue discount Anson Notes in the aggregate principal amount of up to approximately $16.3 million for an aggregate purchase price of up to approximately $15.0 million and warrants to purchase that amount of shares equal to 50% of the principal amount of the Notes divided by the VWAP of the Company’s Common Stock, as listed on the Nasdaq Capital Market, on the day prior to the closing of each respective tranche under the Anson Warrants.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above offering, the Company engaged EF Hutton LLC as placement agent (the “Placement Agent”), Pursuant to the terms of the engagement with the Placement Agent, the Company paid a cash fee of 7% of the gross proceeds the Company receives in the offering at closing. </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2024 Senior Secured Convertible Promissory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14, 2024, the Company entered into the first tranche Senior Secured Convertible Note Agreements (the “First Tranche Notes”) with Anson Investment Master Fund LP and Anson East Master Fund LP (collectively “Anson”) at various amounts for an aggregate of $5.435 million subject to an original issuance discount of 8% or $435,000, less other cash issuance costs of $521,000, resulting in net cash proceeds of $4.5 million, prior to any allocation to the Anson Warrants. The First Tranche Notes bear interest at a rate of 6% per annum (or 10% during the occurrence of any Event of Default (as defined in the First Tranche Notes)) and have a term of 15 months from the issuance date, maturing on November 14, 2025 (the “First Tranche Maturity Date”) (see Note 9).</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14, 2024, in conjunction with the issuance of the First Tranche Notes, the Company issued warrants to purchase up to 1,349,305 shares of the Company’s Common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Tranche Notes are convertible at the option of the holder at any time after issuance into Common Stock, at a per share conversion price equal to the lower of (a) $2.4168, (the “Fixed Conversion Price”) or (b) a price equal to 92% of the lowest VWAP during the seven trading day period immediately preceding the effective conversion date (the “Alternate Conversion Price”, and together with the Fixed Conversion Price, the “Conversion Price”). If the Conversion Price is less than $0.38 (the “Floor Price”), then in addition to the issuance of Common Stock upon conversion the Company will pay cash as a true-up which is determined by the product of (i) the difference between (y) the Floor Price less (z) the Conversion Price then in effect, multiplied by (ii) the conversion amount that is being paid in Common Stock.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the First Tranche Notes do not allow any conversion of the First Tranche Notes if it results in Anson owning more than 4.99% of the outstanding shares of Common Stock (the "Beneficial Ownership Limitation"). This limitation can be adjusted up to 9.99% with prior notice, effective 61 days after such notice. Anson must ensure compliance with this limitation when submitting a notice of conversion, and the Company will rely on Anson's representation of compliance.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issues or grants options for Common Stock at a price lower than the current Conversion Price, the Conversion Price will be adjusted to match this lower price, (the “Base Conversion Price”). The Company must notify Anson of any such issuance, and Anson is entitled to convert shares based on the new Base Conversion Price.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offers purchase rights to holders of Common Stock, Anson will be entitled to acquire those rights as if they had fully converted the Note, subject to the Beneficial Ownership Limitation. If exercising these rights would exceed the Beneficial Ownership Limitation, the rights will be held in abeyance until they can be exercised without exceeding the limit.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First Tranche Notes contain mandatory redemption features, whereby if at any time the First Tranche Notes are outstanding, the Company will be required to: (A) use up to 30% of the gross proceeds from any Subsequent Financings (as defined in the Purchase Agreement) in cash, to redeem all or a portion of the Note for an amount equal to the outstanding principal, plus all accrued but unpaid interest, plus all liquidated damages (the “Redemption Obligations”), multiplied by 1.05 (the “Mandatory Redemption Amount”); (B) redeem all of the Redemption Obligations at the Mandatory Redemption Amount in the event of a Change of Control Transaction (as defined in the First Tranche Notes); (C) redeem the Redemption Obligations for the Mandatory Redemption Amount in the event a registration statement is not available for each of the offer and resale of the shares issuable upon conversion of the First Tranche Notes (the “Conversion Shares”); and (D) redeem the Redemption Obligations for the Mandatory Redemption Amount if the Shareholder Approval is not obtained within 180 days following the date of issuance of the First Tranche Notes.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Tranche Notes contain certain covenants, and events of default and triggering events, respectively, which would require repayment of the obligations outstanding pursuant to such instruments. The obligations of the Company pursuant to the First Tranche Notes are (i) secured by all assets of the Company and all subsidiaries of the Company pursuant to the Security Agreement and Patent Security Agreement, dated August 14, 2024, by and among the Company, the subsidiaries of the Company, and the Investors, and (ii) guaranteed jointly and severally by the subsidiaries of the Company pursuant to the Subsidiary Guarantee, dated August 14, 2024, by and among the Company, the subsidiaries of the Company, and the Investors.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on October 10, 2024 (the “Second Closing Date”), the Company sold a total of $5.435 million in Notes (the “Second Tranche Notes”, and collectively with the First Tranche Notes, the ("Anson Notes")) subject to an original issue discount of 8% or $435,000 less other cash issuance cost of $375,000, with an aggregate purchase price of approximately $5.0 million, and Warrants to purchase up to 1,846,128 shares of Common Stock. The Second Tranche Notes are convertible into Common Stock, at a per share conversion price equal to by the lower of (a) $1.7664 or (b) a price equal to 92% of the lowest VWAP during the seven trading day period immediately preceding the effective date set forth in a Notice of Conversion delivered by an Investor to the Company. The Conversion Price is subject to, among other customary provisions, downward adjustment in the event of any future issuance by the Company of common stock below the then effective Conversion Price. $3.05 million of the note proceeds were used to repay the Streeterville note.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above Second Tranche Notes”, the Company engaged Placement Agent. Pursuant to the terms of the engagement with the Placement Agent, the Company paid a cash fee of 7% of the gross proceeds the Company received in the Second Closing and incurred certain additional other issuance costs and reimbursement for legal counsel disbursements and placement agent, for aggregate issuance costs of approximately $0.4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these embedded features within the Anson Notes, the Company elected to account for the First and Second Tranche Notes at fair value at inception. Subsequent changes in fair value are recorded as a component of other income (loss) in the consolidated statements of operations. Additionally the portion of changes in the fair value related to changes in credit risk are recorded to other comprehensive income in the consolidated statements of operations. To determine the initial carrying value of the Notes and the warrants issued to Anson under the First and Second Tranche Notes (see Note 9), the Company allocated the proceeds using the fair value method. After allocation, the initial carrying value of the First Tranche Notes and the warrants issued to Anson were $2.9 million and $2.1 million, respectively, and the initial carrying value of the Second Tranche Notes and the warrants issued to Anson were $3.1 million and $1.9 million, respectively Refer to Note 11 for the reconciliation of the fair values for the periods presented.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Anson converted $4.2 million of principal and interest of the First Tranche Note into common stock, resulting in the issuances of 3,676,796 shares of Common Stock and loss on redemption of $1.3 million (see Note 9). As of December 31, 2024, the principal and accrued interest balance of the Anson Notes was $6.75 million and $0.1 million, respectively. During the year ended December 31, 2024, the Company recorded a loss from the change in fair value of the First Tranche Notes of $4.4 million, which was recognized in other (income) expense on the consolidated statements of operations as a result of the Company’s election of the fair value option. At December 31, 2024 the effective interest rate of the First and the Second Tranche Note was 82% and 53%, respectively.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January 2, 2025 to January 3, 2025, the Company received conversion notices from Anson resulting in the conversion of the remaining principal of the First Tranche Note of $1.3 million of principal and interest in full from the First Tranche Note into 1,004,055 shares of Common Stock (see Note 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Anson Notes as of December 31, 2024 (in thousands):</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of the Anson Notes</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Initial original issue discount</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0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Carrying value of the Anson Notes before current period change in fair value</w:t>
            </w: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allocated to Common Stock liability classified warrants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through earnings</w:t>
            </w:r>
          </w:p>
        </w:tc>
        <w:tc>
          <w:tcPr>
            <w:tcW w:w="1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carrying value of Anson Notes</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 w:type="dxa"/>
            <w:vAlign w:val="bottom"/>
            <w:vMerge w:val="restart"/>
          </w:tcPr>
          <w:p>
            <w:pPr>
              <w:spacing w:after="0"/>
              <w:rPr>
                <w:sz w:val="17"/>
                <w:szCs w:val="17"/>
                <w:color w:val="auto"/>
              </w:rPr>
            </w:pPr>
          </w:p>
        </w:tc>
        <w:tc>
          <w:tcPr>
            <w:tcW w:w="708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 - current portion</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net of current portion</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708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F- 19</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70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Sarah Herzog Memorial Hospital License Agreement</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Company is required to make certain payments related to the development of NRX-101 (the "</w:t>
      </w:r>
      <w:r>
        <w:rPr>
          <w:rFonts w:ascii="Times New Roman" w:cs="Times New Roman" w:eastAsia="Times New Roman" w:hAnsi="Times New Roman"/>
          <w:sz w:val="18"/>
          <w:szCs w:val="18"/>
          <w:i w:val="1"/>
          <w:iCs w:val="1"/>
          <w:color w:val="auto"/>
        </w:rPr>
        <w:t>Licensed Product</w:t>
      </w:r>
      <w:r>
        <w:rPr>
          <w:rFonts w:ascii="Times New Roman" w:cs="Times New Roman" w:eastAsia="Times New Roman" w:hAnsi="Times New Roman"/>
          <w:sz w:val="18"/>
          <w:szCs w:val="18"/>
          <w:color w:val="auto"/>
        </w:rPr>
        <w:t>") in order to maintain the license agreement with the Sarah Herzog Memorial Hospital Ezrat Nashim (“</w:t>
      </w:r>
      <w:r>
        <w:rPr>
          <w:rFonts w:ascii="Times New Roman" w:cs="Times New Roman" w:eastAsia="Times New Roman" w:hAnsi="Times New Roman"/>
          <w:sz w:val="18"/>
          <w:szCs w:val="18"/>
          <w:i w:val="1"/>
          <w:iCs w:val="1"/>
          <w:color w:val="auto"/>
        </w:rPr>
        <w:t>SHMH</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SHMH License Agreement</w:t>
      </w:r>
      <w:r>
        <w:rPr>
          <w:rFonts w:ascii="Times New Roman" w:cs="Times New Roman" w:eastAsia="Times New Roman" w:hAnsi="Times New Roman"/>
          <w:sz w:val="18"/>
          <w:szCs w:val="18"/>
          <w:color w:val="auto"/>
        </w:rPr>
        <w:t>"), including: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tc>
        <w:tc>
          <w:tcPr>
            <w:tcW w:w="30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Phase I Clinical Trials of Licensed Product (completed)</w:t>
            </w:r>
          </w:p>
        </w:tc>
        <w:tc>
          <w:tcPr>
            <w:tcW w:w="30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End of Phase II Clinical Trials of Licensed Product (completed)</w:t>
            </w:r>
          </w:p>
        </w:tc>
        <w:tc>
          <w:tcPr>
            <w:tcW w:w="3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Phase III Clinical Trials of Licensed Product</w:t>
            </w:r>
          </w:p>
        </w:tc>
        <w:tc>
          <w:tcPr>
            <w:tcW w:w="30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First Commercial Sale of Licensed Product in U.S.</w:t>
            </w:r>
          </w:p>
        </w:tc>
        <w:tc>
          <w:tcPr>
            <w:tcW w:w="3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Commercial Sale of Licensed Product in Europe</w:t>
            </w:r>
          </w:p>
        </w:tc>
        <w:tc>
          <w:tcPr>
            <w:tcW w:w="30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Annual Revenues Reach $100,000,000</w:t>
            </w:r>
          </w:p>
        </w:tc>
        <w:tc>
          <w:tcPr>
            <w:tcW w:w="3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750,000</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milestone payments due above may be reduced by 25% in certain circumstances, and by the application of certain sub-license fees. As of the years ended December 31, 2024 and 2023, the total cumulative payments made under the </w:t>
      </w:r>
      <w:r>
        <w:rPr>
          <w:rFonts w:ascii="Times New Roman" w:cs="Times New Roman" w:eastAsia="Times New Roman" w:hAnsi="Times New Roman"/>
          <w:sz w:val="18"/>
          <w:szCs w:val="18"/>
          <w:i w:val="1"/>
          <w:iCs w:val="1"/>
          <w:color w:val="auto"/>
        </w:rPr>
        <w:t>SHMH License Agreement</w:t>
      </w:r>
      <w:r>
        <w:rPr>
          <w:rFonts w:ascii="Times New Roman" w:cs="Times New Roman" w:eastAsia="Times New Roman" w:hAnsi="Times New Roman"/>
          <w:sz w:val="18"/>
          <w:szCs w:val="18"/>
          <w:color w:val="auto"/>
        </w:rPr>
        <w:t xml:space="preserve"> were $0.4 million, with no payments made during the year ended December 31, 2024, and $0.2 million and $0.2 million payments made during the years ended December 31, 2023 and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royalty in an amount equal to: (a) 1% of revenues from the sale of any product incorporating a Licensed Product when at least one Licensed Patent remains in force, if such product is not covered by a Valid Claim (as defined below) in the country or region in which the sale occurs, or (b) 2.5% of revenues from the sale of any Licensed Product that is covered by at least one Valid Claim in the country or region in which such product is manufactured or sold. A “Valid Claim” means any issued claim in the Licensed Patents that remains in force and that has not been finally invalidated or held to be unenforceable. The royalty rates above may be doubled if we commence a legal challenge to the validity, enforceability or scope of any of the Licensed Patents during the term of the SHMH License Agreement and do not prevail in such proceeding.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Royalties shall also apply to any revenues generated by sub-licensees from sale of Licensed Products subject to a cap of 8.5% of the payments received by us from sub-licensees in connection with such sales. During the years ended December 31, 2024 and 2023, no royalty payments were made.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Maintenance Fee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fixed amount of $100,000 was paid on April 16, 2021 and, thereafter, a fixed amount of $150,000 is due on the anniversary of such date during the term of the SHMH License Agreement. The Company paid $150,000 in annual maintenance fees in each of the years ended December 31, 2024 and 2023, expensed through Research and Development expenses in the accompanying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a License Agreement with Apkarian Technologies to in-license US Patent 8,653,120 that claims the use of D-cycloserine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NRX-101 to decrease both chronic pain and neuropathic pain while potentially decreasing craving for opioids. For the years ended December 31, 2024 and 2023, the Company has recorded no expenses relating to the licensure of the patent.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office space on a month-to-month basis. The rent expense for the years ended December 31, 2024 and 2023 was $0.1 million and $0.1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involved in litigation, claims, and other proceedings arising in the ordinary course of business. Litigation and other disputes are inherently unpredictable and subject to substantial uncertainties and unfavorable resolutions could occur.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a defendant in litigation filed by Streeterville in the Third Judicial District Court of Salt Lake County, Utah. See Note 7, Debt, for additional information. The Complaint sought, among other things: (i) declaratory relief for an order enjoining the Company from undertaking any Fundamental Transaction, including the Spin-Off, or otherwise issuing Common Stock or other equity securities (such as the shares of HOPE pursuant to the announced Spin-Off); and (ii) repayment of the Streeterville Note and other unspecified amounts of damages, costs and fees, but no less than $6,537,027, or the amounts currently outstanding under the Streeterville Note.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87"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29, 2024, in connection with the alleged Event of Default that Streeterville claimed occurred with respect to the Streeterville Note, the Company announced an order of the Utah arbitrator denying the petition of Streeterville to enjoin the planned Spin-Off of 49% of shares in HOPE to current shareholders of the Company. The purpose of the proposed Spin-Off was to provide the Company’s shareholders with valuable consideration and to provide HOPE (currently a wholly-owned subsidiary) with a sufficient shareholder base to enable future listing on a national exchange. The arbitrator also denied Streeterville’s petition to enjoin the Company from selling additional shares of Common Stock to finance ongoing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12, 2024, the Company signed a settlement agreement with Streeterville to retire its remaining debt for a settlement amount of $5.6 million and to settle outstanding litigation. This settlement amount was substantially less than the amounts claimed by Streeterville in its Compliant (see Note 7). As of September 30, 2024, the fair value of the Streeterville Note was adjusted to the settlement amount which was repaid in October 2024. Such adjustment is included within the change in fair value of convertible notes payable on the consolidated statement of operations, therefore no gain or loss on the settlement was recorded.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17, 2023, NeuroRx and GEM entered into a settlement and release agreement (the “Settlement Agreement”) pursuant to which the parties agreed to dismiss the arbitration proceeding with prejudice. Pursuant to the Settlement Agreement on August 31, 2023, the Company issued 67,568 shares of Common Stock, the fair value of which was approximately $0.3 million based on the quoted trading price on the grant date, to GEM in full satisfaction of the Settlement Agreement which was approximately $0.3 million and was expensed as “Settlement expense” in fiscal 2023. The shares are registered under a prospectus supplement to the Company’s registration statement on Form S-3 and are subject to a restriction that they cannot be sold or traded for a period of six months from the effective date of the Settlement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involved in and may from time to time become involved in various legal actions incidental to our business. As of the date of this report, the Company, other than as set forth above, is not involved in any legal proceedings that it believes could have a material adverse effect on its financial position or results of operations. However, the outcome of any current or future legal proceeding is inherently difficult to predict and any dispute resolved unfavorably could have a material adverse effect on the Company’s business, financial position, and operating results.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Reverse Stock Split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21, 2024, the Board approved a reverse stock split ratio of 1-for-10. On March 28, 2024, the Company filed an amendment to its certificate of incorporation in the State of Delaware (the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which provided that every ten shares of its issued and outstanding Common Stock would automatically be combined into one issued and outstanding share of Common Stock, without any change in the par value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April 1, 2024, every 10 issued and outstanding shares of the Company’s Common Stock were converted automatically into one share of the Company’s Common Stock, without any change in the par value per share. The Reverse Stock Split reduced the number of shares of Common Stock issued and outstanding from approximately 95.7 million to approximately 9.6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 Shareholders who otherwise would have been entitled to receive a fractional share instead became entitled to receive one whole share of Common Stock in lieu of such fractional share. As a result of the Reverse Stock Split, 73,040 additional shares of common stock were issued in lieu of fractional shares. All share and per share amounts in the accompanying consolidated financial statements and footnotes have been retrospectively adjusted for the reverse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terms of the Company’s Second Amended and Restated Certificate of Incorporation, the Company has authorized 50,000,000 shares of preferred stock with a par value of $0.001.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Convertible Preferred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30, 2023, the Company filed a Certificate of Designation of Preferences, Rights and Limitations of Series A Convertible Preferred Stock (“Series A Preferred Stock”) with the Delaware Secretary of State (the “Certificate of Designation”) authorizing up to 12,000,000 shares of Series A Preferred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 sold and issued 3,000,000 shares of Series A Preferred Stock. Each share of Series A Preferred Stock was sold with one warrant (a “Unit"), see investor warrant section below for terms, for an aggregate cash purchase price of $1.2 million or $0.40 per Unit.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2024, holders of the Company’s Series A Preferred elected to convert 3,000,000 shares of Series A Preferred into 300,000 shares of Common Stock. As of December 31, 2024, no shares of Series A Preferred remained issued or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Series A Preferred Stock are not entitled to receive any dividends in respect to the Series A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Series A Preferred Stock have no voting rights other than for an affirmative vote in order for the Company to (a) disproportionally alter or change adversely the powers, preferences or rights given to the Series A Preferred Stock or alter or amend the Certificate of Designation, (b) amend its certificate of incorporation or other charter documents in any manner that disproportionally adversely affects any rights of the Holders, (c) increase or decrease the number of authorized shares of Series A Preferred Stock or (d) enter into any agreement with respect to any of the foregoing.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share of Series A Preferred Stock shall be convertible into a number of shares of Common Stock equal to the number of shares of Series A Preferred Stock being converted. Notwithstanding the foregoing, no share of Series A Preferred Stock shall be convertible during the six (6) month period following the issuance date; provided, however, if the Common Stock trades at or above $1.20 per share (subject to adjustment for stock splits, stock dividends, stock combinations, recapitalizations or other similar events), as reported on Bloomberg, L.P. on any trading day, holder may convert the Series A Preferred Stock prior to the six (6) month anniversary of the issuance date. No fractional shares will be issued upon conversion. Conversion is subject to certain limitations, including the holder not owning more than 4.9% of the outstanding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(a “Liquidation”), whether voluntary or involuntary, each holder of Series A Preferred Stock shall be entitled to receive the amount of cash, securities or other property to which such holder would be entitled to receive if such shares had been converted to Common Stock immediately prior to such Liquidation, subject to certain rights and limitations.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terms of the Company’s Second Amended and Restated Certificate of Incorporation, the Company has authorized 500,000,000 shares of common stock with a par value of $0.001.</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8, 2023, NRx Pharmaceuticals entered into a securities purchase agreement with the March Investors, providing for the issuance and sale of 386,667 shares of Common Stock and the March Investor Warrants to purchase up to 386,667 shares of Common Stock in a registered direct offering priced at-the-market under Nasdaq rules for a purchase price of $7.50 per share. The March Investor Warrants have an exercise price of $7.50 per share, are exercisable beginning on September 8, 2023 and will expire 5 years from the March Initial Exercise Date. The March Investors agreed not to transfer the Common Stock for six months following the date of issuance. The aggregate net cash proceeds to the Company from the March Offering were approximately $2.5 million net of offering costs of approximately $0.4 million. The Company used the net proceeds from such offering for working capital and general corporate purposes. The closing of the sale of these securities occurred on March 9, 2023. The securities were issued pursuant to the Company’s registration statement on Form S-3 filed with the SEC on June 9, 2022 (File No. 333-265492) which became effective on June 21, 2022.</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2023, the Company entered into a letter agreement with H.C. Wainwright &amp; Co., LLC. Although they did not act as the placement agent with respect to the March 2023 Offering, H.C. Wainwright &amp; Co., LLC was paid a cash fee equal to 3.0% of the amount raised, or approximately $0.1 million, pursuant to the letter agreement, which was charged against the proceeds in additional paid-in capital.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6, 2023, the Company entered into a securities purchase agreement with the June Investors, providing for the issuance and sale of 967,000 shares of the Company’s Common Stock and the June Investor Warrants to purchase up to 967,000 shares of Common Stock. The Common Stock was issued in a registered direct offering for a purchase price of $6.50 per share and the June Investor Warrants were offered pursuant to a private placement under Section 4(a)(2) of the Securities Act. The aggregate net cash proceeds to the Company from the June Offering were approximately $5.6 million. The Company used the net proceeds from the June Offering for working capital and general corporate purposes.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H.C. Wainwright &amp; Co. LLC acted as the exclusive placement agent (the “Placement Agent”) for the June 2023 Offering. The Placement Agent was paid a cash fee equal to 6.5% of the gross proceeds received by the Company from the sale of the securities at the closing of the June Offering or approximately $0.6 million which was charged against the proceeds in additional paid-in capital. The Company used the net proceeds from such offering for working capital and general corporate purposes.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Note issued to Streeterville, on May 15, 2023 the Company issued 40,868 Common Stock to Streeterville in repayment of interest on the Note. Additionally on August 4, 2023 and August 30, 2023, the Company issued 131,266 and 154,289 respectively to Streeterville for repayment of principal and interest under the Note. Refer to Note 7 for further details.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17, 2023, the Company and GEM entered into a settlement agreement where the Company issued 67,568 shares of Common Stock to GEM in full satisfaction of its obligation. Refer to Note 8 for further details.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 2024, the Company issued 143,648 shares of Common Stock as payment for the $0.4 million minimum payment to Streeterville related to principal and interest payments on the Streeterville Note.</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From February 20, 2024 to July 29, 2024, the Company announced that it entered into multiple purchase agreements (the “</w:t>
      </w:r>
      <w:r>
        <w:rPr>
          <w:rFonts w:ascii="Times New Roman" w:cs="Times New Roman" w:eastAsia="Times New Roman" w:hAnsi="Times New Roman"/>
          <w:sz w:val="18"/>
          <w:szCs w:val="18"/>
          <w:i w:val="1"/>
          <w:iCs w:val="1"/>
          <w:color w:val="auto"/>
        </w:rPr>
        <w:t>ATM Purchase Agreements</w:t>
      </w:r>
      <w:r>
        <w:rPr>
          <w:rFonts w:ascii="Times New Roman" w:cs="Times New Roman" w:eastAsia="Times New Roman" w:hAnsi="Times New Roman"/>
          <w:sz w:val="18"/>
          <w:szCs w:val="18"/>
          <w:color w:val="auto"/>
        </w:rPr>
        <w:t>”) subject to standard closing conditions where accredited investors purchased 385,515 shares of unregistered Common Stock at a range of $2.42 – $7.10 per share. On April 15, 2024, the Company increased the maximum aggregate offering amount of the shares of Common Stock issuable under that certain At the Market Offering Agreement, dated August 14, 2023 (the “</w:t>
      </w:r>
      <w:r>
        <w:rPr>
          <w:rFonts w:ascii="Times New Roman" w:cs="Times New Roman" w:eastAsia="Times New Roman" w:hAnsi="Times New Roman"/>
          <w:sz w:val="18"/>
          <w:szCs w:val="18"/>
          <w:i w:val="1"/>
          <w:iCs w:val="1"/>
          <w:color w:val="auto"/>
        </w:rPr>
        <w:t>Offering Agreemen</w:t>
      </w:r>
      <w:r>
        <w:rPr>
          <w:rFonts w:ascii="Times New Roman" w:cs="Times New Roman" w:eastAsia="Times New Roman" w:hAnsi="Times New Roman"/>
          <w:sz w:val="18"/>
          <w:szCs w:val="18"/>
          <w:color w:val="auto"/>
        </w:rPr>
        <w:t>t”), with H.C. Wainwright &amp; Co., and filed a prospectus supplement (the “</w:t>
      </w:r>
      <w:r>
        <w:rPr>
          <w:rFonts w:ascii="Times New Roman" w:cs="Times New Roman" w:eastAsia="Times New Roman" w:hAnsi="Times New Roman"/>
          <w:sz w:val="18"/>
          <w:szCs w:val="18"/>
          <w:i w:val="1"/>
          <w:iCs w:val="1"/>
          <w:color w:val="auto"/>
        </w:rPr>
        <w:t>Current Prospectus Supplement</w:t>
      </w:r>
      <w:r>
        <w:rPr>
          <w:rFonts w:ascii="Times New Roman" w:cs="Times New Roman" w:eastAsia="Times New Roman" w:hAnsi="Times New Roman"/>
          <w:sz w:val="18"/>
          <w:szCs w:val="18"/>
          <w:color w:val="auto"/>
        </w:rPr>
        <w:t>”) under the Offering Agreement for an aggregate of $4.9 million. Through December 31, 2024, the aggregate net cash proceeds to the Company from the ATM Purchases Agreements were approximately $1.6 million.</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27, 2024, the Company entered into an underwriting agreement (the “ </w:t>
      </w:r>
      <w:r>
        <w:rPr>
          <w:rFonts w:ascii="Times New Roman" w:cs="Times New Roman" w:eastAsia="Times New Roman" w:hAnsi="Times New Roman"/>
          <w:sz w:val="18"/>
          <w:szCs w:val="18"/>
          <w:i w:val="1"/>
          <w:iCs w:val="1"/>
          <w:color w:val="auto"/>
        </w:rPr>
        <w:t>February Underwriting Agreement</w:t>
      </w:r>
      <w:r>
        <w:rPr>
          <w:rFonts w:ascii="Times New Roman" w:cs="Times New Roman" w:eastAsia="Times New Roman" w:hAnsi="Times New Roman"/>
          <w:sz w:val="18"/>
          <w:szCs w:val="18"/>
          <w:color w:val="auto"/>
        </w:rPr>
        <w:t>”) with EF Hutton LLC (the “</w:t>
      </w:r>
      <w:r>
        <w:rPr>
          <w:rFonts w:ascii="Times New Roman" w:cs="Times New Roman" w:eastAsia="Times New Roman" w:hAnsi="Times New Roman"/>
          <w:sz w:val="18"/>
          <w:szCs w:val="18"/>
          <w:i w:val="1"/>
          <w:iCs w:val="1"/>
          <w:color w:val="auto"/>
        </w:rPr>
        <w:t>Representative</w:t>
      </w:r>
      <w:r>
        <w:rPr>
          <w:rFonts w:ascii="Times New Roman" w:cs="Times New Roman" w:eastAsia="Times New Roman" w:hAnsi="Times New Roman"/>
          <w:sz w:val="18"/>
          <w:szCs w:val="18"/>
          <w:color w:val="auto"/>
        </w:rPr>
        <w:t xml:space="preserve">”), as the representative of the several underwriters named therein (the “ </w:t>
      </w:r>
      <w:r>
        <w:rPr>
          <w:rFonts w:ascii="Times New Roman" w:cs="Times New Roman" w:eastAsia="Times New Roman" w:hAnsi="Times New Roman"/>
          <w:sz w:val="18"/>
          <w:szCs w:val="18"/>
          <w:i w:val="1"/>
          <w:iCs w:val="1"/>
          <w:color w:val="auto"/>
        </w:rPr>
        <w:t>February Underwriters</w:t>
      </w:r>
      <w:r>
        <w:rPr>
          <w:rFonts w:ascii="Times New Roman" w:cs="Times New Roman" w:eastAsia="Times New Roman" w:hAnsi="Times New Roman"/>
          <w:sz w:val="18"/>
          <w:szCs w:val="18"/>
          <w:color w:val="auto"/>
        </w:rPr>
        <w:t xml:space="preserve">”), relating to an underwritten public offering (the “ </w:t>
      </w:r>
      <w:r>
        <w:rPr>
          <w:rFonts w:ascii="Times New Roman" w:cs="Times New Roman" w:eastAsia="Times New Roman" w:hAnsi="Times New Roman"/>
          <w:sz w:val="18"/>
          <w:szCs w:val="18"/>
          <w:i w:val="1"/>
          <w:iCs w:val="1"/>
          <w:color w:val="auto"/>
        </w:rPr>
        <w:t>February 2024 Public Offering</w:t>
      </w:r>
      <w:r>
        <w:rPr>
          <w:rFonts w:ascii="Times New Roman" w:cs="Times New Roman" w:eastAsia="Times New Roman" w:hAnsi="Times New Roman"/>
          <w:sz w:val="18"/>
          <w:szCs w:val="18"/>
          <w:color w:val="auto"/>
        </w:rPr>
        <w:t xml:space="preserve">”) of 500,000 shares (the “ </w:t>
      </w:r>
      <w:r>
        <w:rPr>
          <w:rFonts w:ascii="Times New Roman" w:cs="Times New Roman" w:eastAsia="Times New Roman" w:hAnsi="Times New Roman"/>
          <w:sz w:val="18"/>
          <w:szCs w:val="18"/>
          <w:i w:val="1"/>
          <w:iCs w:val="1"/>
          <w:color w:val="auto"/>
        </w:rPr>
        <w:t>February Shares</w:t>
      </w:r>
      <w:r>
        <w:rPr>
          <w:rFonts w:ascii="Times New Roman" w:cs="Times New Roman" w:eastAsia="Times New Roman" w:hAnsi="Times New Roman"/>
          <w:sz w:val="18"/>
          <w:szCs w:val="18"/>
          <w:color w:val="auto"/>
        </w:rPr>
        <w:t xml:space="preserve">”) of the Company’s Common Stock. The public offering price for each share of Common Stock was $3.00 and the February Underwriters purchased the shares of Common Stock pursuant to the February Underwriting Agreement at a price for each share of Common Stock of $2.76. Pursuant to the February Underwriting Agreement, the Company also granted the Representative a 45-day option to purchase up to an additional 75,000 shares (the “ </w:t>
      </w:r>
      <w:r>
        <w:rPr>
          <w:rFonts w:ascii="Times New Roman" w:cs="Times New Roman" w:eastAsia="Times New Roman" w:hAnsi="Times New Roman"/>
          <w:sz w:val="18"/>
          <w:szCs w:val="18"/>
          <w:i w:val="1"/>
          <w:iCs w:val="1"/>
          <w:color w:val="auto"/>
        </w:rPr>
        <w:t>February Option Shares</w:t>
      </w:r>
      <w:r>
        <w:rPr>
          <w:rFonts w:ascii="Times New Roman" w:cs="Times New Roman" w:eastAsia="Times New Roman" w:hAnsi="Times New Roman"/>
          <w:sz w:val="18"/>
          <w:szCs w:val="18"/>
          <w:color w:val="auto"/>
        </w:rPr>
        <w:t xml:space="preserve">”) of the Common Stock on the same terms as the February Shares sold in the February 2024 Public Offering (the “ </w:t>
      </w:r>
      <w:r>
        <w:rPr>
          <w:rFonts w:ascii="Times New Roman" w:cs="Times New Roman" w:eastAsia="Times New Roman" w:hAnsi="Times New Roman"/>
          <w:sz w:val="18"/>
          <w:szCs w:val="18"/>
          <w:i w:val="1"/>
          <w:iCs w:val="1"/>
          <w:color w:val="auto"/>
        </w:rPr>
        <w:t>February Over-Allotment Option</w:t>
      </w:r>
      <w:r>
        <w:rPr>
          <w:rFonts w:ascii="Times New Roman" w:cs="Times New Roman" w:eastAsia="Times New Roman" w:hAnsi="Times New Roman"/>
          <w:sz w:val="18"/>
          <w:szCs w:val="18"/>
          <w:color w:val="auto"/>
        </w:rPr>
        <w:t xml:space="preserve">”). On February 28, 2024, the February 2024 Public Offering closed (the “ </w:t>
      </w:r>
      <w:r>
        <w:rPr>
          <w:rFonts w:ascii="Times New Roman" w:cs="Times New Roman" w:eastAsia="Times New Roman" w:hAnsi="Times New Roman"/>
          <w:sz w:val="18"/>
          <w:szCs w:val="18"/>
          <w:i w:val="1"/>
          <w:iCs w:val="1"/>
          <w:color w:val="auto"/>
        </w:rPr>
        <w:t>February Closing Date</w:t>
      </w:r>
      <w:r>
        <w:rPr>
          <w:rFonts w:ascii="Times New Roman" w:cs="Times New Roman" w:eastAsia="Times New Roman" w:hAnsi="Times New Roman"/>
          <w:sz w:val="18"/>
          <w:szCs w:val="18"/>
          <w:color w:val="auto"/>
        </w:rPr>
        <w:t xml:space="preserve">”). The aggregate net cash proceeds to the Company from the February 2024 Offering proceeds were approximately $1.3 million after offering costs of approximately $0.4 million. On March 5, 2024, the February Underwriters of the previously announced underwritten public offering of the Company exercised their option in accordance with the February Underwriting Agreement, dated February 27, 2024, by and between the Company and the Representative, as representative of the several underwriters named therein, to purchase up to an additional 75,000 shares of the Company’s Common Stock, at a public offering price of $3.00 per share (the “ </w:t>
      </w:r>
      <w:r>
        <w:rPr>
          <w:rFonts w:ascii="Times New Roman" w:cs="Times New Roman" w:eastAsia="Times New Roman" w:hAnsi="Times New Roman"/>
          <w:sz w:val="18"/>
          <w:szCs w:val="18"/>
          <w:i w:val="1"/>
          <w:iCs w:val="1"/>
          <w:color w:val="auto"/>
        </w:rPr>
        <w:t>February Overallotment Exercise</w:t>
      </w:r>
      <w:r>
        <w:rPr>
          <w:rFonts w:ascii="Times New Roman" w:cs="Times New Roman" w:eastAsia="Times New Roman" w:hAnsi="Times New Roman"/>
          <w:sz w:val="18"/>
          <w:szCs w:val="18"/>
          <w:color w:val="auto"/>
        </w:rPr>
        <w:t>”). The February Overallotment Exercise closed on March 6, 2024. The aggregate net cash proceeds to the Company from the February Overallotment Exercise were approximately $0.2 million. The Company accrued additional offering costs of approximately $0.2 million.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February 29, 2024, the Company entered into a securities purchase agreement with an investor providing for the issuance and sale of 270,000 shares of Common Stock and warrants to purchase up to 270,000 shares of Common Stock (the “ </w:t>
      </w:r>
      <w:r>
        <w:rPr>
          <w:rFonts w:ascii="Times New Roman" w:cs="Times New Roman" w:eastAsia="Times New Roman" w:hAnsi="Times New Roman"/>
          <w:sz w:val="18"/>
          <w:szCs w:val="18"/>
          <w:i w:val="1"/>
          <w:iCs w:val="1"/>
          <w:color w:val="auto"/>
        </w:rPr>
        <w:t>February Warrants</w:t>
      </w:r>
      <w:r>
        <w:rPr>
          <w:rFonts w:ascii="Times New Roman" w:cs="Times New Roman" w:eastAsia="Times New Roman" w:hAnsi="Times New Roman"/>
          <w:sz w:val="18"/>
          <w:szCs w:val="18"/>
          <w:color w:val="auto"/>
        </w:rPr>
        <w:t xml:space="preserve">”) at a price of $3.80 per share of Common Stock and accompanying warrant, which represents a 26.7% premium to the offering price in February 2024 Public Offering. The Common Stock and the February Warrants were offered pursuant to a private placement (the “ </w:t>
      </w:r>
      <w:r>
        <w:rPr>
          <w:rFonts w:ascii="Times New Roman" w:cs="Times New Roman" w:eastAsia="Times New Roman" w:hAnsi="Times New Roman"/>
          <w:sz w:val="18"/>
          <w:szCs w:val="18"/>
          <w:i w:val="1"/>
          <w:iCs w:val="1"/>
          <w:color w:val="auto"/>
        </w:rPr>
        <w:t>February 2024 Private Placement</w:t>
      </w:r>
      <w:r>
        <w:rPr>
          <w:rFonts w:ascii="Times New Roman" w:cs="Times New Roman" w:eastAsia="Times New Roman" w:hAnsi="Times New Roman"/>
          <w:sz w:val="18"/>
          <w:szCs w:val="18"/>
          <w:color w:val="auto"/>
        </w:rPr>
        <w:t>”) under Section 4(a)(2)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The aggregate net cash proceeds to the Company from the February 2024 Private Placement were approximately $1.0 million.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April 18, 2024, the Company entered into an underwriting agreement (the “ </w:t>
      </w:r>
      <w:r>
        <w:rPr>
          <w:rFonts w:ascii="Times New Roman" w:cs="Times New Roman" w:eastAsia="Times New Roman" w:hAnsi="Times New Roman"/>
          <w:sz w:val="18"/>
          <w:szCs w:val="18"/>
          <w:i w:val="1"/>
          <w:iCs w:val="1"/>
          <w:color w:val="auto"/>
        </w:rPr>
        <w:t>April Underwriting Agreement</w:t>
      </w:r>
      <w:r>
        <w:rPr>
          <w:rFonts w:ascii="Times New Roman" w:cs="Times New Roman" w:eastAsia="Times New Roman" w:hAnsi="Times New Roman"/>
          <w:sz w:val="18"/>
          <w:szCs w:val="18"/>
          <w:color w:val="auto"/>
        </w:rPr>
        <w:t xml:space="preserve">”) with the Representative, as the representative of the several underwriters named therein (the “ </w:t>
      </w:r>
      <w:r>
        <w:rPr>
          <w:rFonts w:ascii="Times New Roman" w:cs="Times New Roman" w:eastAsia="Times New Roman" w:hAnsi="Times New Roman"/>
          <w:sz w:val="18"/>
          <w:szCs w:val="18"/>
          <w:i w:val="1"/>
          <w:iCs w:val="1"/>
          <w:color w:val="auto"/>
        </w:rPr>
        <w:t>April Underwriters</w:t>
      </w:r>
      <w:r>
        <w:rPr>
          <w:rFonts w:ascii="Times New Roman" w:cs="Times New Roman" w:eastAsia="Times New Roman" w:hAnsi="Times New Roman"/>
          <w:sz w:val="18"/>
          <w:szCs w:val="18"/>
          <w:color w:val="auto"/>
        </w:rPr>
        <w:t xml:space="preserve">”), relating to an underwritten public offering (the “ </w:t>
      </w:r>
      <w:r>
        <w:rPr>
          <w:rFonts w:ascii="Times New Roman" w:cs="Times New Roman" w:eastAsia="Times New Roman" w:hAnsi="Times New Roman"/>
          <w:sz w:val="18"/>
          <w:szCs w:val="18"/>
          <w:i w:val="1"/>
          <w:iCs w:val="1"/>
          <w:color w:val="auto"/>
        </w:rPr>
        <w:t>April 2024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w:t>
      </w:r>
      <w:r>
        <w:rPr>
          <w:rFonts w:ascii="Times New Roman" w:cs="Times New Roman" w:eastAsia="Times New Roman" w:hAnsi="Times New Roman"/>
          <w:sz w:val="18"/>
          <w:szCs w:val="18"/>
          <w:color w:val="auto"/>
        </w:rPr>
        <w:t>g”) of 607,000 shares (the “</w:t>
      </w:r>
      <w:r>
        <w:rPr>
          <w:rFonts w:ascii="Times New Roman" w:cs="Times New Roman" w:eastAsia="Times New Roman" w:hAnsi="Times New Roman"/>
          <w:sz w:val="18"/>
          <w:szCs w:val="18"/>
          <w:i w:val="1"/>
          <w:iCs w:val="1"/>
          <w:color w:val="auto"/>
        </w:rPr>
        <w:t xml:space="preserve"> April Shares</w:t>
      </w:r>
      <w:r>
        <w:rPr>
          <w:rFonts w:ascii="Times New Roman" w:cs="Times New Roman" w:eastAsia="Times New Roman" w:hAnsi="Times New Roman"/>
          <w:sz w:val="18"/>
          <w:szCs w:val="18"/>
          <w:color w:val="auto"/>
        </w:rPr>
        <w:t>”) of Common Stock. The public offering price for each share of Common Stock was $3.30.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April Underwriting Agreement, the Company also granted the Representative a 45-day option to purchase up to an additional 91,050 shares (the “ </w:t>
      </w:r>
      <w:r>
        <w:rPr>
          <w:rFonts w:ascii="Times New Roman" w:cs="Times New Roman" w:eastAsia="Times New Roman" w:hAnsi="Times New Roman"/>
          <w:sz w:val="18"/>
          <w:szCs w:val="18"/>
          <w:i w:val="1"/>
          <w:iCs w:val="1"/>
          <w:color w:val="auto"/>
        </w:rPr>
        <w:t>April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 Shares</w:t>
      </w:r>
      <w:r>
        <w:rPr>
          <w:rFonts w:ascii="Times New Roman" w:cs="Times New Roman" w:eastAsia="Times New Roman" w:hAnsi="Times New Roman"/>
          <w:sz w:val="18"/>
          <w:szCs w:val="18"/>
          <w:color w:val="auto"/>
        </w:rPr>
        <w:t>”) of the Common Stock on the same terms as the April Shares sold in the April 2024 Public Offering (the “</w:t>
      </w:r>
      <w:r>
        <w:rPr>
          <w:rFonts w:ascii="Times New Roman" w:cs="Times New Roman" w:eastAsia="Times New Roman" w:hAnsi="Times New Roman"/>
          <w:sz w:val="18"/>
          <w:szCs w:val="18"/>
          <w:i w:val="1"/>
          <w:iCs w:val="1"/>
          <w:color w:val="auto"/>
        </w:rPr>
        <w:t xml:space="preserve"> April Over-Allotment Option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April 19, 2024, the Offering closed (the “ </w:t>
      </w:r>
      <w:r>
        <w:rPr>
          <w:rFonts w:ascii="Times New Roman" w:cs="Times New Roman" w:eastAsia="Times New Roman" w:hAnsi="Times New Roman"/>
          <w:sz w:val="18"/>
          <w:szCs w:val="18"/>
          <w:i w:val="1"/>
          <w:iCs w:val="1"/>
          <w:color w:val="auto"/>
        </w:rPr>
        <w:t>April Closing Date</w:t>
      </w:r>
      <w:r>
        <w:rPr>
          <w:rFonts w:ascii="Times New Roman" w:cs="Times New Roman" w:eastAsia="Times New Roman" w:hAnsi="Times New Roman"/>
          <w:sz w:val="18"/>
          <w:szCs w:val="18"/>
          <w:color w:val="auto"/>
        </w:rPr>
        <w:t xml:space="preserve">”). Net proceeds from the April 2024 Public Offering were approximately $1.6 million after offering costs of approximately $0.4 million. On May 23, 2024, the April Underwriters of the previously announced underwritten public offering of the Company exercised their option in accordance with the April Underwriting Agreement, dated April 18, 2024, by and between the Company and the Representative, as representative of the several underwriters named therein, to purchase up to an additional 91,050 shares of the Company’s Common Stock, at the public offering price of $3.30 per share (the “ </w:t>
      </w:r>
      <w:r>
        <w:rPr>
          <w:rFonts w:ascii="Times New Roman" w:cs="Times New Roman" w:eastAsia="Times New Roman" w:hAnsi="Times New Roman"/>
          <w:sz w:val="18"/>
          <w:szCs w:val="18"/>
          <w:i w:val="1"/>
          <w:iCs w:val="1"/>
          <w:color w:val="auto"/>
        </w:rPr>
        <w:t>April Overallotment Exercise</w:t>
      </w:r>
      <w:r>
        <w:rPr>
          <w:rFonts w:ascii="Times New Roman" w:cs="Times New Roman" w:eastAsia="Times New Roman" w:hAnsi="Times New Roman"/>
          <w:sz w:val="18"/>
          <w:szCs w:val="18"/>
          <w:color w:val="auto"/>
        </w:rPr>
        <w:t>”). The April Over-Allotment Exercise was exercised in full and closed on May 23, 2024. The net cash proceeds to the Company from the April Overallotment Exercise were approximately $0.2 million which include offering costs of less than $0.1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28, 2024, the Company issued 20,000 shares of Common Stock in relation to consulting services performed by a third party. The fair value of the Common Stock on the date of issuance was less than $0.1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Anson converted $4.2 million of principal and interest of the First Tranche Note into common stock, resulting in the issuances of 3,676,796 shares of Common Stock valued at $5.5 million based on the market price of our common stock at the date of common stock issuance resulting in a loss on redemption of $1.3 million (see Note 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Substitute Warrants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Merger in 2021, each warrant to purchase shares of Common Stock of NRx that was outstanding and unexercised immediately prior to the effective time (whether vested or unvested) was assumed by Big Rock Partners Acquisition Corp. (</w:t>
      </w:r>
      <w:r>
        <w:rPr>
          <w:rFonts w:ascii="Times New Roman" w:cs="Times New Roman" w:eastAsia="Times New Roman" w:hAnsi="Times New Roman"/>
          <w:sz w:val="18"/>
          <w:szCs w:val="18"/>
          <w:i w:val="1"/>
          <w:iCs w:val="1"/>
          <w:color w:val="auto"/>
        </w:rPr>
        <w:t>"BRPA"</w:t>
      </w:r>
      <w:r>
        <w:rPr>
          <w:rFonts w:ascii="Times New Roman" w:cs="Times New Roman" w:eastAsia="Times New Roman" w:hAnsi="Times New Roman"/>
          <w:sz w:val="18"/>
          <w:szCs w:val="18"/>
          <w:color w:val="auto"/>
        </w:rPr>
        <w:t>) and converted into a warrant, based on the exchange ratio (of 0.316), that will continue to be governed by substantially the same terms and conditions, including vesting, as were applicable to the former warrant (the “</w:t>
      </w:r>
      <w:r>
        <w:rPr>
          <w:rFonts w:ascii="Times New Roman" w:cs="Times New Roman" w:eastAsia="Times New Roman" w:hAnsi="Times New Roman"/>
          <w:sz w:val="18"/>
          <w:szCs w:val="18"/>
          <w:i w:val="1"/>
          <w:iCs w:val="1"/>
          <w:color w:val="auto"/>
        </w:rPr>
        <w:t>Substitute Warrants</w:t>
      </w:r>
      <w:r>
        <w:rPr>
          <w:rFonts w:ascii="Times New Roman" w:cs="Times New Roman" w:eastAsia="Times New Roman" w:hAnsi="Times New Roman"/>
          <w:sz w:val="18"/>
          <w:szCs w:val="18"/>
          <w:color w:val="auto"/>
        </w:rPr>
        <w:t>”). There were 3,792,970 warrants outstanding and unexercised at the effective time. As these Substitute Warrants meet the definition of a derivative as contemplated in FASB ASC Topic 815, based on provisions in the warrant agreement related to the Earnout Shares Milestone and the Earnout Cash Milestone and the contingent right to receive additional shares for these provisions, the Substitute Warrants were recorded as derivative liabilities on the consolidated balance sheet and measured at fair value at inception (on the date of the Merger) and at each reporting date in accordance with FASB ASC Topic 820, with changes in fair value recognized in the statements of operations in the period of change.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 gain on the change in fair value of the Substitute Warrants for each of the years ended December 31, 2024 and 2023 of nil and less than $0.1 million, respectively. Refer to Note 11 for further discussion of fair value measurement of the warrant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Assumed Public Warrants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Merger, the Company had 3,450,000 warrants outstanding (the “</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to purchase up to 345,000 shares of Common Stock. Each Public Warrant entitles the holder to purchase one-tenth share of Common Stock at an exercise price of $115 per share. The Public Warrants became exercisable at the effective time of the Merger and expire five years after the effective time on or earlier upon their redemption or liquidation of the Company.</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no Public Warrants were exercised. The outstanding balance of these warrants remains in equity. At December 31, 2024 and 2023, there were 3,448,856 Public Warrants outstanding to purchase up to 344,886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Assumed Private Placement Warrants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Prior to the Merger, the Company had outstanding 136,250 Private Placement Warrants (the “</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to purchase up to 13,625 shares of Common Stock. The Private Placement Warrants are not indexed to the Company’s common shares in the manner contemplated by FASB ASC Topic 815-40-15 because the holder of the instrument is not an input into the pricing of a fixed-for-fixed option on equity shares. The Company classifies the Private Placement Warrants as derivative liabilities in its consolidated balance sheets as of December 31, 2024 and 2023. The Company measures the fair value of the Private Placement Warrants at the end of each reporting period and recognizes changes in the fair value from the prior period in the Company’s statements of operations for the current period.</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 gain on the change in fair value of the Private Placement Warrants for each of the years ended December 31, 2024 and 2023 of less than $0.1 million, respectively. Refer to Note 11 for discussion of the fair value measurement of the Company’s warrant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Warrants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8, 2023, in conjunction with the issuance and sale of 386,667 shares of the Company’s Common Stock, the Company issued 386,667 March Investor Warrants which were classified in stockholder’s equity. The measurement of fair value of the March Investor Warrants were determined utilizing a Black-Scholes model considering all relevant assumptions current at the date of issuance (i.e., share price of $7.20, exercise price of $7.50, term of five and a half years, volatility of 123.6%, risk-free rate of 4.34%, and expected dividend rate of 0%). The March Investor Warrants had an original exercise price of $7.50 per share, are initially exercisable beginning six months following the March Initial Exercise Date and will expire five and a half years from the March Initial Exercise Date. The grant date fair value of these March Investor Warrants was estimated to be $2.4 million on March 8, 2023 and is reflected within additional paid-in capital.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above, on June 6, 2023, in conjunction with the issuance and sale of 967,000 shares of the Company’s Common Stock, the Company issued 967,000 June Investor Warrants which were classified in stockholder’s equity.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measurement of fair value of the June Investor Warrants were determined utilizing a Black-Scholes model considering all relevant assumptions current at the date of issuance (i.e., share price of $5.30, exercise price of $6.53, term of five and a half years, volatility of 175.1%, risk-free rate of 3.85%, and expected dividend rate of 0%). The grant date fair value of these June Investor Warrants was estimated to be $3.1 million on June 6, 2023, and is reflected within additional paid-in capital.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19,340 warrants to the Placement Agent with an exercise price of $8.13 (the “June Placement Agent Warrants”). As these June Placement Agent Warrants were issued for services provided in facilitating the June Offering, the Company recorded the fair value of such June Placement Agent Warrants of approximately $0.1 million as a cost of capital on the issuance date. The measurement of fair value was determined utilizing a Black-Scholes model considering all relevant assumptions current at the date of issuance (i.e., share price of $5.30, exercise price of $8.13, term of five and a half years, volatility of 175.1%, risk-free rate of 3.85%, and expected dividend rate of 0%).</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June 2023 Offering, the Company also entered into a warrant amendment agreement (the “Warrant Amendment Agreement”) with certain investors to amend certain existing warrants to purchase up to 962,278 shares of Common Stock that were previously issued in August 2021 and February 2022 to such investors, with an exercise price of $30.70 and $120.00 per share, respectively (the “Amended Warrants”) as follows: (i) lower the exercise price of the Amended Warrants to $6.525 per share, and (ii) provide that the Amended Warrants, as amended, will not be exercisable until six months following the closing date of the June Offering, and (iii) extend the original expiration date of the Amended Warrants so that they will terminate five and one half years from the closing of the June Offering.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the incremental change in fair value of such Amended Warrants of $1.5 million as a cost of capital to issue the June Investor Warrants. The measurement of fair value for the Amended Warrants was determined utilizing a Black-Scholes model considering all relevant assumptions current at the date of issuance (i.e., share price of $5.30, exercise price of $6.525, term of five and a half years, volatility of 175.1%, risk-free rate of 3.85%, and expected dividend rate of 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above, on August 28, 2023, in conjunction with the issuance and sale of 3,000,000 shares of the Company’s Series A Convertible Preferred Stock, the Company issued 300,000 August Investor Warrants which were classified in stockholder’s equity. Each Investor Warrants had an exercise price of $4.00 and term of five years. The measurement of fair value of the August Investor Warrants were determined utilizing a Black-Scholes model considering all relevant assumptions current at the date of issuance (i.e., share price of $3.00, exercise price of $4.00, term of five years, volatility of 175.1%, risk-free rate of 4.38%, and expected dividend rate of 0%). The grant date fair value of these August Investor Warrants was estimated to be $0.8 million on August 28, 2023 and is reflected within additional paid-in capital.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24, 2023, in connection with the Securities Purchase Agreement dated March 8, 2023, the Company entered into a warrant amendment agreement (the “October Warrant Amendment Agreement”) with certain Investors to amend the existing Investor Warrants to purchase up to 386,667 shares of Common Stock that were previously issued in March 2023 adjusted from the original exercise price of $7.50 to $6.525 per share (the “October Amended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the incremental change in fair value of such October Amended Warrants of approximately $9.0 thousand as a deemed dividend and an adjustment to arrive at net income available to common stockholders on the statement of operations. As the Company is in an accumulated deficit position, in the absence of retained earnings, the Company recorded the reduction to additional paid-in capital (i.e., a net zero impact to additional paid-in capital). The measurement of fair value for the October Amended Warrants was determined utilizing a Black-Scholes model considering all relevant assumptions current at the date of amendment (i.e., share price of $2.80, exercise price of $6.525, term of five years, volatility of 159.4%, risk-free rate of 4.85%, and expected dividend rate of 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28, 2024, in conjunction with the sale of 270,000 shares of the Company’s Common Stock, the Company issued February Warrants to purchase up to 270,000 shares of Common Stock which were classified in stockholder’s equity. The February Warrants have an exercise price of $3.80 per share, are initially exercisable beginning six months following the date of issuance, and will expire five years from the date of issuance. The measurement of fair value was determined utilizing a Black-Scholes model considering all relevant assumptions current at the date of issuance (i.e., share price of $3.59, exercise price of $3.80, term of 5 years, volatility of 178.10%, risk-free rate of 4.26%, and expected dividend rate of 0%). The allocated fair value of the February Warrants on the grant date was $0.5 million and is recorded within additional paid-in capital.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February 28, 2024, the Company issued to the Representative the Underwriter’s Warrant to purchase up to 25,000 shares of Common Stock (the “ </w:t>
      </w:r>
      <w:r>
        <w:rPr>
          <w:rFonts w:ascii="Times New Roman" w:cs="Times New Roman" w:eastAsia="Times New Roman" w:hAnsi="Times New Roman"/>
          <w:sz w:val="18"/>
          <w:szCs w:val="18"/>
          <w:i w:val="1"/>
          <w:iCs w:val="1"/>
          <w:color w:val="auto"/>
        </w:rPr>
        <w:t>February Underwriter Warrant Shares</w:t>
      </w:r>
      <w:r>
        <w:rPr>
          <w:rFonts w:ascii="Times New Roman" w:cs="Times New Roman" w:eastAsia="Times New Roman" w:hAnsi="Times New Roman"/>
          <w:sz w:val="18"/>
          <w:szCs w:val="18"/>
          <w:color w:val="auto"/>
        </w:rPr>
        <w:t>”). The Underwriter’s Warrant is exercisable six months following the date of the Underwriting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terminates on the five-year anniversary of the date of the Underwriting Agreement. The measurement of fair value was determined utilizing a Black-Scholes model considering all relevant assumptions current at the date of issuance (i.e., share price of $3.05, exercise price of $3.30, term of 5 years, volatility of 178.10%, risk-free rate of 4.26%, and expected dividend rate of 0%). The allocated fair value of the Underwriter's Warrants on the grant date was $0.1 million and is recorded as a charge to additional paid-in capital.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5, 2024 the Company issued Underwriter’s Warrant to purchase up to 3,750 shares of Common Stock in relation to the exercise of the February Over-Allotment Option. The measurement of fair value was determined utilizing a Black-Scholes model considering all relevant assumptions current at the date of issuance (i.e., share price of $3.05, exercise price of $3.30, term of 5 years, volatility of 178.10%, risk-free rate of 4.12%, and expected dividend rate of 0%). The allocated fair value of the Underwriter's Warrants on the grant date was less than $0.1 million and is recorded as a charge to additional paid-in capital.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April 19, 2024, the Company issued to the Representative the April Underwriter’s Warrant to purchase up to 30,350 shares of Common Stock (the “ </w:t>
      </w:r>
      <w:r>
        <w:rPr>
          <w:rFonts w:ascii="Times New Roman" w:cs="Times New Roman" w:eastAsia="Times New Roman" w:hAnsi="Times New Roman"/>
          <w:sz w:val="18"/>
          <w:szCs w:val="18"/>
          <w:i w:val="1"/>
          <w:iCs w:val="1"/>
          <w:color w:val="auto"/>
        </w:rPr>
        <w:t>April Underwriter Warrant Shares</w:t>
      </w:r>
      <w:r>
        <w:rPr>
          <w:rFonts w:ascii="Times New Roman" w:cs="Times New Roman" w:eastAsia="Times New Roman" w:hAnsi="Times New Roman"/>
          <w:sz w:val="18"/>
          <w:szCs w:val="18"/>
          <w:color w:val="auto"/>
        </w:rPr>
        <w:t>”). The April Underwriter’s Warrant is exercisable six months following the date of the Underwriting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terminates on the five-year anniversary of the date of the Underwriting Agreement. The measurement of fair value was determined utilizing a Black-Scholes model considering all relevant assumptions current at the date of issuance (i.e., share price of $3.04, exercise price of $3.63, term of 5 years, volatility of 178.10%, risk-free rate of 4.66%, and expected dividend rate of 0%). The allocated fair value of the April Underwriter's Warrant on the grant date was less than $0.1 million and is recorded as a charge to additional paid-in capital.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23, 2024 the Company issued Underwriter’s Warrant to purchase up to 4,553 shares of Common Stock in relation to the exercise of the April Over-Allotment Option. The measurement of fair value was determined utilizing a Black-Scholes model considering all relevant assumptions current at the date of issuance (i.e., share price of $3.62, exercise price of $3.63, term of 5 years, volatility of 178.10%, risk-free rate of 4.52%, and expected dividend rate of 0%). The allocated fair value of the Underwriter's Warrants on the grant date was less than $0.1 million and is recorded as a charge to additional paid-in capital.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Alvogen Warrants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conjunction with the amended Alvogen licensing agreement discussed in Note 6, on February 7, 2024, the Company issued warrants to purchase up to 419,598 shares of Common Stock. The warrants have an exercise price of $4.00 per share, are exercisable immediately following the date of issuance, will expire three years from the date of issuance, and may also be exercised on a cashless basis if there is no effective registration statement available for the resale of the shares of Common Stock underlying the warrants. The warrants are subject to a beneficial ownership limitation of 4.99% post-exercise, with the exception that the beneficial ownership limitation may be waived up to a maximum of 9.99% at the election of the holder, with not less than 61 days prior notice. The measurement of fair value was determined utilizing a Black-Scholes model considering all relevant assumptions current at the date of issuance (i.e., share price of $4.10, exercise price of $4.00, term of 3 years, volatility of 138.0%, risk-free rate of 4.2%, and expected dividend rate of 0.0%). The fair value of the warrants on the grant date was $1.3 million and was recorded within additional paid-in capital as of March 31, 2024. Upon termination of the Alvogen Agreement on June 21, 2024, the offsetting amount recorded within additional paid-in capital as an unfunded stock subscription receivable was expensed to research and development.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Anson Warrants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Anson Warrants, originally issued in the Purchase Agreement, are recognized as derivative liabilities in accordance with ASC 815. The Company concluded liability classification was appropriate as certain settlement features included in the Anson Warrants are not indexed to the Company's own stock, and therefore preclude equity classification.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Company’s consolidated statements of operations. The Anson Warrants were initially measured at fair value using a Black-Scholes model and have subsequently been measured based on the listed market price of such warrants. Warrant liabilities are classified as current liabilities on the Company's consolidated balance sheets. On August 14, 2024, in conjunction with the issuance of the First Tranche Notes, the Company issued warrants to purchase up to 1,349,305 shares of the Company’s Common Stock which were classified as a liability. The warrants have an exercise price of $2.4168 per share, subject to adjustment or other settlement provisions, and have a contractual term of five years expiring on August 14, 2029. The measurement of fair value of the Investor Warrants were determined utilizing a Black-Scholes model considering all relevant assumptions current at the date of issuance (i.e., share price of $1.86, exercise price of $2.42, term of five years, volatility of 122%, and risk-free rate of 3.67%, and expected dividend rate of 0%). The grant date fair value of these Investor Warrants was estimated to be $2.1 million on August 14, 2024.</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10, 2024, in conjunction with the issuance of the Second Tranche Notes, the Company issued warrants to purchase up to 1,846,128 shares of the Company’s Common Stock which were classified as a liability. The warrants have an exercise price of $1.7664 per share, subject to adjustment or other settlement provisions, and have a contractual term of five years expiring on October 10, 2029. The measurement of fair value of the Investor Warrants was determined utilizing a Black-Scholes model considering all relevant assumptions current at the date of issuance (i.e., share price of $1.38, exercise price of $1.76, term of five years, volatility of 105%, and risk-free rate of 3.91%, and expected dividend rate of 0%). The grant date fair value of these Second Trench Investor Warrants was estimated to be $1.9 million on October 10,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fair value of the Anson Warrants was $5.6 million. The Company recognized a loss on the change in fair value of The Anson Warrant for the year ended December 31, 2024 of approximately $1.7 million. Refer to Note 11 for discussion of the fair value measurement of the Company’s warrant liabilities. Refer to Note 11 for further discussion of fair value measurement of the warrant liabilities.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the activity for all warrants for the respective periods.</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1,648,492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1,673,007</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3,321,499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3,948,484</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(96,417)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Outstanding as of December 31, 2024</w:t>
            </w: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7,173,766</w:t>
            </w:r>
          </w:p>
        </w:tc>
        <w:tc>
          <w:tcPr>
            <w:tcW w:w="260" w:type="dxa"/>
            <w:vAlign w:val="bottom"/>
          </w:tcPr>
          <w:p>
            <w:pPr>
              <w:spacing w:after="0"/>
              <w:rPr>
                <w:sz w:val="17"/>
                <w:szCs w:val="17"/>
                <w:color w:val="auto"/>
              </w:rPr>
            </w:pPr>
          </w:p>
        </w:tc>
        <w:tc>
          <w:tcPr>
            <w:tcW w:w="13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17.20</w:t>
            </w: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Omnibus Incentive Plan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Prior to the Merger, NRx maintained its 2016 Omnibus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based on the Exchange Ratio (of 0.316:1).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closing of the Merger, the outstanding and unexercised NeuroRx stock options became options to purchase an aggregate 289,542 shares of the Company’s Common Stock at an average exercise price of $51.00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Omnibus Incentive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955,281 shares of Common Stock are authorized for issuance pursuant to awards under the Company’s 2021 Omnibus Incentive Plan (the “</w:t>
      </w:r>
      <w:r>
        <w:rPr>
          <w:rFonts w:ascii="Times New Roman" w:cs="Times New Roman" w:eastAsia="Times New Roman" w:hAnsi="Times New Roman"/>
          <w:sz w:val="18"/>
          <w:szCs w:val="18"/>
          <w:i w:val="1"/>
          <w:iCs w:val="1"/>
          <w:color w:val="auto"/>
        </w:rPr>
        <w:t>2021 Plan</w:t>
      </w:r>
      <w:r>
        <w:rPr>
          <w:rFonts w:ascii="Times New Roman" w:cs="Times New Roman" w:eastAsia="Times New Roman" w:hAnsi="Times New Roman"/>
          <w:sz w:val="18"/>
          <w:szCs w:val="18"/>
          <w:color w:val="auto"/>
        </w:rPr>
        <w:t>”). As of January 1, 2024, 83,920 shares were added to the 2021 Plan under an evergreen feature that automatically increases the reserve with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On December 28, 2023 the first amendment to the 2021 Omnibus Plan was executed which increased the maximum number of shares (i) available for issuance under the Plan, by an additional 200,000 shares, and (ii) that may be delivered pursuant to the exercise of Incentive Stock Options granted under the Plan to be equal to 100% of the Share Pool. As of December 31, 2024, an aggregate 575,099 shares have been awarded net of forfeitures, and 380,182 shares remain available for issuance under the 2021 Plan. The 2021 Plan permits the granting of incentive stock options, restricted stock awards, other stock-based awards or other cash-based awards to employees, directors, and non-employee consultants.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Awards</w:t>
      </w:r>
    </w:p>
    <w:p>
      <w:pPr>
        <w:spacing w:after="0" w:line="229"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an NDA by the FDA for NRX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101, or b) immediately preceding a change in control of the Company, whichever occurs first.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issued 0 and 90,000 stock options during the years ended December 31, 2024 and 2023, respectively.</w:t>
            </w: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assumptions were used for the year ended December 31, 2023:</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6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152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$11.80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- 4.79%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- 7.0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5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employee and non-employee stock option activity under the 2021 Plan for the following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38"/>
        </w:trPr>
        <w:tc>
          <w:tcPr>
            <w:tcW w:w="598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life (in years)</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264,983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Forfeited/Expire</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(143,150)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121,833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113,993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was approximately $0.2 and $0.1 million during the years ended December 31, 2024 and 2023,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per share for employee stock and non-employee option grants during the year ended December 31, 2023 was $3.50, respectively. There were no option grants during the year ended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 total unrecognized compensation related to unvested employee and non-employee stock option awards granted was less than $0.1 million, which the Company expects to recognize over a weighted-average period of approximately 1.2 years.</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Restricted Stock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2023 (unvested)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2024 (unvested)</w:t>
      </w:r>
    </w:p>
    <w:p>
      <w:pPr>
        <w:spacing w:after="0" w:line="225"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16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124,166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16"/>
                <w:szCs w:val="16"/>
                <w:color w:val="auto"/>
              </w:rPr>
            </w:pPr>
          </w:p>
        </w:tc>
      </w:tr>
      <w:tr>
        <w:trPr>
          <w:trHeight w:val="216"/>
        </w:trPr>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(90,833)</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r>
      <w:tr>
        <w:trPr>
          <w:trHeight w:val="234"/>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(33,333)</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280" w:space="720"/>
            <w:col w:w="3240"/>
          </w:cols>
          <w:pgMar w:left="320" w:top="121"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2022, the Board granted an award of 100,000 restricted shares of the Company (“Restricted Stock”) as an inducement to the newly appointed CEO, pursuant to a separate Restricted Stock Award Agreement (the “RSA”). The Restricted Stock will vest in approximately equal installments over three (3) years from the grant date, subject to continued service through the applicable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28, 2023, the Company granted 57,500 RSAs to a consultant for services provided. The RSAs will vest after six months from the grant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were valued on the grant date based on the quoted price of $4.60 or approximately $0.3 million which will be amortized over the vesting term.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RSAs was approximately $0.3 and $0.3 million during the years ended December 31, 2024 and 2023,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the Company's CEO announced his resignation and as a result, all unvested RSAs were forfeited. Accordingly, the Company does not expect to recognize any further stock-based compensation expense for the balance of unvested RSAs as of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recognition of stock-based compensation for the following periods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related stock-based compensation expenses carried a negative balance for 2023 due to reversals of unvested stock options related to 2023 terminations in accordance with our policy.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as of and during the years ended December 31, 2024 and 2023. The carrying amount of accounts payable approximated fair value as they are short term in nature. The fair value of stock options and warrants issued for services, and warrants issued with the Convertible Notes are estimated based on the Black-Scholes model during the years ended December 31, 2024 and 2023. The fair value of the Convertible Notes were estimated utilizing a Monte Carlo simulation during the years ended December 31,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convertible note payable represent Level 3 measurements. The following table presents information about the Company’s assets and liabilities that are measured at fair value on a recurring basis at the years ended December 31, 2024 and 2023, and indicates the fair value hierarchy of the valuation inputs the Company utilized to determine such fair value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w:t>
            </w:r>
          </w:p>
        </w:tc>
        <w:tc>
          <w:tcPr>
            <w:tcW w:w="3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 (Note 9)</w:t>
            </w:r>
          </w:p>
        </w:tc>
        <w:tc>
          <w:tcPr>
            <w:tcW w:w="3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5,639</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payable (Note 7)</w:t>
            </w:r>
          </w:p>
        </w:tc>
        <w:tc>
          <w:tcPr>
            <w:tcW w:w="39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6,257</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9,161</w:t>
            </w: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4"/>
                <w:szCs w:val="24"/>
                <w:color w:val="auto"/>
              </w:rPr>
            </w:pPr>
          </w:p>
        </w:tc>
        <w:tc>
          <w:tcPr>
            <w:tcW w:w="3960" w:type="dxa"/>
            <w:vAlign w:val="bottom"/>
            <w:gridSpan w:val="4"/>
          </w:tcPr>
          <w:p>
            <w:pPr>
              <w:jc w:val="right"/>
              <w:ind w:right="2200"/>
              <w:spacing w:after="0"/>
              <w:rPr>
                <w:sz w:val="20"/>
                <w:szCs w:val="20"/>
                <w:color w:val="auto"/>
              </w:rPr>
            </w:pPr>
            <w:r>
              <w:rPr>
                <w:rFonts w:ascii="Times New Roman" w:cs="Times New Roman" w:eastAsia="Times New Roman" w:hAnsi="Times New Roman"/>
                <w:sz w:val="18"/>
                <w:szCs w:val="18"/>
                <w:color w:val="auto"/>
              </w:rPr>
              <w:t>F- 30</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 Payable - Streeterville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significant inputs used in the Monte Carlo simulation to measure the Streeterville convertible note liability that was categorized within Level 3 of the fair value hierarchy are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valuation date</w:t>
            </w:r>
          </w:p>
        </w:tc>
        <w:tc>
          <w:tcPr>
            <w:tcW w:w="3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Time to expiration</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market interest rate</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Equity volatility</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 volatility</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default</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Streeterville Note was repaid in full and the outstanding balance was $0 as of December 31, 2024.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Convertible Note categorized within Level 3 of the fair value hierarchy (in thousands):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Fair value of the Note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-119380</wp:posOffset>
            </wp:positionV>
            <wp:extent cx="677227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Conversions and repayments of principal and interest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5715</wp:posOffset>
            </wp:positionV>
            <wp:extent cx="677227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Fair value adjustment through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6772275"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Fair value of the Note as of December 31, 2024</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Convertible note payable -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5715</wp:posOffset>
            </wp:positionV>
            <wp:extent cx="677227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Convertible note payable, net of current portion</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Fair value of the Note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-119380</wp:posOffset>
            </wp:positionV>
            <wp:extent cx="677227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Conversions and repayments of principal and interest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5715</wp:posOffset>
            </wp:positionV>
            <wp:extent cx="677227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Fair value adjustment through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5715</wp:posOffset>
            </wp:positionV>
            <wp:extent cx="677227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ind w:left="280" w:right="3361"/>
        <w:spacing w:after="0" w:line="323" w:lineRule="auto"/>
        <w:rPr>
          <w:sz w:val="20"/>
          <w:szCs w:val="20"/>
          <w:color w:val="auto"/>
        </w:rPr>
      </w:pPr>
      <w:r>
        <w:rPr>
          <w:rFonts w:ascii="Times New Roman" w:cs="Times New Roman" w:eastAsia="Times New Roman" w:hAnsi="Times New Roman"/>
          <w:sz w:val="18"/>
          <w:szCs w:val="18"/>
          <w:color w:val="auto"/>
        </w:rPr>
        <w:t>Fair value adjustment through accumulated other comprehensive loss Fair value of the Note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-44450</wp:posOffset>
            </wp:positionV>
            <wp:extent cx="6772275"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Convertible note payable -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6772275"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Convertible note payable, net of current portion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Notes Payable - Anson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099" w:hanging="1099"/>
        <w:spacing w:after="0"/>
        <w:tabs>
          <w:tab w:leader="none" w:pos="10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9,161</w:t>
      </w:r>
    </w:p>
    <w:p>
      <w:pPr>
        <w:spacing w:after="0" w:line="27" w:lineRule="exact"/>
        <w:rPr>
          <w:rFonts w:ascii="Times New Roman" w:cs="Times New Roman" w:eastAsia="Times New Roman" w:hAnsi="Times New Roman"/>
          <w:sz w:val="18"/>
          <w:szCs w:val="18"/>
          <w:color w:val="auto"/>
        </w:rPr>
      </w:pPr>
    </w:p>
    <w:p>
      <w:pPr>
        <w:ind w:left="10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(7,850)</w:t>
      </w:r>
    </w:p>
    <w:p>
      <w:pPr>
        <w:spacing w:after="0" w:line="20" w:lineRule="exact"/>
        <w:rPr>
          <w:rFonts w:ascii="Times New Roman" w:cs="Times New Roman" w:eastAsia="Times New Roman" w:hAnsi="Times New Roman"/>
          <w:sz w:val="18"/>
          <w:szCs w:val="18"/>
          <w:color w:val="auto"/>
        </w:rPr>
      </w:pPr>
    </w:p>
    <w:p>
      <w:pPr>
        <w:ind w:left="11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w:t>
      </w:r>
    </w:p>
    <w:p>
      <w:pPr>
        <w:spacing w:after="0" w:line="9" w:lineRule="exact"/>
        <w:rPr>
          <w:rFonts w:ascii="Times New Roman" w:cs="Times New Roman" w:eastAsia="Times New Roman" w:hAnsi="Times New Roman"/>
          <w:sz w:val="18"/>
          <w:szCs w:val="18"/>
          <w:color w:val="auto"/>
        </w:rPr>
      </w:pPr>
    </w:p>
    <w:p>
      <w:pPr>
        <w:ind w:left="10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9512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 w:lineRule="exact"/>
        <w:rPr>
          <w:sz w:val="20"/>
          <w:szCs w:val="20"/>
          <w:color w:val="auto"/>
        </w:rPr>
      </w:pPr>
    </w:p>
    <w:p>
      <w:pPr>
        <w:ind w:left="1319" w:hanging="1319"/>
        <w:spacing w:after="0"/>
        <w:tabs>
          <w:tab w:leader="none" w:pos="13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1319" w:hanging="1319"/>
        <w:spacing w:after="0"/>
        <w:tabs>
          <w:tab w:leader="none" w:pos="1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19" w:hanging="1319"/>
        <w:spacing w:after="0"/>
        <w:tabs>
          <w:tab w:leader="none" w:pos="1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99" w:hanging="999"/>
        <w:spacing w:after="0"/>
        <w:tabs>
          <w:tab w:leader="none" w:pos="99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10,525</w:t>
      </w:r>
    </w:p>
    <w:p>
      <w:pPr>
        <w:spacing w:after="0" w:line="27" w:lineRule="exact"/>
        <w:rPr>
          <w:rFonts w:ascii="Times New Roman" w:cs="Times New Roman" w:eastAsia="Times New Roman" w:hAnsi="Times New Roman"/>
          <w:sz w:val="18"/>
          <w:szCs w:val="18"/>
          <w:color w:val="auto"/>
        </w:rPr>
      </w:pPr>
    </w:p>
    <w:p>
      <w:pPr>
        <w:ind w:left="10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(2,288)</w:t>
      </w:r>
    </w:p>
    <w:p>
      <w:pPr>
        <w:spacing w:after="0" w:line="20" w:lineRule="exact"/>
        <w:rPr>
          <w:rFonts w:ascii="Times New Roman" w:cs="Times New Roman" w:eastAsia="Times New Roman" w:hAnsi="Times New Roman"/>
          <w:sz w:val="18"/>
          <w:szCs w:val="18"/>
          <w:color w:val="auto"/>
        </w:rPr>
      </w:pPr>
    </w:p>
    <w:p>
      <w:pPr>
        <w:ind w:left="10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(1,786)</w:t>
      </w:r>
    </w:p>
    <w:p>
      <w:pPr>
        <w:spacing w:after="0" w:line="20" w:lineRule="exact"/>
        <w:rPr>
          <w:rFonts w:ascii="Times New Roman" w:cs="Times New Roman" w:eastAsia="Times New Roman" w:hAnsi="Times New Roman"/>
          <w:sz w:val="18"/>
          <w:szCs w:val="18"/>
          <w:color w:val="auto"/>
        </w:rPr>
      </w:pPr>
    </w:p>
    <w:p>
      <w:pPr>
        <w:ind w:left="10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2,707</w:t>
      </w:r>
    </w:p>
    <w:p>
      <w:pPr>
        <w:spacing w:after="0" w:line="9" w:lineRule="exact"/>
        <w:rPr>
          <w:rFonts w:ascii="Times New Roman" w:cs="Times New Roman" w:eastAsia="Times New Roman" w:hAnsi="Times New Roman"/>
          <w:sz w:val="18"/>
          <w:szCs w:val="18"/>
          <w:color w:val="auto"/>
        </w:rPr>
      </w:pPr>
    </w:p>
    <w:p>
      <w:pPr>
        <w:ind w:left="13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ind w:left="1099" w:hanging="1099"/>
        <w:spacing w:after="0"/>
        <w:tabs>
          <w:tab w:leader="none" w:pos="10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9512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9512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1" w:lineRule="exact"/>
        <w:rPr>
          <w:sz w:val="20"/>
          <w:szCs w:val="20"/>
          <w:color w:val="auto"/>
        </w:rPr>
      </w:pPr>
    </w:p>
    <w:p>
      <w:pPr>
        <w:ind w:left="1099" w:hanging="1099"/>
        <w:spacing w:after="0"/>
        <w:tabs>
          <w:tab w:leader="none" w:pos="109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9,161</w:t>
      </w:r>
    </w:p>
    <w:p>
      <w:pPr>
        <w:spacing w:after="0" w:line="27" w:lineRule="exact"/>
        <w:rPr>
          <w:rFonts w:ascii="Times New Roman" w:cs="Times New Roman" w:eastAsia="Times New Roman" w:hAnsi="Times New Roman"/>
          <w:sz w:val="18"/>
          <w:szCs w:val="18"/>
          <w:color w:val="auto"/>
        </w:rPr>
      </w:pPr>
    </w:p>
    <w:p>
      <w:pPr>
        <w:ind w:left="1319" w:hanging="1319"/>
        <w:spacing w:after="0"/>
        <w:tabs>
          <w:tab w:leader="none" w:pos="13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13" w:lineRule="exact"/>
        <w:rPr>
          <w:sz w:val="20"/>
          <w:szCs w:val="20"/>
          <w:color w:val="auto"/>
        </w:rPr>
      </w:pPr>
    </w:p>
    <w:p>
      <w:pPr>
        <w:sectPr>
          <w:pgSz w:w="11900" w:h="16838" w:orient="portrait"/>
          <w:cols w:equalWidth="0" w:num="2">
            <w:col w:w="8641" w:space="720"/>
            <w:col w:w="1879"/>
          </w:cols>
          <w:pgMar w:left="320" w:top="121"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significant inputs used in the Monte Carlo simulation to measure the Anson Convertible Notes that are categorized within Level 3 of the fair value hierarchy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3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9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valuation date</w:t>
            </w:r>
          </w:p>
        </w:tc>
        <w:tc>
          <w:tcPr>
            <w:tcW w:w="6800" w:type="dxa"/>
            <w:vAlign w:val="bottom"/>
            <w:gridSpan w:val="2"/>
            <w:shd w:val="clear" w:color="auto" w:fill="CCEEFF"/>
          </w:tcPr>
          <w:p>
            <w:pPr>
              <w:jc w:val="center"/>
              <w:ind w:left="4910"/>
              <w:spacing w:after="0"/>
              <w:rPr>
                <w:sz w:val="20"/>
                <w:szCs w:val="20"/>
                <w:color w:val="auto"/>
              </w:rPr>
            </w:pPr>
            <w:r>
              <w:rPr>
                <w:rFonts w:ascii="Times New Roman" w:cs="Times New Roman" w:eastAsia="Times New Roman" w:hAnsi="Times New Roman"/>
                <w:sz w:val="18"/>
                <w:szCs w:val="18"/>
                <w:color w:val="auto"/>
                <w:w w:val="98"/>
              </w:rPr>
              <w:t>$2.20</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Time to expiration</w:t>
            </w:r>
          </w:p>
        </w:tc>
        <w:tc>
          <w:tcPr>
            <w:tcW w:w="488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0.87 – 1.03</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debt</w:t>
            </w:r>
          </w:p>
        </w:tc>
        <w:tc>
          <w:tcPr>
            <w:tcW w:w="6800" w:type="dxa"/>
            <w:vAlign w:val="bottom"/>
            <w:gridSpan w:val="2"/>
            <w:shd w:val="clear" w:color="auto" w:fill="CCEEFF"/>
          </w:tcPr>
          <w:p>
            <w:pPr>
              <w:jc w:val="center"/>
              <w:ind w:left="4910"/>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Equity volatility</w:t>
            </w:r>
          </w:p>
        </w:tc>
        <w:tc>
          <w:tcPr>
            <w:tcW w:w="6800" w:type="dxa"/>
            <w:vAlign w:val="bottom"/>
            <w:gridSpan w:val="2"/>
          </w:tcPr>
          <w:p>
            <w:pPr>
              <w:jc w:val="center"/>
              <w:ind w:left="4910"/>
              <w:spacing w:after="0"/>
              <w:rPr>
                <w:sz w:val="20"/>
                <w:szCs w:val="20"/>
                <w:color w:val="auto"/>
              </w:rPr>
            </w:pPr>
            <w:r>
              <w:rPr>
                <w:rFonts w:ascii="Times New Roman" w:cs="Times New Roman" w:eastAsia="Times New Roman" w:hAnsi="Times New Roman"/>
                <w:sz w:val="18"/>
                <w:szCs w:val="18"/>
                <w:color w:val="auto"/>
              </w:rPr>
              <w:t>120.7% - 135.0%</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6800" w:type="dxa"/>
            <w:vAlign w:val="bottom"/>
            <w:gridSpan w:val="2"/>
            <w:shd w:val="clear" w:color="auto" w:fill="CCEEFF"/>
          </w:tcPr>
          <w:p>
            <w:pPr>
              <w:jc w:val="center"/>
              <w:ind w:left="491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8"/>
                <w:szCs w:val="18"/>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credit default prior to maturity</w:t>
            </w:r>
          </w:p>
        </w:tc>
        <w:tc>
          <w:tcPr>
            <w:tcW w:w="6800" w:type="dxa"/>
            <w:vAlign w:val="bottom"/>
            <w:gridSpan w:val="2"/>
          </w:tcPr>
          <w:p>
            <w:pPr>
              <w:jc w:val="center"/>
              <w:ind w:left="491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0"/>
                <w:szCs w:val="20"/>
                <w:color w:val="auto"/>
              </w:rPr>
            </w:pPr>
          </w:p>
        </w:tc>
      </w:tr>
      <w:tr>
        <w:trPr>
          <w:trHeight w:val="414"/>
        </w:trPr>
        <w:tc>
          <w:tcPr>
            <w:tcW w:w="4340" w:type="dxa"/>
            <w:vAlign w:val="bottom"/>
          </w:tcPr>
          <w:p>
            <w:pPr>
              <w:spacing w:after="0"/>
              <w:rPr>
                <w:sz w:val="24"/>
                <w:szCs w:val="24"/>
                <w:color w:val="auto"/>
              </w:rPr>
            </w:pPr>
          </w:p>
        </w:tc>
        <w:tc>
          <w:tcPr>
            <w:tcW w:w="69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F- 31</w:t>
            </w:r>
          </w:p>
        </w:tc>
      </w:tr>
      <w:tr>
        <w:trPr>
          <w:trHeight w:val="115"/>
        </w:trPr>
        <w:tc>
          <w:tcPr>
            <w:tcW w:w="434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Anson Notes categorized within Level 3 of the fair value hierarchy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Notes at issuance</w:t>
            </w:r>
          </w:p>
        </w:tc>
        <w:tc>
          <w:tcPr>
            <w:tcW w:w="3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6,034</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w:t>
            </w:r>
          </w:p>
        </w:tc>
        <w:tc>
          <w:tcPr>
            <w:tcW w:w="2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(4,190)</w:t>
            </w:r>
          </w:p>
        </w:tc>
      </w:tr>
      <w:tr>
        <w:trPr>
          <w:trHeight w:val="216"/>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through earnings</w:t>
            </w:r>
          </w:p>
        </w:tc>
        <w:tc>
          <w:tcPr>
            <w:tcW w:w="26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Note as of December 31, 2024</w:t>
            </w:r>
          </w:p>
        </w:tc>
        <w:tc>
          <w:tcPr>
            <w:tcW w:w="3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6,257</w:t>
            </w:r>
          </w:p>
        </w:tc>
      </w:tr>
      <w:tr>
        <w:trPr>
          <w:trHeight w:val="20"/>
        </w:trPr>
        <w:tc>
          <w:tcPr>
            <w:tcW w:w="7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8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 current portion</w:t>
            </w:r>
          </w:p>
        </w:tc>
        <w:tc>
          <w:tcPr>
            <w:tcW w:w="3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 net of current portion</w:t>
            </w:r>
          </w:p>
        </w:tc>
        <w:tc>
          <w:tcPr>
            <w:tcW w:w="3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 Liabilities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utilizes a Black-Scholes model approach to value the Private Placement Warrants and Substitute Warrants at each reporting period, with changes in fair value recognized in the statement of operations. The estimated fair value of the warrant liabilities is determined using Level 3 inputs. There were no transfers between levels within the fair value hierarchy during the periods presented. Inherent in a Black Scholes options pricing model are assumptions related to expected share-price volatility, expected life, risk-free interest rate and dividend yield. The Company estimates the volatility of its common stock based on historical volatility. For any lookback period which exceeded the trading history, the volatility was weighed between the actual and comparable public companies.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significant inputs used in the Black-Scholes model to measure the warrant liabilities that are categorized within Level 3 of the fair value hierarchy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9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valuation date</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52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5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52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8"/>
                <w:szCs w:val="18"/>
                <w:color w:val="auto"/>
              </w:rPr>
            </w:pPr>
          </w:p>
        </w:tc>
      </w:tr>
      <w:tr>
        <w:trPr>
          <w:trHeight w:val="432"/>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warrant liabilities is included below (in thousands):</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upon re-measurement</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recognition of issuance of warrants</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Pr>
          <w:p>
            <w:pPr>
              <w:spacing w:after="0"/>
              <w:rPr>
                <w:sz w:val="18"/>
                <w:szCs w:val="18"/>
                <w:color w:val="auto"/>
              </w:rPr>
            </w:pPr>
          </w:p>
        </w:tc>
      </w:tr>
      <w:tr>
        <w:trPr>
          <w:trHeight w:val="216"/>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upon re-measurement</w:t>
            </w: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consistent with the manner in which the Chief Executive Officer, designated as the Chief Operating Decision Maker (CODM) of the Company, evaluates the Company’s performance and allocates resources. The Company’s operations solely consist of the development of novel therapeutics for the treatment of central nervous system disorders including suicidal depression, chronic pain, and post-traumatic stress disorder (“PTSD”) and now schizophrenia.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did not generate any revenue during the years ended December 31, 2024 and 2023. The CODM evaluates performance based on operating expenses and monitors key expense categories related to the Company’s research and development activities, as well as general and administrative functions. As the Company is currently in the pre-revenue phase, the associated expenses above are drivers.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CODM does not separately evaluate performance by geographic region or product line, as the Company has not yet commenced commercial operations and has limited operations due to the current liquidity and funding of the Company. The Company’s operations are conducted solely within the 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assets relate to this single operating segment, see the accompanying balance sheets.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Company’s operating expenses, which consists of research and development and general and administrative expenses, relate to this single operating segment, see the accompanying statements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reconciles the loss from operations to total loss:</w:t>
            </w: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For the Years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78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Expense Category</w:t>
            </w:r>
          </w:p>
        </w:tc>
        <w:tc>
          <w:tcPr>
            <w:tcW w:w="164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December 31, 2024</w:t>
            </w: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8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(27,837)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8"/>
                <w:szCs w:val="18"/>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w:t>
            </w:r>
          </w:p>
        </w:tc>
        <w:tc>
          <w:tcPr>
            <w:tcW w:w="8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default penalty</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convertible note redemptions</w:t>
            </w: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(30,150)</w:t>
            </w:r>
          </w:p>
        </w:tc>
        <w:tc>
          <w:tcPr>
            <w:tcW w:w="0" w:type="dxa"/>
            <w:vAlign w:val="bottom"/>
          </w:tcPr>
          <w:p>
            <w:pPr>
              <w:spacing w:after="0"/>
              <w:rPr>
                <w:sz w:val="1"/>
                <w:szCs w:val="1"/>
                <w:color w:val="auto"/>
              </w:rPr>
            </w:pPr>
          </w:p>
        </w:tc>
      </w:tr>
      <w:tr>
        <w:trPr>
          <w:trHeight w:val="68"/>
        </w:trPr>
        <w:tc>
          <w:tcPr>
            <w:tcW w:w="73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160" w:type="dxa"/>
            <w:vAlign w:val="bottom"/>
          </w:tcPr>
          <w:p>
            <w:pPr>
              <w:jc w:val="right"/>
              <w:ind w:right="36"/>
              <w:spacing w:after="0" w:line="68" w:lineRule="exact"/>
              <w:rPr>
                <w:sz w:val="20"/>
                <w:szCs w:val="20"/>
                <w:color w:val="auto"/>
              </w:rPr>
            </w:pPr>
            <w:r>
              <w:rPr>
                <w:rFonts w:ascii="Times New Roman" w:cs="Times New Roman" w:eastAsia="Times New Roman" w:hAnsi="Times New Roman"/>
                <w:sz w:val="7"/>
                <w:szCs w:val="7"/>
                <w:color w:val="auto"/>
              </w:rPr>
              <w:t>(25,126</w:t>
            </w:r>
          </w:p>
        </w:tc>
        <w:tc>
          <w:tcPr>
            <w:tcW w:w="8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plant, and equipment, net which are included in other assets in the balance sheet as they are not material. Long-lived assets by year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2"/>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cost</w:t>
            </w:r>
          </w:p>
        </w:tc>
        <w:tc>
          <w:tcPr>
            <w:tcW w:w="360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equipment</w:t>
            </w:r>
          </w:p>
        </w:tc>
        <w:tc>
          <w:tcPr>
            <w:tcW w:w="2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600" w:type="dxa"/>
            <w:vAlign w:val="bottom"/>
            <w:gridSpan w:val="2"/>
          </w:tcPr>
          <w:p>
            <w:pPr>
              <w:jc w:val="right"/>
              <w:ind w:right="1910"/>
              <w:spacing w:after="0"/>
              <w:rPr>
                <w:sz w:val="20"/>
                <w:szCs w:val="20"/>
                <w:color w:val="auto"/>
              </w:rPr>
            </w:pPr>
            <w:r>
              <w:rPr>
                <w:rFonts w:ascii="Times New Roman" w:cs="Times New Roman" w:eastAsia="Times New Roman" w:hAnsi="Times New Roman"/>
                <w:sz w:val="18"/>
                <w:szCs w:val="18"/>
                <w:color w:val="auto"/>
              </w:rPr>
              <w:t>F- 33</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full valuation allowance on its net deferred tax asset due to the uncertainty of future taxable income. The Company did not recognize an income tax benefit in the years ended December 31, 2024 and 2023 due to the uncertainty of future taxable income. In the years ended December 31, 2024 and 2023, the difference between the statutory tax rate and the Company’s effective tax rate was due primarily to the valuation allowance recorded to offset any potential tax benefit.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U.S. federal income tax rate to the Company’s effective tax rate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8"/>
              </w:rPr>
              <w:t>For the Years Ended December 31,</w:t>
            </w:r>
          </w:p>
        </w:tc>
      </w:tr>
      <w:tr>
        <w:trPr>
          <w:trHeight w:val="209"/>
        </w:trPr>
        <w:tc>
          <w:tcPr>
            <w:tcW w:w="78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warrants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Conversion of Note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R&amp;D credit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7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413"/>
        </w:trPr>
        <w:tc>
          <w:tcPr>
            <w:tcW w:w="7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components of income tax provision (benefit) are as follows (in thousands):</w:t>
            </w: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7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8"/>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(4,278)</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8"/>
                <w:szCs w:val="18"/>
                <w:color w:val="auto"/>
              </w:rPr>
            </w:pPr>
          </w:p>
        </w:tc>
      </w:tr>
      <w:tr>
        <w:trPr>
          <w:trHeight w:val="250"/>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39,753</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35,860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warrants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174 capitalization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Bonus and severance accrual</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(44,904)</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allowance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had federal net operating losses of approximately $187.1 million and $168.5 million, respectively, and state net operating loss carryforwards of approximately $10.2 million and $10.4 million, respectively. The federal and state net operating loss carryforwards generated in the tax years prior to 2018 will begin to expire, if not utilized, by 2035. Certain Net Operating Losses in these jurisdictions are not subject to expiration. Utilization of the net operating loss carryforwards may be subject to an annual limitation according to Section 382 of the Internal Revenue Code of 1986 as amended, and similar provisions.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47"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of the evidence, the Company has recorded a valuation allowance of $49.665 million against its deferred tax assets at December 31, 2024 because management has determined that it is more likely than not that the Company will not recognize the benefits of its federal and state deferred tax assets, primarily due to its history of cumulative net losses incurred since inception and its lack of commercialization of products or generation of revenue from product sales since inception.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accrued to unrecognized tax benefits and penalties as income tax expense. The Company accrued total penalties and interest of $0 during the years ended December 31, 2024 and 2023 and in total, as of December 31, 2024 and 2023 has recognized penalties and interest of $0.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they operate. In the normal course of business, the Company is subject to examination by federal and foreign jurisdictions where applicable based on the statute of limitations that apply in each jurisdiction. As of December 31, 2024, open years related to all jurisdictions are 2023, 2022,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open tax audits with any taxing authority as of December 31, 2024.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Glytech Agreement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licenses patents that are owned by Glytech, LLC (“</w:t>
      </w:r>
      <w:r>
        <w:rPr>
          <w:rFonts w:ascii="Times New Roman" w:cs="Times New Roman" w:eastAsia="Times New Roman" w:hAnsi="Times New Roman"/>
          <w:sz w:val="18"/>
          <w:szCs w:val="18"/>
          <w:i w:val="1"/>
          <w:iCs w:val="1"/>
          <w:color w:val="auto"/>
        </w:rPr>
        <w:t>Glytech</w:t>
      </w:r>
      <w:r>
        <w:rPr>
          <w:rFonts w:ascii="Times New Roman" w:cs="Times New Roman" w:eastAsia="Times New Roman" w:hAnsi="Times New Roman"/>
          <w:sz w:val="18"/>
          <w:szCs w:val="18"/>
          <w:color w:val="auto"/>
        </w:rPr>
        <w:t>”), pursuant to a license agreement (the “</w:t>
      </w:r>
      <w:r>
        <w:rPr>
          <w:rFonts w:ascii="Times New Roman" w:cs="Times New Roman" w:eastAsia="Times New Roman" w:hAnsi="Times New Roman"/>
          <w:sz w:val="18"/>
          <w:szCs w:val="18"/>
          <w:i w:val="1"/>
          <w:iCs w:val="1"/>
          <w:color w:val="auto"/>
        </w:rPr>
        <w:t>Glytech Agreement</w:t>
      </w:r>
      <w:r>
        <w:rPr>
          <w:rFonts w:ascii="Times New Roman" w:cs="Times New Roman" w:eastAsia="Times New Roman" w:hAnsi="Times New Roman"/>
          <w:sz w:val="18"/>
          <w:szCs w:val="18"/>
          <w:color w:val="auto"/>
        </w:rPr>
        <w:t>”). Glytech is owned by Daniel Javitt, a co-founder and former director of the Company. The Glytech Agreement requires that the Company pay Glytech for ongoing scientific support and also reimburse Glytech for expenses of obtaining and maintaining patents that are licensed to the Company. During both the three months ended September 30, 2024 and 2023, the Company paid Glytech zero and $0.1 million, respectively, for continuing technology support services and reimbursed expenses. During the years ended December 31, 2024 and 2023, the Company paid Glytech $0.3 million and $0.3 million, respectively, for continuing technology support services and reimbursed expenses. These support services are ongoing.</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On November 6, 2022 the Glytech Agreement was amended whereby Glytech agreed to transfer and assign the remainder of the Licensed Technology and the Excluded Technology to NRx Pharmaceuticals for no additional consideration at any time upon receipt of written notice from the Company if, on or prior to March 31, 2024, (i) the value of the Glytech equity holdings in NRx Pharmaceuticals (the “Glytech Equity”)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Consulting Agreement with Dr. Jonathan Javitt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Chief Scientist of the Company, Dr. Jonathan Javitt, is a major shareholder in the Company and a member of the Board of Directors. Therefore, his services are deemed to be a related party transaction. He served the Company on a full-time basis as CEO under an employment agreement with the Company until March 8, 2022 and currently serves under a Consulting Agreement with the Company as Chief Scientist thereafter and received compensation of $0.1 million and $0.9 million during the years ended December 31, 2024 and 2023, respectively.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29, 2023, the Consulting Agreement dated March 8, 2022 (the “Javitt Consulting Agreement”) between the Company and Dr. Jonathan Javitt was amended to extend the term of the Agreement until March 8, 2024 with automatic annual renewals thereafter unless one party or the other provides notice of non-renewal. The amendment also provided for payment at the rate of $0.6 million per year, payable monthly (i.e., less than $0.1 million per month), and a performance-based annual bonus with a minimum target of $0.3 million, at the discretion of the Board and upon satisfactory performance of the services. The annual discretionary bonus for 2023, if any, may be approved by the board in 2024 and is payable in March 2024, will be pro-rated from the start of the extension period and is subject to Dr. Javitt’s continued engagement by the Company. The annual discretionary bonus for 2024, if any, may be approved by the board in 2025 and is payable in March 2025, will be pro-rated from the start of the extension period and is subject to Dr. Javitt’s continued engagement by the Company. As of December 31, 2023 and 2024, the annual discretionary bonus of $0.3 million and $0.2 million is accrued and included within accrued and other current liabilities on the consolidated balance sheets, respectively.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Javitt Amendment also provides, subject to the approval of the Board of Directors, for a grant of 50,000 shares of restricted stock of the Company under the Company’s 2021 Omnibus Incentive Plan. The restrictions are performance based, and half of the restricted shares (25,000) shall have the restrictions removed on the New Drug Application Date (as defined below) and the remaining half (25,000) will have the restrictions removed on the New Drug Approval Date (as defined below). As of December 31, 2024, the Board of Directors has not approved the grant of restricted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“New Drug Application Date” means the date upon which the FDA files the Company’s new drug application for the Antidepressant Drug Regimen (as defined below) for review. The term “New Drug Approval Date” means date upon which the FDA has both approved the Company’s Antidepressant Drug Regimen and listed the Company’s Antidepressant Drug Regimen in the FDA’s “Orange Book”. The term “Antidepressant Drug Regimen” means NRX-101, a proprietary fixed-dose combination capsule of d-cycloserine and Lurasidone, administered for sequential weeks of daily oral treatment following patient stabilization using a single infusion of NRX-100 (ketamine) or another standard of care therapy.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Consulting Agreement with Zachary Javitt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Zachary Javitt is the son of Dr. Jonathan Javitt. Zachary Javitt provides services related to website, IT, and marketing support under the supervision of the Company’s CEO who is responsible for assuring that the services are provided on financial terms that are at market. The Company paid this family member a total of $0.1 million during the years ended December 31, 2024 and 2023, respectively. These services are ongoing.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accounts payable were less than $0.1 million and less than $0.1 million due to the above related parties as of December 31,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Terminated January 2025 Financing</w:t>
      </w:r>
    </w:p>
    <w:p>
      <w:pPr>
        <w:spacing w:after="0" w:line="227"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The Company was a party to definitive stock purchase agreements with an Arizona-based investment firm, Smith and Sauer, through their affiliate, JGS Holdings, LLC (“JGS Holdings”) whereby JGS Holdings committed to invest $2.0 million in NRx’s common stock, with an additional commitment of $25.0 million to be invested directly in HOPE. JGS Holdings defaulted under the terms of the agreements, despite several extensions of the closing date. The Company formally terminated the stock purchase agreement on March 13, 2025. Although no assurances can be given, management is currently negotiating with an alternative strategic investor to replace the investment contemplated with JGS Holdings, and, together with alternative sources of equity and debt capital, management believes it will able to fund its previously announced acquisitions on terms more favorable to our shareholders.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January Financings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 of Senior Secured Promissory Notes and Common Stock Purchase Warrants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or about January 28, 2025, the Company sold certain institutional investors (the “Investors”) a total of (a) $5.435 million in Notes (the “</w:t>
      </w:r>
      <w:r>
        <w:rPr>
          <w:rFonts w:ascii="Times New Roman" w:cs="Times New Roman" w:eastAsia="Times New Roman" w:hAnsi="Times New Roman"/>
          <w:sz w:val="18"/>
          <w:szCs w:val="18"/>
          <w:i w:val="1"/>
          <w:iCs w:val="1"/>
          <w:color w:val="auto"/>
        </w:rPr>
        <w:t>Third Tranche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with an aggregate purchase price of approximately $5.0 million, and (b) Warrants to purchase up to 862,699 shares of Common Stock (the “</w:t>
      </w:r>
      <w:r>
        <w:rPr>
          <w:rFonts w:ascii="Times New Roman" w:cs="Times New Roman" w:eastAsia="Times New Roman" w:hAnsi="Times New Roman"/>
          <w:sz w:val="18"/>
          <w:szCs w:val="18"/>
          <w:i w:val="1"/>
          <w:iCs w:val="1"/>
          <w:color w:val="auto"/>
        </w:rPr>
        <w:t>Third Closing</w:t>
      </w:r>
      <w:r>
        <w:rPr>
          <w:rFonts w:ascii="Times New Roman" w:cs="Times New Roman" w:eastAsia="Times New Roman" w:hAnsi="Times New Roman"/>
          <w:sz w:val="18"/>
          <w:szCs w:val="18"/>
          <w:color w:val="auto"/>
        </w:rPr>
        <w:t>”). The Third Tranche Notes are convertible into Common Stock, at a per share conversion price equal to by the lower of (a) $3.78 (the “</w:t>
      </w:r>
      <w:r>
        <w:rPr>
          <w:rFonts w:ascii="Times New Roman" w:cs="Times New Roman" w:eastAsia="Times New Roman" w:hAnsi="Times New Roman"/>
          <w:sz w:val="18"/>
          <w:szCs w:val="18"/>
          <w:i w:val="1"/>
          <w:iCs w:val="1"/>
          <w:color w:val="auto"/>
        </w:rPr>
        <w:t>Fixed Conversion Price</w:t>
      </w:r>
      <w:r>
        <w:rPr>
          <w:rFonts w:ascii="Times New Roman" w:cs="Times New Roman" w:eastAsia="Times New Roman" w:hAnsi="Times New Roman"/>
          <w:sz w:val="18"/>
          <w:szCs w:val="18"/>
          <w:color w:val="auto"/>
        </w:rPr>
        <w:t>”) or (b) a price equal to 92% of the lowest VWAP during the seven trading day period immediately preceding the effective date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Notice of Conversion (as defined in the Notes) (each, a “</w:t>
      </w:r>
      <w:r>
        <w:rPr>
          <w:rFonts w:ascii="Times New Roman" w:cs="Times New Roman" w:eastAsia="Times New Roman" w:hAnsi="Times New Roman"/>
          <w:sz w:val="18"/>
          <w:szCs w:val="18"/>
          <w:i w:val="1"/>
          <w:iCs w:val="1"/>
          <w:color w:val="auto"/>
        </w:rPr>
        <w:t>Conversion Date</w:t>
      </w:r>
      <w:r>
        <w:rPr>
          <w:rFonts w:ascii="Times New Roman" w:cs="Times New Roman" w:eastAsia="Times New Roman" w:hAnsi="Times New Roman"/>
          <w:sz w:val="18"/>
          <w:szCs w:val="18"/>
          <w:color w:val="auto"/>
        </w:rPr>
        <w:t>”) delivered by an Investor to the Company (the “</w:t>
      </w:r>
      <w:r>
        <w:rPr>
          <w:rFonts w:ascii="Times New Roman" w:cs="Times New Roman" w:eastAsia="Times New Roman" w:hAnsi="Times New Roman"/>
          <w:sz w:val="18"/>
          <w:szCs w:val="18"/>
          <w:i w:val="1"/>
          <w:iCs w:val="1"/>
          <w:color w:val="auto"/>
        </w:rPr>
        <w:t>Alternate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and together with the Fixed Conversion Price, the “</w:t>
      </w:r>
      <w:r>
        <w:rPr>
          <w:rFonts w:ascii="Times New Roman" w:cs="Times New Roman" w:eastAsia="Times New Roman" w:hAnsi="Times New Roman"/>
          <w:sz w:val="18"/>
          <w:szCs w:val="18"/>
          <w:i w:val="1"/>
          <w:iCs w:val="1"/>
          <w:color w:val="auto"/>
        </w:rPr>
        <w:t>Conversion Price</w:t>
      </w:r>
      <w:r>
        <w:rPr>
          <w:rFonts w:ascii="Times New Roman" w:cs="Times New Roman" w:eastAsia="Times New Roman" w:hAnsi="Times New Roman"/>
          <w:sz w:val="18"/>
          <w:szCs w:val="18"/>
          <w:color w:val="auto"/>
        </w:rPr>
        <w:t>”). The Conversion Price is subject to, among other customary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downward adjustment in the event of any future issuance by the Company of Common Stock (or Common Stock Equivalents) below the then effective Conversion Price. The Company plans to use a portion of the proceeds from the sale of the Third Tranche Notes for general working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Entry into Securities Purchase Agreement for Registered Direct Offering</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27, 2025, the Company entered into a securities purchase agreement (the “</w:t>
      </w:r>
      <w:r>
        <w:rPr>
          <w:rFonts w:ascii="Times New Roman" w:cs="Times New Roman" w:eastAsia="Times New Roman" w:hAnsi="Times New Roman"/>
          <w:sz w:val="18"/>
          <w:szCs w:val="18"/>
          <w:i w:val="1"/>
          <w:iCs w:val="1"/>
          <w:color w:val="auto"/>
        </w:rPr>
        <w:t>RD Purchase Agreement</w:t>
      </w:r>
      <w:r>
        <w:rPr>
          <w:rFonts w:ascii="Times New Roman" w:cs="Times New Roman" w:eastAsia="Times New Roman" w:hAnsi="Times New Roman"/>
          <w:sz w:val="18"/>
          <w:szCs w:val="18"/>
          <w:color w:val="auto"/>
        </w:rPr>
        <w:t>”) with the Investors for the sale by the Company of 1,215,278 shares (the “</w:t>
      </w:r>
      <w:r>
        <w:rPr>
          <w:rFonts w:ascii="Times New Roman" w:cs="Times New Roman" w:eastAsia="Times New Roman" w:hAnsi="Times New Roman"/>
          <w:sz w:val="18"/>
          <w:szCs w:val="18"/>
          <w:i w:val="1"/>
          <w:iCs w:val="1"/>
          <w:color w:val="auto"/>
        </w:rPr>
        <w:t>RD Shares</w:t>
      </w:r>
      <w:r>
        <w:rPr>
          <w:rFonts w:ascii="Times New Roman" w:cs="Times New Roman" w:eastAsia="Times New Roman" w:hAnsi="Times New Roman"/>
          <w:sz w:val="18"/>
          <w:szCs w:val="18"/>
          <w:color w:val="auto"/>
        </w:rPr>
        <w:t>”) of Common Stock to the Investors, at a purchase price of $2.88 per share, in a registered direct offering (the “</w:t>
      </w:r>
      <w:r>
        <w:rPr>
          <w:rFonts w:ascii="Times New Roman" w:cs="Times New Roman" w:eastAsia="Times New Roman" w:hAnsi="Times New Roman"/>
          <w:sz w:val="18"/>
          <w:szCs w:val="18"/>
          <w:i w:val="1"/>
          <w:iCs w:val="1"/>
          <w:color w:val="auto"/>
        </w:rPr>
        <w:t>Registered Direct Offering</w:t>
      </w:r>
      <w:r>
        <w:rPr>
          <w:rFonts w:ascii="Times New Roman" w:cs="Times New Roman" w:eastAsia="Times New Roman" w:hAnsi="Times New Roman"/>
          <w:sz w:val="18"/>
          <w:szCs w:val="18"/>
          <w:color w:val="auto"/>
        </w:rPr>
        <w:t>”). Concurrently with the sale of the RD Shares, pursuant to the RD Purchase Agreement the Company also sold to the investors unregistered Common Stock purchase warrants (the “</w:t>
      </w:r>
      <w:r>
        <w:rPr>
          <w:rFonts w:ascii="Times New Roman" w:cs="Times New Roman" w:eastAsia="Times New Roman" w:hAnsi="Times New Roman"/>
          <w:sz w:val="18"/>
          <w:szCs w:val="18"/>
          <w:i w:val="1"/>
          <w:iCs w:val="1"/>
          <w:color w:val="auto"/>
        </w:rPr>
        <w:t>RD Warrants</w:t>
      </w:r>
      <w:r>
        <w:rPr>
          <w:rFonts w:ascii="Times New Roman" w:cs="Times New Roman" w:eastAsia="Times New Roman" w:hAnsi="Times New Roman"/>
          <w:sz w:val="18"/>
          <w:szCs w:val="18"/>
          <w:color w:val="auto"/>
        </w:rPr>
        <w:t>”) to purchase up to an aggregate of 1,215,278 shares of Common Stock (the “</w:t>
      </w:r>
      <w:r>
        <w:rPr>
          <w:rFonts w:ascii="Times New Roman" w:cs="Times New Roman" w:eastAsia="Times New Roman" w:hAnsi="Times New Roman"/>
          <w:sz w:val="18"/>
          <w:szCs w:val="18"/>
          <w:i w:val="1"/>
          <w:iCs w:val="1"/>
          <w:color w:val="auto"/>
        </w:rPr>
        <w:t>RD Warrant Shares</w:t>
      </w:r>
      <w:r>
        <w:rPr>
          <w:rFonts w:ascii="Times New Roman" w:cs="Times New Roman" w:eastAsia="Times New Roman" w:hAnsi="Times New Roman"/>
          <w:sz w:val="18"/>
          <w:szCs w:val="18"/>
          <w:color w:val="auto"/>
        </w:rPr>
        <w:t>”), in a private placement. Subject to certain beneficial ownership limitations, the RD Warrants are immediately exercisable upon issuance at an exercise price equal to $2.88 per share of Common Stock, subject to adjustments as provided under the terms of the RD Warrants. The closing of the sales of these securities under the RD Purchase Agreement occurred on or about January 29, 2025 (the “</w:t>
      </w:r>
      <w:r>
        <w:rPr>
          <w:rFonts w:ascii="Times New Roman" w:cs="Times New Roman" w:eastAsia="Times New Roman" w:hAnsi="Times New Roman"/>
          <w:sz w:val="18"/>
          <w:szCs w:val="18"/>
          <w:i w:val="1"/>
          <w:iCs w:val="1"/>
          <w:color w:val="auto"/>
        </w:rPr>
        <w:t>RD Closing Date</w:t>
      </w:r>
      <w:r>
        <w:rPr>
          <w:rFonts w:ascii="Times New Roman" w:cs="Times New Roman" w:eastAsia="Times New Roman" w:hAnsi="Times New Roman"/>
          <w:sz w:val="18"/>
          <w:szCs w:val="18"/>
          <w:color w:val="auto"/>
        </w:rPr>
        <w:t>”). The RD Warrants are exercisable for five years from the RD Closing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proceeds to the Company from the offerings were approximately $3,500,000, before deducting offering expenses, and excluding the proceeds, if any, from the exercise of the RD Warrants. The Company intends to use the net proceeds from the transactions for general corporate purposes, including the funding of certain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Entry into Waiver and Consent Agreement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or about January 27, 2025, the Company and the Investors entered into a Consent and Waiver Agreement (the “CWA”), relating to certain rights and prohibitions arising under the Purchase Agreement and the Notes. In the CWA, each of the Investors provided its consent under certain restrictive provisions, and waived certain rights, including, among other things, a right to participate in certain Qualified Financings (as defined in the CWA) made by us under the Purchase Agreement and the Notes, the prohibition on issuance of certain equity securities, and waiver of any potential liquidated damages arising under that certain Registration Rights Agreement by and between the Company and the Investors dated August 14, 2024, until March 31, 2025. As consideration for entering into the CWA, in the event that the VWAP of the Common Stock is less than the per share purchase price of the Common Stock sold to the Investors in the Registered Direct Offering on the Trading Day (as defined in the RD Purchase Agreement) immediately prior to the date that the Investors submit their first conversion notice to convert any portion of the Notes issued or to be issued in the Second Closing (as defined in the Purchase Agreement) or the Third Closing (as defined in the Purchase Agreement), respectively, into shares of Common Stock, the Company agreed to issue to the Investors: (i) that number of shares of Common Stock equal to (a) the quotient of (I) aggregate purchase price to be paid for all securities in the Registered Direct Offering, divided by (II) the price per share of Common Stock after giving effect to the VWAP-Based Adjustment (as defined below), minus (b) the number of shares of Common Stock issued, or to be issued, to the Investors at or upon the consummation of the Registered Direct Offering (the “Consideration Shares”), and (ii) Common Stock purchase warrants to purchase shares of Common Stock equal to 100% of the aggregate number of Consideration Shares to be issued, with an exercise price equal to the dollar value of the VWAP-Based Adjustment (the “Consideration Warrants”). For purposes of the CWA, the “VWAP Based-Adjustment” means that amount, in dollars, equal to the greater of either (a) the VWAP of the Common Stock on the Trading Day immediately prior to the date that the Investors submit their first conversion notice to convert any portion of the Notes issued and to be issued in the Second Closing or Third Closing into shares of the Company’s Common Stock, or (b) 80% of the closing price of the Common Stock on the Trading Day immediately prior to the closing of the Registered Direct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Anson Conversion Notices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January 2, 2025 to January 3, 2025, the Company received conversion notices from Anson resulting in the conversion of the remaining principal of the First Tranche Note of $1.3 million of principal and interest in full from the First Tranche Note into 1,004,055 shares of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December 31, 2024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December 31, 2024 in providing reasonable assurance of achieving the desired control objectives.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Internal control over financial reporting refers to the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 of our management and directors; and</w:t>
      </w:r>
    </w:p>
    <w:p>
      <w:pPr>
        <w:ind w:left="340" w:hanging="332"/>
        <w:spacing w:after="0" w:line="260"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acquisitions, use or disposition of our assets that could have a material effect on the financial statements.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2024. In making the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the results of this assessment, management (including our Chief Executive Officer and our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concluded that, as of December 31, 2024, our internal control over financial reporting was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that occurred during the year ended December 31, 2024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2025 Annual Meeting of Stockholders and is incorporated herein by reference. Please refer to the proxy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2025 Annual Meeting of Stockholders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15(a)(1) Financial Statements. The following consolidated financial statements, related notes, report of independent registered public accounting firm and supplementary data are set forth in Item 8. Financial Statements and Supplementary Data in this annual report:</w:t>
      </w:r>
    </w:p>
    <w:p>
      <w:pPr>
        <w:spacing w:after="0" w:line="162" w:lineRule="exact"/>
        <w:rPr>
          <w:sz w:val="20"/>
          <w:szCs w:val="20"/>
          <w:color w:val="auto"/>
        </w:rPr>
      </w:pPr>
    </w:p>
    <w:p>
      <w:pPr>
        <w:ind w:left="160" w:hanging="152"/>
        <w:spacing w:after="0"/>
        <w:tabs>
          <w:tab w:leader="none" w:pos="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Firms on the Consolidated Financial Statements</w:t>
      </w:r>
    </w:p>
    <w:p>
      <w:pPr>
        <w:spacing w:after="0" w:line="27"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 of Operations and Comprehensive Loss</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(Deficit)</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15(a)(2) Financial Statement Schedules. Schedules are omitted because they are not required or because the information is provided elsewhere in the financial statements. The financial statements of unconsolidated subsidiaries are omitted because, considered in the aggregate, they would not constitute a significant subsidiary.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Incorporate by Reference Exhibit</w:t>
            </w:r>
          </w:p>
        </w:tc>
        <w:tc>
          <w:tcPr>
            <w:tcW w:w="100" w:type="dxa"/>
            <w:vAlign w:val="bottom"/>
          </w:tcPr>
          <w:p>
            <w:pPr>
              <w:spacing w:after="0"/>
              <w:rPr>
                <w:sz w:val="20"/>
                <w:szCs w:val="2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Filing</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496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6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5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48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At The Market Offering Agreement, dated August 14, 2023, by and</w:t>
              </w:r>
            </w:hyperlink>
          </w:p>
        </w:tc>
        <w:tc>
          <w:tcPr>
            <w:tcW w:w="540" w:type="dxa"/>
            <w:vAlign w:val="bottom"/>
            <w:gridSpan w:val="3"/>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7"/>
              </w:rPr>
              <w:t>1.1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08/14/2023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between the Company and H.C. Wainwright &amp; Co., LLC</w:t>
              </w:r>
            </w:hyperlink>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Underwriting Agreement, dated February 27, 2024, by and between</w:t>
              </w:r>
            </w:hyperlink>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1.1</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02/28/2024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NRx Pharmaceuticals, Inc. and EF Hutton LLC</w:t>
              </w:r>
            </w:hyperlink>
          </w:p>
        </w:tc>
        <w:tc>
          <w:tcPr>
            <w:tcW w:w="54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4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Second Amended and Restated Certificate of Incorporation</w:t>
              </w:r>
            </w:hyperlink>
          </w:p>
        </w:tc>
        <w:tc>
          <w:tcPr>
            <w:tcW w:w="1080" w:type="dxa"/>
            <w:vAlign w:val="bottom"/>
            <w:gridSpan w:val="12"/>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5/28/2021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2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Second Amended and Restated By-Laws</w:t>
              </w:r>
            </w:hyperlink>
          </w:p>
        </w:tc>
        <w:tc>
          <w:tcPr>
            <w:tcW w:w="2460" w:type="dxa"/>
            <w:vAlign w:val="bottom"/>
            <w:gridSpan w:val="18"/>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5/28/2021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48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Certificate of Designation of Series A Convertible Preferred Stock</w:t>
              </w:r>
            </w:hyperlink>
          </w:p>
        </w:tc>
        <w:tc>
          <w:tcPr>
            <w:tcW w:w="600" w:type="dxa"/>
            <w:vAlign w:val="bottom"/>
            <w:gridSpan w:val="5"/>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9/01/2023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Warrant Agreement, dated as of November 20, 2017, by and</w:t>
              </w:r>
            </w:hyperlink>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11/22/2017</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between BRPA and Continental Stock Transfer &amp; Trust Company</w:t>
              </w:r>
            </w:hyperlink>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Form of Unit Purchase Option, dated November 20, 2017, with</w:t>
              </w:r>
            </w:hyperlink>
          </w:p>
        </w:tc>
        <w:tc>
          <w:tcPr>
            <w:tcW w:w="160" w:type="dxa"/>
            <w:vAlign w:val="bottom"/>
            <w:tcBorders>
              <w:top w:val="single" w:sz="8" w:color="0000EE"/>
            </w:tcBorders>
          </w:tcPr>
          <w:p>
            <w:pPr>
              <w:spacing w:after="0"/>
              <w:rPr>
                <w:sz w:val="17"/>
                <w:szCs w:val="17"/>
                <w:color w:val="auto"/>
              </w:rPr>
            </w:pPr>
          </w:p>
        </w:tc>
        <w:tc>
          <w:tcPr>
            <w:tcW w:w="680" w:type="dxa"/>
            <w:vAlign w:val="bottom"/>
            <w:gridSpan w:val="8"/>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11/22/2017</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EarlyBirdCapital, Inc. and its designees</w:t>
              </w:r>
            </w:hyperlink>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4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Common Stock Purchase Warrant, dated March 9, 2023 by and</w:t>
              </w:r>
            </w:hyperlink>
          </w:p>
        </w:tc>
        <w:tc>
          <w:tcPr>
            <w:tcW w:w="860" w:type="dxa"/>
            <w:vAlign w:val="bottom"/>
            <w:gridSpan w:val="10"/>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8-K/A</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3/14/2023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between NRX Pharmaceuticals, Inc. and Purchasers</w:t>
              </w:r>
            </w:hyperlink>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37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Investor Warrant</w:t>
              </w:r>
            </w:hyperlink>
          </w:p>
        </w:tc>
        <w:tc>
          <w:tcPr>
            <w:tcW w:w="1680" w:type="dxa"/>
            <w:vAlign w:val="bottom"/>
            <w:gridSpan w:val="14"/>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8-K/A</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6/07/2023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Warrant Amendment Agreement</w:t>
              </w:r>
            </w:hyperlink>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8-K/A</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6/07/2023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29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Form of Investor Warrant</w:t>
              </w:r>
            </w:hyperlink>
          </w:p>
        </w:tc>
        <w:tc>
          <w:tcPr>
            <w:tcW w:w="2440" w:type="dxa"/>
            <w:vAlign w:val="bottom"/>
            <w:gridSpan w:val="17"/>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9/01/2023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of Underwriter’s Warrant</w:t>
              </w:r>
            </w:hyperlink>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2/28/2024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Description of Capital Stock</w:t>
              </w:r>
            </w:hyperlink>
          </w:p>
        </w:tc>
        <w:tc>
          <w:tcPr>
            <w:tcW w:w="200" w:type="dxa"/>
            <w:vAlign w:val="bottom"/>
            <w:tcBorders>
              <w:top w:val="single" w:sz="8" w:color="0000EE"/>
            </w:tcBorders>
          </w:tcPr>
          <w:p>
            <w:pPr>
              <w:spacing w:after="0"/>
              <w:rPr>
                <w:sz w:val="17"/>
                <w:szCs w:val="17"/>
                <w:color w:val="auto"/>
              </w:rPr>
            </w:pPr>
          </w:p>
        </w:tc>
        <w:tc>
          <w:tcPr>
            <w:tcW w:w="3160" w:type="dxa"/>
            <w:vAlign w:val="bottom"/>
            <w:gridSpan w:val="20"/>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3/29/2024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30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Form of Common Stock Purchase Warrant</w:t>
              </w:r>
            </w:hyperlink>
          </w:p>
        </w:tc>
        <w:tc>
          <w:tcPr>
            <w:tcW w:w="2340" w:type="dxa"/>
            <w:vAlign w:val="bottom"/>
            <w:gridSpan w:val="16"/>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3/29/2024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4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Form of Senior Secured Convertible Promissory Note to be issued</w:t>
              </w:r>
            </w:hyperlink>
          </w:p>
        </w:tc>
        <w:tc>
          <w:tcPr>
            <w:tcW w:w="620" w:type="dxa"/>
            <w:vAlign w:val="bottom"/>
            <w:gridSpan w:val="6"/>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8/14/2024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by the Company pursuant to and in accordance with the Securities</w:t>
              </w:r>
            </w:hyperlink>
          </w:p>
        </w:tc>
        <w:tc>
          <w:tcPr>
            <w:tcW w:w="640" w:type="dxa"/>
            <w:vAlign w:val="bottom"/>
            <w:gridSpan w:val="7"/>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69">
              <w:r>
                <w:rPr>
                  <w:rFonts w:ascii="Times New Roman" w:cs="Times New Roman" w:eastAsia="Times New Roman" w:hAnsi="Times New Roman"/>
                  <w:sz w:val="18"/>
                  <w:szCs w:val="18"/>
                  <w:color w:val="0000EE"/>
                  <w:w w:val="98"/>
                </w:rPr>
                <w:t>Purchase Agreement</w:t>
              </w:r>
            </w:hyperlink>
          </w:p>
        </w:tc>
        <w:tc>
          <w:tcPr>
            <w:tcW w:w="3920" w:type="dxa"/>
            <w:vAlign w:val="bottom"/>
            <w:gridSpan w:val="23"/>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7"/>
                <w:szCs w:val="17"/>
                <w:color w:val="auto"/>
              </w:rPr>
            </w:pPr>
          </w:p>
        </w:tc>
        <w:tc>
          <w:tcPr>
            <w:tcW w:w="4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Form of Common Stock Purchase Warrant to be issued by the</w:t>
              </w:r>
            </w:hyperlink>
          </w:p>
        </w:tc>
        <w:tc>
          <w:tcPr>
            <w:tcW w:w="960" w:type="dxa"/>
            <w:vAlign w:val="bottom"/>
            <w:gridSpan w:val="11"/>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8/14/2024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Company pursuant to and in accordance with the Securities</w:t>
              </w:r>
            </w:hyperlink>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Purchase Agreement</w:t>
              </w:r>
            </w:hyperlink>
          </w:p>
        </w:tc>
        <w:tc>
          <w:tcPr>
            <w:tcW w:w="2840" w:type="dxa"/>
            <w:vAlign w:val="bottom"/>
            <w:tcBorders>
              <w:top w:val="single" w:sz="8" w:color="0000EE"/>
            </w:tcBorders>
            <w:gridSpan w:val="11"/>
          </w:tcPr>
          <w:p>
            <w:pPr>
              <w:spacing w:after="0"/>
              <w:rPr>
                <w:sz w:val="17"/>
                <w:szCs w:val="17"/>
                <w:color w:val="auto"/>
              </w:rPr>
            </w:pPr>
          </w:p>
        </w:tc>
        <w:tc>
          <w:tcPr>
            <w:tcW w:w="1080" w:type="dxa"/>
            <w:vAlign w:val="bottom"/>
            <w:gridSpan w:val="12"/>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7"/>
                <w:szCs w:val="17"/>
                <w:color w:val="auto"/>
              </w:rPr>
            </w:pPr>
          </w:p>
        </w:tc>
        <w:tc>
          <w:tcPr>
            <w:tcW w:w="48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Form of Common Stock Purchase Warrant to be issued pursuant to</w:t>
              </w:r>
            </w:hyperlink>
          </w:p>
        </w:tc>
        <w:tc>
          <w:tcPr>
            <w:tcW w:w="600" w:type="dxa"/>
            <w:vAlign w:val="bottom"/>
            <w:gridSpan w:val="5"/>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1/29/2025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that certain Securities Purchase Agreement, dated January 27, 2025.</w:t>
              </w:r>
            </w:hyperlink>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Form of Consideration Warrant to be issued pursuant to that certain</w:t>
              </w:r>
            </w:hyperlink>
          </w:p>
        </w:tc>
        <w:tc>
          <w:tcPr>
            <w:tcW w:w="40" w:type="dxa"/>
            <w:vAlign w:val="bottom"/>
            <w:tcBorders>
              <w:top w:val="single" w:sz="8" w:color="0000EE"/>
            </w:tcBorders>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2"/>
          </w:tcPr>
          <w:p>
            <w:pPr>
              <w:jc w:val="center"/>
              <w:ind w:left="47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1/29/2025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Consent and Waiver Agreement, dated January 27, 2025.</w:t>
              </w:r>
            </w:hyperlink>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Form of Securities Purchase Agreement, dated as of August 19,</w:t>
              </w:r>
            </w:hyperlink>
          </w:p>
        </w:tc>
        <w:tc>
          <w:tcPr>
            <w:tcW w:w="34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8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2021, by and among the Company and the Selling Securityholders.</w:t>
              </w:r>
            </w:hyperlink>
          </w:p>
        </w:tc>
        <w:tc>
          <w:tcPr>
            <w:tcW w:w="100" w:type="dxa"/>
            <w:vAlign w:val="bottom"/>
            <w:gridSpan w:val="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49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Form of Preferred Investment Options, dated as of August 23, 2021,</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3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by and among the Company and the Selling Securityholders.</w:t>
              </w:r>
            </w:hyperlink>
          </w:p>
        </w:tc>
        <w:tc>
          <w:tcPr>
            <w:tcW w:w="560" w:type="dxa"/>
            <w:vAlign w:val="bottom"/>
            <w:gridSpan w:val="18"/>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6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Registration Rights Agreement, dated as of August 19,</w:t>
              </w:r>
            </w:hyperlink>
          </w:p>
        </w:tc>
        <w:tc>
          <w:tcPr>
            <w:tcW w:w="34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940" w:type="dxa"/>
            <w:vAlign w:val="bottom"/>
            <w:gridSpan w:val="32"/>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2021, by and among the Company and the Selling Securityholders.</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4820" w:type="dxa"/>
            <w:vAlign w:val="bottom"/>
            <w:tcBorders>
              <w:top w:val="single" w:sz="8" w:color="0000EE"/>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Form of Lock-Up Agreement, dated as of August 19, 2021, by and</w:t>
              </w:r>
            </w:hyperlink>
          </w:p>
        </w:tc>
        <w:tc>
          <w:tcPr>
            <w:tcW w:w="12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among the Company, Jonathan Javitt and Daniel Javitt.</w:t>
              </w:r>
            </w:hyperlink>
          </w:p>
        </w:tc>
        <w:tc>
          <w:tcPr>
            <w:tcW w:w="960" w:type="dxa"/>
            <w:vAlign w:val="bottom"/>
            <w:gridSpan w:val="21"/>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5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Stock Escrow Agreement, dated November 20, 2017, between</w:t>
              </w:r>
            </w:hyperlink>
          </w:p>
        </w:tc>
        <w:tc>
          <w:tcPr>
            <w:tcW w:w="440" w:type="dxa"/>
            <w:vAlign w:val="bottom"/>
            <w:gridSpan w:val="1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5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BRPA, Big Rock Partners Sponsor, LLC and Continental Stock</w:t>
              </w:r>
            </w:hyperlink>
          </w:p>
        </w:tc>
        <w:tc>
          <w:tcPr>
            <w:tcW w:w="360" w:type="dxa"/>
            <w:vAlign w:val="bottom"/>
            <w:gridSpan w:val="1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Transfer &amp; Trust Company</w:t>
              </w:r>
            </w:hyperlink>
          </w:p>
        </w:tc>
        <w:tc>
          <w:tcPr>
            <w:tcW w:w="2980" w:type="dxa"/>
            <w:vAlign w:val="bottom"/>
            <w:gridSpan w:val="28"/>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49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Registration Rights Agreement among BRPA and Big Rock Partners</w:t>
              </w:r>
            </w:hyperlink>
          </w:p>
        </w:tc>
      </w:tr>
      <w:tr>
        <w:trPr>
          <w:trHeight w:val="196"/>
        </w:trPr>
        <w:tc>
          <w:tcPr>
            <w:tcW w:w="92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79">
              <w:r>
                <w:rPr>
                  <w:rFonts w:ascii="Times New Roman" w:cs="Times New Roman" w:eastAsia="Times New Roman" w:hAnsi="Times New Roman"/>
                  <w:sz w:val="18"/>
                  <w:szCs w:val="18"/>
                  <w:color w:val="0000EE"/>
                  <w:w w:val="97"/>
                </w:rPr>
                <w:t>Sponsor, LLC</w:t>
              </w:r>
            </w:hyperlink>
          </w:p>
        </w:tc>
        <w:tc>
          <w:tcPr>
            <w:tcW w:w="3920" w:type="dxa"/>
            <w:vAlign w:val="bottom"/>
            <w:gridSpan w:val="30"/>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46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Agreement, dated November 17, 2018, among BRPA, Big Rock</w:t>
              </w:r>
            </w:hyperlink>
          </w:p>
        </w:tc>
        <w:tc>
          <w:tcPr>
            <w:tcW w:w="32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940" w:type="dxa"/>
            <w:vAlign w:val="bottom"/>
            <w:gridSpan w:val="32"/>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Partners Sponsor, LLC and BRAC Lending Group LLC</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39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Stock Escrow Agent Letter, dated November 17, 2018</w:t>
              </w:r>
            </w:hyperlink>
          </w:p>
        </w:tc>
        <w:tc>
          <w:tcPr>
            <w:tcW w:w="100" w:type="dxa"/>
            <w:vAlign w:val="bottom"/>
            <w:tcBorders>
              <w:top w:val="single" w:sz="8" w:color="0000EE"/>
            </w:tcBorders>
            <w:gridSpan w:val="3"/>
          </w:tcPr>
          <w:p>
            <w:pPr>
              <w:spacing w:after="0"/>
              <w:rPr>
                <w:sz w:val="17"/>
                <w:szCs w:val="17"/>
                <w:color w:val="auto"/>
              </w:rPr>
            </w:pPr>
          </w:p>
        </w:tc>
        <w:tc>
          <w:tcPr>
            <w:tcW w:w="920" w:type="dxa"/>
            <w:vAlign w:val="bottom"/>
            <w:gridSpan w:val="20"/>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4940" w:type="dxa"/>
            <w:vAlign w:val="bottom"/>
            <w:gridSpan w:val="32"/>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Registration Rights Assignment Agreement, dated November 17,</w:t>
              </w:r>
            </w:hyperlink>
          </w:p>
        </w:tc>
      </w:tr>
      <w:tr>
        <w:trPr>
          <w:trHeight w:val="196"/>
        </w:trPr>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82">
              <w:r>
                <w:rPr>
                  <w:rFonts w:ascii="Times New Roman" w:cs="Times New Roman" w:eastAsia="Times New Roman" w:hAnsi="Times New Roman"/>
                  <w:sz w:val="18"/>
                  <w:szCs w:val="18"/>
                  <w:color w:val="0000EE"/>
                  <w:w w:val="94"/>
                </w:rPr>
                <w:t>2018</w:t>
              </w:r>
            </w:hyperlink>
          </w:p>
        </w:tc>
        <w:tc>
          <w:tcPr>
            <w:tcW w:w="6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48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Amendment to the Stock Escrow Agreement, dated May 24, 2021,</w:t>
              </w:r>
            </w:hyperlink>
          </w:p>
        </w:tc>
        <w:tc>
          <w:tcPr>
            <w:tcW w:w="12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7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among BRPA, Continental Stock Transfer &amp; Trust Company, and</w:t>
              </w:r>
            </w:hyperlink>
          </w:p>
        </w:tc>
        <w:tc>
          <w:tcPr>
            <w:tcW w:w="16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the stockholder parties thereto</w:t>
              </w:r>
            </w:hyperlink>
          </w:p>
        </w:tc>
        <w:tc>
          <w:tcPr>
            <w:tcW w:w="2760" w:type="dxa"/>
            <w:vAlign w:val="bottom"/>
            <w:gridSpan w:val="27"/>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47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Lock-up Agreement, dated May 24, 2021, by and between BRPA</w:t>
              </w:r>
            </w:hyperlink>
          </w:p>
        </w:tc>
        <w:tc>
          <w:tcPr>
            <w:tcW w:w="16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2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and the stockholder parties identified therein</w:t>
              </w:r>
            </w:hyperlink>
          </w:p>
        </w:tc>
        <w:tc>
          <w:tcPr>
            <w:tcW w:w="1720" w:type="dxa"/>
            <w:vAlign w:val="bottom"/>
            <w:gridSpan w:val="2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4940" w:type="dxa"/>
            <w:vAlign w:val="bottom"/>
            <w:gridSpan w:val="3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Registration Rights Agreement, dated May 24, 2021, by and among</w:t>
              </w:r>
            </w:hyperlink>
          </w:p>
        </w:tc>
      </w:tr>
      <w:tr>
        <w:trPr>
          <w:trHeight w:val="196"/>
        </w:trPr>
        <w:tc>
          <w:tcPr>
            <w:tcW w:w="920" w:type="dxa"/>
            <w:vAlign w:val="bottom"/>
          </w:tcPr>
          <w:p>
            <w:pPr>
              <w:spacing w:after="0"/>
              <w:rPr>
                <w:sz w:val="17"/>
                <w:szCs w:val="17"/>
                <w:color w:val="auto"/>
              </w:rPr>
            </w:pPr>
          </w:p>
        </w:tc>
        <w:tc>
          <w:tcPr>
            <w:tcW w:w="488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NRx Pharmaceuticals, Inc., certain equityholders of the Registrant</w:t>
              </w:r>
            </w:hyperlink>
          </w:p>
        </w:tc>
        <w:tc>
          <w:tcPr>
            <w:tcW w:w="6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3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named therein and certain equityholders of NeuroRx named therein</w:t>
              </w:r>
            </w:hyperlink>
          </w:p>
        </w:tc>
      </w:tr>
      <w:tr>
        <w:trPr>
          <w:trHeight w:val="20"/>
        </w:trPr>
        <w:tc>
          <w:tcPr>
            <w:tcW w:w="92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4940" w:type="dxa"/>
            <w:vAlign w:val="bottom"/>
            <w:gridSpan w:val="32"/>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Sponsor Agreement, dated May 24, 2021, by and among BRPA, the</w:t>
              </w:r>
            </w:hyperlink>
          </w:p>
        </w:tc>
      </w:tr>
      <w:tr>
        <w:trPr>
          <w:trHeight w:val="196"/>
        </w:trPr>
        <w:tc>
          <w:tcPr>
            <w:tcW w:w="920" w:type="dxa"/>
            <w:vAlign w:val="bottom"/>
          </w:tcPr>
          <w:p>
            <w:pPr>
              <w:spacing w:after="0"/>
              <w:rPr>
                <w:sz w:val="17"/>
                <w:szCs w:val="17"/>
                <w:color w:val="auto"/>
              </w:rPr>
            </w:pPr>
          </w:p>
        </w:tc>
        <w:tc>
          <w:tcPr>
            <w:tcW w:w="488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Big Rock Partners Sponsor, LLC, and BRAC Lending Group LLC</w:t>
              </w:r>
            </w:hyperlink>
          </w:p>
        </w:tc>
        <w:tc>
          <w:tcPr>
            <w:tcW w:w="60" w:type="dxa"/>
            <w:vAlign w:val="bottom"/>
            <w:gridSpan w:val="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48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NRx Pharmaceuticals, Inc. 2021 Omnibus Incentive Plan</w:t>
              </w:r>
            </w:hyperlink>
          </w:p>
        </w:tc>
        <w:tc>
          <w:tcPr>
            <w:tcW w:w="140" w:type="dxa"/>
            <w:vAlign w:val="bottom"/>
            <w:gridSpan w:val="7"/>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41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Form of Subscription Agreement</w:t>
              </w:r>
            </w:hyperlink>
          </w:p>
        </w:tc>
        <w:tc>
          <w:tcPr>
            <w:tcW w:w="820" w:type="dxa"/>
            <w:vAlign w:val="bottom"/>
            <w:gridSpan w:val="19"/>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4940" w:type="dxa"/>
            <w:vAlign w:val="bottom"/>
            <w:gridSpan w:val="32"/>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Development and License Agreement, dated as of May 2, 2016,</w:t>
              </w:r>
            </w:hyperlink>
          </w:p>
        </w:tc>
      </w:tr>
      <w:tr>
        <w:trPr>
          <w:trHeight w:val="196"/>
        </w:trPr>
        <w:tc>
          <w:tcPr>
            <w:tcW w:w="92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between Glytech LLC and NeuroRx</w:t>
              </w:r>
            </w:hyperlink>
          </w:p>
        </w:tc>
        <w:tc>
          <w:tcPr>
            <w:tcW w:w="1980" w:type="dxa"/>
            <w:vAlign w:val="bottom"/>
            <w:tcBorders>
              <w:top w:val="single" w:sz="8" w:color="0000EE"/>
            </w:tcBorders>
            <w:gridSpan w:val="12"/>
          </w:tcPr>
          <w:p>
            <w:pPr>
              <w:spacing w:after="0"/>
              <w:rPr>
                <w:sz w:val="17"/>
                <w:szCs w:val="17"/>
                <w:color w:val="auto"/>
              </w:rPr>
            </w:pPr>
          </w:p>
        </w:tc>
        <w:tc>
          <w:tcPr>
            <w:tcW w:w="340" w:type="dxa"/>
            <w:vAlign w:val="bottom"/>
            <w:gridSpan w:val="13"/>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47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Amendment to Development and License Agreement, dated as of</w:t>
              </w:r>
            </w:hyperlink>
          </w:p>
        </w:tc>
        <w:tc>
          <w:tcPr>
            <w:tcW w:w="16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October 19, 2016, between Glytech LLC and NeuroRx</w:t>
              </w:r>
            </w:hyperlink>
          </w:p>
        </w:tc>
        <w:tc>
          <w:tcPr>
            <w:tcW w:w="980" w:type="dxa"/>
            <w:vAlign w:val="bottom"/>
            <w:gridSpan w:val="2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4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Second Amendment to Amended and Restated Development and</w:t>
              </w:r>
            </w:hyperlink>
          </w:p>
        </w:tc>
        <w:tc>
          <w:tcPr>
            <w:tcW w:w="24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6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License Agreement, dated as of June 13, 2018, between Glytech</w:t>
              </w:r>
            </w:hyperlink>
          </w:p>
        </w:tc>
        <w:tc>
          <w:tcPr>
            <w:tcW w:w="30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3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LLC and NeuroRx</w:t>
              </w:r>
            </w:hyperlink>
          </w:p>
        </w:tc>
        <w:tc>
          <w:tcPr>
            <w:tcW w:w="3580" w:type="dxa"/>
            <w:vAlign w:val="bottom"/>
            <w:gridSpan w:val="29"/>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45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Third Amendment to Amended and Restated Development and</w:t>
              </w:r>
            </w:hyperlink>
          </w:p>
        </w:tc>
        <w:tc>
          <w:tcPr>
            <w:tcW w:w="380" w:type="dxa"/>
            <w:vAlign w:val="bottom"/>
            <w:gridSpan w:val="1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940" w:type="dxa"/>
            <w:vAlign w:val="bottom"/>
            <w:gridSpan w:val="32"/>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License Agreement, dated as of April 16, 2019, between Glytech</w:t>
              </w:r>
            </w:hyperlink>
          </w:p>
        </w:tc>
      </w:tr>
      <w:tr>
        <w:trPr>
          <w:trHeight w:val="196"/>
        </w:trPr>
        <w:tc>
          <w:tcPr>
            <w:tcW w:w="9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LLC and NeuroRx</w:t>
              </w:r>
            </w:hyperlink>
          </w:p>
        </w:tc>
        <w:tc>
          <w:tcPr>
            <w:tcW w:w="3320" w:type="dxa"/>
            <w:vAlign w:val="bottom"/>
            <w:tcBorders>
              <w:top w:val="single" w:sz="8" w:color="0000EE"/>
            </w:tcBorders>
            <w:gridSpan w:val="19"/>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46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Fourth Amendment to Amended and Restated Development and</w:t>
              </w:r>
            </w:hyperlink>
          </w:p>
        </w:tc>
        <w:tc>
          <w:tcPr>
            <w:tcW w:w="30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940" w:type="dxa"/>
            <w:vAlign w:val="bottom"/>
            <w:gridSpan w:val="32"/>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License Agreement, dated as of December 31, 2020, between</w:t>
              </w:r>
            </w:hyperlink>
          </w:p>
        </w:tc>
      </w:tr>
      <w:tr>
        <w:trPr>
          <w:trHeight w:val="196"/>
        </w:trPr>
        <w:tc>
          <w:tcPr>
            <w:tcW w:w="920" w:type="dxa"/>
            <w:vAlign w:val="bottom"/>
          </w:tcPr>
          <w:p>
            <w:pPr>
              <w:spacing w:after="0"/>
              <w:rPr>
                <w:sz w:val="17"/>
                <w:szCs w:val="17"/>
                <w:color w:val="auto"/>
              </w:rPr>
            </w:pPr>
          </w:p>
        </w:tc>
        <w:tc>
          <w:tcPr>
            <w:tcW w:w="44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Glytech LLC and NeuroRx</w:t>
              </w:r>
            </w:hyperlink>
          </w:p>
        </w:tc>
        <w:tc>
          <w:tcPr>
            <w:tcW w:w="520" w:type="dxa"/>
            <w:vAlign w:val="bottom"/>
            <w:gridSpan w:val="1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8/24/2021</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8/24/2021</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8/24/2021</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8/24/2021</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11/22/2017</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11/22/2017</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11/20/2018</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11/20/2018</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11/20/2018</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10.6</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5/28/2021</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5/28/2021</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10.8</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5/28/2021</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10.9</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5/28/2021</w:t>
            </w:r>
          </w:p>
        </w:tc>
      </w:tr>
      <w:tr>
        <w:trPr>
          <w:trHeight w:val="41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S-4</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10.22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3/15/2021</w:t>
            </w:r>
          </w:p>
        </w:tc>
      </w:tr>
      <w:tr>
        <w:trPr>
          <w:trHeight w:val="23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S-4</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10.24</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43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S-4</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10.25</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43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S-4</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10.26</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4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S-4</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10.27</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4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S-4</w:t>
            </w: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10.28</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bl>
    <w:p>
      <w:pPr>
        <w:sectPr>
          <w:pgSz w:w="11900" w:h="16838" w:orient="portrait"/>
          <w:cols w:equalWidth="0" w:num="2">
            <w:col w:w="5980" w:space="720"/>
            <w:col w:w="3439"/>
          </w:cols>
          <w:pgMar w:left="320" w:top="121"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20" w:right="320" w:hanging="917"/>
        <w:spacing w:after="0" w:line="257"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95">
        <w:r>
          <w:rPr>
            <w:rFonts w:ascii="Times New Roman" w:cs="Times New Roman" w:eastAsia="Times New Roman" w:hAnsi="Times New Roman"/>
            <w:sz w:val="18"/>
            <w:szCs w:val="18"/>
            <w:u w:val="single" w:color="auto"/>
            <w:color w:val="0000EE"/>
          </w:rPr>
          <w:t>Exclusive License Agreement, dated as of April 16, 2019, by and</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between NeuroRx and Sarah Herzog Memorial Hospital Ezrat</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Nashim</w:t>
        </w:r>
      </w:hyperlink>
    </w:p>
    <w:p>
      <w:pPr>
        <w:spacing w:after="0" w:line="1" w:lineRule="exact"/>
        <w:rPr>
          <w:rFonts w:ascii="Times New Roman" w:cs="Times New Roman" w:eastAsia="Times New Roman" w:hAnsi="Times New Roman"/>
          <w:sz w:val="18"/>
          <w:szCs w:val="18"/>
          <w:u w:val="single" w:color="auto"/>
          <w:color w:val="0000EE"/>
        </w:rPr>
      </w:pPr>
    </w:p>
    <w:p>
      <w:pPr>
        <w:ind w:left="920" w:right="12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96">
        <w:r>
          <w:rPr>
            <w:rFonts w:ascii="Times New Roman" w:cs="Times New Roman" w:eastAsia="Times New Roman" w:hAnsi="Times New Roman"/>
            <w:sz w:val="18"/>
            <w:szCs w:val="18"/>
            <w:u w:val="single" w:color="auto"/>
            <w:color w:val="0000EE"/>
          </w:rPr>
          <w:t>License and Option Agreement, dated as of September 1, 2020,</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between The Research Foundation For The State University of New</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York and NeuroRx</w:t>
        </w:r>
      </w:hyperlink>
    </w:p>
    <w:p>
      <w:pPr>
        <w:spacing w:after="0" w:line="1" w:lineRule="exact"/>
        <w:rPr>
          <w:rFonts w:ascii="Times New Roman" w:cs="Times New Roman" w:eastAsia="Times New Roman" w:hAnsi="Times New Roman"/>
          <w:sz w:val="18"/>
          <w:szCs w:val="18"/>
          <w:u w:val="single" w:color="auto"/>
          <w:color w:val="0000EE"/>
        </w:rPr>
      </w:pPr>
    </w:p>
    <w:p>
      <w:pPr>
        <w:ind w:left="920" w:right="16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97">
        <w:r>
          <w:rPr>
            <w:rFonts w:ascii="Times New Roman" w:cs="Times New Roman" w:eastAsia="Times New Roman" w:hAnsi="Times New Roman"/>
            <w:sz w:val="18"/>
            <w:szCs w:val="18"/>
            <w:u w:val="single" w:color="auto"/>
            <w:color w:val="0000EE"/>
          </w:rPr>
          <w:t>Binding Collaboration Agreement, dated as of September 18, 2020,</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between Relief Therapeutics Holding Aktiengesellschaft and its</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wholly owned subsidiary Therametrics Discovery</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Aktiengesellschaft and NeuroRx</w:t>
        </w:r>
      </w:hyperlink>
    </w:p>
    <w:p>
      <w:pPr>
        <w:spacing w:after="0" w:line="2" w:lineRule="exact"/>
        <w:rPr>
          <w:rFonts w:ascii="Times New Roman" w:cs="Times New Roman" w:eastAsia="Times New Roman" w:hAnsi="Times New Roman"/>
          <w:sz w:val="18"/>
          <w:szCs w:val="18"/>
          <w:u w:val="single" w:color="auto"/>
          <w:color w:val="0000EE"/>
        </w:rPr>
      </w:pPr>
    </w:p>
    <w:p>
      <w:pPr>
        <w:ind w:left="920" w:right="14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98">
        <w:r>
          <w:rPr>
            <w:rFonts w:ascii="Times New Roman" w:cs="Times New Roman" w:eastAsia="Times New Roman" w:hAnsi="Times New Roman"/>
            <w:sz w:val="18"/>
            <w:szCs w:val="18"/>
            <w:u w:val="single" w:color="auto"/>
            <w:color w:val="0000EE"/>
          </w:rPr>
          <w:t>Exclusive Distribution Agreement, dated as of September 25, 2020,</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between NeuroRx and Cardinal Health 105, Inc.</w:t>
        </w:r>
      </w:hyperlink>
    </w:p>
    <w:p>
      <w:pPr>
        <w:spacing w:after="0" w:line="1" w:lineRule="exact"/>
        <w:rPr>
          <w:sz w:val="20"/>
          <w:szCs w:val="20"/>
          <w:color w:val="auto"/>
        </w:rPr>
      </w:pPr>
    </w:p>
    <w:p>
      <w:pPr>
        <w:ind w:left="920" w:right="26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99">
        <w:r>
          <w:rPr>
            <w:rFonts w:ascii="Times New Roman" w:cs="Times New Roman" w:eastAsia="Times New Roman" w:hAnsi="Times New Roman"/>
            <w:sz w:val="18"/>
            <w:szCs w:val="18"/>
            <w:u w:val="single" w:color="auto"/>
            <w:color w:val="0000EE"/>
          </w:rPr>
          <w:t>Executive Employment Agreement, dated May 20, 2015, between</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NeuroRx and Jonathan C. Javitt</w:t>
        </w:r>
      </w:hyperlink>
    </w:p>
    <w:p>
      <w:pPr>
        <w:spacing w:after="0" w:line="1" w:lineRule="exact"/>
        <w:rPr>
          <w:sz w:val="20"/>
          <w:szCs w:val="20"/>
          <w:color w:val="auto"/>
        </w:rPr>
      </w:pPr>
    </w:p>
    <w:p>
      <w:pPr>
        <w:ind w:left="920" w:right="12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200">
        <w:r>
          <w:rPr>
            <w:rFonts w:ascii="Times New Roman" w:cs="Times New Roman" w:eastAsia="Times New Roman" w:hAnsi="Times New Roman"/>
            <w:sz w:val="18"/>
            <w:szCs w:val="18"/>
            <w:u w:val="single" w:color="auto"/>
            <w:color w:val="0000EE"/>
          </w:rPr>
          <w:t>Amendment to “Work for Hire” Agreement, dated as of October 23,</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2016, between NeuroRx and 20REBes Consulting LLC — Robert</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Besthof</w:t>
        </w:r>
      </w:hyperlink>
    </w:p>
    <w:p>
      <w:pPr>
        <w:spacing w:after="0" w:line="1" w:lineRule="exact"/>
        <w:rPr>
          <w:rFonts w:ascii="Times New Roman" w:cs="Times New Roman" w:eastAsia="Times New Roman" w:hAnsi="Times New Roman"/>
          <w:sz w:val="18"/>
          <w:szCs w:val="18"/>
          <w:u w:val="single" w:color="auto"/>
          <w:color w:val="0000EE"/>
        </w:rPr>
      </w:pPr>
    </w:p>
    <w:p>
      <w:pPr>
        <w:ind w:left="920" w:right="46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201">
        <w:r>
          <w:rPr>
            <w:rFonts w:ascii="Times New Roman" w:cs="Times New Roman" w:eastAsia="Times New Roman" w:hAnsi="Times New Roman"/>
            <w:sz w:val="18"/>
            <w:szCs w:val="18"/>
            <w:u w:val="single" w:color="auto"/>
            <w:color w:val="0000EE"/>
          </w:rPr>
          <w:t>Feasibility Study and Material Transfer Agreement, dated as of</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January 6, 2021, by and between NeuroRx and TFF</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Pharmaceuticals, Inc.</w:t>
        </w:r>
      </w:hyperlink>
    </w:p>
    <w:p>
      <w:pPr>
        <w:spacing w:after="0" w:line="1" w:lineRule="exact"/>
        <w:rPr>
          <w:rFonts w:ascii="Times New Roman" w:cs="Times New Roman" w:eastAsia="Times New Roman" w:hAnsi="Times New Roman"/>
          <w:sz w:val="18"/>
          <w:szCs w:val="18"/>
          <w:u w:val="single" w:color="auto"/>
          <w:color w:val="0000EE"/>
        </w:rPr>
      </w:pPr>
    </w:p>
    <w:p>
      <w:pPr>
        <w:ind w:left="920" w:right="16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202">
        <w:r>
          <w:rPr>
            <w:rFonts w:ascii="Times New Roman" w:cs="Times New Roman" w:eastAsia="Times New Roman" w:hAnsi="Times New Roman"/>
            <w:sz w:val="18"/>
            <w:szCs w:val="18"/>
            <w:u w:val="single" w:color="auto"/>
            <w:color w:val="0000EE"/>
          </w:rPr>
          <w:t>Manufacturing Supply Agreement, dated as of August 25, 2020, by</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and among NeuroRx, Nephron SC, Inc. and Nephron</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Pharmaceutical Corporation</w:t>
        </w:r>
      </w:hyperlink>
    </w:p>
    <w:p>
      <w:pPr>
        <w:spacing w:after="0" w:line="1" w:lineRule="exact"/>
        <w:rPr>
          <w:rFonts w:ascii="Times New Roman" w:cs="Times New Roman" w:eastAsia="Times New Roman" w:hAnsi="Times New Roman"/>
          <w:sz w:val="18"/>
          <w:szCs w:val="18"/>
          <w:u w:val="single" w:color="auto"/>
          <w:color w:val="0000EE"/>
        </w:rPr>
      </w:pPr>
    </w:p>
    <w:p>
      <w:pPr>
        <w:ind w:left="920" w:right="20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203">
        <w:r>
          <w:rPr>
            <w:rFonts w:ascii="Times New Roman" w:cs="Times New Roman" w:eastAsia="Times New Roman" w:hAnsi="Times New Roman"/>
            <w:sz w:val="18"/>
            <w:szCs w:val="18"/>
            <w:u w:val="single" w:color="auto"/>
            <w:color w:val="0000EE"/>
          </w:rPr>
          <w:t>Amendment #1 to Manufacturing Supply Agreement, dated as of</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September 2, 2020, by and among NeuroRx, Nephron SC, Inc. and</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Nephron Pharmaceutical Corporation</w:t>
        </w:r>
      </w:hyperlink>
    </w:p>
    <w:p>
      <w:pPr>
        <w:spacing w:after="0" w:line="1" w:lineRule="exact"/>
        <w:rPr>
          <w:rFonts w:ascii="Times New Roman" w:cs="Times New Roman" w:eastAsia="Times New Roman" w:hAnsi="Times New Roman"/>
          <w:sz w:val="18"/>
          <w:szCs w:val="18"/>
          <w:u w:val="single" w:color="auto"/>
          <w:color w:val="0000EE"/>
        </w:rPr>
      </w:pPr>
    </w:p>
    <w:p>
      <w:pPr>
        <w:ind w:left="920" w:right="20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204">
        <w:r>
          <w:rPr>
            <w:rFonts w:ascii="Times New Roman" w:cs="Times New Roman" w:eastAsia="Times New Roman" w:hAnsi="Times New Roman"/>
            <w:sz w:val="18"/>
            <w:szCs w:val="18"/>
            <w:u w:val="single" w:color="auto"/>
            <w:color w:val="0000EE"/>
          </w:rPr>
          <w:t>Amendment #2 to Manufacturing Supply Agreement, dated as of</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November 5, 2020, by and among NeuroRx, Nephron SC, Inc. and</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Nephron Pharmaceutical Corporation</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20" w:right="32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205">
        <w:r>
          <w:rPr>
            <w:rFonts w:ascii="Times New Roman" w:cs="Times New Roman" w:eastAsia="Times New Roman" w:hAnsi="Times New Roman"/>
            <w:sz w:val="18"/>
            <w:szCs w:val="18"/>
            <w:u w:val="single" w:color="auto"/>
            <w:color w:val="0000EE"/>
          </w:rPr>
          <w:t>Amendment #3 to Manufacturing Supply Agreement, dated as of</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February 5, 2021, by and among NeuroRx, Nephron SC, Inc. and</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Nephron Pharmaceutical Corporation</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20" w:right="42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206">
        <w:r>
          <w:rPr>
            <w:rFonts w:ascii="Times New Roman" w:cs="Times New Roman" w:eastAsia="Times New Roman" w:hAnsi="Times New Roman"/>
            <w:sz w:val="18"/>
            <w:szCs w:val="18"/>
            <w:u w:val="single" w:color="auto"/>
            <w:color w:val="0000EE"/>
          </w:rPr>
          <w:t>Share Subscription Facility Agreement, dated as of October 18,</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2019, among NeuroRx, GEM Global Yield LLC SCS and GEM</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Yield Bahamas Limited</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207">
        <w:r>
          <w:rPr>
            <w:rFonts w:ascii="Times New Roman" w:cs="Times New Roman" w:eastAsia="Times New Roman" w:hAnsi="Times New Roman"/>
            <w:sz w:val="17"/>
            <w:szCs w:val="17"/>
            <w:u w:val="single" w:color="auto"/>
            <w:color w:val="0000EE"/>
          </w:rPr>
          <w:t>Common Stock Purchase Warrant dated March 28, 2021</w:t>
        </w:r>
      </w:hyperlink>
    </w:p>
    <w:p>
      <w:pPr>
        <w:spacing w:after="0" w:line="9" w:lineRule="exact"/>
        <w:rPr>
          <w:rFonts w:ascii="Times New Roman" w:cs="Times New Roman" w:eastAsia="Times New Roman" w:hAnsi="Times New Roman"/>
          <w:sz w:val="18"/>
          <w:szCs w:val="18"/>
          <w:u w:val="single" w:color="auto"/>
          <w:color w:val="0000EE"/>
        </w:rPr>
      </w:pPr>
    </w:p>
    <w:p>
      <w:pPr>
        <w:ind w:left="920" w:right="8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208">
        <w:r>
          <w:rPr>
            <w:rFonts w:ascii="Times New Roman" w:cs="Times New Roman" w:eastAsia="Times New Roman" w:hAnsi="Times New Roman"/>
            <w:sz w:val="18"/>
            <w:szCs w:val="18"/>
            <w:u w:val="single" w:color="auto"/>
            <w:color w:val="0000EE"/>
          </w:rPr>
          <w:t>Clinical Trial Participation Agreement, dated as of December 17,</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2020, by and between Quantum Leap Health Care Collaborative and</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NeuroRx</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209">
        <w:r>
          <w:rPr>
            <w:rFonts w:ascii="Times New Roman" w:cs="Times New Roman" w:eastAsia="Times New Roman" w:hAnsi="Times New Roman"/>
            <w:sz w:val="17"/>
            <w:szCs w:val="17"/>
            <w:u w:val="single" w:color="auto"/>
            <w:color w:val="0000EE"/>
          </w:rPr>
          <w:t>Voting Agreement by and between Jonathan Javitt and Daniel Javitt</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210">
        <w:r>
          <w:rPr>
            <w:rFonts w:ascii="Times New Roman" w:cs="Times New Roman" w:eastAsia="Times New Roman" w:hAnsi="Times New Roman"/>
            <w:sz w:val="17"/>
            <w:szCs w:val="17"/>
            <w:u w:val="single" w:color="auto"/>
            <w:color w:val="0000EE"/>
          </w:rPr>
          <w:t>Statement of Work, dated July 26, 2021, between Pilltracker Ltd.</w:t>
        </w:r>
      </w:hyperlink>
    </w:p>
    <w:p>
      <w:pPr>
        <w:spacing w:after="0" w:line="9" w:lineRule="exact"/>
        <w:rPr>
          <w:rFonts w:ascii="Times New Roman" w:cs="Times New Roman" w:eastAsia="Times New Roman" w:hAnsi="Times New Roman"/>
          <w:sz w:val="18"/>
          <w:szCs w:val="18"/>
          <w:u w:val="single" w:color="auto"/>
          <w:color w:val="0000EE"/>
        </w:rPr>
      </w:pPr>
    </w:p>
    <w:p>
      <w:pPr>
        <w:ind w:left="920"/>
        <w:spacing w:after="0"/>
        <w:rPr>
          <w:rFonts w:ascii="Times New Roman" w:cs="Times New Roman" w:eastAsia="Times New Roman" w:hAnsi="Times New Roman"/>
          <w:sz w:val="18"/>
          <w:szCs w:val="18"/>
          <w:u w:val="single" w:color="auto"/>
          <w:color w:val="0000EE"/>
        </w:rPr>
      </w:pPr>
      <w:hyperlink r:id="rId210">
        <w:r>
          <w:rPr>
            <w:rFonts w:ascii="Times New Roman" w:cs="Times New Roman" w:eastAsia="Times New Roman" w:hAnsi="Times New Roman"/>
            <w:sz w:val="18"/>
            <w:szCs w:val="18"/>
            <w:u w:val="single" w:color="auto"/>
            <w:color w:val="0000EE"/>
          </w:rPr>
          <w:t>and NeuroRx, Inc.</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211">
        <w:r>
          <w:rPr>
            <w:rFonts w:ascii="Times New Roman" w:cs="Times New Roman" w:eastAsia="Times New Roman" w:hAnsi="Times New Roman"/>
            <w:sz w:val="17"/>
            <w:szCs w:val="17"/>
            <w:u w:val="single" w:color="auto"/>
            <w:color w:val="0000EE"/>
          </w:rPr>
          <w:t>Form of Securities Purchase Agreement, dated as of January 30,</w:t>
        </w:r>
      </w:hyperlink>
    </w:p>
    <w:p>
      <w:pPr>
        <w:spacing w:after="0" w:line="9" w:lineRule="exact"/>
        <w:rPr>
          <w:rFonts w:ascii="Times New Roman" w:cs="Times New Roman" w:eastAsia="Times New Roman" w:hAnsi="Times New Roman"/>
          <w:sz w:val="18"/>
          <w:szCs w:val="18"/>
          <w:u w:val="single" w:color="auto"/>
          <w:color w:val="0000EE"/>
        </w:rPr>
      </w:pPr>
    </w:p>
    <w:p>
      <w:pPr>
        <w:ind w:left="920"/>
        <w:spacing w:after="0"/>
        <w:rPr>
          <w:rFonts w:ascii="Times New Roman" w:cs="Times New Roman" w:eastAsia="Times New Roman" w:hAnsi="Times New Roman"/>
          <w:sz w:val="18"/>
          <w:szCs w:val="18"/>
          <w:u w:val="single" w:color="auto"/>
          <w:color w:val="0000EE"/>
        </w:rPr>
      </w:pPr>
      <w:hyperlink r:id="rId211">
        <w:r>
          <w:rPr>
            <w:rFonts w:ascii="Times New Roman" w:cs="Times New Roman" w:eastAsia="Times New Roman" w:hAnsi="Times New Roman"/>
            <w:sz w:val="18"/>
            <w:szCs w:val="18"/>
            <w:u w:val="single" w:color="auto"/>
            <w:color w:val="0000EE"/>
          </w:rPr>
          <w:t>2022, by and among the Company and the Purchasers.</w:t>
        </w:r>
      </w:hyperlink>
    </w:p>
    <w:p>
      <w:pPr>
        <w:spacing w:after="0" w:line="20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Page 93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12"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10.29</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48"/>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10.30</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48"/>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10.31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864"/>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10.32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432"/>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10.33</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432"/>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10.35</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48"/>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10.37</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48"/>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10.38</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48"/>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10.39</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48"/>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10.40</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48"/>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10.41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48"/>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10.42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30"/>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10.43</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234"/>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10.44</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5/21/2021</w:t>
            </w:r>
          </w:p>
        </w:tc>
      </w:tr>
      <w:tr>
        <w:trPr>
          <w:trHeight w:val="630"/>
        </w:trPr>
        <w:tc>
          <w:tcPr>
            <w:tcW w:w="9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10.34</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5/28/2021</w:t>
            </w:r>
          </w:p>
        </w:tc>
      </w:tr>
      <w:tr>
        <w:trPr>
          <w:trHeight w:val="234"/>
        </w:trPr>
        <w:tc>
          <w:tcPr>
            <w:tcW w:w="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11/15/2021</w:t>
            </w:r>
          </w:p>
        </w:tc>
      </w:tr>
      <w:tr>
        <w:trPr>
          <w:trHeight w:val="432"/>
        </w:trPr>
        <w:tc>
          <w:tcPr>
            <w:tcW w:w="9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2/03/2022</w:t>
            </w:r>
          </w:p>
        </w:tc>
      </w:tr>
    </w:tbl>
    <w:p>
      <w:pPr>
        <w:sectPr>
          <w:pgSz w:w="11900" w:h="16838" w:orient="portrait"/>
          <w:cols w:equalWidth="0" w:num="2">
            <w:col w:w="5940" w:space="720"/>
            <w:col w:w="3479"/>
          </w:cols>
          <w:pgMar w:left="320" w:top="121"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20" w:hanging="917"/>
        <w:spacing w:after="0" w:line="261"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213">
        <w:r>
          <w:rPr>
            <w:rFonts w:ascii="Times New Roman" w:cs="Times New Roman" w:eastAsia="Times New Roman" w:hAnsi="Times New Roman"/>
            <w:sz w:val="18"/>
            <w:szCs w:val="18"/>
            <w:u w:val="single" w:color="auto"/>
            <w:color w:val="0000EE"/>
          </w:rPr>
          <w:t>Form of Preferred Investment Options, dated as of February 2, 2022,</w:t>
        </w:r>
      </w:hyperlink>
      <w:r>
        <w:rPr>
          <w:rFonts w:ascii="Times New Roman" w:cs="Times New Roman" w:eastAsia="Times New Roman" w:hAnsi="Times New Roman"/>
          <w:sz w:val="18"/>
          <w:szCs w:val="18"/>
          <w:u w:val="single" w:color="auto"/>
          <w:color w:val="0000EE"/>
        </w:rPr>
        <w:t xml:space="preserve"> </w:t>
      </w:r>
      <w:hyperlink r:id="rId213">
        <w:r>
          <w:rPr>
            <w:rFonts w:ascii="Times New Roman" w:cs="Times New Roman" w:eastAsia="Times New Roman" w:hAnsi="Times New Roman"/>
            <w:sz w:val="18"/>
            <w:szCs w:val="18"/>
            <w:u w:val="single" w:color="auto"/>
            <w:color w:val="0000EE"/>
          </w:rPr>
          <w:t>by and among the Company and the holders.</w:t>
        </w:r>
      </w:hyperlink>
    </w:p>
    <w:p>
      <w:pPr>
        <w:spacing w:after="0"/>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w:t>
      </w:r>
      <w:r>
        <w:rPr>
          <w:sz w:val="20"/>
          <w:szCs w:val="20"/>
          <w:color w:val="auto"/>
        </w:rPr>
        <w:tab/>
      </w:r>
      <w:hyperlink r:id="rId214">
        <w:r>
          <w:rPr>
            <w:rFonts w:ascii="Times New Roman" w:cs="Times New Roman" w:eastAsia="Times New Roman" w:hAnsi="Times New Roman"/>
            <w:sz w:val="18"/>
            <w:szCs w:val="18"/>
            <w:u w:val="single" w:color="auto"/>
            <w:color w:val="0000EE"/>
          </w:rPr>
          <w:t>Form of Registration Rights Agreement, dated as of January 30,</w:t>
        </w:r>
      </w:hyperlink>
    </w:p>
    <w:p>
      <w:pPr>
        <w:spacing w:after="0" w:line="9" w:lineRule="exact"/>
        <w:rPr>
          <w:sz w:val="20"/>
          <w:szCs w:val="20"/>
          <w:color w:val="auto"/>
        </w:rPr>
      </w:pPr>
    </w:p>
    <w:p>
      <w:pPr>
        <w:ind w:left="920"/>
        <w:spacing w:after="0"/>
        <w:rPr>
          <w:rFonts w:ascii="Times New Roman" w:cs="Times New Roman" w:eastAsia="Times New Roman" w:hAnsi="Times New Roman"/>
          <w:sz w:val="18"/>
          <w:szCs w:val="18"/>
          <w:u w:val="single" w:color="auto"/>
          <w:color w:val="0000EE"/>
        </w:rPr>
      </w:pPr>
      <w:hyperlink r:id="rId214">
        <w:r>
          <w:rPr>
            <w:rFonts w:ascii="Times New Roman" w:cs="Times New Roman" w:eastAsia="Times New Roman" w:hAnsi="Times New Roman"/>
            <w:sz w:val="18"/>
            <w:szCs w:val="18"/>
            <w:u w:val="single" w:color="auto"/>
            <w:color w:val="0000EE"/>
          </w:rPr>
          <w:t>2022, by and among the Company and the Purchasers.</w:t>
        </w:r>
      </w:hyperlink>
    </w:p>
    <w:p>
      <w:pPr>
        <w:spacing w:after="0" w:line="9" w:lineRule="exact"/>
        <w:rPr>
          <w:sz w:val="20"/>
          <w:szCs w:val="20"/>
          <w:color w:val="auto"/>
        </w:rPr>
      </w:pPr>
    </w:p>
    <w:p>
      <w:pPr>
        <w:ind w:left="920" w:right="12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10.43</w:t>
      </w:r>
      <w:r>
        <w:rPr>
          <w:sz w:val="20"/>
          <w:szCs w:val="20"/>
          <w:color w:val="auto"/>
        </w:rPr>
        <w:tab/>
      </w:r>
      <w:hyperlink r:id="rId215">
        <w:r>
          <w:rPr>
            <w:rFonts w:ascii="Times New Roman" w:cs="Times New Roman" w:eastAsia="Times New Roman" w:hAnsi="Times New Roman"/>
            <w:sz w:val="18"/>
            <w:szCs w:val="18"/>
            <w:u w:val="single" w:color="auto"/>
            <w:color w:val="0000EE"/>
          </w:rPr>
          <w:t>Form of Placement Agent Preferred Investment Option, dated as of</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February 2, 2022 by and among the Company and H.C.</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Wainwright &amp; Co., LLC.</w:t>
        </w:r>
      </w:hyperlink>
    </w:p>
    <w:p>
      <w:pPr>
        <w:spacing w:after="0" w:line="1" w:lineRule="exact"/>
        <w:rPr>
          <w:rFonts w:ascii="Times New Roman" w:cs="Times New Roman" w:eastAsia="Times New Roman" w:hAnsi="Times New Roman"/>
          <w:sz w:val="18"/>
          <w:szCs w:val="18"/>
          <w:u w:val="single" w:color="auto"/>
          <w:color w:val="0000EE"/>
        </w:rPr>
      </w:pPr>
    </w:p>
    <w:p>
      <w:pPr>
        <w:ind w:left="920" w:right="26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10.44</w:t>
      </w:r>
      <w:r>
        <w:rPr>
          <w:sz w:val="20"/>
          <w:szCs w:val="20"/>
          <w:color w:val="auto"/>
        </w:rPr>
        <w:tab/>
      </w:r>
      <w:hyperlink r:id="rId216">
        <w:r>
          <w:rPr>
            <w:rFonts w:ascii="Times New Roman" w:cs="Times New Roman" w:eastAsia="Times New Roman" w:hAnsi="Times New Roman"/>
            <w:sz w:val="18"/>
            <w:szCs w:val="18"/>
            <w:u w:val="single" w:color="auto"/>
            <w:color w:val="0000EE"/>
          </w:rPr>
          <w:t>Consulting Agreement, dated March 8, 2022, by and between the</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Company and Dr. Jonathan Javitt</w:t>
        </w:r>
      </w:hyperlink>
    </w:p>
    <w:p>
      <w:pPr>
        <w:spacing w:after="0" w:line="1" w:lineRule="exact"/>
        <w:rPr>
          <w:sz w:val="20"/>
          <w:szCs w:val="20"/>
          <w:color w:val="auto"/>
        </w:rPr>
      </w:pPr>
    </w:p>
    <w:p>
      <w:pPr>
        <w:ind w:left="920" w:right="32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10.46</w:t>
      </w:r>
      <w:r>
        <w:rPr>
          <w:sz w:val="20"/>
          <w:szCs w:val="20"/>
          <w:color w:val="auto"/>
        </w:rPr>
        <w:tab/>
      </w:r>
      <w:hyperlink r:id="rId217">
        <w:r>
          <w:rPr>
            <w:rFonts w:ascii="Times New Roman" w:cs="Times New Roman" w:eastAsia="Times New Roman" w:hAnsi="Times New Roman"/>
            <w:sz w:val="18"/>
            <w:szCs w:val="18"/>
            <w:u w:val="single" w:color="auto"/>
            <w:color w:val="0000EE"/>
          </w:rPr>
          <w:t>Executive Employment Agreement, dated June 13, 2022, by and</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between NRx Pharmaceuticals, Inc. and Seth Van Voorhees</w:t>
        </w:r>
      </w:hyperlink>
    </w:p>
    <w:p>
      <w:pPr>
        <w:spacing w:after="0" w:line="1" w:lineRule="exact"/>
        <w:rPr>
          <w:sz w:val="20"/>
          <w:szCs w:val="20"/>
          <w:color w:val="auto"/>
        </w:rPr>
      </w:pPr>
    </w:p>
    <w:p>
      <w:pPr>
        <w:ind w:left="920" w:right="34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10.47</w:t>
      </w:r>
      <w:r>
        <w:rPr>
          <w:sz w:val="20"/>
          <w:szCs w:val="20"/>
          <w:color w:val="auto"/>
        </w:rPr>
        <w:tab/>
      </w:r>
      <w:hyperlink r:id="rId218">
        <w:r>
          <w:rPr>
            <w:rFonts w:ascii="Times New Roman" w:cs="Times New Roman" w:eastAsia="Times New Roman" w:hAnsi="Times New Roman"/>
            <w:sz w:val="18"/>
            <w:szCs w:val="18"/>
            <w:u w:val="single" w:color="auto"/>
            <w:color w:val="0000EE"/>
          </w:rPr>
          <w:t>Executive Employment Agreement, dated July 12, 2022, by and</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between NRx Pharmaceuticals, Inc. and Stephen Willard</w:t>
        </w:r>
      </w:hyperlink>
    </w:p>
    <w:p>
      <w:pPr>
        <w:spacing w:after="0" w:line="1" w:lineRule="exact"/>
        <w:rPr>
          <w:sz w:val="20"/>
          <w:szCs w:val="20"/>
          <w:color w:val="auto"/>
        </w:rPr>
      </w:pPr>
    </w:p>
    <w:p>
      <w:pPr>
        <w:ind w:left="920" w:right="16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10.48</w:t>
      </w:r>
      <w:r>
        <w:rPr>
          <w:sz w:val="20"/>
          <w:szCs w:val="20"/>
          <w:color w:val="auto"/>
        </w:rPr>
        <w:tab/>
      </w:r>
      <w:hyperlink r:id="rId219">
        <w:r>
          <w:rPr>
            <w:rFonts w:ascii="Times New Roman" w:cs="Times New Roman" w:eastAsia="Times New Roman" w:hAnsi="Times New Roman"/>
            <w:sz w:val="18"/>
            <w:szCs w:val="18"/>
            <w:u w:val="single" w:color="auto"/>
            <w:color w:val="0000EE"/>
          </w:rPr>
          <w:t>Share Purchase Agreement, dated November 4, 2022, by and</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between NRx Pharmaceuticals, Inc. and Streeterville Capital, LLC</w:t>
        </w:r>
      </w:hyperlink>
    </w:p>
    <w:p>
      <w:pPr>
        <w:spacing w:after="0" w:line="1" w:lineRule="exact"/>
        <w:rPr>
          <w:sz w:val="20"/>
          <w:szCs w:val="20"/>
          <w:color w:val="auto"/>
        </w:rPr>
      </w:pPr>
    </w:p>
    <w:p>
      <w:pPr>
        <w:ind w:left="920" w:right="46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10.49</w:t>
      </w:r>
      <w:r>
        <w:rPr>
          <w:sz w:val="20"/>
          <w:szCs w:val="20"/>
          <w:color w:val="auto"/>
        </w:rPr>
        <w:tab/>
      </w:r>
      <w:hyperlink r:id="rId220">
        <w:r>
          <w:rPr>
            <w:rFonts w:ascii="Times New Roman" w:cs="Times New Roman" w:eastAsia="Times New Roman" w:hAnsi="Times New Roman"/>
            <w:sz w:val="18"/>
            <w:szCs w:val="18"/>
            <w:u w:val="single" w:color="auto"/>
            <w:color w:val="0000EE"/>
          </w:rPr>
          <w:t>Form of Note, dated November 4, 2022, by and between NRX</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Pharmaceuticals, Inc. and Streeterville Capital, LLC</w:t>
        </w:r>
      </w:hyperlink>
    </w:p>
    <w:p>
      <w:pPr>
        <w:spacing w:after="0" w:line="1" w:lineRule="exact"/>
        <w:rPr>
          <w:sz w:val="20"/>
          <w:szCs w:val="20"/>
          <w:color w:val="auto"/>
        </w:rPr>
      </w:pPr>
    </w:p>
    <w:p>
      <w:pPr>
        <w:ind w:left="920" w:right="50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10.50</w:t>
      </w:r>
      <w:r>
        <w:rPr>
          <w:sz w:val="20"/>
          <w:szCs w:val="20"/>
          <w:color w:val="auto"/>
        </w:rPr>
        <w:tab/>
      </w:r>
      <w:hyperlink r:id="rId221">
        <w:r>
          <w:rPr>
            <w:rFonts w:ascii="Times New Roman" w:cs="Times New Roman" w:eastAsia="Times New Roman" w:hAnsi="Times New Roman"/>
            <w:sz w:val="18"/>
            <w:szCs w:val="18"/>
            <w:u w:val="single" w:color="auto"/>
            <w:color w:val="0000EE"/>
          </w:rPr>
          <w:t>Form of Guarantee, dated November 4, 2022, by and between</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NeuroRx, Inc. and Streeterville Capital, LLC</w:t>
        </w:r>
      </w:hyperlink>
    </w:p>
    <w:p>
      <w:pPr>
        <w:spacing w:after="0" w:line="1" w:lineRule="exact"/>
        <w:rPr>
          <w:sz w:val="20"/>
          <w:szCs w:val="20"/>
          <w:color w:val="auto"/>
        </w:rPr>
      </w:pPr>
    </w:p>
    <w:p>
      <w:pPr>
        <w:jc w:val="both"/>
        <w:ind w:left="920" w:right="80" w:hanging="917"/>
        <w:spacing w:after="0" w:line="250" w:lineRule="auto"/>
        <w:tabs>
          <w:tab w:leader="none" w:pos="9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10.51</w:t>
      </w:r>
      <w:r>
        <w:rPr>
          <w:sz w:val="20"/>
          <w:szCs w:val="20"/>
          <w:color w:val="auto"/>
        </w:rPr>
        <w:tab/>
      </w:r>
      <w:hyperlink r:id="rId222">
        <w:r>
          <w:rPr>
            <w:rFonts w:ascii="Times New Roman" w:cs="Times New Roman" w:eastAsia="Times New Roman" w:hAnsi="Times New Roman"/>
            <w:sz w:val="18"/>
            <w:szCs w:val="18"/>
            <w:u w:val="single" w:color="auto"/>
            <w:color w:val="0000EE"/>
          </w:rPr>
          <w:t>Settlement Agreement by and between Relief Therapeutics Holding</w:t>
        </w:r>
      </w:hyperlink>
      <w:r>
        <w:rPr>
          <w:rFonts w:ascii="Times New Roman" w:cs="Times New Roman" w:eastAsia="Times New Roman" w:hAnsi="Times New Roman"/>
          <w:sz w:val="18"/>
          <w:szCs w:val="18"/>
          <w:u w:val="single" w:color="auto"/>
          <w:color w:val="0000EE"/>
        </w:rPr>
        <w:t xml:space="preserve"> </w:t>
      </w:r>
      <w:hyperlink r:id="rId222">
        <w:r>
          <w:rPr>
            <w:rFonts w:ascii="Times New Roman" w:cs="Times New Roman" w:eastAsia="Times New Roman" w:hAnsi="Times New Roman"/>
            <w:sz w:val="18"/>
            <w:szCs w:val="18"/>
            <w:u w:val="single" w:color="auto"/>
            <w:color w:val="0000EE"/>
          </w:rPr>
          <w:t>AG, Relief Therapeutics International SA, NeuroRx, Inc. and NRX</w:t>
        </w:r>
      </w:hyperlink>
      <w:r>
        <w:rPr>
          <w:rFonts w:ascii="Times New Roman" w:cs="Times New Roman" w:eastAsia="Times New Roman" w:hAnsi="Times New Roman"/>
          <w:sz w:val="18"/>
          <w:szCs w:val="18"/>
          <w:u w:val="single" w:color="auto"/>
          <w:color w:val="0000EE"/>
        </w:rPr>
        <w:t xml:space="preserve"> </w:t>
      </w:r>
      <w:hyperlink r:id="rId222">
        <w:r>
          <w:rPr>
            <w:rFonts w:ascii="Times New Roman" w:cs="Times New Roman" w:eastAsia="Times New Roman" w:hAnsi="Times New Roman"/>
            <w:sz w:val="18"/>
            <w:szCs w:val="18"/>
            <w:u w:val="single" w:color="auto"/>
            <w:color w:val="0000EE"/>
          </w:rPr>
          <w:t>Pharmaceuticals,</w:t>
        </w:r>
        <w:r>
          <w:rPr>
            <w:rFonts w:ascii="Times New Roman" w:cs="Times New Roman" w:eastAsia="Times New Roman" w:hAnsi="Times New Roman"/>
            <w:sz w:val="18"/>
            <w:szCs w:val="18"/>
            <w:color w:val="0000EE"/>
          </w:rPr>
          <w:t xml:space="preserve"> Inc., dated November </w:t>
        </w:r>
        <w:r>
          <w:rPr>
            <w:rFonts w:ascii="Times New Roman" w:cs="Times New Roman" w:eastAsia="Times New Roman" w:hAnsi="Times New Roman"/>
            <w:sz w:val="18"/>
            <w:szCs w:val="18"/>
            <w:u w:val="single" w:color="auto"/>
            <w:color w:val="0000EE"/>
          </w:rPr>
          <w:t>12, 2022.</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1365250</wp:posOffset>
            </wp:positionH>
            <wp:positionV relativeFrom="paragraph">
              <wp:posOffset>-24130</wp:posOffset>
            </wp:positionV>
            <wp:extent cx="10464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3">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920" w:right="20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10.52</w:t>
      </w:r>
      <w:r>
        <w:rPr>
          <w:sz w:val="20"/>
          <w:szCs w:val="20"/>
          <w:color w:val="auto"/>
        </w:rPr>
        <w:tab/>
      </w:r>
      <w:hyperlink r:id="rId224">
        <w:r>
          <w:rPr>
            <w:rFonts w:ascii="Times New Roman" w:cs="Times New Roman" w:eastAsia="Times New Roman" w:hAnsi="Times New Roman"/>
            <w:sz w:val="18"/>
            <w:szCs w:val="18"/>
            <w:u w:val="single" w:color="auto"/>
            <w:color w:val="0000EE"/>
          </w:rPr>
          <w:t>Asset Purchase Agreement by and between Relief Therapeutics</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Holding AG, Relief Therapeutics International SA, NeuroRx, Inc.</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and NRX Pharmaceuticals, Inc., dated November 12, 2022.</w:t>
        </w:r>
      </w:hyperlink>
    </w:p>
    <w:p>
      <w:pPr>
        <w:spacing w:after="0" w:line="1" w:lineRule="exact"/>
        <w:rPr>
          <w:rFonts w:ascii="Times New Roman" w:cs="Times New Roman" w:eastAsia="Times New Roman" w:hAnsi="Times New Roman"/>
          <w:sz w:val="18"/>
          <w:szCs w:val="18"/>
          <w:u w:val="single" w:color="auto"/>
          <w:color w:val="0000EE"/>
        </w:rPr>
      </w:pPr>
    </w:p>
    <w:p>
      <w:pPr>
        <w:ind w:left="920" w:right="20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10.53</w:t>
      </w:r>
      <w:r>
        <w:rPr>
          <w:sz w:val="20"/>
          <w:szCs w:val="20"/>
          <w:color w:val="auto"/>
        </w:rPr>
        <w:tab/>
      </w:r>
      <w:hyperlink r:id="rId225">
        <w:r>
          <w:rPr>
            <w:rFonts w:ascii="Times New Roman" w:cs="Times New Roman" w:eastAsia="Times New Roman" w:hAnsi="Times New Roman"/>
            <w:sz w:val="18"/>
            <w:szCs w:val="18"/>
            <w:u w:val="single" w:color="auto"/>
            <w:color w:val="0000EE"/>
          </w:rPr>
          <w:t>Share Purchase Agreement, dated March 8, 2023, by and between</w:t>
        </w:r>
      </w:hyperlink>
      <w:r>
        <w:rPr>
          <w:rFonts w:ascii="Times New Roman" w:cs="Times New Roman" w:eastAsia="Times New Roman" w:hAnsi="Times New Roman"/>
          <w:sz w:val="18"/>
          <w:szCs w:val="18"/>
          <w:u w:val="single" w:color="auto"/>
          <w:color w:val="0000EE"/>
        </w:rPr>
        <w:t xml:space="preserve"> </w:t>
      </w:r>
      <w:hyperlink r:id="rId225">
        <w:r>
          <w:rPr>
            <w:rFonts w:ascii="Times New Roman" w:cs="Times New Roman" w:eastAsia="Times New Roman" w:hAnsi="Times New Roman"/>
            <w:sz w:val="18"/>
            <w:szCs w:val="18"/>
            <w:u w:val="single" w:color="auto"/>
            <w:color w:val="0000EE"/>
          </w:rPr>
          <w:t>NRx Pharmaceuticals, Inc. and Purchasers</w:t>
        </w:r>
      </w:hyperlink>
    </w:p>
    <w:p>
      <w:pPr>
        <w:spacing w:after="0" w:line="1"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10.54+</w:t>
      </w:r>
      <w:r>
        <w:rPr>
          <w:sz w:val="20"/>
          <w:szCs w:val="20"/>
          <w:color w:val="auto"/>
        </w:rPr>
        <w:tab/>
      </w:r>
      <w:hyperlink r:id="rId226">
        <w:r>
          <w:rPr>
            <w:rFonts w:ascii="Times New Roman" w:cs="Times New Roman" w:eastAsia="Times New Roman" w:hAnsi="Times New Roman"/>
            <w:sz w:val="17"/>
            <w:szCs w:val="17"/>
            <w:u w:val="single" w:color="auto"/>
            <w:color w:val="0000EE"/>
          </w:rPr>
          <w:t>Pill Tracker Supplemental Task Order, dated November 15, 2021.</w:t>
        </w:r>
      </w:hyperlink>
    </w:p>
    <w:p>
      <w:pPr>
        <w:spacing w:after="0" w:line="9" w:lineRule="exact"/>
        <w:rPr>
          <w:sz w:val="20"/>
          <w:szCs w:val="20"/>
          <w:color w:val="auto"/>
        </w:rPr>
      </w:pPr>
    </w:p>
    <w:p>
      <w:pPr>
        <w:ind w:left="920" w:right="26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10.55</w:t>
      </w:r>
      <w:r>
        <w:rPr>
          <w:sz w:val="20"/>
          <w:szCs w:val="20"/>
          <w:color w:val="auto"/>
        </w:rPr>
        <w:tab/>
      </w:r>
      <w:hyperlink r:id="rId227">
        <w:r>
          <w:rPr>
            <w:rFonts w:ascii="Times New Roman" w:cs="Times New Roman" w:eastAsia="Times New Roman" w:hAnsi="Times New Roman"/>
            <w:sz w:val="18"/>
            <w:szCs w:val="18"/>
            <w:u w:val="single" w:color="auto"/>
            <w:color w:val="0000EE"/>
          </w:rPr>
          <w:t>Amendment to Consulting Agreement, dated March 29, 2023, by</w:t>
        </w:r>
      </w:hyperlink>
      <w:r>
        <w:rPr>
          <w:rFonts w:ascii="Times New Roman" w:cs="Times New Roman" w:eastAsia="Times New Roman" w:hAnsi="Times New Roman"/>
          <w:sz w:val="18"/>
          <w:szCs w:val="18"/>
          <w:u w:val="single" w:color="auto"/>
          <w:color w:val="0000EE"/>
        </w:rPr>
        <w:t xml:space="preserve"> </w:t>
      </w:r>
      <w:hyperlink r:id="rId227">
        <w:r>
          <w:rPr>
            <w:rFonts w:ascii="Times New Roman" w:cs="Times New Roman" w:eastAsia="Times New Roman" w:hAnsi="Times New Roman"/>
            <w:sz w:val="18"/>
            <w:szCs w:val="18"/>
            <w:u w:val="single" w:color="auto"/>
            <w:color w:val="0000EE"/>
          </w:rPr>
          <w:t>and between the Company and Dr. Jonathan Javitt.</w:t>
        </w:r>
      </w:hyperlink>
    </w:p>
    <w:p>
      <w:pPr>
        <w:spacing w:after="0" w:line="1" w:lineRule="exact"/>
        <w:rPr>
          <w:sz w:val="20"/>
          <w:szCs w:val="20"/>
          <w:color w:val="auto"/>
        </w:rPr>
      </w:pPr>
    </w:p>
    <w:p>
      <w:pPr>
        <w:ind w:left="920" w:right="14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10.56+</w:t>
      </w:r>
      <w:r>
        <w:rPr>
          <w:sz w:val="20"/>
          <w:szCs w:val="20"/>
          <w:color w:val="auto"/>
        </w:rPr>
        <w:tab/>
      </w:r>
      <w:hyperlink r:id="rId228">
        <w:r>
          <w:rPr>
            <w:rFonts w:ascii="Times New Roman" w:cs="Times New Roman" w:eastAsia="Times New Roman" w:hAnsi="Times New Roman"/>
            <w:sz w:val="18"/>
            <w:szCs w:val="18"/>
            <w:u w:val="single" w:color="auto"/>
            <w:color w:val="0000EE"/>
          </w:rPr>
          <w:t>Development and License Agreement, dated as of June 2, 2023, by</w:t>
        </w:r>
      </w:hyperlink>
      <w:r>
        <w:rPr>
          <w:rFonts w:ascii="Times New Roman" w:cs="Times New Roman" w:eastAsia="Times New Roman" w:hAnsi="Times New Roman"/>
          <w:sz w:val="18"/>
          <w:szCs w:val="18"/>
          <w:u w:val="single" w:color="auto"/>
          <w:color w:val="0000EE"/>
        </w:rPr>
        <w:t xml:space="preserve"> </w:t>
      </w:r>
      <w:hyperlink r:id="rId228">
        <w:r>
          <w:rPr>
            <w:rFonts w:ascii="Times New Roman" w:cs="Times New Roman" w:eastAsia="Times New Roman" w:hAnsi="Times New Roman"/>
            <w:sz w:val="18"/>
            <w:szCs w:val="18"/>
            <w:u w:val="single" w:color="auto"/>
            <w:color w:val="0000EE"/>
          </w:rPr>
          <w:t>and among the Company and Alvogen.*</w:t>
        </w:r>
      </w:hyperlink>
    </w:p>
    <w:p>
      <w:pPr>
        <w:spacing w:after="0" w:line="1" w:lineRule="exact"/>
        <w:rPr>
          <w:sz w:val="20"/>
          <w:szCs w:val="20"/>
          <w:color w:val="auto"/>
        </w:rPr>
      </w:pPr>
    </w:p>
    <w:p>
      <w:pPr>
        <w:spacing w:after="0"/>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10.57</w:t>
      </w:r>
      <w:r>
        <w:rPr>
          <w:sz w:val="20"/>
          <w:szCs w:val="20"/>
          <w:color w:val="auto"/>
        </w:rPr>
        <w:tab/>
      </w:r>
      <w:hyperlink r:id="rId229">
        <w:r>
          <w:rPr>
            <w:rFonts w:ascii="Times New Roman" w:cs="Times New Roman" w:eastAsia="Times New Roman" w:hAnsi="Times New Roman"/>
            <w:sz w:val="18"/>
            <w:szCs w:val="18"/>
            <w:u w:val="single" w:color="auto"/>
            <w:color w:val="0000EE"/>
          </w:rPr>
          <w:t>Form of Securities Purchase Agreement</w:t>
        </w:r>
      </w:hyperlink>
    </w:p>
    <w:p>
      <w:pPr>
        <w:spacing w:after="0" w:line="9" w:lineRule="exact"/>
        <w:rPr>
          <w:sz w:val="20"/>
          <w:szCs w:val="20"/>
          <w:color w:val="auto"/>
        </w:rPr>
      </w:pPr>
    </w:p>
    <w:p>
      <w:pPr>
        <w:spacing w:after="0"/>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10.58</w:t>
      </w:r>
      <w:r>
        <w:rPr>
          <w:sz w:val="20"/>
          <w:szCs w:val="20"/>
          <w:color w:val="auto"/>
        </w:rPr>
        <w:tab/>
      </w:r>
      <w:hyperlink r:id="rId230">
        <w:r>
          <w:rPr>
            <w:rFonts w:ascii="Times New Roman" w:cs="Times New Roman" w:eastAsia="Times New Roman" w:hAnsi="Times New Roman"/>
            <w:sz w:val="18"/>
            <w:szCs w:val="18"/>
            <w:u w:val="single" w:color="auto"/>
            <w:color w:val="0000EE"/>
          </w:rPr>
          <w:t>Lock-Up Agreement</w:t>
        </w:r>
      </w:hyperlink>
    </w:p>
    <w:p>
      <w:pPr>
        <w:spacing w:after="0" w:line="9" w:lineRule="exact"/>
        <w:rPr>
          <w:sz w:val="20"/>
          <w:szCs w:val="20"/>
          <w:color w:val="auto"/>
        </w:rPr>
      </w:pPr>
    </w:p>
    <w:p>
      <w:pPr>
        <w:ind w:left="92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10.59</w:t>
      </w:r>
      <w:r>
        <w:rPr>
          <w:sz w:val="20"/>
          <w:szCs w:val="20"/>
          <w:color w:val="auto"/>
        </w:rPr>
        <w:tab/>
      </w:r>
      <w:hyperlink r:id="rId231">
        <w:r>
          <w:rPr>
            <w:rFonts w:ascii="Times New Roman" w:cs="Times New Roman" w:eastAsia="Times New Roman" w:hAnsi="Times New Roman"/>
            <w:sz w:val="18"/>
            <w:szCs w:val="18"/>
            <w:u w:val="single" w:color="auto"/>
            <w:color w:val="0000EE"/>
          </w:rPr>
          <w:t>Amendment to Convertible Promissory Note, dated June 30, 2023,</w:t>
        </w:r>
      </w:hyperlink>
      <w:r>
        <w:rPr>
          <w:rFonts w:ascii="Times New Roman" w:cs="Times New Roman" w:eastAsia="Times New Roman" w:hAnsi="Times New Roman"/>
          <w:sz w:val="18"/>
          <w:szCs w:val="18"/>
          <w:u w:val="single" w:color="auto"/>
          <w:color w:val="0000EE"/>
        </w:rPr>
        <w:t xml:space="preserve"> </w:t>
      </w:r>
      <w:hyperlink r:id="rId231">
        <w:r>
          <w:rPr>
            <w:rFonts w:ascii="Times New Roman" w:cs="Times New Roman" w:eastAsia="Times New Roman" w:hAnsi="Times New Roman"/>
            <w:sz w:val="18"/>
            <w:szCs w:val="18"/>
            <w:u w:val="single" w:color="auto"/>
            <w:color w:val="0000EE"/>
          </w:rPr>
          <w:t>by and between NRx Pharmaceuticals, Inc. and Streetervillle Capital</w:t>
        </w:r>
      </w:hyperlink>
      <w:r>
        <w:rPr>
          <w:rFonts w:ascii="Times New Roman" w:cs="Times New Roman" w:eastAsia="Times New Roman" w:hAnsi="Times New Roman"/>
          <w:sz w:val="18"/>
          <w:szCs w:val="18"/>
          <w:u w:val="single" w:color="auto"/>
          <w:color w:val="0000EE"/>
        </w:rPr>
        <w:t xml:space="preserve"> </w:t>
      </w:r>
      <w:hyperlink r:id="rId231">
        <w:r>
          <w:rPr>
            <w:rFonts w:ascii="Times New Roman" w:cs="Times New Roman" w:eastAsia="Times New Roman" w:hAnsi="Times New Roman"/>
            <w:sz w:val="18"/>
            <w:szCs w:val="18"/>
            <w:u w:val="single" w:color="auto"/>
            <w:color w:val="0000EE"/>
          </w:rPr>
          <w:t>LLC.</w:t>
        </w:r>
      </w:hyperlink>
    </w:p>
    <w:p>
      <w:pPr>
        <w:spacing w:after="0" w:line="1" w:lineRule="exact"/>
        <w:rPr>
          <w:rFonts w:ascii="Times New Roman" w:cs="Times New Roman" w:eastAsia="Times New Roman" w:hAnsi="Times New Roman"/>
          <w:sz w:val="18"/>
          <w:szCs w:val="18"/>
          <w:u w:val="single" w:color="auto"/>
          <w:color w:val="0000EE"/>
        </w:rPr>
      </w:pPr>
    </w:p>
    <w:p>
      <w:pPr>
        <w:ind w:left="920" w:right="240" w:hanging="91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10.60</w:t>
      </w:r>
      <w:r>
        <w:rPr>
          <w:sz w:val="20"/>
          <w:szCs w:val="20"/>
          <w:color w:val="auto"/>
        </w:rPr>
        <w:tab/>
      </w:r>
      <w:hyperlink r:id="rId232">
        <w:r>
          <w:rPr>
            <w:rFonts w:ascii="Times New Roman" w:cs="Times New Roman" w:eastAsia="Times New Roman" w:hAnsi="Times New Roman"/>
            <w:sz w:val="18"/>
            <w:szCs w:val="18"/>
            <w:u w:val="single" w:color="auto"/>
            <w:color w:val="0000EE"/>
          </w:rPr>
          <w:t>Confidential Settlement Agreement and Release, dated July 17,</w:t>
        </w:r>
      </w:hyperlink>
      <w:r>
        <w:rPr>
          <w:rFonts w:ascii="Times New Roman" w:cs="Times New Roman" w:eastAsia="Times New Roman" w:hAnsi="Times New Roman"/>
          <w:sz w:val="18"/>
          <w:szCs w:val="18"/>
          <w:u w:val="single" w:color="auto"/>
          <w:color w:val="0000EE"/>
        </w:rPr>
        <w:t xml:space="preserve"> </w:t>
      </w:r>
      <w:hyperlink r:id="rId232">
        <w:r>
          <w:rPr>
            <w:rFonts w:ascii="Times New Roman" w:cs="Times New Roman" w:eastAsia="Times New Roman" w:hAnsi="Times New Roman"/>
            <w:sz w:val="18"/>
            <w:szCs w:val="18"/>
            <w:u w:val="single" w:color="auto"/>
            <w:color w:val="0000EE"/>
          </w:rPr>
          <w:t>2023, by and between NRx Pharmaceuticals, Inc., NeuroRx, Inc.,</w:t>
        </w:r>
      </w:hyperlink>
      <w:r>
        <w:rPr>
          <w:rFonts w:ascii="Times New Roman" w:cs="Times New Roman" w:eastAsia="Times New Roman" w:hAnsi="Times New Roman"/>
          <w:sz w:val="18"/>
          <w:szCs w:val="18"/>
          <w:u w:val="single" w:color="auto"/>
          <w:color w:val="0000EE"/>
        </w:rPr>
        <w:t xml:space="preserve"> </w:t>
      </w:r>
      <w:hyperlink r:id="rId232">
        <w:r>
          <w:rPr>
            <w:rFonts w:ascii="Times New Roman" w:cs="Times New Roman" w:eastAsia="Times New Roman" w:hAnsi="Times New Roman"/>
            <w:sz w:val="18"/>
            <w:szCs w:val="18"/>
            <w:u w:val="single" w:color="auto"/>
            <w:color w:val="0000EE"/>
          </w:rPr>
          <w:t>GEM Yield Bahamas Limited and GEM Global Yield LLC SCS</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10.61</w:t>
      </w:r>
      <w:r>
        <w:rPr>
          <w:sz w:val="20"/>
          <w:szCs w:val="20"/>
          <w:color w:val="auto"/>
        </w:rPr>
        <w:tab/>
      </w:r>
      <w:hyperlink r:id="rId233">
        <w:r>
          <w:rPr>
            <w:rFonts w:ascii="Times New Roman" w:cs="Times New Roman" w:eastAsia="Times New Roman" w:hAnsi="Times New Roman"/>
            <w:sz w:val="18"/>
            <w:szCs w:val="18"/>
            <w:u w:val="single" w:color="auto"/>
            <w:color w:val="0000EE"/>
          </w:rPr>
          <w:t>Form of Securities Purchase Agreement</w:t>
        </w:r>
      </w:hyperlink>
    </w:p>
    <w:p>
      <w:pPr>
        <w:spacing w:after="0" w:line="20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Page 94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12"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10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2/03/2022</w:t>
            </w:r>
          </w:p>
        </w:tc>
      </w:tr>
      <w:tr>
        <w:trPr>
          <w:trHeight w:val="432"/>
        </w:trPr>
        <w:tc>
          <w:tcPr>
            <w:tcW w:w="10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2/03/2022</w:t>
            </w:r>
          </w:p>
        </w:tc>
      </w:tr>
      <w:tr>
        <w:trPr>
          <w:trHeight w:val="432"/>
        </w:trPr>
        <w:tc>
          <w:tcPr>
            <w:tcW w:w="10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2/03/2022</w:t>
            </w:r>
          </w:p>
        </w:tc>
      </w:tr>
      <w:tr>
        <w:trPr>
          <w:trHeight w:val="648"/>
        </w:trPr>
        <w:tc>
          <w:tcPr>
            <w:tcW w:w="10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3/09/2022</w:t>
            </w:r>
          </w:p>
        </w:tc>
      </w:tr>
      <w:tr>
        <w:trPr>
          <w:trHeight w:val="432"/>
        </w:trPr>
        <w:tc>
          <w:tcPr>
            <w:tcW w:w="10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8/15/2022</w:t>
            </w:r>
          </w:p>
        </w:tc>
      </w:tr>
      <w:tr>
        <w:trPr>
          <w:trHeight w:val="432"/>
        </w:trPr>
        <w:tc>
          <w:tcPr>
            <w:tcW w:w="10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11/14/2022</w:t>
            </w:r>
          </w:p>
        </w:tc>
      </w:tr>
      <w:tr>
        <w:trPr>
          <w:trHeight w:val="432"/>
        </w:trPr>
        <w:tc>
          <w:tcPr>
            <w:tcW w:w="10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11/09/2022</w:t>
            </w:r>
          </w:p>
        </w:tc>
      </w:tr>
      <w:tr>
        <w:trPr>
          <w:trHeight w:val="432"/>
        </w:trPr>
        <w:tc>
          <w:tcPr>
            <w:tcW w:w="10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11/09/2022</w:t>
            </w:r>
          </w:p>
        </w:tc>
      </w:tr>
      <w:tr>
        <w:trPr>
          <w:trHeight w:val="432"/>
        </w:trPr>
        <w:tc>
          <w:tcPr>
            <w:tcW w:w="10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11/09/2022</w:t>
            </w:r>
          </w:p>
        </w:tc>
      </w:tr>
      <w:tr>
        <w:trPr>
          <w:trHeight w:val="432"/>
        </w:trPr>
        <w:tc>
          <w:tcPr>
            <w:tcW w:w="10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10-K/A</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10.54</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5/01/2023</w:t>
            </w:r>
          </w:p>
        </w:tc>
      </w:tr>
      <w:tr>
        <w:trPr>
          <w:trHeight w:val="648"/>
        </w:trPr>
        <w:tc>
          <w:tcPr>
            <w:tcW w:w="10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10-K/A</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10.55</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5/01/2023</w:t>
            </w:r>
          </w:p>
        </w:tc>
      </w:tr>
      <w:tr>
        <w:trPr>
          <w:trHeight w:val="648"/>
        </w:trPr>
        <w:tc>
          <w:tcPr>
            <w:tcW w:w="10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8-K/A</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3/14/2023</w:t>
            </w:r>
          </w:p>
        </w:tc>
      </w:tr>
      <w:tr>
        <w:trPr>
          <w:trHeight w:val="414"/>
        </w:trPr>
        <w:tc>
          <w:tcPr>
            <w:tcW w:w="10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10.46</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3/31/2022</w:t>
            </w:r>
          </w:p>
        </w:tc>
      </w:tr>
      <w:tr>
        <w:trPr>
          <w:trHeight w:val="234"/>
        </w:trPr>
        <w:tc>
          <w:tcPr>
            <w:tcW w:w="10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10.55</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3/29/2024</w:t>
            </w:r>
          </w:p>
        </w:tc>
      </w:tr>
      <w:tr>
        <w:trPr>
          <w:trHeight w:val="432"/>
        </w:trPr>
        <w:tc>
          <w:tcPr>
            <w:tcW w:w="10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6/05/2023</w:t>
            </w:r>
          </w:p>
        </w:tc>
      </w:tr>
      <w:tr>
        <w:trPr>
          <w:trHeight w:val="414"/>
        </w:trPr>
        <w:tc>
          <w:tcPr>
            <w:tcW w:w="10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8-K/A</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6/07/2023</w:t>
            </w:r>
          </w:p>
        </w:tc>
      </w:tr>
      <w:tr>
        <w:trPr>
          <w:trHeight w:val="216"/>
        </w:trPr>
        <w:tc>
          <w:tcPr>
            <w:tcW w:w="10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8-K/A</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6/07/2023</w:t>
            </w:r>
          </w:p>
        </w:tc>
      </w:tr>
      <w:tr>
        <w:trPr>
          <w:trHeight w:val="234"/>
        </w:trPr>
        <w:tc>
          <w:tcPr>
            <w:tcW w:w="10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8/14/2023</w:t>
            </w:r>
          </w:p>
        </w:tc>
      </w:tr>
      <w:tr>
        <w:trPr>
          <w:trHeight w:val="648"/>
        </w:trPr>
        <w:tc>
          <w:tcPr>
            <w:tcW w:w="10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10.60</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3/29/2024</w:t>
            </w:r>
          </w:p>
        </w:tc>
      </w:tr>
      <w:tr>
        <w:trPr>
          <w:trHeight w:val="648"/>
        </w:trPr>
        <w:tc>
          <w:tcPr>
            <w:tcW w:w="10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9/01/2023</w:t>
            </w:r>
          </w:p>
        </w:tc>
      </w:tr>
    </w:tbl>
    <w:p>
      <w:pPr>
        <w:sectPr>
          <w:pgSz w:w="11900" w:h="16838" w:orient="portrait"/>
          <w:cols w:equalWidth="0" w:num="2">
            <w:col w:w="5880" w:space="700"/>
            <w:col w:w="3559"/>
          </w:cols>
          <w:pgMar w:left="320" w:top="121"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46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Client Agreement, dated August 31, 2023, by and between NRx</w:t>
              </w:r>
            </w:hyperlink>
          </w:p>
        </w:tc>
        <w:tc>
          <w:tcPr>
            <w:tcW w:w="680" w:type="dxa"/>
            <w:vAlign w:val="bottom"/>
            <w:gridSpan w:val="9"/>
          </w:tcPr>
          <w:p>
            <w:pPr>
              <w:spacing w:after="0"/>
              <w:rPr>
                <w:sz w:val="24"/>
                <w:szCs w:val="24"/>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19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9/14/2023</w:t>
            </w:r>
          </w:p>
        </w:tc>
      </w:tr>
      <w:tr>
        <w:trPr>
          <w:trHeight w:val="196"/>
        </w:trPr>
        <w:tc>
          <w:tcPr>
            <w:tcW w:w="920" w:type="dxa"/>
            <w:vAlign w:val="bottom"/>
          </w:tcPr>
          <w:p>
            <w:pPr>
              <w:spacing w:after="0"/>
              <w:rPr>
                <w:sz w:val="17"/>
                <w:szCs w:val="17"/>
                <w:color w:val="auto"/>
              </w:rPr>
            </w:pP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Pharmaceuticals, Inc. and LS Associates, a division of LifeSci</w:t>
              </w:r>
            </w:hyperlink>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Advisors, LLC Associates.</w:t>
              </w:r>
            </w:hyperlink>
          </w:p>
        </w:tc>
        <w:tc>
          <w:tcPr>
            <w:tcW w:w="2520" w:type="dxa"/>
            <w:vAlign w:val="bottom"/>
            <w:tcBorders>
              <w:top w:val="single" w:sz="8" w:color="0000EE"/>
            </w:tcBorders>
            <w:gridSpan w:val="15"/>
          </w:tcPr>
          <w:p>
            <w:pPr>
              <w:spacing w:after="0"/>
              <w:rPr>
                <w:sz w:val="17"/>
                <w:szCs w:val="17"/>
                <w:color w:val="auto"/>
              </w:rPr>
            </w:pPr>
          </w:p>
        </w:tc>
        <w:tc>
          <w:tcPr>
            <w:tcW w:w="820" w:type="dxa"/>
            <w:vAlign w:val="bottom"/>
            <w:gridSpan w:val="14"/>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10.63</w:t>
            </w:r>
          </w:p>
        </w:tc>
        <w:tc>
          <w:tcPr>
            <w:tcW w:w="45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First Amendment to NRx Pharmaceuticals, Inc. 2021 Omnibus</w:t>
              </w:r>
            </w:hyperlink>
          </w:p>
        </w:tc>
        <w:tc>
          <w:tcPr>
            <w:tcW w:w="760" w:type="dxa"/>
            <w:vAlign w:val="bottom"/>
            <w:gridSpan w:val="13"/>
          </w:tcPr>
          <w:p>
            <w:pPr>
              <w:spacing w:after="0"/>
              <w:rPr>
                <w:sz w:val="17"/>
                <w:szCs w:val="17"/>
                <w:color w:val="auto"/>
              </w:rPr>
            </w:pPr>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w w:val="99"/>
              </w:rPr>
              <w:t>12/29/2023</w:t>
            </w:r>
          </w:p>
        </w:tc>
      </w:tr>
      <w:tr>
        <w:trPr>
          <w:trHeight w:val="196"/>
        </w:trPr>
        <w:tc>
          <w:tcPr>
            <w:tcW w:w="920" w:type="dxa"/>
            <w:vAlign w:val="bottom"/>
          </w:tcPr>
          <w:p>
            <w:pPr>
              <w:spacing w:after="0"/>
              <w:rPr>
                <w:sz w:val="17"/>
                <w:szCs w:val="17"/>
                <w:color w:val="auto"/>
              </w:rPr>
            </w:pP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Incentive Plan</w:t>
              </w:r>
            </w:hyperlink>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10.64</w:t>
            </w:r>
          </w:p>
        </w:tc>
        <w:tc>
          <w:tcPr>
            <w:tcW w:w="44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First Amendment to Exclusive, Global Development, Supply,</w:t>
              </w:r>
            </w:hyperlink>
          </w:p>
        </w:tc>
        <w:tc>
          <w:tcPr>
            <w:tcW w:w="860" w:type="dxa"/>
            <w:vAlign w:val="bottom"/>
            <w:gridSpan w:val="15"/>
          </w:tcPr>
          <w:p>
            <w:pPr>
              <w:spacing w:after="0"/>
              <w:rPr>
                <w:sz w:val="17"/>
                <w:szCs w:val="17"/>
                <w:color w:val="auto"/>
              </w:rPr>
            </w:pPr>
          </w:p>
        </w:tc>
        <w:tc>
          <w:tcPr>
            <w:tcW w:w="144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8"/>
              </w:rPr>
              <w:t>10.64</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3/29/2024</w:t>
            </w:r>
          </w:p>
        </w:tc>
      </w:tr>
      <w:tr>
        <w:trPr>
          <w:trHeight w:val="196"/>
        </w:trPr>
        <w:tc>
          <w:tcPr>
            <w:tcW w:w="920" w:type="dxa"/>
            <w:vAlign w:val="bottom"/>
          </w:tcPr>
          <w:p>
            <w:pPr>
              <w:spacing w:after="0"/>
              <w:rPr>
                <w:sz w:val="17"/>
                <w:szCs w:val="17"/>
                <w:color w:val="auto"/>
              </w:rPr>
            </w:pP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Marketing &amp; License Agreement, dated February 7, 2024, by and</w:t>
              </w:r>
            </w:hyperlink>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72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between NRx Pharmaceuticals, Inc., Alvogen Pharma US, Inc.,</w:t>
              </w:r>
            </w:hyperlink>
          </w:p>
        </w:tc>
        <w:tc>
          <w:tcPr>
            <w:tcW w:w="580" w:type="dxa"/>
            <w:vAlign w:val="bottom"/>
            <w:gridSpan w:val="7"/>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5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Alvogen, Inc. and Lotus Pharmaceutical Co. Ltd.</w:t>
              </w:r>
            </w:hyperlink>
          </w:p>
        </w:tc>
        <w:tc>
          <w:tcPr>
            <w:tcW w:w="740" w:type="dxa"/>
            <w:vAlign w:val="bottom"/>
            <w:gridSpan w:val="12"/>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10.65</w:t>
            </w:r>
          </w:p>
        </w:tc>
        <w:tc>
          <w:tcPr>
            <w:tcW w:w="48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Amendment #3 to Convertible Promissory Note, dated February 9,</w:t>
              </w:r>
            </w:hyperlink>
          </w:p>
        </w:tc>
        <w:tc>
          <w:tcPr>
            <w:tcW w:w="480" w:type="dxa"/>
            <w:vAlign w:val="bottom"/>
            <w:gridSpan w:val="5"/>
          </w:tcPr>
          <w:p>
            <w:pPr>
              <w:spacing w:after="0"/>
              <w:rPr>
                <w:sz w:val="17"/>
                <w:szCs w:val="17"/>
                <w:color w:val="auto"/>
              </w:rPr>
            </w:pPr>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2/14/2024</w:t>
            </w:r>
          </w:p>
        </w:tc>
      </w:tr>
      <w:tr>
        <w:trPr>
          <w:trHeight w:val="196"/>
        </w:trPr>
        <w:tc>
          <w:tcPr>
            <w:tcW w:w="920" w:type="dxa"/>
            <w:vAlign w:val="bottom"/>
          </w:tcPr>
          <w:p>
            <w:pPr>
              <w:spacing w:after="0"/>
              <w:rPr>
                <w:sz w:val="17"/>
                <w:szCs w:val="17"/>
                <w:color w:val="auto"/>
              </w:rPr>
            </w:pPr>
          </w:p>
        </w:tc>
        <w:tc>
          <w:tcPr>
            <w:tcW w:w="48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2024, by and between NRx Pharmaceuticals, Inc. and Streetervillle</w:t>
              </w:r>
            </w:hyperlink>
          </w:p>
        </w:tc>
        <w:tc>
          <w:tcPr>
            <w:tcW w:w="460" w:type="dxa"/>
            <w:vAlign w:val="bottom"/>
            <w:gridSpan w:val="4"/>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38">
              <w:r>
                <w:rPr>
                  <w:rFonts w:ascii="Times New Roman" w:cs="Times New Roman" w:eastAsia="Times New Roman" w:hAnsi="Times New Roman"/>
                  <w:sz w:val="18"/>
                  <w:szCs w:val="18"/>
                  <w:color w:val="0000EE"/>
                  <w:w w:val="98"/>
                </w:rPr>
                <w:t>Capital LLC.</w:t>
              </w:r>
            </w:hyperlink>
          </w:p>
        </w:tc>
        <w:tc>
          <w:tcPr>
            <w:tcW w:w="4340" w:type="dxa"/>
            <w:vAlign w:val="bottom"/>
            <w:gridSpan w:val="34"/>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10.66</w:t>
            </w:r>
          </w:p>
        </w:tc>
        <w:tc>
          <w:tcPr>
            <w:tcW w:w="47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Form of Securities Purchase Agreement, dated February 29, 2024</w:t>
              </w:r>
            </w:hyperlink>
          </w:p>
        </w:tc>
        <w:tc>
          <w:tcPr>
            <w:tcW w:w="560" w:type="dxa"/>
            <w:vAlign w:val="bottom"/>
            <w:gridSpan w:val="6"/>
          </w:tcPr>
          <w:p>
            <w:pPr>
              <w:spacing w:after="0"/>
              <w:rPr>
                <w:sz w:val="17"/>
                <w:szCs w:val="17"/>
                <w:color w:val="auto"/>
              </w:rPr>
            </w:pPr>
          </w:p>
        </w:tc>
        <w:tc>
          <w:tcPr>
            <w:tcW w:w="144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8"/>
              </w:rPr>
              <w:t>10.66</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3/29/2024</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10.67</w:t>
            </w: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Securities Purchase Agreement, dated August 12, 2024, between</w:t>
              </w:r>
            </w:hyperlink>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8/14/2024</w:t>
            </w:r>
          </w:p>
        </w:tc>
      </w:tr>
      <w:tr>
        <w:trPr>
          <w:trHeight w:val="20"/>
        </w:trPr>
        <w:tc>
          <w:tcPr>
            <w:tcW w:w="9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NRx Pharmaceuticals, Inc. and the other parties signatory thereto</w:t>
              </w:r>
            </w:hyperlink>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10.68</w:t>
            </w: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Form of Security Agreement to be entered into by and among NRx</w:t>
              </w:r>
            </w:hyperlink>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8/14/2024</w:t>
            </w:r>
          </w:p>
        </w:tc>
      </w:tr>
      <w:tr>
        <w:trPr>
          <w:trHeight w:val="196"/>
        </w:trPr>
        <w:tc>
          <w:tcPr>
            <w:tcW w:w="9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Pharmaceuticals, Inc. and the other parties signatory thereto</w:t>
              </w:r>
            </w:hyperlink>
          </w:p>
        </w:tc>
        <w:tc>
          <w:tcPr>
            <w:tcW w:w="500" w:type="dxa"/>
            <w:vAlign w:val="bottom"/>
            <w:tcBorders>
              <w:top w:val="single" w:sz="8" w:color="0000EE"/>
            </w:tcBorders>
            <w:gridSpan w:val="13"/>
          </w:tcPr>
          <w:p>
            <w:pPr>
              <w:spacing w:after="0"/>
              <w:rPr>
                <w:sz w:val="17"/>
                <w:szCs w:val="17"/>
                <w:color w:val="auto"/>
              </w:rPr>
            </w:pPr>
          </w:p>
        </w:tc>
        <w:tc>
          <w:tcPr>
            <w:tcW w:w="480" w:type="dxa"/>
            <w:vAlign w:val="bottom"/>
            <w:gridSpan w:val="5"/>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10.69</w:t>
            </w: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Form of Patent Security Agreement, to be entered into by and</w:t>
              </w:r>
            </w:hyperlink>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8/14/2024</w:t>
            </w:r>
          </w:p>
        </w:tc>
      </w:tr>
      <w:tr>
        <w:trPr>
          <w:trHeight w:val="20"/>
        </w:trPr>
        <w:tc>
          <w:tcPr>
            <w:tcW w:w="9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6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r:id="rId242">
              <w:r>
                <w:rPr>
                  <w:rFonts w:ascii="Times New Roman" w:cs="Times New Roman" w:eastAsia="Times New Roman" w:hAnsi="Times New Roman"/>
                  <w:sz w:val="18"/>
                  <w:szCs w:val="18"/>
                  <w:color w:val="0000EE"/>
                  <w:w w:val="98"/>
                </w:rPr>
                <w:t>among NRx Pharmaceuticals, Inc. and the other parties signatory</w:t>
              </w:r>
            </w:hyperlink>
          </w:p>
        </w:tc>
        <w:tc>
          <w:tcPr>
            <w:tcW w:w="660" w:type="dxa"/>
            <w:vAlign w:val="bottom"/>
            <w:gridSpan w:val="8"/>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thereto</w:t>
              </w:r>
            </w:hyperlink>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10.70</w:t>
            </w: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Form of Registration Rights Agreement to be entered into by and</w:t>
              </w:r>
            </w:hyperlink>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8/14/2024</w:t>
            </w:r>
          </w:p>
        </w:tc>
      </w:tr>
      <w:tr>
        <w:trPr>
          <w:trHeight w:val="20"/>
        </w:trPr>
        <w:tc>
          <w:tcPr>
            <w:tcW w:w="9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among NRx Pharmaceuticals, Inc. and the parties signatory thereto</w:t>
              </w:r>
            </w:hyperlink>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10.71</w:t>
            </w:r>
          </w:p>
        </w:tc>
        <w:tc>
          <w:tcPr>
            <w:tcW w:w="494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Form of Subsidiary Guarantee to be entered into by and among NRx</w:t>
              </w:r>
            </w:hyperlink>
          </w:p>
        </w:tc>
        <w:tc>
          <w:tcPr>
            <w:tcW w:w="360" w:type="dxa"/>
            <w:vAlign w:val="bottom"/>
          </w:tcPr>
          <w:p>
            <w:pPr>
              <w:spacing w:after="0"/>
              <w:rPr>
                <w:sz w:val="17"/>
                <w:szCs w:val="17"/>
                <w:color w:val="auto"/>
              </w:rPr>
            </w:pPr>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8/14/2024</w:t>
            </w:r>
          </w:p>
        </w:tc>
      </w:tr>
      <w:tr>
        <w:trPr>
          <w:trHeight w:val="196"/>
        </w:trPr>
        <w:tc>
          <w:tcPr>
            <w:tcW w:w="920" w:type="dxa"/>
            <w:vAlign w:val="bottom"/>
          </w:tcPr>
          <w:p>
            <w:pPr>
              <w:spacing w:after="0"/>
              <w:rPr>
                <w:sz w:val="17"/>
                <w:szCs w:val="17"/>
                <w:color w:val="auto"/>
              </w:rPr>
            </w:pPr>
          </w:p>
        </w:tc>
        <w:tc>
          <w:tcPr>
            <w:tcW w:w="42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Pharmaceuticals, Inc. and the purchasers signatory thereto</w:t>
              </w:r>
            </w:hyperlink>
          </w:p>
        </w:tc>
        <w:tc>
          <w:tcPr>
            <w:tcW w:w="1100" w:type="dxa"/>
            <w:vAlign w:val="bottom"/>
            <w:gridSpan w:val="21"/>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10.72</w:t>
            </w:r>
          </w:p>
        </w:tc>
        <w:tc>
          <w:tcPr>
            <w:tcW w:w="46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Settlement Agreement and Release of Claims, dated August 12,</w:t>
              </w:r>
            </w:hyperlink>
          </w:p>
        </w:tc>
        <w:tc>
          <w:tcPr>
            <w:tcW w:w="700" w:type="dxa"/>
            <w:vAlign w:val="bottom"/>
            <w:gridSpan w:val="10"/>
          </w:tcPr>
          <w:p>
            <w:pPr>
              <w:spacing w:after="0"/>
              <w:rPr>
                <w:sz w:val="17"/>
                <w:szCs w:val="17"/>
                <w:color w:val="auto"/>
              </w:rPr>
            </w:pPr>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8/14/2024</w:t>
            </w:r>
          </w:p>
        </w:tc>
      </w:tr>
      <w:tr>
        <w:trPr>
          <w:trHeight w:val="196"/>
        </w:trPr>
        <w:tc>
          <w:tcPr>
            <w:tcW w:w="920" w:type="dxa"/>
            <w:vAlign w:val="bottom"/>
          </w:tcPr>
          <w:p>
            <w:pPr>
              <w:spacing w:after="0"/>
              <w:rPr>
                <w:sz w:val="17"/>
                <w:szCs w:val="17"/>
                <w:color w:val="auto"/>
              </w:rPr>
            </w:pPr>
          </w:p>
        </w:tc>
        <w:tc>
          <w:tcPr>
            <w:tcW w:w="43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2024, between the Company and Streeterville Capital, LLC.</w:t>
              </w:r>
            </w:hyperlink>
          </w:p>
        </w:tc>
        <w:tc>
          <w:tcPr>
            <w:tcW w:w="940" w:type="dxa"/>
            <w:vAlign w:val="bottom"/>
            <w:gridSpan w:val="16"/>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10.73</w:t>
            </w: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Employment Agreement between Michael Abrams and NRx</w:t>
              </w:r>
            </w:hyperlink>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w w:val="99"/>
              </w:rPr>
              <w:t>11/20/2024</w:t>
            </w:r>
          </w:p>
        </w:tc>
      </w:tr>
      <w:tr>
        <w:trPr>
          <w:trHeight w:val="196"/>
        </w:trPr>
        <w:tc>
          <w:tcPr>
            <w:tcW w:w="920" w:type="dxa"/>
            <w:vAlign w:val="bottom"/>
          </w:tcPr>
          <w:p>
            <w:pPr>
              <w:spacing w:after="0"/>
              <w:rPr>
                <w:sz w:val="17"/>
                <w:szCs w:val="17"/>
                <w:color w:val="auto"/>
              </w:rPr>
            </w:pPr>
          </w:p>
        </w:tc>
        <w:tc>
          <w:tcPr>
            <w:tcW w:w="43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Pharmaceuticals, Inc., dated November 18, 2024</w:t>
              </w:r>
            </w:hyperlink>
          </w:p>
        </w:tc>
        <w:tc>
          <w:tcPr>
            <w:tcW w:w="940" w:type="dxa"/>
            <w:vAlign w:val="bottom"/>
            <w:gridSpan w:val="16"/>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10.74</w:t>
            </w:r>
          </w:p>
        </w:tc>
        <w:tc>
          <w:tcPr>
            <w:tcW w:w="490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Term Sheet, dated as of January 5, 2025, between the Company and</w:t>
              </w:r>
            </w:hyperlink>
          </w:p>
        </w:tc>
        <w:tc>
          <w:tcPr>
            <w:tcW w:w="400" w:type="dxa"/>
            <w:vAlign w:val="bottom"/>
            <w:gridSpan w:val="2"/>
          </w:tcPr>
          <w:p>
            <w:pPr>
              <w:spacing w:after="0"/>
              <w:rPr>
                <w:sz w:val="17"/>
                <w:szCs w:val="17"/>
                <w:color w:val="auto"/>
              </w:rPr>
            </w:pPr>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1/10/2025</w:t>
            </w:r>
          </w:p>
        </w:tc>
      </w:tr>
      <w:tr>
        <w:trPr>
          <w:trHeight w:val="196"/>
        </w:trPr>
        <w:tc>
          <w:tcPr>
            <w:tcW w:w="920" w:type="dxa"/>
            <w:vAlign w:val="bottom"/>
          </w:tcPr>
          <w:p>
            <w:pPr>
              <w:spacing w:after="0"/>
              <w:rPr>
                <w:sz w:val="17"/>
                <w:szCs w:val="17"/>
                <w:color w:val="auto"/>
              </w:rPr>
            </w:pPr>
          </w:p>
        </w:tc>
        <w:tc>
          <w:tcPr>
            <w:tcW w:w="14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JGS Holdings LLC</w:t>
              </w:r>
            </w:hyperlink>
          </w:p>
        </w:tc>
        <w:tc>
          <w:tcPr>
            <w:tcW w:w="3900" w:type="dxa"/>
            <w:vAlign w:val="bottom"/>
            <w:gridSpan w:val="32"/>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10.75+</w:t>
            </w: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Securities Purchase Agreement, dated January 27, 2025, by and</w:t>
              </w:r>
            </w:hyperlink>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1/29/2025</w:t>
            </w:r>
          </w:p>
        </w:tc>
      </w:tr>
      <w:tr>
        <w:trPr>
          <w:trHeight w:val="196"/>
        </w:trPr>
        <w:tc>
          <w:tcPr>
            <w:tcW w:w="92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among the Company and the purchaser signatories thereto.</w:t>
              </w:r>
            </w:hyperlink>
          </w:p>
        </w:tc>
        <w:tc>
          <w:tcPr>
            <w:tcW w:w="340" w:type="dxa"/>
            <w:vAlign w:val="bottom"/>
            <w:tcBorders>
              <w:top w:val="single" w:sz="8" w:color="0000EE"/>
            </w:tcBorders>
            <w:gridSpan w:val="9"/>
          </w:tcPr>
          <w:p>
            <w:pPr>
              <w:spacing w:after="0"/>
              <w:rPr>
                <w:sz w:val="17"/>
                <w:szCs w:val="17"/>
                <w:color w:val="auto"/>
              </w:rPr>
            </w:pPr>
          </w:p>
        </w:tc>
        <w:tc>
          <w:tcPr>
            <w:tcW w:w="720" w:type="dxa"/>
            <w:vAlign w:val="bottom"/>
            <w:gridSpan w:val="11"/>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10.76</w:t>
            </w:r>
          </w:p>
        </w:tc>
        <w:tc>
          <w:tcPr>
            <w:tcW w:w="46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r:id="rId249">
              <w:r>
                <w:rPr>
                  <w:rFonts w:ascii="Times New Roman" w:cs="Times New Roman" w:eastAsia="Times New Roman" w:hAnsi="Times New Roman"/>
                  <w:sz w:val="18"/>
                  <w:szCs w:val="18"/>
                  <w:color w:val="0000EE"/>
                  <w:w w:val="98"/>
                </w:rPr>
                <w:t>Consent and Waiver Agreement, dated January 27, 2025, by and</w:t>
              </w:r>
            </w:hyperlink>
          </w:p>
        </w:tc>
        <w:tc>
          <w:tcPr>
            <w:tcW w:w="660" w:type="dxa"/>
            <w:vAlign w:val="bottom"/>
            <w:gridSpan w:val="8"/>
          </w:tcPr>
          <w:p>
            <w:pPr>
              <w:spacing w:after="0"/>
              <w:rPr>
                <w:sz w:val="17"/>
                <w:szCs w:val="17"/>
                <w:color w:val="auto"/>
              </w:rPr>
            </w:pPr>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1/29/2025</w:t>
            </w:r>
          </w:p>
        </w:tc>
      </w:tr>
      <w:tr>
        <w:trPr>
          <w:trHeight w:val="196"/>
        </w:trPr>
        <w:tc>
          <w:tcPr>
            <w:tcW w:w="920" w:type="dxa"/>
            <w:vAlign w:val="bottom"/>
          </w:tcPr>
          <w:p>
            <w:pPr>
              <w:spacing w:after="0"/>
              <w:rPr>
                <w:sz w:val="17"/>
                <w:szCs w:val="17"/>
                <w:color w:val="auto"/>
              </w:rPr>
            </w:pP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among the Company and the signatories thereto.</w:t>
              </w:r>
            </w:hyperlink>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10.77</w:t>
            </w: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Form of Amended and Restated Securities Purchase Agreement,</w:t>
              </w:r>
            </w:hyperlink>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920" w:type="dxa"/>
            <w:vAlign w:val="bottom"/>
          </w:tcPr>
          <w:p>
            <w:pPr>
              <w:jc w:val="center"/>
              <w:ind w:right="430"/>
              <w:spacing w:after="0" w:line="196" w:lineRule="exact"/>
              <w:rPr>
                <w:sz w:val="20"/>
                <w:szCs w:val="20"/>
                <w:color w:val="auto"/>
              </w:rPr>
            </w:pPr>
            <w:r>
              <w:rPr>
                <w:rFonts w:ascii="Times New Roman" w:cs="Times New Roman" w:eastAsia="Times New Roman" w:hAnsi="Times New Roman"/>
                <w:sz w:val="18"/>
                <w:szCs w:val="18"/>
                <w:color w:val="auto"/>
                <w:w w:val="99"/>
              </w:rPr>
              <w:t>2/3/2025</w:t>
            </w:r>
          </w:p>
        </w:tc>
      </w:tr>
      <w:tr>
        <w:trPr>
          <w:trHeight w:val="20"/>
        </w:trPr>
        <w:tc>
          <w:tcPr>
            <w:tcW w:w="9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9"/>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8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dated as of January 28, 2025, by and among the Company and the</w:t>
              </w:r>
            </w:hyperlink>
          </w:p>
        </w:tc>
        <w:tc>
          <w:tcPr>
            <w:tcW w:w="480" w:type="dxa"/>
            <w:vAlign w:val="bottom"/>
            <w:gridSpan w:val="5"/>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250">
              <w:r>
                <w:rPr>
                  <w:rFonts w:ascii="Times New Roman" w:cs="Times New Roman" w:eastAsia="Times New Roman" w:hAnsi="Times New Roman"/>
                  <w:sz w:val="18"/>
                  <w:szCs w:val="18"/>
                  <w:color w:val="0000EE"/>
                  <w:w w:val="97"/>
                </w:rPr>
                <w:t>Investor.</w:t>
              </w:r>
            </w:hyperlink>
          </w:p>
        </w:tc>
        <w:tc>
          <w:tcPr>
            <w:tcW w:w="4660" w:type="dxa"/>
            <w:vAlign w:val="bottom"/>
            <w:gridSpan w:val="35"/>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10.78</w:t>
            </w:r>
          </w:p>
        </w:tc>
        <w:tc>
          <w:tcPr>
            <w:tcW w:w="43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Form of Second Amended and Restated Securities Purchase</w:t>
              </w:r>
            </w:hyperlink>
          </w:p>
        </w:tc>
        <w:tc>
          <w:tcPr>
            <w:tcW w:w="960" w:type="dxa"/>
            <w:vAlign w:val="bottom"/>
            <w:gridSpan w:val="17"/>
          </w:tcPr>
          <w:p>
            <w:pPr>
              <w:spacing w:after="0"/>
              <w:rPr>
                <w:sz w:val="17"/>
                <w:szCs w:val="17"/>
                <w:color w:val="auto"/>
              </w:rPr>
            </w:pPr>
          </w:p>
        </w:tc>
        <w:tc>
          <w:tcPr>
            <w:tcW w:w="14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920" w:type="dxa"/>
            <w:vAlign w:val="bottom"/>
          </w:tcPr>
          <w:p>
            <w:pPr>
              <w:jc w:val="center"/>
              <w:ind w:right="430"/>
              <w:spacing w:after="0" w:line="196" w:lineRule="exact"/>
              <w:rPr>
                <w:sz w:val="20"/>
                <w:szCs w:val="20"/>
                <w:color w:val="auto"/>
              </w:rPr>
            </w:pPr>
            <w:r>
              <w:rPr>
                <w:rFonts w:ascii="Times New Roman" w:cs="Times New Roman" w:eastAsia="Times New Roman" w:hAnsi="Times New Roman"/>
                <w:sz w:val="18"/>
                <w:szCs w:val="18"/>
                <w:color w:val="auto"/>
                <w:w w:val="99"/>
              </w:rPr>
              <w:t>2/3/2025</w:t>
            </w:r>
          </w:p>
        </w:tc>
      </w:tr>
      <w:tr>
        <w:trPr>
          <w:trHeight w:val="196"/>
        </w:trPr>
        <w:tc>
          <w:tcPr>
            <w:tcW w:w="920" w:type="dxa"/>
            <w:vAlign w:val="bottom"/>
          </w:tcPr>
          <w:p>
            <w:pPr>
              <w:spacing w:after="0"/>
              <w:rPr>
                <w:sz w:val="17"/>
                <w:szCs w:val="17"/>
                <w:color w:val="auto"/>
              </w:rPr>
            </w:pP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Agreement, dated as of February 3, 2025, by and among the</w:t>
              </w:r>
            </w:hyperlink>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3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Company and the Investor.</w:t>
              </w:r>
            </w:hyperlink>
          </w:p>
        </w:tc>
        <w:tc>
          <w:tcPr>
            <w:tcW w:w="980" w:type="dxa"/>
            <w:vAlign w:val="bottom"/>
            <w:gridSpan w:val="18"/>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NRx Pharmaceuticals, Inc. Code of Conduct</w:t>
              </w:r>
            </w:hyperlink>
          </w:p>
        </w:tc>
        <w:tc>
          <w:tcPr>
            <w:tcW w:w="144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10-K/A</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4/29/2024</w:t>
            </w:r>
          </w:p>
        </w:tc>
      </w:tr>
      <w:tr>
        <w:trPr>
          <w:trHeight w:val="20"/>
        </w:trPr>
        <w:tc>
          <w:tcPr>
            <w:tcW w:w="920" w:type="dxa"/>
            <w:vAlign w:val="bottom"/>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5300" w:type="dxa"/>
            <w:vAlign w:val="bottom"/>
            <w:gridSpan w:val="38"/>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Letter from KPMG LLP to the Securities and Exchange</w:t>
              </w:r>
            </w:hyperlink>
          </w:p>
        </w:tc>
        <w:tc>
          <w:tcPr>
            <w:tcW w:w="144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8-K/A</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w w:val="99"/>
              </w:rPr>
              <w:t>11/22/2023</w:t>
            </w:r>
          </w:p>
        </w:tc>
      </w:tr>
      <w:tr>
        <w:trPr>
          <w:trHeight w:val="196"/>
        </w:trPr>
        <w:tc>
          <w:tcPr>
            <w:tcW w:w="920" w:type="dxa"/>
            <w:vAlign w:val="bottom"/>
          </w:tcPr>
          <w:p>
            <w:pPr>
              <w:spacing w:after="0"/>
              <w:rPr>
                <w:sz w:val="17"/>
                <w:szCs w:val="17"/>
                <w:color w:val="auto"/>
              </w:rPr>
            </w:pPr>
          </w:p>
        </w:tc>
        <w:tc>
          <w:tcPr>
            <w:tcW w:w="40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Commission dated November 21, 2023</w:t>
              </w:r>
            </w:hyperlink>
          </w:p>
        </w:tc>
        <w:tc>
          <w:tcPr>
            <w:tcW w:w="1280" w:type="dxa"/>
            <w:vAlign w:val="bottom"/>
            <w:gridSpan w:val="22"/>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5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NRx Pharmaceuticals, Inc. Securities Trading Policy</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20" w:type="dxa"/>
            <w:vAlign w:val="bottom"/>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8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Accounting Firm</w:t>
            </w:r>
          </w:p>
        </w:tc>
        <w:tc>
          <w:tcPr>
            <w:tcW w:w="1480" w:type="dxa"/>
            <w:vAlign w:val="bottom"/>
            <w:gridSpan w:val="23"/>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5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Signatures page of this Annual</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on Form 10-K).</w:t>
            </w:r>
          </w:p>
        </w:tc>
        <w:tc>
          <w:tcPr>
            <w:tcW w:w="3140" w:type="dxa"/>
            <w:vAlign w:val="bottom"/>
            <w:tcBorders>
              <w:top w:val="single" w:sz="8" w:color="0000EE"/>
            </w:tcBorders>
            <w:gridSpan w:val="26"/>
          </w:tcPr>
          <w:p>
            <w:pPr>
              <w:spacing w:after="0"/>
              <w:rPr>
                <w:sz w:val="17"/>
                <w:szCs w:val="17"/>
                <w:color w:val="auto"/>
              </w:rPr>
            </w:pPr>
          </w:p>
        </w:tc>
        <w:tc>
          <w:tcPr>
            <w:tcW w:w="480" w:type="dxa"/>
            <w:vAlign w:val="bottom"/>
            <w:gridSpan w:val="5"/>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88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w:t>
            </w:r>
          </w:p>
        </w:tc>
        <w:tc>
          <w:tcPr>
            <w:tcW w:w="420" w:type="dxa"/>
            <w:vAlign w:val="bottom"/>
            <w:gridSpan w:val="3"/>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5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560" w:type="dxa"/>
            <w:vAlign w:val="bottom"/>
            <w:gridSpan w:val="10"/>
            <w:shd w:val="clear" w:color="auto" w:fill="0000EE"/>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Section 302</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482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480" w:type="dxa"/>
            <w:vAlign w:val="bottom"/>
            <w:gridSpan w:val="5"/>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560" w:type="dxa"/>
            <w:vAlign w:val="bottom"/>
            <w:gridSpan w:val="10"/>
            <w:shd w:val="clear" w:color="auto" w:fill="0000EE"/>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1040" w:type="dxa"/>
            <w:vAlign w:val="bottom"/>
            <w:gridSpan w:val="1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88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906</w:t>
            </w:r>
          </w:p>
        </w:tc>
        <w:tc>
          <w:tcPr>
            <w:tcW w:w="420" w:type="dxa"/>
            <w:vAlign w:val="bottom"/>
            <w:gridSpan w:val="3"/>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5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560" w:type="dxa"/>
            <w:vAlign w:val="bottom"/>
            <w:gridSpan w:val="10"/>
            <w:shd w:val="clear" w:color="auto" w:fill="0000EE"/>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1040" w:type="dxa"/>
            <w:vAlign w:val="bottom"/>
            <w:gridSpan w:val="1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5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Section 906</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482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480" w:type="dxa"/>
            <w:vAlign w:val="bottom"/>
            <w:gridSpan w:val="5"/>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560" w:type="dxa"/>
            <w:vAlign w:val="bottom"/>
            <w:gridSpan w:val="10"/>
            <w:shd w:val="clear" w:color="auto" w:fill="0000EE"/>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1040" w:type="dxa"/>
            <w:vAlign w:val="bottom"/>
            <w:gridSpan w:val="1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2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NRx Pharmaceuticals, Inc. Compensation Recovery Policy</w:t>
              </w:r>
            </w:hyperlink>
          </w:p>
        </w:tc>
        <w:tc>
          <w:tcPr>
            <w:tcW w:w="1040" w:type="dxa"/>
            <w:vAlign w:val="bottom"/>
            <w:gridSpan w:val="19"/>
          </w:tcPr>
          <w:p>
            <w:pPr>
              <w:spacing w:after="0"/>
              <w:rPr>
                <w:sz w:val="17"/>
                <w:szCs w:val="17"/>
                <w:color w:val="auto"/>
              </w:rPr>
            </w:pPr>
          </w:p>
        </w:tc>
        <w:tc>
          <w:tcPr>
            <w:tcW w:w="144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9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rPr>
              <w:t>3/29/2024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-4671060</wp:posOffset>
            </wp:positionV>
            <wp:extent cx="285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-4396740</wp:posOffset>
            </wp:positionV>
            <wp:extent cx="285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both"/>
        <w:ind w:left="920" w:right="5360" w:hanging="912"/>
        <w:spacing w:after="0" w:line="255" w:lineRule="auto"/>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Document Set for the consolidated financial statements and accompanying notes in Part II, Item 8, “Financial Statements and Supplementary Data” of this Annual Report on Form 10-K.</w:t>
      </w:r>
    </w:p>
    <w:p>
      <w:pPr>
        <w:spacing w:after="0" w:line="3" w:lineRule="exact"/>
        <w:rPr>
          <w:sz w:val="20"/>
          <w:szCs w:val="20"/>
          <w:color w:val="auto"/>
        </w:rPr>
      </w:pPr>
    </w:p>
    <w:p>
      <w:pPr>
        <w:ind w:left="920" w:right="6080" w:hanging="912"/>
        <w:spacing w:after="0" w:line="260" w:lineRule="auto"/>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ind w:firstLine="8"/>
        <w:spacing w:after="0" w:line="261" w:lineRule="auto"/>
        <w:tabs>
          <w:tab w:leader="none" w:pos="16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Regulations S-K. The Company will furnish supplementally an unredacted copy of such exhibit to the Securities and Exchange Commission or its staff upon request.</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is being furnished solely to accompany this annual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596"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14, 2025.</w:t>
      </w:r>
    </w:p>
    <w:p>
      <w:pPr>
        <w:spacing w:after="0" w:line="16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NRX PHARMACEUTICALS, INC.</w:t>
      </w:r>
    </w:p>
    <w:p>
      <w:pPr>
        <w:spacing w:after="0" w:line="200" w:lineRule="exact"/>
        <w:rPr>
          <w:sz w:val="20"/>
          <w:szCs w:val="20"/>
          <w:color w:val="auto"/>
        </w:rPr>
      </w:pPr>
    </w:p>
    <w:p>
      <w:pPr>
        <w:spacing w:after="0" w:line="241" w:lineRule="exact"/>
        <w:rPr>
          <w:sz w:val="20"/>
          <w:szCs w:val="20"/>
          <w:color w:val="auto"/>
        </w:rPr>
      </w:pPr>
    </w:p>
    <w:tbl>
      <w:tblPr>
        <w:tblLayout w:type="fixed"/>
        <w:tblInd w:w="594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Javitt</w:t>
            </w:r>
          </w:p>
        </w:tc>
      </w:tr>
      <w:tr>
        <w:trPr>
          <w:trHeight w:val="189"/>
        </w:trPr>
        <w:tc>
          <w:tcPr>
            <w:tcW w:w="640" w:type="dxa"/>
            <w:vAlign w:val="bottom"/>
          </w:tcPr>
          <w:p>
            <w:pPr>
              <w:spacing w:after="0"/>
              <w:rPr>
                <w:sz w:val="16"/>
                <w:szCs w:val="16"/>
                <w:color w:val="auto"/>
              </w:rPr>
            </w:pPr>
          </w:p>
        </w:tc>
        <w:tc>
          <w:tcPr>
            <w:tcW w:w="4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Jonathan Javitt</w:t>
            </w:r>
          </w:p>
        </w:tc>
      </w:tr>
      <w:tr>
        <w:trPr>
          <w:trHeight w:val="216"/>
        </w:trPr>
        <w:tc>
          <w:tcPr>
            <w:tcW w:w="6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and Interim Chief Executive Officer (Principal</w:t>
            </w:r>
          </w:p>
        </w:tc>
      </w:tr>
      <w:tr>
        <w:trPr>
          <w:trHeight w:val="236"/>
        </w:trPr>
        <w:tc>
          <w:tcPr>
            <w:tcW w:w="6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30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80" w:type="dxa"/>
            <w:vAlign w:val="bottom"/>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300" w:type="dxa"/>
            <w:vAlign w:val="bottom"/>
          </w:tcPr>
          <w:p>
            <w:pPr>
              <w:spacing w:after="0"/>
              <w:rPr>
                <w:sz w:val="20"/>
                <w:szCs w:val="20"/>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80" w:type="dxa"/>
            <w:vAlign w:val="bottom"/>
          </w:tcPr>
          <w:p>
            <w:pPr>
              <w:spacing w:after="0"/>
              <w:rPr>
                <w:sz w:val="24"/>
                <w:szCs w:val="24"/>
                <w:color w:val="auto"/>
              </w:rPr>
            </w:pPr>
          </w:p>
        </w:tc>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Jonathan Javitt</w:t>
            </w:r>
          </w:p>
        </w:tc>
        <w:tc>
          <w:tcPr>
            <w:tcW w:w="38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Interim Chief Executive Officer</w:t>
            </w:r>
          </w:p>
        </w:tc>
        <w:tc>
          <w:tcPr>
            <w:tcW w:w="30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80" w:type="dxa"/>
            <w:vAlign w:val="bottom"/>
          </w:tcPr>
          <w:p>
            <w:pPr>
              <w:spacing w:after="0"/>
              <w:rPr>
                <w:sz w:val="19"/>
                <w:szCs w:val="19"/>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Jonathan Javitt</w:t>
            </w:r>
          </w:p>
        </w:tc>
        <w:tc>
          <w:tcPr>
            <w:tcW w:w="38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14"/>
        </w:trPr>
        <w:tc>
          <w:tcPr>
            <w:tcW w:w="80" w:type="dxa"/>
            <w:vAlign w:val="bottom"/>
          </w:tcPr>
          <w:p>
            <w:pPr>
              <w:spacing w:after="0"/>
              <w:rPr>
                <w:sz w:val="24"/>
                <w:szCs w:val="24"/>
                <w:color w:val="auto"/>
              </w:rPr>
            </w:pPr>
          </w:p>
        </w:tc>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Michael Abrams</w:t>
            </w:r>
          </w:p>
        </w:tc>
        <w:tc>
          <w:tcPr>
            <w:tcW w:w="38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0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191"/>
        </w:trPr>
        <w:tc>
          <w:tcPr>
            <w:tcW w:w="80" w:type="dxa"/>
            <w:vAlign w:val="bottom"/>
          </w:tcPr>
          <w:p>
            <w:pPr>
              <w:spacing w:after="0"/>
              <w:rPr>
                <w:sz w:val="16"/>
                <w:szCs w:val="16"/>
                <w:color w:val="auto"/>
              </w:rPr>
            </w:pPr>
          </w:p>
        </w:tc>
        <w:tc>
          <w:tcPr>
            <w:tcW w:w="30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Michael Abrams</w:t>
            </w:r>
          </w:p>
        </w:tc>
        <w:tc>
          <w:tcPr>
            <w:tcW w:w="380" w:type="dxa"/>
            <w:vAlign w:val="bottom"/>
          </w:tcPr>
          <w:p>
            <w:pPr>
              <w:spacing w:after="0"/>
              <w:rPr>
                <w:sz w:val="16"/>
                <w:szCs w:val="16"/>
                <w:color w:val="auto"/>
              </w:rPr>
            </w:pPr>
          </w:p>
        </w:tc>
        <w:tc>
          <w:tcPr>
            <w:tcW w:w="4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30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234"/>
        </w:trPr>
        <w:tc>
          <w:tcPr>
            <w:tcW w:w="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3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Patrick J. Flynn</w:t>
            </w:r>
          </w:p>
        </w:tc>
        <w:tc>
          <w:tcPr>
            <w:tcW w:w="38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80" w:type="dxa"/>
            <w:vAlign w:val="bottom"/>
          </w:tcPr>
          <w:p>
            <w:pPr>
              <w:spacing w:after="0"/>
              <w:rPr>
                <w:sz w:val="19"/>
                <w:szCs w:val="19"/>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Patrick J. Flynn</w:t>
            </w:r>
          </w:p>
        </w:tc>
        <w:tc>
          <w:tcPr>
            <w:tcW w:w="3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14"/>
        </w:trPr>
        <w:tc>
          <w:tcPr>
            <w:tcW w:w="80" w:type="dxa"/>
            <w:vAlign w:val="bottom"/>
          </w:tcPr>
          <w:p>
            <w:pPr>
              <w:spacing w:after="0"/>
              <w:rPr>
                <w:sz w:val="24"/>
                <w:szCs w:val="24"/>
                <w:color w:val="auto"/>
              </w:rPr>
            </w:pPr>
          </w:p>
        </w:tc>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Chaim Hurvitz</w:t>
            </w:r>
          </w:p>
        </w:tc>
        <w:tc>
          <w:tcPr>
            <w:tcW w:w="38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80" w:type="dxa"/>
            <w:vAlign w:val="bottom"/>
          </w:tcPr>
          <w:p>
            <w:pPr>
              <w:spacing w:after="0"/>
              <w:rPr>
                <w:sz w:val="19"/>
                <w:szCs w:val="19"/>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Chaim Hurvitz</w:t>
            </w:r>
          </w:p>
        </w:tc>
        <w:tc>
          <w:tcPr>
            <w:tcW w:w="3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395"/>
        </w:trPr>
        <w:tc>
          <w:tcPr>
            <w:tcW w:w="8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Dennis McBride</w:t>
            </w:r>
          </w:p>
        </w:tc>
        <w:tc>
          <w:tcPr>
            <w:tcW w:w="38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34"/>
        </w:trPr>
        <w:tc>
          <w:tcPr>
            <w:tcW w:w="80" w:type="dxa"/>
            <w:vAlign w:val="bottom"/>
          </w:tcPr>
          <w:p>
            <w:pPr>
              <w:spacing w:after="0"/>
              <w:rPr>
                <w:sz w:val="20"/>
                <w:szCs w:val="20"/>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Dennis McBride</w:t>
            </w:r>
          </w:p>
        </w:tc>
        <w:tc>
          <w:tcPr>
            <w:tcW w:w="3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Michael Taylor</w:t>
            </w:r>
          </w:p>
        </w:tc>
        <w:tc>
          <w:tcPr>
            <w:tcW w:w="38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80" w:type="dxa"/>
            <w:vAlign w:val="bottom"/>
          </w:tcPr>
          <w:p>
            <w:pPr>
              <w:spacing w:after="0"/>
              <w:rPr>
                <w:sz w:val="19"/>
                <w:szCs w:val="19"/>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Michael Taylor</w:t>
            </w:r>
          </w:p>
        </w:tc>
        <w:tc>
          <w:tcPr>
            <w:tcW w:w="3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1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 96</w:t>
            </w:r>
          </w:p>
        </w:tc>
        <w:tc>
          <w:tcPr>
            <w:tcW w:w="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Purpose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describe the standards concerning the handling of non-public information relating to NRx Pharmaceuticals, Inc. and its subsidiaries, including NeuroRx, Inc. (collectively, the “Company”) and the buying and selling of securities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Persons Affected and Prohibited Transactions</w:t>
      </w:r>
    </w:p>
    <w:p>
      <w:pPr>
        <w:spacing w:after="0" w:line="22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The general prohibitions of this Policy apply to all directors, officers and employees of the Company, while the restrictions regarding blackout periods and pre- clearance apply only to directors, executive officers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certain designated officers and employees. If you are unsure whether you are subject to any particular restrictions, please contact the Company’s General Counsel or his or her designee.</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same restrictions described in this Policy also apply to your spouse, minor children and anyone else living in your household, partnerships in which you are a general partner, trusts of which you are a trustee, estates of which you are an executor and investment funds or other similar vehicles with which you are affiliated (collectively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You will be responsible for compliance with this Policy by your Related Parties</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Policy, references to “</w:t>
      </w:r>
      <w:r>
        <w:rPr>
          <w:rFonts w:ascii="Times New Roman" w:cs="Times New Roman" w:eastAsia="Times New Roman" w:hAnsi="Times New Roman"/>
          <w:sz w:val="18"/>
          <w:szCs w:val="18"/>
          <w:u w:val="single" w:color="auto"/>
          <w:color w:val="auto"/>
        </w:rPr>
        <w:t>trading</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transactions in securities of the Company</w:t>
      </w:r>
      <w:r>
        <w:rPr>
          <w:rFonts w:ascii="Times New Roman" w:cs="Times New Roman" w:eastAsia="Times New Roman" w:hAnsi="Times New Roman"/>
          <w:sz w:val="18"/>
          <w:szCs w:val="18"/>
          <w:color w:val="auto"/>
        </w:rPr>
        <w:t>” include purchases or sales of Company stock, options, puts and calls or other derivative securities based on securities of the Company, gifts of Company securities, loans of Company securities, hedging transactions involving or referencing Company securities, contributions of Company securities to a trust, sales of Company stock acquired upon the exercise of stock options, broker-assisted cashless exercises of stock options, market sales to raise cash to fund the exercise of stock options and trades in Company stock made under an employee benefit plan, such as a 401(k)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Policy Statement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you possess material nonpublic information (as further discussed below) relating to the Company, neither you nor any Related Party:</w:t>
      </w:r>
    </w:p>
    <w:p>
      <w:pPr>
        <w:spacing w:after="0" w:line="225" w:lineRule="exact"/>
        <w:rPr>
          <w:sz w:val="20"/>
          <w:szCs w:val="20"/>
          <w:color w:val="auto"/>
        </w:rPr>
      </w:pPr>
    </w:p>
    <w:p>
      <w:pPr>
        <w:jc w:val="both"/>
        <w:ind w:left="660" w:right="20" w:hanging="328"/>
        <w:spacing w:after="0" w:line="268"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may effect transactions in securities of the Company (other than pursuant to a pre-arranged trading plan that complies with Rule 10b5-1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10b5-1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under the Securities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as described below) or engage in any other action that take advantage of that information;</w:t>
      </w:r>
    </w:p>
    <w:p>
      <w:pPr>
        <w:spacing w:after="0" w:line="17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may pass that information on to any person outside the Company, except as permitted under applicable Company policies and procedures;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suggest or otherwise recommend that any person effect a transaction in securities of the Company or engage in any other action that takes advantage of that information; or</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assist anyone engaged in any of the foregoing activities.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229" w:lineRule="exact"/>
        <w:rPr>
          <w:sz w:val="20"/>
          <w:szCs w:val="20"/>
          <w:color w:val="auto"/>
        </w:rPr>
      </w:pPr>
    </w:p>
    <w:p>
      <w:pPr>
        <w:ind w:firstLine="8"/>
        <w:spacing w:after="0" w:line="195" w:lineRule="auto"/>
        <w:tabs>
          <w:tab w:leader="none" w:pos="139"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Executive officers for purposes of this Policy are all executive officers of the Company identified in its public filings and any other officer of the Company or any subsidiary that is subject to Section 16(b)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will continue to apply after termination of employment to the extent that you are in possession of material nonpublic information at the time of termination. In such case, no transaction in securities of the Company may take place until the information becomes public or ceases to be material.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also applies to information, obtained in the course of employment with, or by serving as a director of, the Company, relating to any other company, including any entity with which we may be negotiating a major transaction or business combination.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you nor any Related Party may effect transactions in the securities of any such other company while in possession of material nonpublic information concerning such company that was obtained in the course of employment with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Material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information</w:t>
      </w:r>
      <w:r>
        <w:rPr>
          <w:rFonts w:ascii="Times New Roman" w:cs="Times New Roman" w:eastAsia="Times New Roman" w:hAnsi="Times New Roman"/>
          <w:sz w:val="18"/>
          <w:szCs w:val="18"/>
          <w:color w:val="auto"/>
        </w:rPr>
        <w:t>” is any information that a reasonable investor would consider important in a decision to effect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in securities of the Company. In short, any information that could reasonably affect the price of such securities. Either positive or negative information may be material. Common examples of information that will frequently be regarded as material are:</w:t>
      </w:r>
    </w:p>
    <w:p>
      <w:pPr>
        <w:spacing w:after="0" w:line="175"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joint venture, acquisition or tender offer;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of additional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other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or regulatory exposure due to a pending or threatened lawsuit or investigation;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other financial liquidity problems;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affecting our business.</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20-20 Hindsight</w:t>
      </w:r>
      <w:r>
        <w:rPr>
          <w:rFonts w:ascii="Times New Roman" w:cs="Times New Roman" w:eastAsia="Times New Roman" w:hAnsi="Times New Roman"/>
          <w:sz w:val="18"/>
          <w:szCs w:val="18"/>
          <w:color w:val="auto"/>
        </w:rPr>
        <w:t>. Remember, if your transaction in securities of the Company becomes the subject of scrutiny, it will be viewed after-the-fact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benefit of hindsight. As a result, before engaging in any transaction you should carefully consider how regulators and others might view your transaction in hindsight.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Tipping Information to Others</w:t>
      </w:r>
      <w:r>
        <w:rPr>
          <w:rFonts w:ascii="Times New Roman" w:cs="Times New Roman" w:eastAsia="Times New Roman" w:hAnsi="Times New Roman"/>
          <w:sz w:val="18"/>
          <w:szCs w:val="18"/>
          <w:color w:val="auto"/>
        </w:rPr>
        <w:t>. Whether the information is proprietary information about the Company or other information that could have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on the price of the Company’s securities, you must not pass the information on to others.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Penalties will apply whether or not you derive, or even intend to derive, any profit or other benefit from another’s actions.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When Information is Public</w:t>
      </w:r>
      <w:r>
        <w:rPr>
          <w:rFonts w:ascii="Times New Roman" w:cs="Times New Roman" w:eastAsia="Times New Roman" w:hAnsi="Times New Roman"/>
          <w:sz w:val="18"/>
          <w:szCs w:val="18"/>
          <w:color w:val="auto"/>
        </w:rPr>
        <w:t>. You may not trade on the basis of material information that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broadly disclosed to the marketplace,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through a press release or a filing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the marketplace has had time to absorb the information.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Confidentiality Obligations</w:t>
      </w:r>
      <w:r>
        <w:rPr>
          <w:rFonts w:ascii="Times New Roman" w:cs="Times New Roman" w:eastAsia="Times New Roman" w:hAnsi="Times New Roman"/>
          <w:sz w:val="18"/>
          <w:szCs w:val="18"/>
          <w:color w:val="auto"/>
        </w:rPr>
        <w:t>. The restrictions set forth in this Policy are designed to avoid misuse of material nonpublic information in violation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laws. These restrictions are in addition to, and in no way alter, the general obligations that each director, officer and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take precautions to prevent the unauthorized disclosure or other misuse of such information by maintaining files securely, avoiding discussions of such information in public and taking extra care when distributing such information electronically.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Prohibited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we believe it is improper and inappropriate for any person to engage in short-term or speculative transactions involving the Company’s securities, directors, officers and employees of the Company, and their Related Parties, are prohibited from engaging in any of the following activities with respect to securities of the Company:</w:t>
      </w:r>
    </w:p>
    <w:p>
      <w:pPr>
        <w:spacing w:after="0" w:line="172"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securities of the Company on margin</w:t>
      </w:r>
      <w:r>
        <w:rPr>
          <w:rFonts w:ascii="Times New Roman" w:cs="Times New Roman" w:eastAsia="Times New Roman" w:hAnsi="Times New Roman"/>
          <w:sz w:val="18"/>
          <w:szCs w:val="18"/>
          <w:color w:val="auto"/>
        </w:rPr>
        <w:t>. You may not purchase securities of the Company on margin or pledge, or otherwise grant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interest in, securities of the Company in margin accounts</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Short sales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selling stock you do not own and borrowing the shares to make delivery). The SEC effectively prohibits directors and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selling Company securities short. This Policy is simply expanding this prohibition to cover all employees.</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Buying or selling puts, calls, options or other derivatives in respect of securities of the Company</w:t>
      </w:r>
      <w:r>
        <w:rPr>
          <w:rFonts w:ascii="Times New Roman" w:cs="Times New Roman" w:eastAsia="Times New Roman" w:hAnsi="Times New Roman"/>
          <w:sz w:val="18"/>
          <w:szCs w:val="18"/>
          <w:color w:val="auto"/>
        </w:rPr>
        <w:t>. This prohibition extends to any instrument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whose value is derived from the value of any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common stock) of the Company.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prohibition does not apply to the Company’s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Directors, executive officers and other employees, and their designees, are prohibited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equity securities whether they are (1) granted to you by the Company as part of your compensation; or (2) otherwise held, directly or indirectly, by you.</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Company is not prohibiting standing or limit orders, you should use extreme caution if you engage in standing or limit orders (other than as established in connection with a Rule 10b5-1 plan as described below) since you might become aware of material non-public information after establishing an order. This could lead to inadvertent trading while in possession of material non-public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Blackout Periods – For Directors, Executive Officers and Certain Other Personnel with Access to Material Nonpublic Information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time that the Company is seeking a target for its initial business combination, the Company will not institute blackout periods in connection with the Company’s announcement of quarterly financial results.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Nevertheless, the Company may from time to time establish blackout periods, during which the following persons and their Related Parties are </w:t>
      </w:r>
      <w:r>
        <w:rPr>
          <w:rFonts w:ascii="Times New Roman" w:cs="Times New Roman" w:eastAsia="Times New Roman" w:hAnsi="Times New Roman"/>
          <w:sz w:val="18"/>
          <w:szCs w:val="18"/>
          <w:b w:val="1"/>
          <w:bCs w:val="1"/>
          <w:u w:val="single" w:color="auto"/>
          <w:color w:val="auto"/>
        </w:rPr>
        <w:t>prohibited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effecting transactions in securities of the Company (except as otherwise expressly provided below):</w:t>
      </w:r>
    </w:p>
    <w:p>
      <w:pPr>
        <w:spacing w:after="0" w:line="162"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their secretaries and other assistants;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and their secretaries and other assistants;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 the accounting, finance and legal departments;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designated by the General Counsel or his or her designee.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be aware that the blackout periods described above may be imposed, modified or terminated by the Company at any time. Those subject to blackout period requirements will receive notice of any prohibition on trading prior to the start of such blackout period. Persons subject to the blackout period restrictions who terminate their employment with the Company during a blackout period will remain subject to the restrictions until the end of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prohibition described in this Policy shall not apply to gifts of Company securities and contributions of Company securities to a trust so long as the requirements of this Policy below are complied with. We do, however, recommend that gifts and contributions be made, whenever possible, outside of a blackout period. The prohibition shall also not apply with respect to a public offering of Company securities specifically authorized by the Company’s board of directors or duly authorized board committee. In addition, the General Counsel or his or her designee may, on a case-by- case basis, authorize effecting a transaction in Company securities during a blackout period if the person who wishes to effect such a transaction (i) has, at least two business days prior to the anticipated transaction date, notified the Company in writing of the circumstances and the amount and nature of the proposed transaction and (ii) has certified to the Company that he or she is not in possession of material nonpublic information concerning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Pre-Clearance of Securities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provide assistance in preventing inadvertent violations of the law (which could result for example, from failure by directors and officers subject to reporting obligations under Section 16 of the Exchange Act) and avoiding even the appearance of an improper transaction (which could result, for example, where an officer engages in a trade while unaware of a pending major development), we are implementing the following procedure: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All transactions in securities of the Company by the following persons and their Related Parties must be pre-cleared with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Counsel or his or her designee:</w:t>
      </w:r>
    </w:p>
    <w:p>
      <w:pPr>
        <w:spacing w:after="0" w:line="203"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 and their secretaries and other assistants;</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officers, any other officer who has an obligation to file reports under Section 16 of the Exchange Act, and their secretaries and other assistants;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 in the accounting, finance and legal departments;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any other person designated by the General Counsel or his or her designee.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Persons subject to these restrictions should contact the General Counsel or his or her designee </w:t>
      </w:r>
      <w:r>
        <w:rPr>
          <w:rFonts w:ascii="Times New Roman" w:cs="Times New Roman" w:eastAsia="Times New Roman" w:hAnsi="Times New Roman"/>
          <w:sz w:val="18"/>
          <w:szCs w:val="18"/>
          <w:b w:val="1"/>
          <w:bCs w:val="1"/>
          <w:u w:val="single" w:color="auto"/>
          <w:color w:val="auto"/>
        </w:rPr>
        <w:t>at least two business days (or such shorter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period as the General Counsel or his or her designee may determine) in advance</w:t>
      </w:r>
      <w:r>
        <w:rPr>
          <w:rFonts w:ascii="Times New Roman" w:cs="Times New Roman" w:eastAsia="Times New Roman" w:hAnsi="Times New Roman"/>
          <w:sz w:val="18"/>
          <w:szCs w:val="18"/>
          <w:b w:val="1"/>
          <w:bCs w:val="1"/>
          <w:color w:val="auto"/>
        </w:rPr>
        <w:t xml:space="preserve"> and may not effect any transaction subject to the pre-clearance request unless given clearance to do so, which clearance, if granted, will be valid only for three business days following the approval date. If a transaction for which clearance has been granted is not effected (i.e., the trade is not placed) within such three business day period, the transaction must again be pre-cleared.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a material event or development affecting the Company remains nonpublic, persons subject to pre-clearance will not be given permission to effect transactions in securities of the Company. Such persons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that the pre-clearance procedures may delay the disposition of any security after it is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auto"/>
        </w:rPr>
        <w:t>10b5-1 Plans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 has adopted a safe harbor rule, Rule 10b5-1, which provides a defense against insider trading liability for trades that are effected pursuant to a pre- arranged trading plan that meets specified conditions. The trading plan must be properly documented and all of the procedural conditions of the Rule must be satisfied to avoid liability.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Rule 10b5-1 plans allow transactions for the account of an insider to occur during blackout periods or while the insider has material nonpublic information provided the insider has previously given instructions or other control to effect pre-planned transactions in securities of the Company to a third party. The insider must establish the plan at a time when he or she is not in possession of material nonpublic information and the insider may not exercise any subsequent influence over how, when or whether to effect transactions. In addition to other specified conditions, a Rule 10b5-1 plan would specify in writing in advance the amount and price of the securities to be sold and the date for the sale (or a formula for determining the amount, price and date) or would otherwise not permit the insider to exercise any subsequent influence over how, when or whether to effect the sales. After adopting a valid Rule 10b5-1 plan, the insider will have an affirmative defense that a sale under the plan was not made “on the basis of” material nonpublic information.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treat the creation, modification or termination of a pre- planned trading program or arrangement established to meet the requirements of Rule 10b5-1 as a transaction subject to the blackout period rules set forth in this Policy.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Transactions effected pursuant to a properly established Rule 10b5-1 plan however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subject to the blackout periods under this Policy.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treat the creation, modification or termination of a pre- planned trading program or arrangement established to meet the requirements of Rule 10b5-1 as a transaction subject to pre-clearance under this Policy at the time the plan is established, modified or terminated. Persons subject to the pre-clearance policy should coordinate any such plans or arrangements with the Company’s General Counsel or his or her designee. Even though each transaction effected under a Rule 10b5-1 plan does not need to be pre-cleared, it nonetheless must be made in accordance with Rule 144 and must be reported on a Form 4 under Section 16 of the Exchange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Assistance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person who has any questions about this Policy or about specific transactions may contact the Company’s General Counsel or his or her designee.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Remember, however, that the ultimate responsibility for adhering to this Policy and avoiding improper transactions rests with you. In this regard, it is imperative that you use your best judgment and to ask before acting if you are unsure.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Confirmation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Please sign the attached confirmation page, indicating that you have received, have read and understand this policy, and return the signed confirmation page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Corporate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CONFIRMATION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signed by all employees, directors, officers, agents and contractors of NeuroRx]</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HEREBY ACKNOWLEDGE THAT I HAVE RECEIVED, HAVE READ AND UNDERSTAND THE FOREGOING SECURITIES TRADING POLICY OF NRX PHARMACEUTICALS, INC.</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0712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3566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9262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Return signed confirmation to: [****]@nrxpharma.com</w:t>
      </w:r>
    </w:p>
    <w:p>
      <w:pPr>
        <w:sectPr>
          <w:pgSz w:w="11900" w:h="16838" w:orient="portrait"/>
          <w:cols w:equalWidth="0" w:num="1">
            <w:col w:w="11240"/>
          </w:cols>
          <w:pgMar w:left="320" w:top="576"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(File No. 333-265492) and Form S-1 (File No. 333-283220) of our report dated March 14, 2025 on the consolidated financial statements of NRX Pharmaceuticals, Inc. as of and for the years ended December 31, 2024 and 2023, which report is included in the Annual Report on Form 10-K of NRX Pharmaceuticals, Inc.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Salberg &amp; Company, P.A.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SALBERG &amp; COMPANY,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AND 15d-14(a), AS ADOPTED PURSUANT TO SECTION 302 OF THE SARBANES-OXLEY ACT OF 2002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Javitt, Interim Chief Executive Officer of NRx Pharmaceuticals, Inc.,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NRx Pharmaceuticals, Inc. (the “Registrant”);</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00" w:hanging="324"/>
        <w:spacing w:after="0" w:line="312" w:lineRule="auto"/>
        <w:tabs>
          <w:tab w:leader="none" w:pos="9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hanging="324"/>
        <w:spacing w:after="0" w:line="266" w:lineRule="auto"/>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2025</w:t>
            </w:r>
          </w:p>
        </w:tc>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Javitt</w:t>
            </w:r>
          </w:p>
        </w:tc>
      </w:tr>
      <w:tr>
        <w:trPr>
          <w:trHeight w:val="191"/>
        </w:trPr>
        <w:tc>
          <w:tcPr>
            <w:tcW w:w="5540" w:type="dxa"/>
            <w:vAlign w:val="bottom"/>
          </w:tcPr>
          <w:p>
            <w:pPr>
              <w:spacing w:after="0"/>
              <w:rPr>
                <w:sz w:val="16"/>
                <w:szCs w:val="16"/>
                <w:color w:val="auto"/>
              </w:rPr>
            </w:pPr>
          </w:p>
        </w:tc>
        <w:tc>
          <w:tcPr>
            <w:tcW w:w="5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Javitt</w:t>
            </w:r>
          </w:p>
        </w:tc>
      </w:tr>
      <w:tr>
        <w:trPr>
          <w:trHeight w:val="234"/>
        </w:trPr>
        <w:tc>
          <w:tcPr>
            <w:tcW w:w="554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(Principal Executive Officer)</w:t>
            </w:r>
          </w:p>
        </w:tc>
      </w:tr>
    </w:tbl>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 AND 15d-14(a), AS ADOPTED PURSUANT TO SECTION 302 OF THE SARBANES-OXLEY ACT OF 2002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Abrams, Chief Financial Officer of NRx Pharmaceuticals, Inc., certify that:</w:t>
      </w:r>
    </w:p>
    <w:p>
      <w:pPr>
        <w:spacing w:after="0" w:line="225"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NRx Pharmaceuticals, Inc. (the “Registrant”);</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00" w:hanging="324"/>
        <w:spacing w:after="0" w:line="312" w:lineRule="auto"/>
        <w:tabs>
          <w:tab w:leader="none" w:pos="9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hanging="324"/>
        <w:spacing w:after="0" w:line="266"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2025</w:t>
            </w:r>
          </w:p>
        </w:tc>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Abrams</w:t>
            </w:r>
          </w:p>
        </w:tc>
      </w:tr>
      <w:tr>
        <w:trPr>
          <w:trHeight w:val="191"/>
        </w:trPr>
        <w:tc>
          <w:tcPr>
            <w:tcW w:w="5540" w:type="dxa"/>
            <w:vAlign w:val="bottom"/>
          </w:tcPr>
          <w:p>
            <w:pPr>
              <w:spacing w:after="0"/>
              <w:rPr>
                <w:sz w:val="16"/>
                <w:szCs w:val="16"/>
                <w:color w:val="auto"/>
              </w:rPr>
            </w:pPr>
          </w:p>
        </w:tc>
        <w:tc>
          <w:tcPr>
            <w:tcW w:w="5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Abrams</w:t>
            </w:r>
          </w:p>
        </w:tc>
      </w:tr>
      <w:tr>
        <w:trPr>
          <w:trHeight w:val="234"/>
        </w:trPr>
        <w:tc>
          <w:tcPr>
            <w:tcW w:w="554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11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for the fiscal year ended December 31, 2024 (the “Report”) by NRx Pharmaceuticals, Inc. (the “Registrant”), I, Jonathan Javitt, as Interim Chief Executive Officer of the Registrant,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2025</w:t>
            </w: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Javitt</w:t>
            </w:r>
          </w:p>
        </w:tc>
      </w:tr>
      <w:tr>
        <w:trPr>
          <w:trHeight w:val="191"/>
        </w:trPr>
        <w:tc>
          <w:tcPr>
            <w:tcW w:w="5560" w:type="dxa"/>
            <w:vAlign w:val="bottom"/>
          </w:tcPr>
          <w:p>
            <w:pPr>
              <w:spacing w:after="0"/>
              <w:rPr>
                <w:sz w:val="16"/>
                <w:szCs w:val="16"/>
                <w:color w:val="auto"/>
              </w:rPr>
            </w:pPr>
          </w:p>
        </w:tc>
        <w:tc>
          <w:tcPr>
            <w:tcW w:w="5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Javitt</w:t>
            </w:r>
          </w:p>
        </w:tc>
      </w:tr>
      <w:tr>
        <w:trPr>
          <w:trHeight w:val="234"/>
        </w:trPr>
        <w:tc>
          <w:tcPr>
            <w:tcW w:w="55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(Principal Executive Officer)</w:t>
            </w:r>
          </w:p>
        </w:tc>
      </w:tr>
    </w:tbl>
    <w:p>
      <w:pPr>
        <w:spacing w:after="0" w:line="19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for the fiscal year ended December 31, 2024 (the “Report”) by NRx Pharmaceuticals, Inc. (the “Registrant”), I, Michael Abrams, as Chief Financial Officer of the Registrant,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2025</w:t>
            </w: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Abrams</w:t>
            </w:r>
          </w:p>
        </w:tc>
      </w:tr>
      <w:tr>
        <w:trPr>
          <w:trHeight w:val="191"/>
        </w:trPr>
        <w:tc>
          <w:tcPr>
            <w:tcW w:w="5560" w:type="dxa"/>
            <w:vAlign w:val="bottom"/>
          </w:tcPr>
          <w:p>
            <w:pPr>
              <w:spacing w:after="0"/>
              <w:rPr>
                <w:sz w:val="16"/>
                <w:szCs w:val="16"/>
                <w:color w:val="auto"/>
              </w:rPr>
            </w:pPr>
          </w:p>
        </w:tc>
        <w:tc>
          <w:tcPr>
            <w:tcW w:w="5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Abrams</w:t>
            </w:r>
          </w:p>
        </w:tc>
      </w:tr>
      <w:tr>
        <w:trPr>
          <w:trHeight w:val="234"/>
        </w:trPr>
        <w:tc>
          <w:tcPr>
            <w:tcW w:w="55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pacing w:after="0" w:line="19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lvl w:ilvl="1">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01"/>
    </w:lvl>
  </w:abstractNum>
  <w:abstractNum w:abstractNumId="5">
    <w:nsid w:val="4516DDE9"/>
    <w:multiLevelType w:val="hybridMultilevel"/>
    <w:lvl w:ilvl="0">
      <w:lvlJc w:val="left"/>
      <w:lvlText w:val="\endash "/>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lowerLetter"/>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upperLetter"/>
      <w:start w:val="9"/>
    </w:lvl>
  </w:abstractNum>
  <w:abstractNum w:abstractNumId="10">
    <w:nsid w:val="440BADFC"/>
    <w:multiLevelType w:val="hybridMultilevel"/>
    <w:lvl w:ilvl="0">
      <w:lvlJc w:val="left"/>
      <w:lvlText w:val="%1."/>
      <w:numFmt w:val="upperLetter"/>
      <w:start w:val="35"/>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lowerRoman"/>
      <w:start w:val="2"/>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lowerRoman"/>
      <w:start w:val="3"/>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lowerRoman"/>
      <w:start w:val="2"/>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101"/>
    </w:lvl>
  </w:abstractNum>
  <w:abstractNum w:abstractNumId="49">
    <w:nsid w:val="23F9C13C"/>
    <w:multiLevelType w:val="hybridMultilevel"/>
    <w:lvl w:ilvl="0">
      <w:lvlJc w:val="left"/>
      <w:lvlText w:val="%1"/>
      <w:numFmt w:val="decimal"/>
      <w:start w:val="104"/>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73" Type="http://schemas.openxmlformats.org/officeDocument/2006/relationships/image" Target="media/image148.png"/><Relationship Id="rId194" Type="http://schemas.openxmlformats.org/officeDocument/2006/relationships/image" Target="media/image149.png"/><Relationship Id="rId212" Type="http://schemas.openxmlformats.org/officeDocument/2006/relationships/image" Target="media/image150.png"/><Relationship Id="rId223" Type="http://schemas.openxmlformats.org/officeDocument/2006/relationships/image" Target="media/image151.png"/><Relationship Id="rId234" Type="http://schemas.openxmlformats.org/officeDocument/2006/relationships/image" Target="media/image152.png"/><Relationship Id="rId255" Type="http://schemas.openxmlformats.org/officeDocument/2006/relationships/image" Target="media/image153.png"/><Relationship Id="rId256" Type="http://schemas.openxmlformats.org/officeDocument/2006/relationships/image" Target="media/image154.png"/><Relationship Id="rId257" Type="http://schemas.openxmlformats.org/officeDocument/2006/relationships/image" Target="media/image155.png"/><Relationship Id="rId258" Type="http://schemas.openxmlformats.org/officeDocument/2006/relationships/image" Target="media/image156.png"/><Relationship Id="rId259" Type="http://schemas.openxmlformats.org/officeDocument/2006/relationships/image" Target="media/image157.png"/><Relationship Id="rId260" Type="http://schemas.openxmlformats.org/officeDocument/2006/relationships/image" Target="media/image158.png"/><Relationship Id="rId261" Type="http://schemas.openxmlformats.org/officeDocument/2006/relationships/image" Target="media/image159.png"/><Relationship Id="rId262" Type="http://schemas.openxmlformats.org/officeDocument/2006/relationships/image" Target="media/image160.png"/><Relationship Id="rId263" Type="http://schemas.openxmlformats.org/officeDocument/2006/relationships/image" Target="media/image161.png"/><Relationship Id="rId264" Type="http://schemas.openxmlformats.org/officeDocument/2006/relationships/image" Target="media/image162.png"/><Relationship Id="rId265" Type="http://schemas.openxmlformats.org/officeDocument/2006/relationships/image" Target="media/image163.png"/><Relationship Id="rId266" Type="http://schemas.openxmlformats.org/officeDocument/2006/relationships/image" Target="media/image164.png"/><Relationship Id="rId155" Type="http://schemas.openxmlformats.org/officeDocument/2006/relationships/hyperlink" Target="http://www.sec.gov/Archives/edgar/data/1719406/000110465923091494/tm2323641d2_ex1-1.htm" TargetMode="External"/><Relationship Id="rId156" Type="http://schemas.openxmlformats.org/officeDocument/2006/relationships/hyperlink" Target="http://www.sec.gov/Archives/edgar/data/1719406/000110465924028788/tm247473d1_ex1-1.htm" TargetMode="External"/><Relationship Id="rId157" Type="http://schemas.openxmlformats.org/officeDocument/2006/relationships/hyperlink" Target="http://www.sec.gov/Archives/edgar/data/1719406/000119312521177240/d57577dex31.htm" TargetMode="External"/><Relationship Id="rId158" Type="http://schemas.openxmlformats.org/officeDocument/2006/relationships/hyperlink" Target="http://www.sec.gov/Archives/edgar/data/1719406/000119312521177240/d57577dex32.htm" TargetMode="External"/><Relationship Id="rId159" Type="http://schemas.openxmlformats.org/officeDocument/2006/relationships/hyperlink" Target="http://www.sec.gov/Archives/edgar/data/1719406/000110465923097804/tm2317653d12_ex3-1.htm" TargetMode="External"/><Relationship Id="rId160" Type="http://schemas.openxmlformats.org/officeDocument/2006/relationships/hyperlink" Target="http://www.sec.gov/Archives/edgar/data/1719406/000165495417011010/brpa_ex4-2.htm" TargetMode="External"/><Relationship Id="rId161" Type="http://schemas.openxmlformats.org/officeDocument/2006/relationships/hyperlink" Target="http://www.sec.gov/Archives/edgar/data/1719406/000165495417011010/brpa_ex4-3.htm" TargetMode="External"/><Relationship Id="rId162" Type="http://schemas.openxmlformats.org/officeDocument/2006/relationships/hyperlink" Target="http://www.sec.gov/Archives/edgar/data/1719406/000110465923032019/tm239495d1_ex4-1.htm" TargetMode="External"/><Relationship Id="rId163" Type="http://schemas.openxmlformats.org/officeDocument/2006/relationships/hyperlink" Target="http://www.sec.gov/Archives/edgar/data/1719406/000110465923068973/tm2317653d6_ex4-1.htm" TargetMode="External"/><Relationship Id="rId164" Type="http://schemas.openxmlformats.org/officeDocument/2006/relationships/hyperlink" Target="http://www.sec.gov/Archives/edgar/data/1719406/000110465923068973/tm2317653d6_ex4-2.htm" TargetMode="External"/><Relationship Id="rId165" Type="http://schemas.openxmlformats.org/officeDocument/2006/relationships/hyperlink" Target="http://www.sec.gov/Archives/edgar/data/1719406/000110465923097804/tm2317653d12_ex4-1.htm" TargetMode="External"/><Relationship Id="rId166" Type="http://schemas.openxmlformats.org/officeDocument/2006/relationships/hyperlink" Target="http://www.sec.gov/Archives/edgar/data/1719406/000110465924028788/tm247473d1_ex4-1.htm" TargetMode="External"/><Relationship Id="rId167" Type="http://schemas.openxmlformats.org/officeDocument/2006/relationships/hyperlink" Target="http://www.sec.gov/Archives/edgar/data/1719406/000155837024004396/nrxp-20231231xex4d8.htm" TargetMode="External"/><Relationship Id="rId168" Type="http://schemas.openxmlformats.org/officeDocument/2006/relationships/hyperlink" Target="http://www.sec.gov/Archives/edgar/data/1719406/000155837024004396/nrxp-20231231xex4d9.htm" TargetMode="External"/><Relationship Id="rId169" Type="http://schemas.openxmlformats.org/officeDocument/2006/relationships/hyperlink" Target="http://www.sec.gov/Archives/edgar/data/1719406/000143774924026888/ex_713629.htm" TargetMode="External"/><Relationship Id="rId170" Type="http://schemas.openxmlformats.org/officeDocument/2006/relationships/hyperlink" Target="http://www.sec.gov/Archives/edgar/data/1719406/000143774924026888/ex_713630.htm" TargetMode="External"/><Relationship Id="rId171" Type="http://schemas.openxmlformats.org/officeDocument/2006/relationships/hyperlink" Target="http://www.sec.gov/Archives/edgar/data/1719406/000143774925002160/ex_771257.htm" TargetMode="External"/><Relationship Id="rId172" Type="http://schemas.openxmlformats.org/officeDocument/2006/relationships/hyperlink" Target="http://www.sec.gov/Archives/edgar/data/1719406/000143774925002160/ex_771258.htm" TargetMode="External"/><Relationship Id="rId174" Type="http://schemas.openxmlformats.org/officeDocument/2006/relationships/hyperlink" Target="http://www.sec.gov/Archives/edgar/data/1719406/000095014221002728/eh210179827_ex1001.htm" TargetMode="External"/><Relationship Id="rId175" Type="http://schemas.openxmlformats.org/officeDocument/2006/relationships/hyperlink" Target="http://www.sec.gov/Archives/edgar/data/1719406/000095014221002728/eh210179827_ex1002.htm" TargetMode="External"/><Relationship Id="rId176" Type="http://schemas.openxmlformats.org/officeDocument/2006/relationships/hyperlink" Target="http://www.sec.gov/Archives/edgar/data/1719406/000095014221002728/eh210179827_ex1003.htm" TargetMode="External"/><Relationship Id="rId177" Type="http://schemas.openxmlformats.org/officeDocument/2006/relationships/hyperlink" Target="http://www.sec.gov/Archives/edgar/data/1719406/000095014221002728/eh210179827_ex1004.htm" TargetMode="External"/><Relationship Id="rId178" Type="http://schemas.openxmlformats.org/officeDocument/2006/relationships/hyperlink" Target="http://www.sec.gov/Archives/edgar/data/1719406/000165495417011010/brpa_ex10-2.htm" TargetMode="External"/><Relationship Id="rId179" Type="http://schemas.openxmlformats.org/officeDocument/2006/relationships/hyperlink" Target="http://www.sec.gov/Archives/edgar/data/1719406/000165495417011010/brpa_ex10-3.htm" TargetMode="External"/><Relationship Id="rId180" Type="http://schemas.openxmlformats.org/officeDocument/2006/relationships/hyperlink" Target="http://www.sec.gov/Archives/edgar/data/1719406/000165495418013053/brpa_ex101.htm" TargetMode="External"/><Relationship Id="rId181" Type="http://schemas.openxmlformats.org/officeDocument/2006/relationships/hyperlink" Target="http://www.sec.gov/Archives/edgar/data/1719406/000165495418013053/brpa_ex102.htm" TargetMode="External"/><Relationship Id="rId182" Type="http://schemas.openxmlformats.org/officeDocument/2006/relationships/hyperlink" Target="http://www.sec.gov/Archives/edgar/data/1719406/000165495418013053/brpa_ex103.htm" TargetMode="External"/><Relationship Id="rId183" Type="http://schemas.openxmlformats.org/officeDocument/2006/relationships/hyperlink" Target="http://www.sec.gov/Archives/edgar/data/1719406/000119312521177240/d57577dex106.htm" TargetMode="External"/><Relationship Id="rId184" Type="http://schemas.openxmlformats.org/officeDocument/2006/relationships/hyperlink" Target="http://www.sec.gov/Archives/edgar/data/1719406/000119312521177240/d57577dex107.htm" TargetMode="External"/><Relationship Id="rId185" Type="http://schemas.openxmlformats.org/officeDocument/2006/relationships/hyperlink" Target="http://www.sec.gov/Archives/edgar/data/1719406/000119312521177240/d57577dex108.htm" TargetMode="External"/><Relationship Id="rId186" Type="http://schemas.openxmlformats.org/officeDocument/2006/relationships/hyperlink" Target="http://www.sec.gov/Archives/edgar/data/1719406/000119312521177240/d57577dex109.htm" TargetMode="External"/><Relationship Id="rId187" Type="http://schemas.openxmlformats.org/officeDocument/2006/relationships/hyperlink" Target="http://www.sec.gov/Archives/edgar/data/1719406/000119312521168481/d56937ds4a.htm#rom56937_103" TargetMode="External"/><Relationship Id="rId188" Type="http://schemas.openxmlformats.org/officeDocument/2006/relationships/hyperlink" Target="http://www.sec.gov/Archives/edgar/data/1719406/000165495421002748/brpa_ex101.htm" TargetMode="External"/><Relationship Id="rId189" Type="http://schemas.openxmlformats.org/officeDocument/2006/relationships/hyperlink" Target="http://www.sec.gov/Archives/edgar/data/1719406/000119312521118931/d56937dex1024.htm" TargetMode="External"/><Relationship Id="rId190" Type="http://schemas.openxmlformats.org/officeDocument/2006/relationships/hyperlink" Target="http://www.sec.gov/Archives/edgar/data/1719406/000119312521118931/d56937dex1025.htm" TargetMode="External"/><Relationship Id="rId191" Type="http://schemas.openxmlformats.org/officeDocument/2006/relationships/hyperlink" Target="http://www.sec.gov/Archives/edgar/data/1719406/000119312521118931/d56937dex1026.htm" TargetMode="External"/><Relationship Id="rId192" Type="http://schemas.openxmlformats.org/officeDocument/2006/relationships/hyperlink" Target="http://www.sec.gov/Archives/edgar/data/1719406/000119312521118931/d56937dex1027.htm" TargetMode="External"/><Relationship Id="rId193" Type="http://schemas.openxmlformats.org/officeDocument/2006/relationships/hyperlink" Target="http://www.sec.gov/Archives/edgar/data/1719406/000119312521118931/d56937dex1028.htm" TargetMode="External"/><Relationship Id="rId195" Type="http://schemas.openxmlformats.org/officeDocument/2006/relationships/hyperlink" Target="http://www.sec.gov/Archives/edgar/data/1719406/000119312521118931/d56937dex1029.htm" TargetMode="External"/><Relationship Id="rId196" Type="http://schemas.openxmlformats.org/officeDocument/2006/relationships/hyperlink" Target="http://www.sec.gov/Archives/edgar/data/1719406/000119312521118931/d56937dex1030.htm" TargetMode="External"/><Relationship Id="rId197" Type="http://schemas.openxmlformats.org/officeDocument/2006/relationships/hyperlink" Target="http://www.sec.gov/Archives/edgar/data/1719406/000119312521118931/d56937dex1031.htm" TargetMode="External"/><Relationship Id="rId198" Type="http://schemas.openxmlformats.org/officeDocument/2006/relationships/hyperlink" Target="http://www.sec.gov/Archives/edgar/data/1719406/000119312521118931/d56937dex1032.htm" TargetMode="External"/><Relationship Id="rId199" Type="http://schemas.openxmlformats.org/officeDocument/2006/relationships/hyperlink" Target="http://www.sec.gov/Archives/edgar/data/1719406/000119312521118931/d56937dex1033.htm" TargetMode="External"/><Relationship Id="rId200" Type="http://schemas.openxmlformats.org/officeDocument/2006/relationships/hyperlink" Target="http://www.sec.gov/Archives/edgar/data/1719406/000119312521118931/d56937dex1035.htm" TargetMode="External"/><Relationship Id="rId201" Type="http://schemas.openxmlformats.org/officeDocument/2006/relationships/hyperlink" Target="http://www.sec.gov/Archives/edgar/data/1719406/000119312521118931/d56937dex1037.htm" TargetMode="External"/><Relationship Id="rId202" Type="http://schemas.openxmlformats.org/officeDocument/2006/relationships/hyperlink" Target="http://www.sec.gov/Archives/edgar/data/1719406/000119312521118931/d56937dex1038.htm" TargetMode="External"/><Relationship Id="rId203" Type="http://schemas.openxmlformats.org/officeDocument/2006/relationships/hyperlink" Target="http://www.sec.gov/Archives/edgar/data/1719406/000119312521118931/d56937dex1039.htm" TargetMode="External"/><Relationship Id="rId204" Type="http://schemas.openxmlformats.org/officeDocument/2006/relationships/hyperlink" Target="http://www.sec.gov/Archives/edgar/data/1719406/000119312521118931/d56937dex1040.htm" TargetMode="External"/><Relationship Id="rId205" Type="http://schemas.openxmlformats.org/officeDocument/2006/relationships/hyperlink" Target="http://www.sec.gov/Archives/edgar/data/1719406/000119312521118931/d56937dex1041.htm" TargetMode="External"/><Relationship Id="rId206" Type="http://schemas.openxmlformats.org/officeDocument/2006/relationships/hyperlink" Target="http://www.sec.gov/Archives/edgar/data/1719406/000119312521118931/d56937dex1042.htm" TargetMode="External"/><Relationship Id="rId207" Type="http://schemas.openxmlformats.org/officeDocument/2006/relationships/hyperlink" Target="http://www.sec.gov/Archives/edgar/data/1719406/000119312521118931/d56937dex1043.htm" TargetMode="External"/><Relationship Id="rId208" Type="http://schemas.openxmlformats.org/officeDocument/2006/relationships/hyperlink" Target="http://www.sec.gov/Archives/edgar/data/1719406/000119312521157866/d56937dex1044.htm" TargetMode="External"/><Relationship Id="rId209" Type="http://schemas.openxmlformats.org/officeDocument/2006/relationships/hyperlink" Target="http://www.sec.gov/Archives/edgar/data/1719406/000119312521177240/d57577dex1034.htm" TargetMode="External"/><Relationship Id="rId210" Type="http://schemas.openxmlformats.org/officeDocument/2006/relationships/hyperlink" Target="http://www.sec.gov/Archives/edgar/data/1719406/000155837021015962/nrxp-20210930xex10d1.htm" TargetMode="External"/><Relationship Id="rId211" Type="http://schemas.openxmlformats.org/officeDocument/2006/relationships/hyperlink" Target="http://www.sec.gov/Archives/edgar/data/1719406/000155837022000738/nrxp-20220202xex10d1.htm" TargetMode="External"/><Relationship Id="rId213" Type="http://schemas.openxmlformats.org/officeDocument/2006/relationships/hyperlink" Target="http://www.sec.gov/Archives/edgar/data/1719406/000155837022000738/nrxp-20220202xex10d2.htm" TargetMode="External"/><Relationship Id="rId214" Type="http://schemas.openxmlformats.org/officeDocument/2006/relationships/hyperlink" Target="http://www.sec.gov/Archives/edgar/data/1719406/000155837022000738/nrxp-20220202xex10d3.htm" TargetMode="External"/><Relationship Id="rId215" Type="http://schemas.openxmlformats.org/officeDocument/2006/relationships/hyperlink" Target="http://www.sec.gov/Archives/edgar/data/1719406/000155837022000738/nrxp-20220202xex10d4.htm" TargetMode="External"/><Relationship Id="rId216" Type="http://schemas.openxmlformats.org/officeDocument/2006/relationships/hyperlink" Target="http://www.sec.gov/Archives/edgar/data/1719406/000095014222000983/eh220233089_ex1001.htm" TargetMode="External"/><Relationship Id="rId217" Type="http://schemas.openxmlformats.org/officeDocument/2006/relationships/hyperlink" Target="http://www.sec.gov/Archives/edgar/data/1719406/000155837022013673/nrxp-20220630xex10d1.htm" TargetMode="External"/><Relationship Id="rId218" Type="http://schemas.openxmlformats.org/officeDocument/2006/relationships/hyperlink" Target="http://www.sec.gov/Archives/edgar/data/1719406/000155837022017772/nrxp-20220930xex10d1.htm" TargetMode="External"/><Relationship Id="rId219" Type="http://schemas.openxmlformats.org/officeDocument/2006/relationships/hyperlink" Target="http://www.sec.gov/Archives/edgar/data/1719406/000110465922116578/tm2230161d1_ex10-1.htm" TargetMode="External"/><Relationship Id="rId220" Type="http://schemas.openxmlformats.org/officeDocument/2006/relationships/hyperlink" Target="http://www.sec.gov/Archives/edgar/data/1719406/000110465922116578/tm2230161d1_ex10-2.htm" TargetMode="External"/><Relationship Id="rId221" Type="http://schemas.openxmlformats.org/officeDocument/2006/relationships/hyperlink" Target="http://www.sec.gov/Archives/edgar/data/1719406/000110465922116578/tm2230161d1_ex10-3.htm" TargetMode="External"/><Relationship Id="rId222" Type="http://schemas.openxmlformats.org/officeDocument/2006/relationships/hyperlink" Target="http://www.sec.gov/Archives/edgar/data/1719406/000110465923054557/tm2314196d1_ex10-54.htm" TargetMode="External"/><Relationship Id="rId224" Type="http://schemas.openxmlformats.org/officeDocument/2006/relationships/hyperlink" Target="http://www.sec.gov/Archives/edgar/data/1719406/000110465923054557/tm2314196d1_ex10-55.htm" TargetMode="External"/><Relationship Id="rId225" Type="http://schemas.openxmlformats.org/officeDocument/2006/relationships/hyperlink" Target="http://www.sec.gov/Archives/edgar/data/1719406/000110465923032019/tm239495d1_ex10-1.htm" TargetMode="External"/><Relationship Id="rId226" Type="http://schemas.openxmlformats.org/officeDocument/2006/relationships/hyperlink" Target="http://www.sec.gov/Archives/edgar/data/1719406/000155837022004899/nrxp-20211231xex10d46.htm" TargetMode="External"/><Relationship Id="rId227" Type="http://schemas.openxmlformats.org/officeDocument/2006/relationships/hyperlink" Target="http://www.sec.gov/Archives/edgar/data/1719406/000155837024004396/nrxp-20231231xex10d55.htm" TargetMode="External"/><Relationship Id="rId228" Type="http://schemas.openxmlformats.org/officeDocument/2006/relationships/hyperlink" Target="http://www.sec.gov/Archives/edgar/data/1719406/000110465923067850/tm2317653d4_ex10-1.htm" TargetMode="External"/><Relationship Id="rId229" Type="http://schemas.openxmlformats.org/officeDocument/2006/relationships/hyperlink" Target="http://www.sec.gov/Archives/edgar/data/1719406/000110465923068973/tm2317653d6_ex10-1.htm" TargetMode="External"/><Relationship Id="rId230" Type="http://schemas.openxmlformats.org/officeDocument/2006/relationships/hyperlink" Target="http://www.sec.gov/Archives/edgar/data/1719406/000110465923068973/tm2317653d6_ex10-2.htm" TargetMode="External"/><Relationship Id="rId231" Type="http://schemas.openxmlformats.org/officeDocument/2006/relationships/hyperlink" Target="http://www.sec.gov/Archives/edgar/data/1719406/000155837023014873/nrxp-20230630xex10d1.htm" TargetMode="External"/><Relationship Id="rId232" Type="http://schemas.openxmlformats.org/officeDocument/2006/relationships/hyperlink" Target="http://www.sec.gov/Archives/edgar/data/1719406/000155837024004396/nrxp-20231231xex10d60.htm" TargetMode="External"/><Relationship Id="rId233" Type="http://schemas.openxmlformats.org/officeDocument/2006/relationships/hyperlink" Target="http://www.sec.gov/Archives/edgar/data/1719406/000110465923097804/tm2317653d12_ex10-1.htm" TargetMode="External"/><Relationship Id="rId235" Type="http://schemas.openxmlformats.org/officeDocument/2006/relationships/hyperlink" Target="http://www.sec.gov/Archives/edgar/data/1719406/000110465923100780/tm2317653d13_ex10-1.htm" TargetMode="External"/><Relationship Id="rId236" Type="http://schemas.openxmlformats.org/officeDocument/2006/relationships/hyperlink" Target="http://www.sec.gov/Archives/edgar/data/1719406/000110465923130482/tm2333890d1_ex10-1.htm" TargetMode="External"/><Relationship Id="rId237" Type="http://schemas.openxmlformats.org/officeDocument/2006/relationships/hyperlink" Target="http://www.sec.gov/Archives/edgar/data/1719406/000155837024004396/nrxp-20231231xex10d64.htm" TargetMode="External"/><Relationship Id="rId238" Type="http://schemas.openxmlformats.org/officeDocument/2006/relationships/hyperlink" Target="http://www.sec.gov/Archives/edgar/data/1719406/000110465924023806/tm246184d2_ex10-1.htm" TargetMode="External"/><Relationship Id="rId239" Type="http://schemas.openxmlformats.org/officeDocument/2006/relationships/hyperlink" Target="http://www.sec.gov/Archives/edgar/data/1719406/000155837024004396/nrxp-20231231xex10d66.htm" TargetMode="External"/><Relationship Id="rId240" Type="http://schemas.openxmlformats.org/officeDocument/2006/relationships/hyperlink" Target="http://www.sec.gov/Archives/edgar/data/1719406/000143774924026888/ex_713631.htm" TargetMode="External"/><Relationship Id="rId241" Type="http://schemas.openxmlformats.org/officeDocument/2006/relationships/hyperlink" Target="http://www.sec.gov/Archives/edgar/data/1719406/000143774924026888/ex_713632.htm" TargetMode="External"/><Relationship Id="rId242" Type="http://schemas.openxmlformats.org/officeDocument/2006/relationships/hyperlink" Target="http://www.sec.gov/Archives/edgar/data/1719406/000143774924026888/ex_713633.htm" TargetMode="External"/><Relationship Id="rId243" Type="http://schemas.openxmlformats.org/officeDocument/2006/relationships/hyperlink" Target="http://www.sec.gov/Archives/edgar/data/1719406/000143774924026888/ex_713634.htm" TargetMode="External"/><Relationship Id="rId244" Type="http://schemas.openxmlformats.org/officeDocument/2006/relationships/hyperlink" Target="http://www.sec.gov/Archives/edgar/data/1719406/000143774924026888/ex_713635.htm" TargetMode="External"/><Relationship Id="rId245" Type="http://schemas.openxmlformats.org/officeDocument/2006/relationships/hyperlink" Target="http://www.sec.gov/Archives/edgar/data/1719406/000143774924026888/ex_714090.htm" TargetMode="External"/><Relationship Id="rId246" Type="http://schemas.openxmlformats.org/officeDocument/2006/relationships/hyperlink" Target="http://www.sec.gov/Archives/edgar/data/1719406/000143774924035806/ex_750345.htm" TargetMode="External"/><Relationship Id="rId247" Type="http://schemas.openxmlformats.org/officeDocument/2006/relationships/hyperlink" Target="http://www.sec.gov/Archives/edgar/data/1719406/000143774925000801/ex_764005.htm" TargetMode="External"/><Relationship Id="rId248" Type="http://schemas.openxmlformats.org/officeDocument/2006/relationships/hyperlink" Target="http://www.sec.gov/Archives/edgar/data/1719406/000143774925002160/ex_771259.htm" TargetMode="External"/><Relationship Id="rId249" Type="http://schemas.openxmlformats.org/officeDocument/2006/relationships/hyperlink" Target="http://www.sec.gov/Archives/edgar/data/1719406/000143774925002160/ex_771260.htm" TargetMode="External"/><Relationship Id="rId250" Type="http://schemas.openxmlformats.org/officeDocument/2006/relationships/hyperlink" Target="http://www.sec.gov/Archives/edgar/data/1719406/000143774925002610/ex_773641.htm" TargetMode="External"/><Relationship Id="rId251" Type="http://schemas.openxmlformats.org/officeDocument/2006/relationships/hyperlink" Target="http://www.sec.gov/Archives/edgar/data/1719406/000143774925002610/ex_773940.htm" TargetMode="External"/><Relationship Id="rId252" Type="http://schemas.openxmlformats.org/officeDocument/2006/relationships/hyperlink" Target="http://www.sec.gov/Archives/edgar/data/1719406/000110465924054115/tm2412573d1_ex14-1.htm" TargetMode="External"/><Relationship Id="rId253" Type="http://schemas.openxmlformats.org/officeDocument/2006/relationships/hyperlink" Target="http://www.sec.gov/Archives/edgar/data/1719406/000110465923120777/tm2331382d1_ex16-1.htm" TargetMode="External"/><Relationship Id="rId254" Type="http://schemas.openxmlformats.org/officeDocument/2006/relationships/hyperlink" Target="http://www.sec.gov/Archives/edgar/data/1719406/000155837024004396/nrxp-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2025-03-14T16:20:08Z</dcterms:created>
  <dcterms:modified xsi:type="dcterms:W3CDTF">2025-03-14T16:20:08Z</dcterms:modified>
</cp:coreProperties>
</file>