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jc w:val="center"/>
        <w:ind w:left="3840" w:right="1120" w:hanging="2713"/>
        <w:spacing w:after="0" w:line="479" w:lineRule="auto"/>
        <w:tabs>
          <w:tab w:leader="none" w:pos="1333"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37" w:lineRule="exact"/>
        <w:rPr>
          <w:rFonts w:ascii="MS PGothic" w:cs="MS PGothic" w:eastAsia="MS PGothic" w:hAnsi="MS PGothic"/>
          <w:sz w:val="18"/>
          <w:szCs w:val="18"/>
          <w:color w:val="auto"/>
          <w:highlight w:val="black"/>
        </w:rPr>
      </w:pPr>
    </w:p>
    <w:p>
      <w:pPr>
        <w:jc w:val="center"/>
        <w:ind w:left="4360" w:right="940" w:hanging="3418"/>
        <w:spacing w:after="0" w:line="500" w:lineRule="auto"/>
        <w:tabs>
          <w:tab w:leader="none" w:pos="114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001-38302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8"/>
              </w:rPr>
              <w:t>82-2844431</w:t>
            </w:r>
          </w:p>
        </w:tc>
      </w:tr>
      <w:tr>
        <w:trPr>
          <w:trHeight w:val="216"/>
        </w:trPr>
        <w:tc>
          <w:tcPr>
            <w:tcW w:w="43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3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320" w:type="dxa"/>
            <w:vAlign w:val="bottom"/>
          </w:tcPr>
          <w:p>
            <w:pPr>
              <w:spacing w:after="0"/>
              <w:rPr>
                <w:sz w:val="24"/>
                <w:szCs w:val="24"/>
                <w:color w:val="auto"/>
              </w:rPr>
            </w:pPr>
          </w:p>
        </w:tc>
        <w:tc>
          <w:tcPr>
            <w:tcW w:w="27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1201 Orange Street, Suite 600</w:t>
            </w:r>
          </w:p>
        </w:tc>
        <w:tc>
          <w:tcPr>
            <w:tcW w:w="4200" w:type="dxa"/>
            <w:vAlign w:val="bottom"/>
          </w:tcPr>
          <w:p>
            <w:pPr>
              <w:spacing w:after="0"/>
              <w:rPr>
                <w:sz w:val="24"/>
                <w:szCs w:val="24"/>
                <w:color w:val="auto"/>
              </w:rPr>
            </w:pPr>
          </w:p>
        </w:tc>
      </w:tr>
      <w:tr>
        <w:trPr>
          <w:trHeight w:val="220"/>
        </w:trPr>
        <w:tc>
          <w:tcPr>
            <w:tcW w:w="4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Wilmington, DE 19801</w:t>
            </w:r>
          </w:p>
        </w:tc>
        <w:tc>
          <w:tcPr>
            <w:tcW w:w="4200" w:type="dxa"/>
            <w:vAlign w:val="bottom"/>
          </w:tcPr>
          <w:p>
            <w:pPr>
              <w:spacing w:after="0"/>
              <w:rPr>
                <w:sz w:val="19"/>
                <w:szCs w:val="19"/>
                <w:color w:val="auto"/>
              </w:rPr>
            </w:pPr>
          </w:p>
        </w:tc>
      </w:tr>
      <w:tr>
        <w:trPr>
          <w:trHeight w:val="234"/>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414"/>
        </w:trPr>
        <w:tc>
          <w:tcPr>
            <w:tcW w:w="4320" w:type="dxa"/>
            <w:vAlign w:val="bottom"/>
          </w:tcPr>
          <w:p>
            <w:pPr>
              <w:spacing w:after="0"/>
              <w:rPr>
                <w:sz w:val="24"/>
                <w:szCs w:val="24"/>
                <w:color w:val="auto"/>
              </w:rPr>
            </w:pPr>
          </w:p>
        </w:tc>
        <w:tc>
          <w:tcPr>
            <w:tcW w:w="22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(484) 254-6134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34"/>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410"/>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00" w:type="dxa"/>
            <w:vAlign w:val="bottom"/>
          </w:tcPr>
          <w:p>
            <w:pPr>
              <w:spacing w:after="0"/>
              <w:rPr>
                <w:sz w:val="24"/>
                <w:szCs w:val="24"/>
                <w:color w:val="auto"/>
              </w:rPr>
            </w:pPr>
          </w:p>
        </w:tc>
      </w:tr>
      <w:tr>
        <w:trPr>
          <w:trHeight w:val="238"/>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320" w:type="dxa"/>
            <w:vAlign w:val="bottom"/>
            <w:tcBorders>
              <w:top w:val="single" w:sz="8" w:color="auto"/>
            </w:tcBorders>
          </w:tcPr>
          <w:p>
            <w:pPr>
              <w:jc w:val="center"/>
              <w:ind w:left="110"/>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NRXP</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200" w:type="dxa"/>
            <w:vAlign w:val="bottom"/>
            <w:tcBorders>
              <w:top w:val="single" w:sz="8" w:color="auto"/>
            </w:tcBorders>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Warrants to purchase one share of Common Stock</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8"/>
              </w:rPr>
              <w:t>NRXPW</w:t>
            </w:r>
          </w:p>
        </w:tc>
        <w:tc>
          <w:tcPr>
            <w:tcW w:w="4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5520" w:type="dxa"/>
            <w:vAlign w:val="bottom"/>
          </w:tcPr>
          <w:p>
            <w:pPr>
              <w:jc w:val="center"/>
              <w:ind w:left="10"/>
              <w:spacing w:after="0" w:line="207" w:lineRule="exact"/>
              <w:rPr>
                <w:sz w:val="20"/>
                <w:szCs w:val="20"/>
                <w:color w:val="auto"/>
              </w:rPr>
            </w:pPr>
            <w:r>
              <w:rPr>
                <w:rFonts w:ascii="Times New Roman" w:cs="Times New Roman" w:eastAsia="Times New Roman" w:hAnsi="Times New Roman"/>
                <w:sz w:val="18"/>
                <w:szCs w:val="18"/>
                <w:color w:val="auto"/>
                <w:w w:val="98"/>
              </w:rPr>
              <w:t xml:space="preserve">Large accelerated filer </w:t>
            </w:r>
            <w:r>
              <w:rPr>
                <w:rFonts w:ascii="MS PGothic" w:cs="MS PGothic" w:eastAsia="MS PGothic" w:hAnsi="MS PGothic"/>
                <w:sz w:val="18"/>
                <w:szCs w:val="18"/>
                <w:color w:val="auto"/>
                <w:w w:val="98"/>
              </w:rPr>
              <w:t>☐</w:t>
            </w:r>
          </w:p>
        </w:tc>
        <w:tc>
          <w:tcPr>
            <w:tcW w:w="572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w w:val="97"/>
              </w:rPr>
              <w:t xml:space="preserve">Accelerated filer </w:t>
            </w:r>
            <w:r>
              <w:rPr>
                <w:rFonts w:ascii="MS PGothic" w:cs="MS PGothic" w:eastAsia="MS PGothic" w:hAnsi="MS PGothic"/>
                <w:sz w:val="18"/>
                <w:szCs w:val="18"/>
                <w:color w:val="auto"/>
                <w:w w:val="97"/>
              </w:rPr>
              <w:t>☐</w:t>
            </w:r>
          </w:p>
        </w:tc>
      </w:tr>
      <w:tr>
        <w:trPr>
          <w:trHeight w:val="216"/>
        </w:trPr>
        <w:tc>
          <w:tcPr>
            <w:tcW w:w="552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w w:val="98"/>
              </w:rPr>
              <w:t xml:space="preserve">Non-accelerated filer </w:t>
            </w:r>
            <w:r>
              <w:rPr>
                <w:rFonts w:ascii="MS PGothic" w:cs="MS PGothic" w:eastAsia="MS PGothic" w:hAnsi="MS PGothic"/>
                <w:sz w:val="18"/>
                <w:szCs w:val="18"/>
                <w:color w:val="auto"/>
                <w:w w:val="98"/>
              </w:rPr>
              <w:t>☒</w:t>
            </w:r>
          </w:p>
        </w:tc>
        <w:tc>
          <w:tcPr>
            <w:tcW w:w="572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r>
      <w:tr>
        <w:trPr>
          <w:trHeight w:val="303"/>
        </w:trPr>
        <w:tc>
          <w:tcPr>
            <w:tcW w:w="5520" w:type="dxa"/>
            <w:vAlign w:val="bottom"/>
          </w:tcPr>
          <w:p>
            <w:pPr>
              <w:spacing w:after="0"/>
              <w:rPr>
                <w:sz w:val="24"/>
                <w:szCs w:val="24"/>
                <w:color w:val="auto"/>
              </w:rPr>
            </w:pPr>
          </w:p>
        </w:tc>
        <w:tc>
          <w:tcPr>
            <w:tcW w:w="572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MS PGothic" w:cs="MS PGothic" w:eastAsia="MS PGothic" w:hAnsi="MS PGothic"/>
                <w:sz w:val="18"/>
                <w:szCs w:val="18"/>
                <w:color w:val="auto"/>
                <w:w w:val="98"/>
              </w:rPr>
              <w:t>☐</w:t>
            </w:r>
          </w:p>
        </w:tc>
      </w:tr>
      <w:tr>
        <w:trPr>
          <w:trHeight w:val="541"/>
        </w:trPr>
        <w:tc>
          <w:tcPr>
            <w:tcW w:w="55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based on the closing price of the registrant’s common stock as reported on the Nasdaq Capital Market on June 30, 2025, was $57.4 million.</w:t>
      </w:r>
    </w:p>
    <w:p>
      <w:pPr>
        <w:spacing w:after="0" w:line="1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As of March 23, 2026, the registrant had 33,067,630 shares of common stock, par value $0.001 per share (the “Common Stock”), outstanding.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3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40" w:type="dxa"/>
            <w:vAlign w:val="bottom"/>
            <w:gridSpan w:val="10"/>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80" w:type="dxa"/>
            <w:vAlign w:val="bottom"/>
            <w:gridSpan w:val="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36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9360" w:type="dxa"/>
            <w:vAlign w:val="bottom"/>
            <w:gridSpan w:val="27"/>
            <w:vMerge w:val="continue"/>
          </w:tcPr>
          <w:p>
            <w:pPr>
              <w:spacing w:after="0"/>
              <w:rPr>
                <w:sz w:val="16"/>
                <w:szCs w:val="16"/>
                <w:color w:val="auto"/>
              </w:rPr>
            </w:pPr>
          </w:p>
        </w:tc>
        <w:tc>
          <w:tcPr>
            <w:tcW w:w="18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 Business</w:t>
            </w:r>
          </w:p>
        </w:tc>
        <w:tc>
          <w:tcPr>
            <w:tcW w:w="7360" w:type="dxa"/>
            <w:vAlign w:val="bottom"/>
            <w:gridSpan w:val="21"/>
          </w:tcPr>
          <w:p>
            <w:pPr>
              <w:spacing w:after="0"/>
              <w:rPr>
                <w:sz w:val="17"/>
                <w:szCs w:val="17"/>
                <w:color w:val="auto"/>
              </w:rPr>
            </w:pPr>
          </w:p>
        </w:tc>
        <w:tc>
          <w:tcPr>
            <w:tcW w:w="18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1A. Risk Factors</w:t>
            </w:r>
          </w:p>
        </w:tc>
        <w:tc>
          <w:tcPr>
            <w:tcW w:w="6960" w:type="dxa"/>
            <w:vAlign w:val="bottom"/>
            <w:gridSpan w:val="18"/>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18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Item 1C. Cybersecurity</w:t>
            </w:r>
          </w:p>
        </w:tc>
        <w:tc>
          <w:tcPr>
            <w:tcW w:w="5840" w:type="dxa"/>
            <w:vAlign w:val="bottom"/>
            <w:gridSpan w:val="11"/>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2. Properties</w:t>
            </w:r>
          </w:p>
        </w:tc>
        <w:tc>
          <w:tcPr>
            <w:tcW w:w="6880" w:type="dxa"/>
            <w:vAlign w:val="bottom"/>
            <w:gridSpan w:val="17"/>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 Legal Proceedings</w:t>
            </w:r>
          </w:p>
        </w:tc>
        <w:tc>
          <w:tcPr>
            <w:tcW w:w="6660" w:type="dxa"/>
            <w:vAlign w:val="bottom"/>
            <w:gridSpan w:val="16"/>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18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w:t>
            </w:r>
          </w:p>
        </w:tc>
        <w:tc>
          <w:tcPr>
            <w:tcW w:w="280" w:type="dxa"/>
            <w:vAlign w:val="bottom"/>
            <w:gridSpan w:val="2"/>
          </w:tcPr>
          <w:p>
            <w:pPr>
              <w:spacing w:after="0"/>
              <w:rPr>
                <w:sz w:val="17"/>
                <w:szCs w:val="17"/>
                <w:color w:val="auto"/>
              </w:rPr>
            </w:pPr>
          </w:p>
        </w:tc>
        <w:tc>
          <w:tcPr>
            <w:tcW w:w="2300" w:type="dxa"/>
            <w:vAlign w:val="bottom"/>
            <w:tcBorders>
              <w:top w:val="single" w:sz="8" w:color="0000EE"/>
            </w:tcBorders>
            <w:gridSpan w:val="9"/>
          </w:tcPr>
          <w:p>
            <w:pPr>
              <w:spacing w:after="0"/>
              <w:rPr>
                <w:sz w:val="17"/>
                <w:szCs w:val="17"/>
                <w:color w:val="auto"/>
              </w:rPr>
            </w:pPr>
          </w:p>
        </w:tc>
        <w:tc>
          <w:tcPr>
            <w:tcW w:w="6240" w:type="dxa"/>
            <w:vAlign w:val="bottom"/>
            <w:gridSpan w:val="14"/>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 Purchase of Equity Securities</w:t>
            </w:r>
          </w:p>
        </w:tc>
        <w:tc>
          <w:tcPr>
            <w:tcW w:w="17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6. [Reserved]</w:t>
            </w:r>
          </w:p>
        </w:tc>
        <w:tc>
          <w:tcPr>
            <w:tcW w:w="18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 Management’s Discussion and Analysis of Financial Condition and Results of Operations</w:t>
            </w:r>
          </w:p>
        </w:tc>
        <w:tc>
          <w:tcPr>
            <w:tcW w:w="1540" w:type="dxa"/>
            <w:vAlign w:val="bottom"/>
            <w:gridSpan w:val="2"/>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7A. Quantitative and Qualitative Disclosure about Market Risk</w:t>
            </w:r>
          </w:p>
        </w:tc>
        <w:tc>
          <w:tcPr>
            <w:tcW w:w="18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3640" w:type="dxa"/>
            <w:vAlign w:val="bottom"/>
            <w:gridSpan w:val="6"/>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980" w:type="dxa"/>
            <w:vAlign w:val="bottom"/>
            <w:gridSpan w:val="8"/>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 Changes in Disagreements with Accountants on Accounting and Financial Disclosure</w:t>
            </w:r>
          </w:p>
        </w:tc>
        <w:tc>
          <w:tcPr>
            <w:tcW w:w="1820" w:type="dxa"/>
            <w:vAlign w:val="bottom"/>
            <w:gridSpan w:val="3"/>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9A. Controls and Procedures</w:t>
            </w:r>
          </w:p>
        </w:tc>
        <w:tc>
          <w:tcPr>
            <w:tcW w:w="6100" w:type="dxa"/>
            <w:vAlign w:val="bottom"/>
            <w:gridSpan w:val="12"/>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 Other Information</w:t>
            </w:r>
          </w:p>
        </w:tc>
        <w:tc>
          <w:tcPr>
            <w:tcW w:w="6560" w:type="dxa"/>
            <w:vAlign w:val="bottom"/>
            <w:gridSpan w:val="15"/>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w:t>
            </w:r>
          </w:p>
        </w:tc>
        <w:tc>
          <w:tcPr>
            <w:tcW w:w="18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69</w:t>
            </w:r>
          </w:p>
        </w:tc>
        <w:tc>
          <w:tcPr>
            <w:tcW w:w="0" w:type="dxa"/>
            <w:vAlign w:val="bottom"/>
          </w:tcPr>
          <w:p>
            <w:pPr>
              <w:spacing w:after="0"/>
              <w:rPr>
                <w:sz w:val="1"/>
                <w:szCs w:val="1"/>
                <w:color w:val="auto"/>
              </w:rPr>
            </w:pPr>
          </w:p>
        </w:tc>
      </w:tr>
      <w:tr>
        <w:trPr>
          <w:trHeight w:val="196"/>
        </w:trPr>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548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69</w:t>
            </w: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17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3780" w:type="dxa"/>
            <w:vAlign w:val="bottom"/>
            <w:gridSpan w:val="7"/>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420" w:type="dxa"/>
            <w:vAlign w:val="bottom"/>
            <w:gridSpan w:val="10"/>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w:t>
            </w:r>
          </w:p>
        </w:tc>
        <w:tc>
          <w:tcPr>
            <w:tcW w:w="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2460" w:type="dxa"/>
            <w:vAlign w:val="bottom"/>
            <w:gridSpan w:val="4"/>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82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14. Principal Accounting Fees and Services</w:t>
            </w:r>
          </w:p>
        </w:tc>
        <w:tc>
          <w:tcPr>
            <w:tcW w:w="18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83</w:t>
            </w:r>
          </w:p>
        </w:tc>
        <w:tc>
          <w:tcPr>
            <w:tcW w:w="0" w:type="dxa"/>
            <w:vAlign w:val="bottom"/>
          </w:tcPr>
          <w:p>
            <w:pPr>
              <w:spacing w:after="0"/>
              <w:rPr>
                <w:sz w:val="1"/>
                <w:szCs w:val="1"/>
                <w:color w:val="auto"/>
              </w:rPr>
            </w:pPr>
          </w:p>
        </w:tc>
      </w:tr>
      <w:tr>
        <w:trPr>
          <w:trHeight w:val="218"/>
        </w:trPr>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500" w:type="dxa"/>
            <w:vAlign w:val="bottom"/>
            <w:tcBorders>
              <w:top w:val="single" w:sz="8" w:color="0000EE"/>
            </w:tcBorders>
            <w:gridSpan w:val="13"/>
          </w:tcPr>
          <w:p>
            <w:pPr>
              <w:spacing w:after="0"/>
              <w:rPr>
                <w:sz w:val="18"/>
                <w:szCs w:val="18"/>
                <w:color w:val="auto"/>
              </w:rPr>
            </w:pPr>
          </w:p>
        </w:tc>
        <w:tc>
          <w:tcPr>
            <w:tcW w:w="5040" w:type="dxa"/>
            <w:vAlign w:val="bottom"/>
            <w:gridSpan w:val="10"/>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4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18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84</w:t>
            </w:r>
          </w:p>
        </w:tc>
        <w:tc>
          <w:tcPr>
            <w:tcW w:w="0" w:type="dxa"/>
            <w:vAlign w:val="bottom"/>
          </w:tcPr>
          <w:p>
            <w:pPr>
              <w:spacing w:after="0"/>
              <w:rPr>
                <w:sz w:val="1"/>
                <w:szCs w:val="1"/>
                <w:color w:val="auto"/>
              </w:rPr>
            </w:pPr>
          </w:p>
        </w:tc>
      </w:tr>
      <w:tr>
        <w:trPr>
          <w:trHeight w:val="453"/>
        </w:trPr>
        <w:tc>
          <w:tcPr>
            <w:tcW w:w="820" w:type="dxa"/>
            <w:vAlign w:val="bottom"/>
            <w:gridSpan w:val="4"/>
          </w:tcPr>
          <w:p>
            <w:pPr>
              <w:spacing w:after="0"/>
              <w:rPr>
                <w:sz w:val="24"/>
                <w:szCs w:val="24"/>
                <w:color w:val="auto"/>
              </w:rPr>
            </w:pPr>
          </w:p>
        </w:tc>
        <w:tc>
          <w:tcPr>
            <w:tcW w:w="3780" w:type="dxa"/>
            <w:vAlign w:val="bottom"/>
            <w:tcBorders>
              <w:top w:val="single" w:sz="8" w:color="0000EE"/>
            </w:tcBorders>
            <w:gridSpan w:val="14"/>
          </w:tcPr>
          <w:p>
            <w:pPr>
              <w:spacing w:after="0"/>
              <w:rPr>
                <w:sz w:val="24"/>
                <w:szCs w:val="24"/>
                <w:color w:val="auto"/>
              </w:rPr>
            </w:pPr>
          </w:p>
        </w:tc>
        <w:tc>
          <w:tcPr>
            <w:tcW w:w="11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88"/>
              </w:rPr>
              <w:t>2</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This document and the information incorporated by reference herein include “forward-looking statements” within the meaning of the “safe harbor” provisions of the U.S. Private Securities Litigation Reform Act of 1995, which may include, but are not limited to, statements regarding our financial outlook, product development, business prospects, and market and industry trends and conditions, as well as the Company’s strategies, plans, objectives, and goals. These forward-looking statements are based on current beliefs, expectations, estimates, forecasts, and projections of, as well as assumptions made by, and information currently available to, the Company’s management. Words such as “expect,” “anticipate,” “should,” “believe,” “hope,” “target,” “project,” “goals,” “estimate,” “potential,” “predict,” “may,” “will,” “might,” “could,” “would,” “seek,” “plan,” “intend,” “shall,” and variations of these terms or the negative of these terms and similar expressions are intended to identify these forward-looking statements. These forward-looking statements are, by their nature, subject to significant risks and uncertainties, many of which involve factors or circumstances that are beyond the Company’s control. These risks and uncertainties include, but are not limited to, our relatively limited operating history; our ability to expand, retain and motivate our employees and manage our growth; risks associated with general industry conditions and competition; general economic factors, including interest rate and currency exchange rate fluctuations; the impact of pharmaceutical industry regulation and health care legislation in the United States and internationally; technological advances, new products and patents attained by competitors; challenges inherent in new product development, including obtaining regulatory approval; the Company’s ability to accurately predict future market conditions; manufacturing difficulties or delays; changes in laws, rules or regulations relating to any aspect of the Company’s business operations, or general economic, market and business conditions; financial instability of international economies and sovereign risk; dependence on the effectiveness of the Company’s patents and other protections for innovative products; and the exposure to litigation, including patent litigation, and/or regulatory actions. Furthermore, there can be no guarantees with respect to pipeline products that the products will receive the necessary regulatory approvals or that they will prove to be commercially successful. If underlying assumptions prove inaccurate or risks or uncertainties materialize, actual results may differ materially from those set forth in the forward-looking statements. The Company assumes no obligation and does not intend to update or otherwise revise any forward-looking statement, whether as a result of new information, future events or otherwise, except as required by applicable law. As a result of these and other risks, uncertainties and assumptions, forward-looking events and circumstances discussed herein might not occur in the way that the Company’s management expects, if at all. Accordingly, you should not place reliance on any forward-looking statement, and all forward-looking statements are herein qualified by reference to the cautionary statements set forth above.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requires otherwise, references in this annual report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NRx,</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similar designations refer to NRx Pharmaceuticals, Inc.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NRx Pharmaceuticals, Inc. (Nasdaq: NRXP) (“NRx”, the “Company”, “we”, “us” or “our”) is a clinical-stage bio-pharmaceutical company which develops and will distribute, through its wholly-owned operating subsidiary, NeuroRx, Inc., (NeuroRx), novel therapeutics for the treatment of central nervous system disorders including suicidal depression, chronic pain, post-traumatic stress disorder (PTSD) and schizophrenia. NRx is additionally the founder and majority owner of HOPE Therapeutics, Inc. (HOPE), a medical services company that offers interventional psychiatry care to patients with treatment-resistant depression and PTSD with a combination of neuroplastic drugs, transcranial magnetic stimulation (TMS), digital therapeutics, and hyperbaric therapy. All of our current drug development activities are focused on drugs that enhance neuroplasticity by modulating the N-methyl-D-aspartate (NMDA) receptor in the brain and nervous system, a neurochemical pathway that has been disclosed in detail in our annual filings. The Company has three lead drug candidates – NRX-100, a preservative-free formulation of ketamine for intravenous infusion, a generic preservative-free formulation of ketamine (KETAFREE™), and NRX-101, an oral fixed dose combination of D-cycloserine (DCS) and lurasidone. KETAFREE™, NRX-100 and NRX-101 are in the process of submission for Food and Drug Administration (FDA) approval as follows:</w:t>
      </w:r>
    </w:p>
    <w:p>
      <w:pPr>
        <w:spacing w:after="0" w:line="194" w:lineRule="exact"/>
        <w:rPr>
          <w:sz w:val="20"/>
          <w:szCs w:val="20"/>
          <w:color w:val="auto"/>
        </w:rPr>
      </w:pPr>
    </w:p>
    <w:p>
      <w:pPr>
        <w:jc w:val="both"/>
        <w:ind w:left="1300" w:hanging="644"/>
        <w:spacing w:after="0" w:line="253"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Abbreviated New Drug Application (ANDA) for KETAFREE™ was filed, with priority review requested in September 2025. The FDA approved the suitability of NRx’s proposed strength. On November 6, 2025, the Company received a communication from the FDA in which no significant deficiencies were identified in the revised filing. On March 15, 2026 the Company received FDA’s preliminary determination of no deficiency in the bioequivalence of KETAFREE™ to KETALAR®, the Reference Listed Drug. These communications are consistent with the Company’s plan to initiate commercial sales of KETAFREE™ with FDA approval in Q3 2026. The Company has additionally submitted a citizen petition seeking to have benzethonium chloride, a toxic preservative, removed from all commercial presentations of ketamine. The Company has completed all required manufacturing steps, including the manufacture of three reference batches of KETAFREE™ and has demonstrated room temperature shelf stability that is anticipated to support a three-year room temperature shelf life at the time of launch. KETAFREE™, if approved, would inherit the same label as the Reference Listed Drug. The current generic market for ketamine exceeds $750 million per year.</w:t>
      </w:r>
    </w:p>
    <w:p>
      <w:pPr>
        <w:spacing w:after="0" w:line="194"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Drug Application (NDA) for NRX-100, originally initiated during the fourth quarter of 2024, is in the process of completion and is expected to be filed in Q2 2026. This follows award of Fast Track Designation (FTD) by the FDA for the Company’s expanded indication of “Treatment of Suicidal Ideation in Depression, including Bipolar Depression.” A key element of the Company’s Prescription Drug User Fee Act (PDUFA) strategy has focused on obtaining data to confirm the ketamine efficacy seen in clinical trials conducted under governmental auspices in the US and France. In Q3 2025, the FDA published new guidance that – for the first time – enabled sponsors to submit Real World Evidence (RWE) of efficacy without patient-identifiable information. Accordingly, the Company contracted with Osmind, Inc. to analyze and submit RWE drawn from 65,000 patients treated for depression with intravenous ketamine compared to 6,000 patients treated with intranasal S-ketamine. An interim analysis drawn from the first 20,000 patients suggests that IV ketamine may have a more rapid onset of action and larger magnitude of effect than nasal S-ketamine. The Company and Osmind met with the FDA to secure FDA’s agreement to review both the existing clinical trials and the RWE. FDA agreed to work with the Company in this manner and suggested an expanded clinical indication to encompass patients with severe depression, including bipolar depression, who may have suicidal ideation. The Company has completed all required manufacturing steps, including the manufacture of three registration batches, and demonstrated room temperature shelf stability to support a three-year room-temperature shelf life. The current market for ketamine as labeled for the treatment of depression is served only by a nasal preparation of S-ketamine (SPRAVATO®) that has current estimated sales of approximately $2 billion per year.</w:t>
      </w:r>
    </w:p>
    <w:p>
      <w:pPr>
        <w:spacing w:after="0" w:line="196" w:lineRule="exact"/>
        <w:rPr>
          <w:sz w:val="20"/>
          <w:szCs w:val="20"/>
          <w:color w:val="auto"/>
        </w:rPr>
      </w:pPr>
    </w:p>
    <w:p>
      <w:pPr>
        <w:jc w:val="both"/>
        <w:ind w:left="1300" w:hanging="644"/>
        <w:spacing w:after="0" w:line="25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NDA filing for NRX-101 has been initiated with the submission of the Module 3 manufacturing file to the FDA. The drug was previously awarded Breakthrough Therapy Designation and accordingly the Company is requesting rolling review from the NDA. Breakthrough Therapy Designation is granted by the FDA to facilitate the development and expedite the review of drugs to treat serious conditions that address an unmet medical need and have demonstrated preliminary evidence of efficacy as determined by the FDA. Based on current data, the Company aims to seek accelerated approval for use of NRX-101 in patients with bipolar depression who exhibit suicidal ideation on currently approved medication.</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the Company was made aware of dramatic findings suggesting that low-dose D-cycloserine (the key ingredient in NRX-101) may increase the antidepressant and antisuicidal effects of TMS by more than two-fold, as demonstrated in a randomized controlled trial and subsequently confirmed with real world experience and mechanistic studies. Accordingly, the Company has filed a protocol with the FDA to test the use of low-dose NRX-101 in conjunction with the one-day TMS protocol (ONE-D). Should this study demonstrate safety and efficacy, it could represent a dramatic expansion of the market for NRX-101 and have the potential to offer patients a rapid remission from severe depression and PTSD with a single day of treatment. Millions of Americans are expected to be treated with TMS in coming years. Success in this planned clinical trial would lead to a potential 2027 PDUFA date for this previously unanticipated indication.</w:t>
      </w:r>
    </w:p>
    <w:p>
      <w:pPr>
        <w:spacing w:after="0" w:line="191"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received IND comments from FDA which were related to various aspects of statistical design and ascertainment of study endpoints, but which accepted the clinical aspects of the study design. Accordingly, the Company anticipates initiating the clinical trial in Q2 2026. The Company currently anticipates non-dilutive funding to support this phase 2b/3 trial from a government agency that has provided a preliminary financial commitment, subject to finalization of the study budget.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2024, NRx incorporated HOPE Therapeutics, with the intent of developing a medical care delivery organization focused on providing cutting-edge, comprehensive interventional psychiatric treatment with the most effective treatments available, including NMDA-targeted and other neuroplastic drugs, such as ketamine, Spravato and NRX-101, neuromodulatory devices, such as Transcranial Magnetic Stimulation (TMS), hyperbaric therapy, digital therapeutics, and medication management. During 2025, the Company developed the operating model for HOPE and made initial clinic acquisitions with funding from the B-Group (Dallas, TX). HOPE generated its first clinical revenue in Q4 2025 and currently operates in five locations in Florida with the expectation of operating in eight or more locations by the end of Q2 2026.</w:t>
      </w:r>
    </w:p>
    <w:p>
      <w:pPr>
        <w:sectPr>
          <w:pgSz w:w="11900" w:h="16838" w:orient="portrait"/>
          <w:cols w:equalWidth="0" w:num="1">
            <w:col w:w="11240"/>
          </w:cols>
          <w:pgMar w:left="320" w:top="121" w:right="339" w:bottom="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2, 2024, HOPE formed HTX Management Company, LLC, a wholly owned subsidiary organized as a Delaware limited liability company, for the purpose of supporting future operations associated with any acquired businesses.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8, 2025, HOPE became a revenue-generating clinical enterprise through its completion of the previously announced acquisition of Dura Medical, LLC (Dura), a Florida limited liability company, and a revenue-generating clinical organization with locations in Naples and Ft. Myers, Florida. Founded in 2018, Dura offers precision-based interventional psychiatry services, including ketamine infusion therapy, TMS, Spravato®, stellate ganglion blocks, and psychotherapy.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17, 2025, the Company completed the previously announced addition of Cohen and Associates, based in Sarasota, FL, to the HOPE Network with a strategic minority investment, which expanded HOPE’s footprint on the West Coast of Florida, and related appointment of Dr. Rebecca Cohen as HOPE’s Medical Director. On November 10, 2025, HOPE announced completion of clinical training on the Ampa Health TMS device and initiation of the ONE-D protocol at its Florida locations. The ONE-D protocol has been reported in the peer-reviewed literature to achieve 87% response and 72% remission from severe depression at 6 weeks following a single day of TMS treatment, combined with D-cycloserine. HOPE is the first clinical enterprise to offer this one-day treatment protocol in Florida and one of the first to offer this therapy nationwide.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process of this evolution, HOPE made the scientific decision to focus on delivery of focused TMS with neuro-navigation techniques that are guided by brain imaging. The Company believes that this is the approach that will best enable future therapies for PTSD, Traumatic Brain Injury (TBI), Autism, and Alzheimer’s, in addition to the current treatment of depression, particularly when enhanced by D-cycloserine based drugs.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2026, HOPE announced the appointment of Professor Joshua Brown, MD, PhD, of Harvard/Mclean to serve as its Chief Medical Innovation Officer, alongside Rebecca Cohen, MD, who serves as HOPE’s Medical Director. Dr. Brown is currently funded by the US National Institutes of Health and the Department of War Defense Advanced Research Projects Agency (DARPA) for projects that advance the frontier of TMS, neuroplasticity, and the application of these techniques to Force Preparedness. The Company similarly signed a letter of intent to acquire an innovative treatment program that is currently demonstrating high rates of return to function among first-responders who are disabled by PTSD.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Throughout 2025 and in the subsequent period, key achievements by the Company in support of its overall mission to improve and save the lives of patients affected by central nervous system disorders including suicidal depression, chronic pain, post-traumatic stress disorder and schizophrenia include the following: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KETAFREE● Grant of Fast Track Designation for NRX-100 from the FDA for all indications and types of depression and related disorders based on its</w:t>
      </w:r>
    </w:p>
    <w:p>
      <w:pPr>
        <w:spacing w:after="0" w:line="27" w:lineRule="exact"/>
        <w:rPr>
          <w:sz w:val="20"/>
          <w:szCs w:val="20"/>
          <w:color w:val="auto"/>
        </w:rPr>
      </w:pPr>
    </w:p>
    <w:p>
      <w:pPr>
        <w:jc w:val="right"/>
        <w:ind w:left="1120" w:hanging="1112"/>
        <w:spacing w:after="0" w:line="250" w:lineRule="auto"/>
        <w:tabs>
          <w:tab w:leader="none" w:pos="1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NRX-100   potential to satisfy an unmet medical need. This designation represents an approximately 10-fold expansion of the addressable market to 13 million Americans, compared to the original Fast Track Designation issued in 2017 for bipolar depression alone. The Designation letter</w:t>
      </w:r>
    </w:p>
    <w:p>
      <w:pPr>
        <w:spacing w:after="0" w:line="1" w:lineRule="exact"/>
        <w:rPr>
          <w:sz w:val="20"/>
          <w:szCs w:val="20"/>
          <w:color w:val="auto"/>
        </w:rPr>
      </w:pPr>
    </w:p>
    <w:p>
      <w:pPr>
        <w:ind w:left="1120"/>
        <w:spacing w:after="0" w:line="250" w:lineRule="auto"/>
        <w:rPr>
          <w:sz w:val="20"/>
          <w:szCs w:val="20"/>
          <w:color w:val="auto"/>
        </w:rPr>
      </w:pPr>
      <w:r>
        <w:rPr>
          <w:rFonts w:ascii="Times New Roman" w:cs="Times New Roman" w:eastAsia="Times New Roman" w:hAnsi="Times New Roman"/>
          <w:sz w:val="18"/>
          <w:szCs w:val="18"/>
          <w:color w:val="auto"/>
        </w:rPr>
        <w:t>contains a specific finding that NRX-100 addresses an “unmet medical need.” This is a specific qualifying requirement for the Commissioner’s National Priority Voucher Program (CNPV).</w:t>
      </w:r>
    </w:p>
    <w:p>
      <w:pPr>
        <w:spacing w:after="0" w:line="1" w:lineRule="exact"/>
        <w:rPr>
          <w:sz w:val="20"/>
          <w:szCs w:val="20"/>
          <w:color w:val="auto"/>
        </w:rPr>
      </w:pPr>
    </w:p>
    <w:p>
      <w:pPr>
        <w:ind w:left="1120" w:hanging="1119"/>
        <w:spacing w:after="0" w:line="250" w:lineRule="auto"/>
        <w:rPr>
          <w:sz w:val="20"/>
          <w:szCs w:val="20"/>
          <w:color w:val="auto"/>
        </w:rPr>
      </w:pPr>
      <w:r>
        <w:rPr>
          <w:rFonts w:ascii="Times New Roman" w:cs="Times New Roman" w:eastAsia="Times New Roman" w:hAnsi="Times New Roman"/>
          <w:sz w:val="18"/>
          <w:szCs w:val="18"/>
          <w:color w:val="auto"/>
        </w:rPr>
        <w:t>KETAFREE● Completion of three manufactured registration lots for KETAFREE™. Completion of manufacturing readiness audit at Nephron Pharmaceuticals, Inc., with no deficiencies identified. Stability data in hand sufficient to support three years of room temperature shelf life.</w:t>
      </w:r>
    </w:p>
    <w:p>
      <w:pPr>
        <w:spacing w:after="0" w:line="1" w:lineRule="exact"/>
        <w:rPr>
          <w:sz w:val="20"/>
          <w:szCs w:val="20"/>
          <w:color w:val="auto"/>
        </w:rPr>
      </w:pPr>
    </w:p>
    <w:p>
      <w:pPr>
        <w:ind w:left="1120" w:right="20" w:hanging="1119"/>
        <w:spacing w:after="0" w:line="250" w:lineRule="auto"/>
        <w:rPr>
          <w:sz w:val="20"/>
          <w:szCs w:val="20"/>
          <w:color w:val="auto"/>
        </w:rPr>
      </w:pPr>
      <w:r>
        <w:rPr>
          <w:rFonts w:ascii="Times New Roman" w:cs="Times New Roman" w:eastAsia="Times New Roman" w:hAnsi="Times New Roman"/>
          <w:sz w:val="18"/>
          <w:szCs w:val="18"/>
          <w:color w:val="auto"/>
        </w:rPr>
        <w:t>KETAFREE● Filing of Commissioner’s National Priority Voucher application for intravenous ketamine (NRX-100). Subsequently, the Company was invited to attend a closed-door listening session with the FDA Commissioner and senior staff.</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KETAFREE● Submission of stability data for NRX-100 to the manufacturing data on file with FDA sufficient to support three years of room temperature &amp; NRX-100 shelf stability for NRX-100.</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KETAFREE● Submission of draft labeling for NRX-100 in the treatment of suicidal depression based on the Fast Track Designation received. KETAFREE● Completion of three manufactured registration batches. Submission of stability data for NRX-100 to the manufacturing data on file with</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FDA sufficient to support three years of room temperature shelf stability.</w:t>
      </w:r>
    </w:p>
    <w:p>
      <w:pPr>
        <w:spacing w:after="0" w:line="9" w:lineRule="exact"/>
        <w:rPr>
          <w:sz w:val="20"/>
          <w:szCs w:val="20"/>
          <w:color w:val="auto"/>
        </w:rPr>
      </w:pPr>
    </w:p>
    <w:p>
      <w:pPr>
        <w:ind w:left="920" w:right="20" w:hanging="1119"/>
        <w:spacing w:after="0" w:line="250" w:lineRule="auto"/>
        <w:tabs>
          <w:tab w:leader="none" w:pos="900" w:val="left"/>
        </w:tabs>
        <w:rPr>
          <w:sz w:val="20"/>
          <w:szCs w:val="20"/>
          <w:color w:val="auto"/>
        </w:rPr>
      </w:pPr>
      <w:r>
        <w:rPr>
          <w:rFonts w:ascii="Times New Roman" w:cs="Times New Roman" w:eastAsia="Times New Roman" w:hAnsi="Times New Roman"/>
          <w:sz w:val="18"/>
          <w:szCs w:val="18"/>
          <w:color w:val="auto"/>
        </w:rPr>
        <w:t>NRX-100</w:t>
        <w:tab/>
        <w:t>● Initiation of Real World Evidence analysis project with Osmind, Inc, to provide RWE on 65,000 patients treated with intravenous ketamine for depression compared to 6,000 patients treated with intranasal S-ketamine.</w:t>
      </w:r>
    </w:p>
    <w:p>
      <w:pPr>
        <w:spacing w:after="0" w:line="1" w:lineRule="exact"/>
        <w:rPr>
          <w:sz w:val="20"/>
          <w:szCs w:val="20"/>
          <w:color w:val="auto"/>
        </w:rPr>
      </w:pPr>
    </w:p>
    <w:p>
      <w:pPr>
        <w:ind w:left="920" w:right="20" w:hanging="1119"/>
        <w:spacing w:after="0" w:line="250" w:lineRule="auto"/>
        <w:tabs>
          <w:tab w:leader="none" w:pos="900" w:val="left"/>
        </w:tabs>
        <w:rPr>
          <w:sz w:val="20"/>
          <w:szCs w:val="20"/>
          <w:color w:val="auto"/>
        </w:rPr>
      </w:pPr>
      <w:r>
        <w:rPr>
          <w:rFonts w:ascii="Times New Roman" w:cs="Times New Roman" w:eastAsia="Times New Roman" w:hAnsi="Times New Roman"/>
          <w:sz w:val="18"/>
          <w:szCs w:val="18"/>
          <w:color w:val="auto"/>
        </w:rPr>
        <w:t>NRX-100</w:t>
        <w:tab/>
        <w:t>● Type C meeting with FDA to align on submission of existing clinical trials as Substantial Evidence of Effectiveness together with RWE as confirmatory evidence of effectiveness.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NRX-100</w:t>
        <w:tab/>
        <w:t>● Receipt of filing fee waiver from the FDA for NRX-100.</w:t>
      </w:r>
    </w:p>
    <w:p>
      <w:pPr>
        <w:spacing w:after="0" w:line="9" w:lineRule="exact"/>
        <w:rPr>
          <w:sz w:val="20"/>
          <w:szCs w:val="20"/>
          <w:color w:val="auto"/>
        </w:rPr>
      </w:pPr>
    </w:p>
    <w:p>
      <w:pPr>
        <w:ind w:left="920" w:hanging="1119"/>
        <w:spacing w:after="0" w:line="260" w:lineRule="auto"/>
        <w:tabs>
          <w:tab w:leader="none" w:pos="900" w:val="left"/>
        </w:tabs>
        <w:rPr>
          <w:sz w:val="20"/>
          <w:szCs w:val="20"/>
          <w:color w:val="auto"/>
        </w:rPr>
      </w:pPr>
      <w:r>
        <w:rPr>
          <w:rFonts w:ascii="Times New Roman" w:cs="Times New Roman" w:eastAsia="Times New Roman" w:hAnsi="Times New Roman"/>
          <w:sz w:val="18"/>
          <w:szCs w:val="18"/>
          <w:color w:val="auto"/>
        </w:rPr>
        <w:t>NRX-100</w:t>
        <w:tab/>
        <w:t>● Filing of module 3 manufacturing data to support a New Drug Application for NRX-101 in the treatment of patients with suicidal bipolar depression and akathisia despite treatment with already-approved medication.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HOPE Therapeutics</w:t>
      </w:r>
    </w:p>
    <w:p>
      <w:pPr>
        <w:spacing w:after="0" w:line="229" w:lineRule="exact"/>
        <w:rPr>
          <w:sz w:val="20"/>
          <w:szCs w:val="20"/>
          <w:color w:val="auto"/>
        </w:rPr>
      </w:pPr>
    </w:p>
    <w:p>
      <w:pPr>
        <w:ind w:left="1300" w:hanging="320"/>
        <w:spacing w:after="0" w:line="234"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Completed acquisition of Dura Medical and subsequent acquisition of an interest in Cohen and Associates, LLC with first clinical revenue recorded during third quarter of 2025.</w:t>
      </w:r>
    </w:p>
    <w:p>
      <w:pPr>
        <w:spacing w:after="0" w:line="1" w:lineRule="exact"/>
        <w:rPr>
          <w:rFonts w:ascii="Times New Roman" w:cs="Times New Roman" w:eastAsia="Times New Roman" w:hAnsi="Times New Roman"/>
          <w:sz w:val="22"/>
          <w:szCs w:val="22"/>
          <w:color w:val="auto"/>
        </w:rPr>
      </w:pPr>
    </w:p>
    <w:p>
      <w:pPr>
        <w:ind w:left="1300" w:hanging="320"/>
        <w:spacing w:after="0" w:line="225"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Establishment of HOPE clinics in Naples, FL, Fort Meyers, FL, West Palm Beach, FL and Sarasota, FL (2) with locations under development in Boston, MD, Denver, CO, and other locations.</w:t>
      </w:r>
    </w:p>
    <w:p>
      <w:pPr>
        <w:ind w:left="1300" w:hanging="320"/>
        <w:spacing w:after="0" w:line="225"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Appointment of Prof. Joshua Brown, MD, PhD, as Chief Medical Innovation Officer and Rebecca Cohen, MD, as HOPE Medical Director. Prof. Brown is currently funded under DARPA Phase 2 contracts to adapt TMS to meet the needs of Force Preparedness</w:t>
      </w:r>
    </w:p>
    <w:p>
      <w:pPr>
        <w:ind w:left="1300" w:hanging="320"/>
        <w:spacing w:after="0" w:line="225"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Partnership initiation with neurocare AG, (Munich and Atlanta, GA) with clinical collaboration and collaboration on NRX-101 as therapy to enhance effectiveness of TMS.</w:t>
      </w:r>
    </w:p>
    <w:p>
      <w:pPr>
        <w:ind w:left="1300" w:hanging="320"/>
        <w:spacing w:after="0" w:line="225"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Partnership with EMOBOT, Inc. (Paris, France) to deploy continuous patient monitoring of depression, PTSD, and suicidality across HOPE’s clinical footprint to support accountable care initiatives.</w:t>
      </w:r>
    </w:p>
    <w:p>
      <w:pPr>
        <w:ind w:left="1300" w:hanging="320"/>
        <w:spacing w:after="0" w:line="225"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Development partnership with neurosurgical robotics manufacturer to support development of military-focused TMS technology in support of force preparedness.</w:t>
      </w:r>
    </w:p>
    <w:p>
      <w:pPr>
        <w:ind w:left="1300" w:hanging="320"/>
        <w:spacing w:after="0" w:line="225" w:lineRule="auto"/>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Appointment of study lead (currently in contracting) for Department of War-funded deployment of military-grade TMS initiative including NRX-101 neuroplastic augmentation, robotic TMS, and precision neuronavigation.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Leadership</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2024, the Board of NRx Pharmaceuticals announced the retirement of Stephen Willard, JD as Chief Executive Officer of NRx and the appointment of Jonathan C. Javitt, MD, MPH, the Company’s Chairman of the Board as interim CEO. The Board appointed Michael Abrams, MBA as its Chief Financial Officer and Treasurer in place of Richard Narido. In January 2026, the Board of Directors confirmed Dr. Javitt as permanent CEO.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2025, the Company reinstated the at-the-market offering and increased the maximum aggregate offering amount and filed a prospectus supplement under the offering agreement for an aggregate of $20,000,000. During the year ended December 31, 2025, the Company sold an aggregate of 2,277,177 shares of Common Stock for approximately $6.54 million, net of $0.2 million in offering costs. Pursuant to the Anson Purchase Agreement, on January 28, 2025, the Company issued $5.4 million of Third Tranche Anson Notes at an 8% original issue discount for total cash proceeds of approximately $5.0 million. On August 18, 2025, the Company entered into the Second RD Purchase Agreement with certain accredited investors for the sale of an aggregate of 3,959,999 shares of the Company’s Common Stock, at a purchase price of $1.65 per share. The Second Registered Direct Offering closed on August 18, 2025, and resulted in net proceeds of approximately $6.2 million, after deducting placement agent fees and other offering-related expenses of approximately $0.3 million. On September 30, 2025, the 1,870,960 shares underlying Anson Warrants were exercised for cash proceeds of $3.09 million. Because the exercise proceeds were received subsequent to September 30, 2025, the Company recorded a subscription receivable asset of $3.09 million as of September 30, 2025. The exercise proceeds of $3.09 million were received on October 1, 2025.</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no assurances can be given, management believes that it will be able to secure necessary financing to support and consummate both its previously announced acquisitions and potential future acquisition candidates, execute its business plan and achieve its projected revenue objectives.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Development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NRX-100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Preservative-Free Ketamine: NRX-100 and KETAFREE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undertaken two paths to market for ketamine: a generic-approval path under an ANDA (KETAFREE™) to address the current generic market for ketamine and an innovative drug path under a New Drug Application (NDA) to develop ketamine for use in treating suicidal depression. The ANDA market is estimated at $750 million today and we anticipate entering this market in early to mid 2026. There is one ketamine-based drug currently marketed for treatment of depression and its manufacturer recently reported $1.6 billion in 2025 sales. With recent positive changes in the regulatory environment, we similarly anticipate entering the innovative market for ketamine in late 2026.</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proprietary, preservative free formulation is the subject of a US patent filing that has potential to confer market exclusivity. In addition, we have filed a Citizen Petition with the FDA noting that the Benzethonium Chloride (BZT) preservative in ketamine is not GRAS and has not been demonstrated to be safe in the context of this product. Historically, BZT was added to ketamine to enable multidose use and multi-patient use from a single vial. Those uses are no longer common in US healthcare facilities. We have performed an extensive review of the toxicology literature around BZT and determined that the FDA no longer allows BZT to be used in hand cleansers and topical antiseptics. BZT is part of a class of quaternary amines that have been shown to be toxic to corneal and conjunctival cells. A related compound in this class, Benzalkonium Chloride, has been removed from many eyedrops because of this demonstrated toxicity. The toxicology review link suggests that while single dose administration of preserved ketamine is generally thought of as safe, the cumulative dose of BZT with repeated intravenous administration may approach a toxicologically-concerning exposure to this compound.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1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98"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Toxicological Evaluation of Benzethonium Chloride in Ketamine Formulations. Zenodo. </w:t>
      </w:r>
      <w:r>
        <w:rPr>
          <w:rFonts w:ascii="Times New Roman" w:cs="Times New Roman" w:eastAsia="Times New Roman" w:hAnsi="Times New Roman"/>
          <w:sz w:val="18"/>
          <w:szCs w:val="18"/>
          <w:u w:val="single" w:color="auto"/>
          <w:color w:val="auto"/>
        </w:rPr>
        <w:t>https://doi.org/10.5281/zenodo.16883346</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we anticipate that a preservative-free form of ketamine will be welcomed by physicians and patients, which may enable NRX-100 to gain a larger share of the existing ketamine market than would be available to an undifferentiated product. However, should the Citizens Petition be granted the share of the generic market captured by NRX-100 could be considerably higher.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first filing of the ANDA in June 2025 received a “Refuse to Receive” letter from the FDA primarily based on a difference in the concentration of a single inactive ingredient (sodium chloride) between the NRX-100 formulation and the reference formulation of KETALAR®. The Company met with leadership of the Office of Generic Drugs and agreed to adjust the sodium chloride concentration to within 5% of the reference product. The ANDA was refiled in September 2025, and the Company received a letter in November 2025 identifying only several minor administrative discrepancies, all of which have now been addressed without starting a new regulatory cycle. The Company is aware of no impediments to an acceptance of the ANDA package and anticipates regulatory action in the summer of 2026.</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KETAFREE™ ANDA was refiled in September 2025, and the Company received a letter in November 2025 with a notice that FDA had received the file and assigning a summer 2026 decision date under the Generic Drug User Fee Act (GDUFA). In March 2026, the company received a notice from the Bioequivalence Discipline Unit in the FDA Office of Generic Drugs identifying no bioequivalence deficiencies between KETAFREE™ and the Reference Listed Drug KETALAR®.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path to New Drug Approval of Ketamine for treatment of depression was substantially augmented on August 8, 2025 by award of an expanded Fast Track Designation (FTD) to NRX-100 by the FDA Division of Psychiatry Products. Originally, in 2017, the FDA awarded FTD to NRX-100 in association with NRX-101 for the treatment of suicidal bipolar depression. During 2025, the FDA gave a far broader Fast Track Designation to NRX-100, designating it for “Treatment of suicidal ideation in depression, including bipolar depression,” According to the US Centers for Disease Control (CDC), 3.6 million Americans contemplate suicide each year, with 1.5 million attempting suicide and an American dying of suicide every 11 minutes.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NRx previously guided that it intended to seek only accelerated approval of NRX-100. On February 11, 2026, the Company conducted a Type C meeting with FDA leadership, represented by the Deputy Director of the Center for Drug Evaluation and Research (CDER), the Director of the FDA Office of Neuroscience, and the Director of the FDA Division of Psychiatry Products. FDA guided the Company to seek full NDA approval, rather than accelerated approval for NRX-100. FDA further guided the Company to broaden the indication for NRX-100 to patients with severe depression (including bipolar depression) who may have suicidal ideation rather than the smaller population of those who have active suicidal ideation. FDA agreed to review patient-level data from already-completed clinical trials for Substantial Evidence of Efficacy and did not ask the Company to conduct additional clinical trials. FDA further agreed to review Real World Evidence developed in partnership with Osmind, Inc. as confirmatory evidence of efficacy.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NRx intends to seek accelerated approval of NRX-100. The data that have been licensed from the Government of France and Columbia University demonstrate that intravenous ketamine is superior to placebo and to active placebo in reducing suicidal ideation and depression within hours and has an effect duration of about a week. The PCORI-funded trial of ketamine versus ECT demonstrates non-inferiority to ECT on depression over a 6-month period Although PCORI demonstrated ketamine to be non-inferior in reducing depression, it was vastly superior with regard to safety, with 30% of those treated with ECT reporting memory loss compared to 0% of those treated with ketamine. The Company believes that these data together with additional already-conducted trials are sufficient for an FDA grant of initial market access subject to confirmatory data. However, longer term data are desirable for a drug that may ultimately be used in millions of patients each year. Additional detail regarding established ketamine efficacy data is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131445</wp:posOffset>
            </wp:positionV>
            <wp:extent cx="6111875" cy="3265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1187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experimental data shown above, the Company will be presenting Real World Data from two sources that capture medical record information from approximately 70,000 and 1,200 patients, respectively. An example drawn from the first 20,000 such patients examined is depicted below and suggests that the effect of ketamine seen in Real World Data is consistent with the results observed in randomized clinical trials. Unlike the randomized trials that compared ketamine to placebo and active comparator, the Real World Data also compares intravenous ketamine to intranasal SPRAVATO® with favorable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265430</wp:posOffset>
            </wp:positionV>
            <wp:extent cx="5323205" cy="2674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320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regular approval pathway, a Company is obligated to provide confirmatory data of safety and efficacy within five years, as would be required of accelerated approval. However, to further enhance the NRX-100 label in future years, NRx has contracted with the PCORI sponsors of a 450-person randomized non-inferiority trial of intravenous racemic ketamine compared to intranasal S-ketamine. The Company expects that NRX-100 will prove to be non-inferior to intranasal S-ketamine in reducing symptoms of depression and may prove superior in reducing symptoms of suicidality.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NRX-101: Original indication in Bipolar Depression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fiscal year 2025 and in subsequent events, management has focused on preparing the NDA of NRX-101, submitting more than 80,000 pages of manufacturing, non-clinical, and clinical material in July 2025. Breakthrough Therapy Designation was awarded to NRX-101 by the FDA in 2018.</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noted previously, NRX-101 demonstrated a statistically-significant benefit in reduction of suicidality and reduction of akathisia in a randomized, well-controlled trial against lurasidone. These findings confirm the initial results reported in the Company’s STABIL-B trial. The Company anticipates filing an NDA for Accelerated Approval of NRX-101 for treatment of “Suicidal Bipolar Depression in patients with Akathisia and Active Suicidal Ideation despite standard of care therapy.” NRX-101 is the only oral medicine that has ever been demonstrated in two randomized trials to reduce active suicidality and akathisia, to the Company’s knowledge. The Company is in active discussion with an academic medical center that has already demonstrated leadership in the successful phase 2 trial to conduct the confirmatory research required post Accelerated Approval under an already-funded national multicenter trial. The Company is currently seeking a second PDUFA fee waiver from the FDA on the grounds of overwhelming public health need.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NRX-101: New indication in augmenting the effects of Transcranial Magnetic Stimulation (TMS).</w:t>
      </w:r>
    </w:p>
    <w:p>
      <w:pPr>
        <w:spacing w:after="0" w:line="2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the third quarter of 2025, the Company identified a promising new indication for NRX-101 that potentially offers rapid path to commercialization for this Breakthrough Therapy-designated drug. Recent evidence suggests that NRX-101 may confer a significant added advantage to the clinical results of Transcranial Magnetic Stimulation.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Cole and colleagues reported that patients randomized to DCS versus placebo concurrent with TMS using a standard protocol experienced a greater than two-fold benefit in terms of reduction in symptoms of depression. Clinical response of 75% and remission of 40% was seen in the DCS-treated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140335</wp:posOffset>
            </wp:positionV>
            <wp:extent cx="4903470" cy="2340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03470"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substantial body of nonclinical literature has been published in subsequent years demonstrating that DCS at low doses exerts a neuroplasticity effect and causes dendritic sprouting in areas of the brain associated with depression.</w:t>
      </w:r>
    </w:p>
    <w:p>
      <w:pPr>
        <w:spacing w:after="0" w:line="16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On November 4, 2025, Real World Data were presented in conjunction with a one day TMS protocol, combined with a single administration of oral DCS.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authors reported 87% clinical response and 72% remission manifesting at six weeks after a single day of treatment on the Hamilton Depression Rating Scale with similar findings on other standard test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1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right="20" w:firstLine="8"/>
        <w:spacing w:after="0" w:line="195" w:lineRule="auto"/>
        <w:tabs>
          <w:tab w:leader="none" w:pos="123"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Cole J, et.al. Efficacy of Adjunctive D-Cycloserine to Intermittent Theta-Burst Stimulation for Major Depressive Disorder: A Randomized Clinical Trial. JAMA Psychiatry. 2022;79(12):1153–1161. doi:10.1001/jamapsychiatry.2022.3255</w:t>
      </w:r>
    </w:p>
    <w:p>
      <w:pPr>
        <w:spacing w:after="0" w:line="200" w:lineRule="exact"/>
        <w:rPr>
          <w:sz w:val="20"/>
          <w:szCs w:val="20"/>
          <w:color w:val="auto"/>
        </w:rPr>
      </w:pPr>
    </w:p>
    <w:p>
      <w:pPr>
        <w:jc w:val="both"/>
        <w:ind w:firstLine="8"/>
        <w:spacing w:after="0" w:line="210" w:lineRule="auto"/>
        <w:tabs>
          <w:tab w:leader="none" w:pos="124"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Vaughn, Donald &amp; Marino, Brooke &amp; Engelbertson, Alex &amp; Dojnov, Aleksandra &amp; Weiss, Nick &amp; Vila-Rodriguez, Fidel &amp; Nanos, Georgine &amp; Downar, Jonathan. (2024). Real-world effectiveness of a single-day regimen for transcranial magnetic stimulation using Optimized, Neuroplastogen-Enhanced techniques in Depression (ONE-D). 10.21203/rs.3.rs-5679327/v1.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154305</wp:posOffset>
            </wp:positionV>
            <wp:extent cx="5452110" cy="4483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448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the above studies were conducted with DCS alone, the Seromycin® (D-cycloserine) label lists a clear contra-indication for the use of DCS in patients with depression. That contraindication was part of the basis for the agreement between NRx and the FDA to combine DCS and lurasidone into NRX-101 and the FDA’s decision to assign an indication for NRX-101 together with Breakthrough Therapy Designation in the treatment of Bipolar Depression.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the above findings, the Company is now planning a phase 3 registration trial for the use of NRX-101 versus placebo in conjunction with Theta-burst TMS. The trial is expected to be funded via non-dilutive funding from a governmental source. Based on the rapid adoption of accelerated TMS and the dramatic results seen, we estimate that between 1 and 3 million Americans will receive TMS for depression annually. The Company holds numerous compositions of matter and method patents on the use of NRX-101 that have the potential to create a substantial period of market exclusivity should the drug be approved.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HOPE Therapeutics: Operating Progress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2025, NRx consummated, through its HOPE subsidiary, its first clinic acquisition (Dura) leading to its first revenue from operations. Note that the revenue shown on the financial statement represents only three weeks and one quarter of clinical revenue and that revenues are expected to grow as more clinical footprint is acquired. In October 2025, the NRx, through its HOPE subsidiary, completed the acquisition of a minority interest in Cohen &amp; Associates.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NRx became the first clinical entity to partner with Ampa Health in the State of Florida and one of the first nationwide. The Ampa device is unique because of the results demonstrated with the ONE-D protocol and the dramatic rate of clinical response (87%) and remission (72%) seen when this TMS device is combined with the key ingredient of NRX-101. The Company is in active acquisition mode and is also establishing partnerships with TMS providers that could enable HOPE to enter into a Medical Services Organization (MSO) structure with partner entities.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Company-acquired clinics, HOPE has opened two clinical facilities in Florida that are finalizing clinical staffing and regulatory approval. The Company is in the process of establishing new clinical facilities in Boston, MA, and Denver, CO.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2026, NRx announced a partnership with neurocare AG, the manufacturer of the Apollo TMS device, to combine efforts on developing clinical sites in the United States. The Companies aim to leverage the owned clinical facilities of the partners (5 HOPE and 14 neurocare) and the footprint of 400 installed Apollo TMS sites in the United States to offer an integrated network of sites offering neuroplastic therapy including ketamine and other neuroplastic drugs, TMS, Hyperbaric Therapy, and psychotherapy/medication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125730</wp:posOffset>
            </wp:positionV>
            <wp:extent cx="4088765" cy="1808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8876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approximately 29 full-time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NRx Patent Portfolio</w:t>
      </w:r>
    </w:p>
    <w:p>
      <w:pPr>
        <w:spacing w:after="0" w:line="22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Glytech-licensed Patents/Patent Applications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Patent/Appl.</w:t>
            </w:r>
          </w:p>
        </w:tc>
        <w:tc>
          <w:tcPr>
            <w:tcW w:w="60" w:type="dxa"/>
            <w:vAlign w:val="bottom"/>
          </w:tcPr>
          <w:p>
            <w:pPr>
              <w:spacing w:after="0"/>
              <w:rPr>
                <w:sz w:val="18"/>
                <w:szCs w:val="18"/>
                <w:color w:val="auto"/>
              </w:rPr>
            </w:pPr>
          </w:p>
        </w:tc>
        <w:tc>
          <w:tcPr>
            <w:tcW w:w="7240" w:type="dxa"/>
            <w:vAlign w:val="bottom"/>
          </w:tcPr>
          <w:p>
            <w:pPr>
              <w:spacing w:after="0"/>
              <w:rPr>
                <w:sz w:val="18"/>
                <w:szCs w:val="18"/>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6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Status/Notes</w:t>
            </w:r>
          </w:p>
        </w:tc>
      </w:tr>
      <w:tr>
        <w:trPr>
          <w:trHeight w:val="216"/>
        </w:trPr>
        <w:tc>
          <w:tcPr>
            <w:tcW w:w="2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40" w:type="dxa"/>
            <w:vAlign w:val="bottom"/>
            <w:tcBorders>
              <w:bottom w:val="single" w:sz="8" w:color="auto"/>
            </w:tcBorders>
          </w:tcPr>
          <w:p>
            <w:pPr>
              <w:spacing w:after="0"/>
              <w:rPr>
                <w:sz w:val="18"/>
                <w:szCs w:val="18"/>
                <w:color w:val="auto"/>
              </w:rPr>
            </w:pPr>
          </w:p>
        </w:tc>
      </w:tr>
      <w:tr>
        <w:trPr>
          <w:trHeight w:val="209"/>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9,737,531</w:t>
            </w:r>
          </w:p>
        </w:tc>
        <w:tc>
          <w:tcPr>
            <w:tcW w:w="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9,486,453</w:t>
            </w:r>
          </w:p>
        </w:tc>
        <w:tc>
          <w:tcPr>
            <w:tcW w:w="6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10,660,887</w:t>
            </w:r>
          </w:p>
        </w:tc>
        <w:tc>
          <w:tcPr>
            <w:tcW w:w="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European Patent Convention</w:t>
            </w:r>
          </w:p>
        </w:tc>
        <w:tc>
          <w:tcPr>
            <w:tcW w:w="60" w:type="dxa"/>
            <w:vAlign w:val="bottom"/>
          </w:tcPr>
          <w:p>
            <w:pPr>
              <w:spacing w:after="0"/>
              <w:rPr>
                <w:sz w:val="17"/>
                <w:szCs w:val="17"/>
                <w:color w:val="auto"/>
              </w:rPr>
            </w:pPr>
          </w:p>
        </w:tc>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EP 2 872 139</w:t>
            </w:r>
          </w:p>
        </w:tc>
        <w:tc>
          <w:tcPr>
            <w:tcW w:w="60" w:type="dxa"/>
            <w:vAlign w:val="bottom"/>
          </w:tcPr>
          <w:p>
            <w:pPr>
              <w:spacing w:after="0"/>
              <w:rPr>
                <w:sz w:val="17"/>
                <w:szCs w:val="17"/>
                <w:color w:val="auto"/>
              </w:rPr>
            </w:pPr>
          </w:p>
        </w:tc>
        <w:tc>
          <w:tcPr>
            <w:tcW w:w="7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Granted; validated in France, Germany, Ireland, Italy, Netherlands, Poland, Portugal, Spain, Great</w:t>
            </w:r>
          </w:p>
        </w:tc>
      </w:tr>
      <w:tr>
        <w:trPr>
          <w:trHeight w:val="234"/>
        </w:trPr>
        <w:tc>
          <w:tcPr>
            <w:tcW w:w="2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Britain</w:t>
            </w:r>
          </w:p>
        </w:tc>
      </w:tr>
      <w:tr>
        <w:trPr>
          <w:trHeight w:val="198"/>
        </w:trPr>
        <w:tc>
          <w:tcPr>
            <w:tcW w:w="2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European Patent Convention</w:t>
            </w: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EP 3 263 108</w:t>
            </w:r>
          </w:p>
        </w:tc>
        <w:tc>
          <w:tcPr>
            <w:tcW w:w="6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Granted; validated in France, Germany, Ireland, Italy, Netherlands, Poland, Portugal, Spain, Great</w:t>
            </w:r>
          </w:p>
        </w:tc>
      </w:tr>
      <w:tr>
        <w:trPr>
          <w:trHeight w:val="234"/>
        </w:trPr>
        <w:tc>
          <w:tcPr>
            <w:tcW w:w="2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Britain</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JP 6416762</w:t>
            </w:r>
          </w:p>
        </w:tc>
        <w:tc>
          <w:tcPr>
            <w:tcW w:w="6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 2013288827</w:t>
            </w:r>
          </w:p>
        </w:tc>
        <w:tc>
          <w:tcPr>
            <w:tcW w:w="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AU 2018203371</w:t>
            </w:r>
          </w:p>
        </w:tc>
        <w:tc>
          <w:tcPr>
            <w:tcW w:w="6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 104507477</w:t>
            </w:r>
          </w:p>
        </w:tc>
        <w:tc>
          <w:tcPr>
            <w:tcW w:w="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CN 107875389</w:t>
            </w:r>
          </w:p>
        </w:tc>
        <w:tc>
          <w:tcPr>
            <w:tcW w:w="6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16/166,101</w:t>
            </w:r>
          </w:p>
        </w:tc>
        <w:tc>
          <w:tcPr>
            <w:tcW w:w="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Pending</w:t>
            </w: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IL 271371</w:t>
            </w:r>
          </w:p>
        </w:tc>
        <w:tc>
          <w:tcPr>
            <w:tcW w:w="6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Pending</w:t>
            </w:r>
          </w:p>
        </w:tc>
      </w:tr>
      <w:tr>
        <w:trPr>
          <w:trHeight w:val="414"/>
        </w:trPr>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30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13</w:t>
            </w:r>
          </w:p>
        </w:tc>
      </w:tr>
      <w:tr>
        <w:trPr>
          <w:trHeight w:val="115"/>
        </w:trPr>
        <w:tc>
          <w:tcPr>
            <w:tcW w:w="2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37"/>
        </w:trPr>
        <w:tc>
          <w:tcPr>
            <w:tcW w:w="10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78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US 11,576,911</w:t>
            </w:r>
          </w:p>
        </w:tc>
        <w:tc>
          <w:tcPr>
            <w:tcW w:w="2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2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European Patent Convention</w:t>
            </w:r>
          </w:p>
        </w:tc>
        <w:tc>
          <w:tcPr>
            <w:tcW w:w="60" w:type="dxa"/>
            <w:vAlign w:val="bottom"/>
          </w:tcPr>
          <w:p>
            <w:pPr>
              <w:spacing w:after="0"/>
              <w:rPr>
                <w:sz w:val="18"/>
                <w:szCs w:val="18"/>
                <w:color w:val="auto"/>
              </w:rPr>
            </w:pPr>
          </w:p>
        </w:tc>
        <w:tc>
          <w:tcPr>
            <w:tcW w:w="57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EP 18731195.6</w:t>
            </w:r>
          </w:p>
        </w:tc>
        <w:tc>
          <w:tcPr>
            <w:tcW w:w="2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78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JP 7305560</w:t>
            </w:r>
          </w:p>
        </w:tc>
        <w:tc>
          <w:tcPr>
            <w:tcW w:w="2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JP 2023-105697</w:t>
            </w:r>
          </w:p>
        </w:tc>
        <w:tc>
          <w:tcPr>
            <w:tcW w:w="2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78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CA 3,067,162</w:t>
            </w:r>
          </w:p>
        </w:tc>
        <w:tc>
          <w:tcPr>
            <w:tcW w:w="2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AU 2018284335</w:t>
            </w:r>
          </w:p>
        </w:tc>
        <w:tc>
          <w:tcPr>
            <w:tcW w:w="2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78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BR 11 2019 026449 3</w:t>
            </w:r>
          </w:p>
        </w:tc>
        <w:tc>
          <w:tcPr>
            <w:tcW w:w="2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MX/393,950</w:t>
            </w:r>
          </w:p>
        </w:tc>
        <w:tc>
          <w:tcPr>
            <w:tcW w:w="2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78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KR 10-2609676</w:t>
            </w:r>
          </w:p>
        </w:tc>
        <w:tc>
          <w:tcPr>
            <w:tcW w:w="2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ZA 2019/08616</w:t>
            </w:r>
          </w:p>
        </w:tc>
        <w:tc>
          <w:tcPr>
            <w:tcW w:w="2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Zealand</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78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NZ 760542</w:t>
            </w:r>
          </w:p>
        </w:tc>
        <w:tc>
          <w:tcPr>
            <w:tcW w:w="2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New Zealand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NZ 799961</w:t>
            </w:r>
          </w:p>
        </w:tc>
        <w:tc>
          <w:tcPr>
            <w:tcW w:w="2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78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IL 270916</w:t>
            </w:r>
          </w:p>
        </w:tc>
        <w:tc>
          <w:tcPr>
            <w:tcW w:w="2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4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17/586,828</w:t>
            </w:r>
          </w:p>
        </w:tc>
        <w:tc>
          <w:tcPr>
            <w:tcW w:w="2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78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JP 7308761</w:t>
            </w:r>
          </w:p>
        </w:tc>
        <w:tc>
          <w:tcPr>
            <w:tcW w:w="2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CA 3,064,846</w:t>
            </w:r>
          </w:p>
        </w:tc>
        <w:tc>
          <w:tcPr>
            <w:tcW w:w="2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78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AU 2018274767</w:t>
            </w:r>
          </w:p>
        </w:tc>
        <w:tc>
          <w:tcPr>
            <w:tcW w:w="2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BR 11 2019 024802-1</w:t>
            </w:r>
          </w:p>
        </w:tc>
        <w:tc>
          <w:tcPr>
            <w:tcW w:w="2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3020"/>
              <w:spacing w:after="0"/>
              <w:rPr>
                <w:sz w:val="20"/>
                <w:szCs w:val="20"/>
                <w:color w:val="auto"/>
              </w:rPr>
            </w:pPr>
            <w:r>
              <w:rPr>
                <w:rFonts w:ascii="Times New Roman" w:cs="Times New Roman" w:eastAsia="Times New Roman" w:hAnsi="Times New Roman"/>
                <w:sz w:val="18"/>
                <w:szCs w:val="18"/>
                <w:color w:val="auto"/>
              </w:rPr>
              <w:t>394,875</w:t>
            </w:r>
          </w:p>
        </w:tc>
        <w:tc>
          <w:tcPr>
            <w:tcW w:w="2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4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10-2608479</w:t>
            </w:r>
          </w:p>
        </w:tc>
        <w:tc>
          <w:tcPr>
            <w:tcW w:w="2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Granted</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78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rPr>
              <w:t>ZA 2019/08617</w:t>
            </w:r>
          </w:p>
        </w:tc>
        <w:tc>
          <w:tcPr>
            <w:tcW w:w="29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Granted</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New Zealand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NZ 760544</w:t>
            </w:r>
          </w:p>
        </w:tc>
        <w:tc>
          <w:tcPr>
            <w:tcW w:w="2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Pending</w:t>
            </w:r>
          </w:p>
        </w:tc>
      </w:tr>
      <w:tr>
        <w:trPr>
          <w:trHeight w:val="414"/>
        </w:trPr>
        <w:tc>
          <w:tcPr>
            <w:tcW w:w="8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II.  SHMH-licensed Patents and Patent Applications</w:t>
            </w:r>
          </w:p>
        </w:tc>
        <w:tc>
          <w:tcPr>
            <w:tcW w:w="290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6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Patent/Appl. No.</w:t>
            </w:r>
          </w:p>
        </w:tc>
        <w:tc>
          <w:tcPr>
            <w:tcW w:w="5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Status/Notes</w:t>
            </w:r>
          </w:p>
        </w:tc>
        <w:tc>
          <w:tcPr>
            <w:tcW w:w="2900" w:type="dxa"/>
            <w:vAlign w:val="bottom"/>
          </w:tcPr>
          <w:p>
            <w:pPr>
              <w:spacing w:after="0"/>
              <w:rPr>
                <w:sz w:val="24"/>
                <w:szCs w:val="24"/>
                <w:color w:val="auto"/>
              </w:rPr>
            </w:pPr>
          </w:p>
        </w:tc>
      </w:tr>
      <w:tr>
        <w:trPr>
          <w:trHeight w:val="216"/>
        </w:trPr>
        <w:tc>
          <w:tcPr>
            <w:tcW w:w="1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7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r>
      <w:tr>
        <w:trPr>
          <w:trHeight w:val="209"/>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5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9,789,093</w:t>
            </w:r>
          </w:p>
        </w:tc>
        <w:tc>
          <w:tcPr>
            <w:tcW w:w="5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290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6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 2 670 409</w:t>
            </w:r>
          </w:p>
        </w:tc>
        <w:tc>
          <w:tcPr>
            <w:tcW w:w="8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Granted; validated in Switzerland, Germany, Spain, France, Great Britain, Ireland, Italy, Netherlands</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5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17/502,606</w:t>
            </w:r>
          </w:p>
        </w:tc>
        <w:tc>
          <w:tcPr>
            <w:tcW w:w="5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Pending</w:t>
            </w:r>
          </w:p>
        </w:tc>
        <w:tc>
          <w:tcPr>
            <w:tcW w:w="290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11,013,721</w:t>
            </w:r>
          </w:p>
        </w:tc>
        <w:tc>
          <w:tcPr>
            <w:tcW w:w="5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29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 2,826,180</w:t>
            </w:r>
          </w:p>
        </w:tc>
        <w:tc>
          <w:tcPr>
            <w:tcW w:w="5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2900" w:type="dxa"/>
            <w:vAlign w:val="bottom"/>
            <w:shd w:val="clear" w:color="auto" w:fill="CCEEFF"/>
          </w:tcPr>
          <w:p>
            <w:pPr>
              <w:spacing w:after="0"/>
              <w:rPr>
                <w:sz w:val="18"/>
                <w:szCs w:val="18"/>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6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 227611</w:t>
            </w:r>
          </w:p>
        </w:tc>
        <w:tc>
          <w:tcPr>
            <w:tcW w:w="5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2900" w:type="dxa"/>
            <w:vAlign w:val="bottom"/>
          </w:tcPr>
          <w:p>
            <w:pPr>
              <w:spacing w:after="0"/>
              <w:rPr>
                <w:sz w:val="20"/>
                <w:szCs w:val="20"/>
                <w:color w:val="auto"/>
              </w:rPr>
            </w:pPr>
          </w:p>
        </w:tc>
      </w:tr>
      <w:tr>
        <w:trPr>
          <w:trHeight w:val="414"/>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40" w:type="dxa"/>
            <w:vAlign w:val="bottom"/>
            <w:gridSpan w:val="2"/>
          </w:tcPr>
          <w:p>
            <w:pPr>
              <w:ind w:left="3040"/>
              <w:spacing w:after="0"/>
              <w:rPr>
                <w:sz w:val="20"/>
                <w:szCs w:val="20"/>
                <w:color w:val="auto"/>
              </w:rPr>
            </w:pPr>
            <w:r>
              <w:rPr>
                <w:rFonts w:ascii="Times New Roman" w:cs="Times New Roman" w:eastAsia="Times New Roman" w:hAnsi="Times New Roman"/>
                <w:sz w:val="18"/>
                <w:szCs w:val="18"/>
                <w:color w:val="auto"/>
              </w:rPr>
              <w:t>14</w:t>
            </w:r>
          </w:p>
        </w:tc>
        <w:tc>
          <w:tcPr>
            <w:tcW w:w="2900" w:type="dxa"/>
            <w:vAlign w:val="bottom"/>
          </w:tcPr>
          <w:p>
            <w:pPr>
              <w:spacing w:after="0"/>
              <w:rPr>
                <w:sz w:val="24"/>
                <w:szCs w:val="24"/>
                <w:color w:val="auto"/>
              </w:rPr>
            </w:pPr>
          </w:p>
        </w:tc>
      </w:tr>
      <w:tr>
        <w:trPr>
          <w:trHeight w:val="115"/>
        </w:trPr>
        <w:tc>
          <w:tcPr>
            <w:tcW w:w="10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78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453"/>
        </w:trPr>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NeuroRx-owned Patents and Patent Applications</w:t>
            </w: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432"/>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14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Patent/Appl. No.</w:t>
            </w:r>
          </w:p>
        </w:tc>
        <w:tc>
          <w:tcPr>
            <w:tcW w:w="3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Status/Notes</w:t>
            </w:r>
          </w:p>
        </w:tc>
      </w:tr>
      <w:tr>
        <w:trPr>
          <w:trHeight w:val="216"/>
        </w:trPr>
        <w:tc>
          <w:tcPr>
            <w:tcW w:w="1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10,583,138</w:t>
            </w:r>
          </w:p>
        </w:tc>
        <w:tc>
          <w:tcPr>
            <w:tcW w:w="3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w:t>
            </w:r>
          </w:p>
        </w:tc>
      </w:tr>
      <w:tr>
        <w:trPr>
          <w:trHeight w:val="432"/>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Manufacturing Agreements</w:t>
            </w:r>
          </w:p>
        </w:tc>
        <w:tc>
          <w:tcPr>
            <w:tcW w:w="1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2022, the Company has entered into a manufacturing agreement with Alcami (Wilmington, NC) for the manufacturing of NRX-101. This enabled the technology transfer of manufacturing processes previously done in China to the U.S. In October of 2022 the Company submitted a Module 3 IND amendment to the FDA, allowing it to manufacture clinical supplies in the U.S.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2022, as part of our agreement with Relief Therapeutics we transferred all manufacturing rights and know-how that we acquired for ZYESAMI (aviptadil) to Relief, including our collaborations with Nephron Pharmaceuticals and Alcami as contract manufacturers, and with the Polypeptide Group as a supplier of active pharmaceutical ingredient (“API”). This technology transfer does not affect our ability to contract with Alcami and Nephron for other purposes.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2023, the Company entered into a development and manufacturing agreement with Nephron Pharmaceuticals, Inc. for the manufacture of ketamine HCl (NRX-100, HTX-100) that the Company intends to distribute via its HOPE franchise. Manufacture will initially consist of the generic formulation of ketamine in a novel diversion-resistant presentation. Under the development portion of the agreement the Company intends to develop a pH-balanced new formulation of ketamine that will be suitable for subcutaneous use and that may be suitable for oral administration with predictable systemic absorption.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Government authorities in the U.S. and in other countries, at the Federal, state and local level, extensively regulate, among other things, the research, development, testing, manufacture, packaging, storage, recordkeeping, labeling, advertising, promotion, distribution, marketing, import and export, pricing, and government contracting related to pharmaceutical products such as those we are developing. The processes for obtaining marketing approvals in the U.S. and in foreign countries, along with subsequent compliance with applicable statutes and regulations, require the expenditure of substantial time and financial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Regulation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(FFDCA) and its implementing regulations. The process of obtaining marketing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 variety of administrative or judicial sanctions or other actions, such as the FDA’s delay in review of or refusal to approve a pending NDA, withdrawal of an approval, imposition of a clinical hold or study termination, issuance of Warning Letters or Untitled Letters, mandated modifications to promotional materials or issuance of corrective information, requests for product recalls, consent decrees, corporate integrity agreements, deferred prosecution agreements, product seizures or detentions, refusal to allow product import or export, total or partial suspension of or restriction of or imposition of other requirements relating to production or distribution, injunctions, fines, debarment from government contracts and refusal of future orders under existing contracts, exclusion from participation in federal and state healthcare programs, FDA debarment, restitution, disgorgement or civil or criminal penalties, including fines and imprisonment.</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process required by the FDA before a new drug may be marketed in the U.S. generally involves the following:</w:t>
      </w:r>
    </w:p>
    <w:p>
      <w:pPr>
        <w:spacing w:after="0" w:line="225" w:lineRule="exact"/>
        <w:rPr>
          <w:sz w:val="20"/>
          <w:szCs w:val="20"/>
          <w:color w:val="auto"/>
        </w:rPr>
      </w:pPr>
    </w:p>
    <w:p>
      <w:pPr>
        <w:ind w:left="340" w:hanging="170"/>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regulations;</w:t>
      </w:r>
    </w:p>
    <w:p>
      <w:pPr>
        <w:spacing w:after="0" w:line="252"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FDA Investigational New Drug (IND) application which must become effective before human clinical trials may begin;</w:t>
      </w:r>
    </w:p>
    <w:p>
      <w:pPr>
        <w:spacing w:after="0" w:line="252"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local or central IRBs who are charged with protecting safety of research subjects before each clinical trial may be initiated;</w:t>
      </w:r>
    </w:p>
    <w:p>
      <w:pPr>
        <w:spacing w:after="0" w:line="252" w:lineRule="exact"/>
        <w:rPr>
          <w:rFonts w:ascii="Times New Roman" w:cs="Times New Roman" w:eastAsia="Times New Roman" w:hAnsi="Times New Roman"/>
          <w:sz w:val="18"/>
          <w:szCs w:val="18"/>
          <w:color w:val="auto"/>
        </w:rPr>
      </w:pPr>
    </w:p>
    <w:p>
      <w:pPr>
        <w:ind w:left="340" w:hanging="170"/>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human studies that meet the legal standard of “adequate and well-controlled clinical trials”, in accordance with Current Good Clinical Practices (cGCP) and other regulations in order to establish the safety and efficacy of the proposed drug product for each indication;</w:t>
      </w:r>
    </w:p>
    <w:p>
      <w:pPr>
        <w:spacing w:after="0" w:line="161"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252"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hanging="170"/>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selected clinical trial sites to determine GCP compliance;</w:t>
      </w:r>
    </w:p>
    <w:p>
      <w:pPr>
        <w:spacing w:after="0" w:line="252" w:lineRule="exact"/>
        <w:rPr>
          <w:rFonts w:ascii="Times New Roman" w:cs="Times New Roman" w:eastAsia="Times New Roman" w:hAnsi="Times New Roman"/>
          <w:sz w:val="18"/>
          <w:szCs w:val="18"/>
          <w:color w:val="auto"/>
        </w:rPr>
      </w:pPr>
    </w:p>
    <w:p>
      <w:pPr>
        <w:ind w:left="340" w:right="20" w:hanging="170"/>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GMP regulations and to assure that the facilities, methods and controls are adequate to preserve the drug’s identity, strength, quality and purity; and</w:t>
      </w:r>
    </w:p>
    <w:p>
      <w:pPr>
        <w:spacing w:after="0" w:line="161"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if a drug is considered a controlled substance, prior to the commencement of marketing, the DEA must also determine the controlled substance schedule, taking into account the recommendation of the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Studies and IND Submission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Preclinical studies include laboratory evaluation of product chemistry, pharmacology,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Once the IND is submitted, the sponsor must wait 30 calendar days before initiating any clinical trials. During this time, among other things, the FDA has an opportunity to review the IND for safety to assure that research subjects will not be subjected to unreasonable risk. The FDA may raise concerns or questions related to one or more proposed clinical trials and place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Implications for NRX-100/101</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filed INDs and the FDA has accepted INDs 134025 and 129194 for NRX-100 and NRX-101 respectively. The FDA has advised us that no further preclinical studies are needed for submission of an NDA for NRX-100. The FDA has advised us, and we have agreed that a genotoxicity study and a non-clinical maternal/fetal study for potential fetal effects are required prior to filing of an NDA for NRX-101. Furthermore, drugs that are potentially used chronic or chronic/intermittently do need to show preclinical carcinogenicity studies. Based on our latest FDA interactions we may be required to do so, even if our initial target indication is for 6 weeks. However, FDA indicated that they would review our request for an exemption, which we intend to submit.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IND to human subjects under the supervision of qualified investigators in accordance with cGCP requirements, which include the requirement that all research subjects provide their informed consent in writing for their participation in any clinical trial, and review and approval by an Institutional Review Board (IRB). Clinical trials are conducted under protocols detailing, among other things, the objectives of the trial, the trial procedures, the parameters to be used in monitoring safety and the effectiveness criteria to be evaluated, and a statistical analysis plan. A protocol for each clinical trial and any subsequent protocol amendments must be submitted to the FDA as part of the IND. In addition, a central or local IRB at each institution participating in the clinical trial must review and approve the plan for any clinical trial before it commences at that institution, and the IRB must continue to oversee the clinical trial, including any changes, while it is being conducted. Information about certain clinical trials, including a description of the study and study results, must be submitted within specific timeframes to the NIH for public dissemination on their clinicaltrials.gov website.</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 In Phase 1, the drug is initially introduced into healthy human subjects or subjects with the target disease or condition and tested for safety, dosage tolerance, absorption, metabolism, distribution, excretion and, if possible, to gain an early indication of its effectiveness. In Phase 2, the drug typically is administered through well-controlled studies to a limited subject population with the target disease or condition to identify possible adverse effects and safety risks, to preliminarily evaluate the efficacy of the product for specific targeted diseases and to determine dosage tolerance and optimal dosage. In Phase 3, the drug is administered to an expanded subject population, generally at geographically dispersed clinical trial sites, in two adequate and well-controlled clinical trials to generate enough data to statistically evaluate the efficacy and safety of the product for approval, to establish the overall risk-benefit profile of the product and to provide adequate information for the labeling of the product. Furthermore, depending on the expected use of a drug (e.g., acute, intermittent, chronic), regulatory requirements may include a safety database that goes beyond the number of subjects in the efficacy studies.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current Good Manufacturing Practices (cGMP) requirements. Investigational drugs and active pharmaceutical ingredients imported into the U.S. are also subject to regulation by the FDA relating to their labeling and distribution. Further, the export of investigational drug products outside of the U.S. is subject to regulatory requirements of the receiving country as well as U.S. export requirements under the FFDCA.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Progress reports and other summary information detailing the results of the clinical trials must be submitted at least annually to the FDA and more frequently if certain unexpected Serious Adverse Events occur or other significant safety information is found. Phase I,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or the trial is not being conducted in accordance with the applicable regulatory requirements or the protocol. Similarly, an IRB can suspend or terminate approval of a clinical trial at its institution if the clinical trial is not being conducted in accordance with the IRB’s requirements or if the drug has been associated with unexpected serious harm to subjects. Additionally, some clinical trials are overseen by an independent group of qualified experts organized by the clinical trial sponsor, known as a data safety monitoring board (DSMB) or data monitoring committee (DMC). This group regularly reviews accumulated data and advises the study sponsor regarding the continuing safety of trial subjects, potential trial subjects, and the continuing validity and scientific merit of the clinical trial. We may also suspend or terminate a clinical trial based on evolving business objectives and/or competitive climate.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Implications for NRX-100/101</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case of NRX-100/101, the FDA has agreed with us in writing that the investigational product meets the standards for a 505.b.2 (commonly called drug-repurposing) pathway, whereby the extensive safety literature regarding the individual components of NRX-101 may be cited in lieu of repeating various preclinical and Phase I clinical studies.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of examples in recent years where sponsors have received Complete Response Letters based on lack of agreement with the FDA regarding the research path required for NDA submission, we worked collaboratively with the FDA for one year in order to negotiate a FDA SPA that would govern the development of NRX-101 and would define the Phase 2I trial required for the target indication., should the clinical trial be successful. This FDA SPA was issued to us in April 2018 and defines the single clinical trial required for submission of NRX-101 for treatment of bipolar depression with acute suicidal ideation or behavior. In addition to the defined requirements in the FDA SPA, the FDA may require additional clinical safety data, especially if the use of the drug could be intermittent or chronic/intermittent as deemed by the FDA. As mentioned before, we recently received written guidance from the FDA that the Company is evaluating.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Approval</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These user fees must be filed at the time of the first submission of the application, even if the application is being submitted on a rolling basis. A waiver from the application user fee may be sought by an applicant. One basis for a waiver of the application user fee is if the applicant employs fewer than 500 employees, including employees of affiliates, the applicant does not have a drug product that has been approved under a human drug application and introduced or delivered for introduction into interstate commerce, and the applicant, including its affiliates, is submitting its first human drug application. Under the PDUFA guidelines that are currently in effect, the FDA has agreed to certain performance goals regarding the timing of its review of an application. The FDA aims to review 90% of all standard review applications within ten months of acceptance for filing and six months of acceptance for filing for priority review applications.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under the Pediatric Research Equity Act,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FDA may also require submission of a Risk Evaluation and Mitigation Strategies (REMS) program either during the application process or after the approval of the drug to ensure the benefits of the drug outweigh the risks. The REMS plan could include medication guides, physician communication plans, assessment plans, and elements to assure safe use, such as restricted distribution methods, patient registries or other risk tracking and minimization tools.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FFDCA, before approving a drug for which no active ingredient (including any ester or salt of active ingredients) has previously been approved by the FDA, the FDA must either refer that drug to an external advisory committee or provide in an action letter, a summary of the reasons why the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inspect the facility or facilities where the product is manufactured. The FDA will not approve an application unless it determines that the manufacturing processes and facilities are in compliance with cGMP requirements and adequate to ensure consistent production of the product within required specifications by the manufacturer and all of its subcontractors and contract manufacturers. Additionally, before approving an NDA, the FDA will inspect one or more clinical trial sites to ensure compliance with GCP regulations.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testing and approval process for an NDA requires substantial time, effort and financial resources, and each may take several years to complete. Data obtained from preclinical and clinical testing is not always conclusive and may be susceptible to varying interpretations, which could delay, limit or prevent marketing approval. The FDA may not grant approval of an NDA on a timely basis, or at all.</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or other information, in order for FDA to reconsider the application. The FDA has a review goal of completing its review of 90% of resubmissions within two or six months after receipt, depending on the type of information included. Even with submission of this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 contraindications, warnings or precautions be included in the product labeling, including a black boxed warning, require that post-approval studies, including Phase IV clinical trials, be conducted to further assess a drug’s safety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prevent or limit further marketing of a product based on the results of post- marketing studies or surveillance programs. After approval, certain circumstances may require FDA notification, review, or approval, as well as further testing. These may include some types of changes to the approved product, such as adding new indications, manufacturing changes, and additional labeling claims, or new safety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FDA Expedited Review and Approval Programs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accelerated approval, priority review and Breakthrough Therapy (as defined below) designation, that are intended to expedite or simplify the process for the development and FDA review of drugs that are intended for the treatment of serious or life-threatening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 In addition, the FDA may initiate review of sections of an NDA before the application is complete. This “rolling review” is available if the applicant provides and the FDA approves a schedule for the remaining information.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some cases, a Fast Track product may be eligible for accelerated approval or priority review.</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FDA may give a priority review designation to drugs that are intended to treat serious conditions and provide significant improvements in the safety or effectiveness of the treatment, diagnosis, or prevention of serious conditions. A priority review means that the goal for the FDA is to review an application in six months, rather than the standard review of ten months under current PDUFA guidelines. These six- and ten-month review periods are measured from the “filing” date rather than the receipt date for NDAs, which typically adds approximately two months to the timeline for review and decision from the date of submission. Products that are eligible for Fast Track designation may also be considered appropriate to receive a priority review.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products studied for their safety and effectiveness in treating serious or life-threatening illnesses or conditions and that fill an unmet medical need may be eligible for accelerated approval and may be approved on the basis of adequate and well-controlled clinical trials establishing that the drug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endpoints, and the drug may be subject to accelerated withdrawal procedures.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Moreover, under the provisions of the new Food and Drug Administration Safety and Innovation Act enacted in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I trials, and a commitment from the FDA to involve senior managers and experienced review staff in a proactive collaborative, cross-disciplinary review.</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for NRX-101</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issuance of the FDA SPA, in November 2018, the FDA also issued a Breakthrough Therapy designation to NRX-101. Breakthrough Therapy designation is awarded to drugs that have demonstrated preliminary evidence of efficacy for the treatment of a serious medical condition for which there is an unmet medical need.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manufacturing, periodic reporting, product sampling and distribution, advertising and promotion, and reporting of adverse experiences with the product and drug shortages.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post-marketing testing, including Phase IV clinical trials and surveillance to further assess and monitor the product’s safety and effectiveness after commercialization.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list drugs manufactured at their facilities with the FDA. These facilities are further subject to periodically announced and unannounced inspections by the FDA and these state agencies for compliance with cGMP and other regulatory requirements. Changes to the manufacturing process are strictly regulated and may require prior approval by the FDA or notification to the FDA before or after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becomes available in the market.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0" w:lineRule="exact"/>
        <w:rPr>
          <w:sz w:val="20"/>
          <w:szCs w:val="20"/>
          <w:color w:val="auto"/>
        </w:rPr>
      </w:pPr>
    </w:p>
    <w:p>
      <w:pPr>
        <w:ind w:left="340" w:hanging="170"/>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52"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 holds or termination of post-approval clinical trials or FDA debarment;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hanging="170"/>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refusal of the FDA to approve pending NDAs or supplements to approved NDAs, or suspension or revocation of product license approvals;</w:t>
      </w:r>
    </w:p>
    <w:p>
      <w:pPr>
        <w:spacing w:after="0" w:line="252" w:lineRule="exact"/>
        <w:rPr>
          <w:rFonts w:ascii="Times New Roman" w:cs="Times New Roman" w:eastAsia="Times New Roman" w:hAnsi="Times New Roman"/>
          <w:sz w:val="18"/>
          <w:szCs w:val="18"/>
          <w:color w:val="auto"/>
        </w:rPr>
      </w:pPr>
    </w:p>
    <w:p>
      <w:pPr>
        <w:ind w:left="340" w:hanging="170"/>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including the FDA, issued safety alerts, Dear Healthcare Provider letters, press releases or other communications containing warnings about such products;</w:t>
      </w:r>
    </w:p>
    <w:p>
      <w:pPr>
        <w:spacing w:after="0" w:line="161"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modifications to promotional material or issuance of corrective information;</w:t>
      </w:r>
    </w:p>
    <w:p>
      <w:pPr>
        <w:spacing w:after="0" w:line="252"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52" w:lineRule="exact"/>
        <w:rPr>
          <w:rFonts w:ascii="Times New Roman" w:cs="Times New Roman" w:eastAsia="Times New Roman" w:hAnsi="Times New Roman"/>
          <w:sz w:val="18"/>
          <w:szCs w:val="18"/>
          <w:color w:val="auto"/>
        </w:rPr>
      </w:pPr>
    </w:p>
    <w:p>
      <w:pPr>
        <w:ind w:left="340" w:right="20" w:hanging="170"/>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 disgorgement and restitution, as well as consent decrees, corporate integrity agreements, deferred prosecution agreements and exclusion from federal healthcare programs.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Although physicians in the practice of medicine may prescribe approved drugs for unapproved indications, pharmaceutical companies are prohibited from marketing or promoting their drug products for uses outside of the approved indications in the approved prescribing information. The FDA and other agencies actively enforce the laws and regulations prohibiting the promotion of off-label uses, and a company that is found to have improperly marketed or promoted off-label uses may be subject to significant liability, including criminal and civil penalties under the FFDCA and False Claims Act, exclusion from participation in federal healthcare programs, debarment from government contracts and refusal of future orders under existing contracts, and mandatory compliance programs under corporate integrity agreements or deferred prosecution agreements.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including samples, is subject to the Prescription Drug Marketing Act (PDMA), which, among other things,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Moreover, the recently enacted Drug Quality and Security Act imposes new obligations on manufacturers of pharmaceutical products related to product tracking and tracing. Among the requirements of this new legislation, manufacturers will be required to provide certain information regarding drug products to individuals and entities to which product ownership is transferred, label drug products with a product identifier, and keep certain records regarding drug products.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manufactures will have drug product investigation, quarantine, disposition, and FDA and trading partner notification responsibilities related to counterfeit, diverted, stolen, and intentionally adulterated products such that they would result in serious adverse health consequences or death, as well as products that are the subject of fraudulent transactions or which are otherwise unfit for distribution such that they would be reasonably likely to result in serious health consequences or death.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under the Drug Enforcement Administration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evaluate the abuse potential of our product candidates. If any of our product candidates are considered controlled substances, we will need to comply with additional regulatory requirements. NRX-100 (ketamine) is a controlled substance with high abuse potential. Both components of NRX-101 are approved drugs (DCS and lurasidone) and neither is a controlled substance. We have completed abuse liability studies for DCS and identified no abuse potential.</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drug products may be regulated as “controlled substances” as defined in the Controlled Substances Act of 1970 and the DEA’s implementing regulations.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Schedule V substances the lowest relative risk of abuse among such substances. The FDA provides a recommendation to the DEA as to whether a drug should be classified as a controlled substance and the appropriate level of control. If DEA scheduling is required, a drug product may not be marketed until the scheduling process is completed, which could delay the launch of the product.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Depending on the Schedule, drug products may be subject to registration, security, recordkeeping, reporting, storage, distribution, importation, exportation, inventory, quota and other requirements administered by the DEA, which are directly applicable to product applicants, contract manufacturers and to distributors, prescribers and dispensers of controlled substances. The DEA regulates the handling of controlled substances through a closed chain of distribution. This control extends to the equipment and raw materials used in their manufacture and packaging in order to prevent loss and diversion into illicit channels of commerce.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Records must be maintained for the handling of all controlled substances, and periodic reports may be required to made to the DEA for the distribution of certain controlled substances. Reports must also be made for thefts or significant losses of any controlled substance.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Healthcare related, Fraud and Abuse and Data Privacy and Security Laws and Regulations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federal and state fraud and abuse, and other laws regulations, and requirements restrict business practices in the biopharmaceutical industry. These laws include anti-kickback and false claims laws and regulations, state and federal transparency laws regarding payments or other items of value provided to health care professionals, as well as data privacy and security laws and regulations and other requirements applicable to the healthcare industry, including pharmaceutical manufacturers. There are also laws, regulations, and requirements applicable to the award and performance of federal contracts and grants.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narrowly drawn. Practices that involve remuneration that may be alleged to be intended to induce prescribing, purchases, or recommendations may be subject to scrutiny if they do not meet the requirements of a statutory or regulatory exception or safe harbor. Several courts have interpreted the statute’s intent requirement to mean that if any one purpose of an arrangement involving remuneration is to induce referrals of federal healthcare covered business, the statute has been violated.</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reach of the Anti-Kickback Statute was also broadened by the Affordable Care Act, which, among other things, amended the intent requirement of the Federal Anti-Kickback Statute and certain provisions of the criminal health care fraud statute (discussed below) such that a person or entity no longer needs to have actual knowledge of the statute or specific intent to violate it in order to have committed a violation. In addition, the Affordable Care Act provides that the government may assert that a claim for payment for items or services resulting from a violation of the Federal Anti-Kickback Statute constitutes a false or fraudulent claim for purposes of the civil False Claims Act. Penalties for violation of the Anti-Kickback Statute include criminal fines, imprisonment, civil penalties and damages, exclusion from participation in Federal healthcare programs and corporate integrity agreements or deferred prosecution agreements. Conviction or civil judgments are also grounds for debarment from government contracts.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knowingly presenting, or causing to be presented, a false claim for payment to the U.S. Government or knowingly making, using, or causing to be made or used a false record or statement material to a false or fraudulent claim to the federal government, including payments under a federal grant. A claim includes “any request or demand” for money or property presented to the U.S. Government. The False Claims Act also applies to false submissions that cause the government to be paid less than the amount to which it is entitled, such as a rebate. Intent to deceive is not required to establish liability under the civil False Claims Act. Several pharmaceutical and other healthcare companies have been sued under these laws for allegedly providing free product to customers with the expectation that the customers would bill Federal programs for the product. Companies have also been sued for causing false claims to be submitted because of the companies’ marketing of products for unapproved, or off-label, uses. In addition, Federal health care programs require drug manufacturers to report drug pricing information, which is used to quantify discounts and establish reimbursement rates. Several pharmaceutical and other healthcare companies have been sued for reporting allegedly false pricing information, which caused the manufacturer to understate rebates owed or, when used to determine reimbursement rates, caused overpayment to providers. Violations of the civil False Claims Act may result in civil penalties and damages as well as exclusion from Federal healthcare programs and corporate integrity agreements or deferred prosecution agreements. The U.S. Government may further prosecute conduct constituting a false claim under the criminal False Claims Act. The criminal False Claims Act prohibits the making or presenting of a claim to the U.S. Government knowing such claim to be false, fictitious, or fraudulent and, unlike the civil False Claims Act, requires proof of intent to submit a false claim. Violations of the criminal False Claims Act can result in criminal fines and/or imprisonment, as well as exclusion from participation in Federal healthcare programs. Conviction or civil judgments and other conduct are also grounds for debarment from U.S. Government contracts and grants.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also created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As discussed above, the Affordable Care Act amended the intent standard for certain of HIPAA’s healthcare fraud provisions such that a person or entity no longer needs to have actual knowledge of the statute or specific intent to violate it in order to have committed a violation. Violations of HIPAA’s fraud and abuse provisions may result in fines or imprisonment, as well as exclusion from participation in Federal healthcare programs, depending on the conduct in question. Also, many states have similar fraud and abuse statutes or regulations that apply to items and services reimbursed under Medicaid and other state programs, or, in several states, apply regardless of the payor.</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Veterans Health Care Act requires manufacturers of covered drugs to offer them for sale on the Federal Supply Schedule, which requires compliance with applicable Federal procurement laws and regulations and subjects us to contractual remedies as well as administrative, civil and criminal sanctions.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there has been a recent trend of increased Federal and state regulation of payments made to physicians and other health care providers. The Affordable Care Act created new Federal requirements for reporting, by applicable manufacturers of covered drugs, payments and other transfers of value to physicians and teaching hospitals, and ownership and investment interests held by physicians and other healthcare providers and their immediate family members. Certain states also require implementation of commercial compliance programs and compliance with the pharmaceutical industry’s voluntary compliance guidelines and the applicable compliance guidance promulgated by the U.S. Government, or otherwise restrict payments or the provision of other items of value that may be made to healthcare providers and other potential referral sources; impose restrictions on marketing practices; and/or require drug manufacturers to track and report information related to payments, gifts and other items of value to physicians and other healthcare providers.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also be subject to data privacy and security regulation by both the U.S. Government and the states in which we conduct our business. HIPAA, as amended by the Health Information Technology for Economic and Clinical Health Act of 2009 (HITECH) and its implementing regulations, imposes specified requirements relating to the privacy, security and transmission of individually identifiable health information. Penalties for violating HIPAA include civil penalties, criminal penalties and imprisonment. Among other things, HITECH, through its implementing regulations, makes HIPAA’s privacy and security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other Federal and state laws govern the privacy and security of health and other information in certain circumstances, many of which differ from each other in significant ways and may not have the same requirements, thus complicating compliance efforts.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commercial success of our product candidates and our ability to commercialize any approved product candidates successfully will depend in part on the extent to which governmental authorities, private health insurers and other third-party payers provide coverage for and establish adequate reimbursement levels for our therapeutic product candidates. In the U.S., the European Union and other potentially significant markets for our product candidates, government authorities and third-party payers are increasingly imposing additional requirements and restrictions on coverage, attempting to limit reimbursement levels or regulate the price of drugs and other medical products and services, particularly for new and innovative products and therapies, which often has resulted in average selling prices lower than they would otherwise be. For example, in the U.S., Federal and state governments reimburse covered prescription drugs at varying rates generally below average wholesale price. 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Moreover, the Medicare and Medicaid programs increasingly are used as models for how private payers and other governmental payers develop their coverage and reimbursement policies.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increased emphasis on managed healthcare in the U.S.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competition within therapeutic classes, availability of generic equivalents, judicial decisions and governmental laws and regulations related to Medicare, Medicaid and healthcare reform, coverage and reimbursement policies and pricing in general. The cost containment measures that healthcare payers and providers are instituting and any healthcare reform implemented in the future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Healthcare Reform on Coverage, Reimbursement, and Pricing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Medicare Modernization Act imposed new requirements for the distribution and pricing of prescription drugs for Medicare beneficiaries. Under Part D, Medicare beneficiaries may enroll in prescription drug plans offered by private entities that provide coverage of outpatient prescription, pharmacy drugs pursuant to federal regulations. Part D plans include both standalone prescription drug benefit plans and prescription drug coverage as a supplement to Medicare Advantage plans. Unlike Medicare Part A and B, Part D coverage is not standardized. In general, Part D prescription drug plan sponsors have flexibility regarding coverage of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with certain exceptions. Any formulary used by a Part D prescription drug plan must be developed and reviewed by a pharmacy and therapeutic committee. Government payment for some of the costs of prescription drugs may increase demand for any products for which we receive marketing approval. However, any negotiated prices for our future products covered by a Part D prescription drug plan will likely be discounted, thereby lowering the net price realized on our sales to pharmacies. Moreover, while the Medicare Modernization Act applies only to drug benefits for Medicare beneficiaries, private payers often follow Medicare coverage policy and payment limitations in setting their own payment rates. Any reduction in payment that results from Medicare Part D may result in a similar reduction in payments from non-governmental payers.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American Recovery and Reinvestment Act of 2009 provides funding for the U.S. Government to compare the effectiveness of different treatments for the same illness. A plan for the research will be developed by the Department of Health and Human Services, the Agency for Healthcare Research and Quality and the NIH, and periodic reports on the status of the research and related expenditures will be made to Congress. Although the results of the comparative effectiveness studies are not intended to mandate coverage policies for public or private payers,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payers do not consider our product candidates to be cost-effective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 and some foreign jurisdictions are considering enacting or have enacted a number of additional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 expanding access. In the U.S., the pharmaceutical industry has been a particular focus of these efforts and has been significantly affected by major legislative initiatives, including, most recently, the Affordable Care Act, which became law in March 2010 and substantially changes the way healthcare is financed by both governmental and private insurers. Among other cost containment measures, the Affordable Care Act establishes an annual, nondeductible fee on any entity that manufactures or imports specified branded prescription drugs and biologic agents; a new Medicare Part D coverage gap discount program; expansion of Medicaid benefits and a new formula that increases the rebates a manufacturer must pay under the Medicaid Drug Rebate Program; and expansion of the 340B drug discount program that mandates discounts to certain hospitals, community centers and other qualifying providers. In the future, there may continue to be additional proposals relating to the reform of the U.S. healthcare system, some of which could further limit the prices we are able to charge or the amounts of reimbursement available for our product candidates once they are approved.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Foreign Corrupt Practices Act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Activities that violate the FCPA, even if they occur wholly outside the U.S., can result in criminal and civil fines, imprisonment, disgorgement, oversight, and debarment from government contracts. The FCPA is currently under a temporary pause in enforcement. This pause was initiated by an executive order from President Trump on February 10, 2025 for a 180-day period. The order aims to reassess the guidelines and policies surrounding FCPA investigations and enforcement actions with a focus on promoting U.S. economic competitiveness and national security.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Exclusivity and Approval of Competing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Hatch-Waxman Patent Exclusivity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seeking approval for a drug through an NDA, applicants are required to list with the FDA each patent with claims that cover the applicant’s product or a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505(b)(2) NDA. Generally, an ANDA provides for marketing of a drug product that has the same active ingredients in the same strengths, dosage form and route of administration as the listed drug and has been shown to be bioequivalent through in vitro or in vivo testing or otherwise to the listed drug. ANDA applicants are not required to conduct or submit results of preclinical or clinical tests to prove the safety or effectiveness of their drug product, other than the requirement for bioequivalence testing. Drugs approved in this way are commonly referred to as “generic equivalents” to the listed drug and can often be substituted by pharmacists under prescriptions written for the reference listed drug. 505(b)(2) NDAs generally are submitted for changes to a previously approved drug product, such as a new dosage form or indication.</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ANDA or 505(b)(2) NDA applicant is required to provide a certification to the FDA in the product application concerning any patents listed for the approved product in the FDA’s Orange Book, except for patents covering methods of use for which the applicant is not seeking approval. Specifically, the applicant must certify with respect to each patent that:</w:t>
      </w:r>
    </w:p>
    <w:p>
      <w:pPr>
        <w:spacing w:after="0" w:line="176" w:lineRule="exact"/>
        <w:rPr>
          <w:sz w:val="20"/>
          <w:szCs w:val="20"/>
          <w:color w:val="auto"/>
        </w:rPr>
      </w:pPr>
    </w:p>
    <w:p>
      <w:pPr>
        <w:ind w:left="340" w:hanging="170"/>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252"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252"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252"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Generally, the ANDA or 505(b)(2) NDA cannot be approved until all listed patents have expired, except when the ANDA or 505(b)(2) NDA applicant challenges a listed patent or if the listed patent is a patented method of use for which approval is not being sought. A certification that the proposed product will not infringe the already approved product’s listed patents or that such patents are invalid or unenforceable is called a Paragraph IV certification. We may seek Paragraph IV Certification for our product candidates. If the applicant does not challenge the listed patents or does not indicate that it is not seeking approval of a patented method of use, the ANDA or 505(b)(2) NDA application will not be approved until all the listed patents claiming the referenced product have expired.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ANDA or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certification. The filing of a patent infringement lawsuit within 45 days after the receipt of notice of the Paragraph IV certification automatically prevents the FDA from approving the ANDA or 505(b)(2) NDA until the earlier of 30 months, expiration of the patent, settlement of the lawsuit, a decision in the infringement case that is favorable to the ANDA applicant or other period determined by a court.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Hatch-Waxman Non-Patent Exclusivity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 and data exclusivity provisions under the FFDCA also can delay the submission or the approval of certain applications for competing products. The FFDCA provides a five-year period of non- patent data exclusivity within the U.S. to the first applicant to gain approval of an NDA for a new chemical entity.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non-infringement.</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FFDCA also provides three years of marketing exclusivity for an NDA, 505(b)(2) NDA, or supplement to an existing NDA or 505(b)(2) NDA if new clinical investigations, other than bioavailability studies, that were conducted or sponsored by the applicant, are deemed by the FDA to be essential to the approval of the application or supplement. Three-year exclusivity may be awarded for changes to a previously approved drug product, such as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 controlled clinical trials necessary to demonstrate safety and effectiveness.</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U.S. and, if granted, provides for the attachment of an additional six months of marketing protection to the term of any existing regulatory exclusivity, including the non-patent exclusivity period described above. This six-month exclusivity may be granted if an NDA sponsor submits pediatric data that fairly responds to a written request from the FDA for such data. The data does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Orange Book listed patent protection that cover the drug are extended by six months. This is not a patent term extension, but it effectively extends the regulatory period during which the FDA cannot approve an ANDA or 505(b)(2) application owing to regulatory exclusivity or listed patents.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Orphan Drug Act provides incentives for the development of drugs intended to treat rare diseases or conditions, which generally are diseases or conditions affecting less than 200,000 individuals annually in the U.S., or affecting more than 200,000 in the U.S. and for which there is no reasonable expectation that the cost of developing and making the drug available in the U.S. will be recovered from U.S. sales.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sponsors must present a plausible hypothesis for clinical superiority to obtain orphan drug designation if there is a drug already approved by the FDA that is intended for the same indication and that is considered by the FDA to be the same drug as the already approved drug. This hypothesis must be demonstrated to obtain orphan drug exclusivity. Orphan drug designation entitles a party to financial incentives such as opportunities for grant funding towards clinical study costs, tax advantages, and user fee waivers. In addition, if a product receives FDA approval for the indication for which it has orphan drug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Regulation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U.S., we would need to comply with numerous and varying regulatory requirements of other countries regarding safety and efficacy and governing, among other things, clinical trials, marketing authorization, commercial sales and distribution of our products. For example, in the European Union, we must obtain authorization of a clinical trial application in each member state in which we intend to conduct a clinical trial.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 Drug Approval Process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obtain marketing authorization of a drug in the European Union, we may submit marketing authorization applications (MAAs) either under the so-called centralized or national authorization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Centralized procedure</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following a favorable opinion by the European Medicines Agency (EMA) that is valid in all European Union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and other immune dysfunctions.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authorization procedures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are also two other possible routes to authorize medicinal products in several European Union countries, which are available for investigational medicinal products that fall outside the scope of the centralized procedure:</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Decentralized procedure. Using the decentralized procedure, an applicant may apply for simultaneous authorization in more than one European Union country of medicinal products that have not yet been authorized in any European Union country and that do not fall within the mandatory scope of the centralized procedure.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recognition procedure. In the mutual recognition procedure, a medicine is first authorized in one European Union Member State, in accordance with the national procedures of that country. Following this, further marketing authorizations can be sought from other European Union countries in a procedure whereby the countries concerned agree to recognize the validity of the original, national marketing authorization.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European Union, new products authorized for marketing (i.e.,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data on which the reference product was first authorized in the European Union. The market exclusivity period prevents a successful generic applicant from commercializing its product in the European Union until ten years have elapsed from the initial authorization of the reference product in the European Union.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Company’s internet address is </w:t>
      </w:r>
      <w:r>
        <w:rPr>
          <w:rFonts w:ascii="Times New Roman" w:cs="Times New Roman" w:eastAsia="Times New Roman" w:hAnsi="Times New Roman"/>
          <w:sz w:val="18"/>
          <w:szCs w:val="18"/>
          <w:i w:val="1"/>
          <w:iCs w:val="1"/>
          <w:color w:val="auto"/>
        </w:rPr>
        <w:t>https://www.nrxpharma.com</w:t>
      </w:r>
      <w:r>
        <w:rPr>
          <w:rFonts w:ascii="Times New Roman" w:cs="Times New Roman" w:eastAsia="Times New Roman" w:hAnsi="Times New Roman"/>
          <w:sz w:val="18"/>
          <w:szCs w:val="18"/>
          <w:color w:val="auto"/>
        </w:rPr>
        <w:t>. The Company makes available, free of charge, on its website the copies of the Company’s Annual Reports on Form 10-K, Quarterly Reports on Form 10-Q, Current Reports on Form 8-K, and amendments to those reports as soon as reasonably practicable after the Company electronically files such material with, or furnishes it to, the United States Securities and Exchange Commission (SEC).</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content of the Company’s website is not incorporated by reference into this Annual Report on Form 10-K or in any other report or document it files with the SEC, and any references to the Company’s website is intended to be inactive textual references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carefully consider the following risk factors, together with all of the other information included in this Annual Report on Form 10-K. The risks described below are those which we believe are the material risks that we face. Additional risks not presently known to us or which we currently consider immaterial may also have an adverse effect on us. Any risk described below may have a material adverse impact on our business or financial condition. Some statements in this Annual Report on Form 10-K, including such statements in the following risk factors, constitute forward-looking statements. These forward-looking statements are based on our management's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Company's business involves significant risks and uncertainties that make an investment in it speculative and risky. The following is a summary list of the principal risk factors that could materially adversely affect the Company's business, financial condition, liquidity and results of operations. These are not the only risks and uncertainties the Company faces, and you should carefully review and consider the full discussion of the Company's risk factors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together with the other information in this Annual Report on Form 10-K.</w:t>
      </w:r>
    </w:p>
    <w:p>
      <w:pPr>
        <w:spacing w:after="0" w:line="18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financial condition may fluctuate from period to period.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upon which to base an investment decision.</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raise additional capital to operate our business. If we fail to obtain the capital necessary to fund our operations, we will be unable to continue or complete our product development and we may not be able to continue as a going concern.</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NRX-101 is still Phase 2/3 in clinical testing.</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scaled manufacturing of our drug products to levels that are required for sustained sales.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current or future disputes, claims, arbitration and litigation could have a material adverse effect on our business, financial condition and results of operations.</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or maintain FDA and other regulatory clearances for our products, or if such clearances are delayed, we will be unable to commercially distribute and market our products.</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will face significant competition in the markets for such products, and if they are unable to compete successfully, our business will suffer.</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political and social conditions, armed conflicts and uncertainties in the market that we serve may adversely impact our business.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potential customers and payors will be subject to applicable anti-kickback, fraud and abuse, transparency, and other healthcare laws and regulations, which could expose us to criminal sanctions, civil penalties, contractual damages, reputational harm, and administrative burdens.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growth as we expand operations may strain our resources and we may not successfully manage our growth.</w:t>
      </w:r>
    </w:p>
    <w:p>
      <w:pPr>
        <w:spacing w:after="0" w:line="1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future acquisitions or strategic transactions, which may require us to seek additional financing or financial commitments, increase our expenses and/or present significant distractions to our management.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identify, audit, negotiate, finance or close future acquisitions.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and maintain effective internal controls over financial reporting in accordance with Section 404 of the Sarbanes-Oxley Act could impair our ability to produce timely and accurate financial statements or comply with applicable regulations and have a material adverse effect on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drug product is approved, the regulators may impose limitations on the use or marketing of such product.</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design, conduct and complete clinical trials successfully, our drug candidates will not be able to receive regulatory approval.</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regulators will grant NDA approval of our current or future product candidates and failure to obtain necessary clearances or approvals for our current and future product candidates would adversely affect our ability to grow our business.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clinical trials, discussions and guidance are not binding obligations on the part of regulatory authorities.</w:t>
      </w:r>
    </w:p>
    <w:p>
      <w:pPr>
        <w:spacing w:after="0" w:line="1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or future clinical trials may not support our product candidate claims or may result in the discovery of unexpected adverse side effects.</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or completion of pharmaceutical development, manufacturing or clinical efficacy and safety testing could result in increased costs to us and delay our ability to generate revenues.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the enrollment of large numbers of patients, and suitable patients may be difficult to identify and recruit.</w:t>
      </w:r>
    </w:p>
    <w:p>
      <w:pPr>
        <w:spacing w:after="0" w:line="1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sufficient and appropriate clinical protocols to demonstrate safety and efficacy are required and we may not adequately develop such protocols to support clearance and approval.</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delays to the completion of clinical studies may result from modifications being made to the protocol during the clinical trial, if such modifications are warranted and/or required by the occurrences in the given trial.</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data generated using modified protocols will be acceptable to regulators.</w:t>
      </w:r>
    </w:p>
    <w:p>
      <w:pPr>
        <w:spacing w:after="0" w:line="1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adverse event occurs during a clinical trial, the regulators or an IRB may delay (clinical hold) or terminate the trial, which could adversely affect our business and prospects.</w:t>
      </w:r>
    </w:p>
    <w:p>
      <w:pPr>
        <w:ind w:left="660" w:right="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products are approved by regulatory authorities, if we or our suppliers fail to comply with ongoing FDA regulation or if we experience unanticipated problems with our products, these products could be subject to restrictions or withdrawal from the market.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government regulation may affect the commercialization of our product candidate.</w:t>
      </w:r>
    </w:p>
    <w:p>
      <w:pPr>
        <w:spacing w:after="0" w:line="1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limitations on the availability of controlled substances used in NRX-100 that may limit the availability of the active ingredients for this drug product.</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environmental, health, and safety laws and regulations, we could become subject to fines or penalties or incur costs that could harm our business.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controlled substances in our product candidates may generate controversy.</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products for clinical trials may be manufactured outside the U.S.</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reliant on third party manufacturers to produce controlled substances that conform to our specifications and the FDA’s strict regulatory requirements.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on certain licensing rights that can be terminated in certain circumstances.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at in-licensing drug candidates or technologies to expand our product pipeline.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upon securing and protecting critical intellectual property.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position is highly uncertain and involves complex legal and factual questions.</w:t>
      </w:r>
    </w:p>
    <w:p>
      <w:pPr>
        <w:spacing w:after="0" w:line="3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of our licensors, which could be expensive, time-consuming and unsuccessful and could result in a finding that such patents are unenforceable or invalid.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foreign intellectual property rights and may not be able to protect our intellectual property rights throughout the world.</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patents does not guarantee that we will secure the right to commercialize our patents.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royalty or milestone revenue relating to our product candidates under our collaboration and future license agreements for several years, or at all.</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direct control of third parties performing preclinical and clinical trials.</w:t>
      </w:r>
    </w:p>
    <w:p>
      <w:pPr>
        <w:spacing w:after="0" w:line="1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manufacturing capabilities and depend on other parties for our manufacturing operations. If these manufacturers fail to meet our requirements and strict regulatory requirements, our product development and commercialization efforts may be materially harmed.</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enter into agreements with, and depend upon, one or more partners to assist us in commercializing our product candidates.</w:t>
      </w:r>
    </w:p>
    <w:p>
      <w:pPr>
        <w:spacing w:after="0" w:line="1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commercialization of our products, we may be dependent on third parties to market, distribute and sell our products. If we are not successful in contracting with third parties for these services on favorable terms, or at all, our product revenues could be disappointing.</w:t>
      </w:r>
    </w:p>
    <w:p>
      <w:pPr>
        <w:ind w:left="660" w:right="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shares of common stock or convertible securities could make it difficult for another company to acquire us, may dilute your ownership of us and could adversely affect our stock price.</w:t>
      </w: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“smaller reporting company” within the meaning of the Securities Act, and if we take advantage of certain exemptions from disclosure requirements available to smaller reporting companies, it could make our securities less attractive to investors and may make it more difficult to compare our performance to the performance of other public companies.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and the Bylaws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price may be volatile or may decline regardless of our operating performance. You may lose some or all of your investment.</w:t>
      </w:r>
    </w:p>
    <w:p>
      <w:pPr>
        <w:spacing w:after="0" w:line="1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the applicable continued listing requirements of the Nasdaq Capital Market, Nasdaq may delist our common stock, in which case the liquidity and market price of our common stock could decline.</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cash dividends on our common stock for the foreseeable future.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Early-Stage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and financial condition may fluctuate from period to period.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and when any of our product candidates are successfully commercialized, we anticipate that our operating results and financial condition will fluctuate from quarter-to-quarter and year-to-year due to a number of factors, many of which will not be within our control. Both our business and the pharmaceutical industry are changing and evolving rapidly, and our operating results in any given year may not be useful in predicting our future operating results. If our operating results do not meet the guidance that we provide to the marketplace or the expectations of securities analysts or investors, the market price of our common stock will likely decline. Fluctuations in our future operating results and financial condition may be due to a number of factors, including:</w:t>
      </w:r>
    </w:p>
    <w:p>
      <w:pPr>
        <w:spacing w:after="0" w:line="187" w:lineRule="exact"/>
        <w:rPr>
          <w:sz w:val="20"/>
          <w:szCs w:val="20"/>
          <w:color w:val="auto"/>
        </w:rPr>
      </w:pPr>
    </w:p>
    <w:p>
      <w:pPr>
        <w:ind w:left="800" w:hanging="144"/>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products in sufficient quantities with chemical manufacturing controls that meet governmental regulatory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standards;</w:t>
      </w:r>
    </w:p>
    <w:p>
      <w:pPr>
        <w:spacing w:after="0" w:line="206"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acceptance and differentiation of our products and services in the broader healthcare industry;</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competitors and new entrants into our markets;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60" w:hanging="10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and services that we are able to sell during any period;</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sales and distribution of our products to customers;</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distribution of our sales;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our pricing policies on those of our competitors, including our response to price competition;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amount that we spend to research and develop new products or technologies;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•expenses and/or liabilities resulting from litigation;</w:t>
      </w:r>
    </w:p>
    <w:p>
      <w:pPr>
        <w:spacing w:after="0" w:line="225" w:lineRule="exact"/>
        <w:rPr>
          <w:sz w:val="20"/>
          <w:szCs w:val="20"/>
          <w:color w:val="auto"/>
        </w:rPr>
      </w:pPr>
    </w:p>
    <w:p>
      <w:pPr>
        <w:ind w:left="660" w:hanging="4"/>
        <w:spacing w:after="0" w:line="282" w:lineRule="auto"/>
        <w:tabs>
          <w:tab w:leader="none" w:pos="7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research and develop new or enhanced products or technologies, the necessary regulatory approvals and the generation of revenue from those products or technologies;</w:t>
      </w:r>
    </w:p>
    <w:p>
      <w:pPr>
        <w:spacing w:after="0" w:line="161"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liabilities or difficulties in integrating any businesses that we choose to acquire;</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information technology systems or our third-party contract manufacturers;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economic and industry conditions that affect customer demand;</w:t>
      </w:r>
    </w:p>
    <w:p>
      <w:pPr>
        <w:spacing w:after="0" w:line="225" w:lineRule="exact"/>
        <w:rPr>
          <w:sz w:val="20"/>
          <w:szCs w:val="20"/>
          <w:color w:val="auto"/>
        </w:rPr>
      </w:pPr>
    </w:p>
    <w:p>
      <w:pPr>
        <w:ind w:left="760" w:hanging="10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and tax laws; and</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geopolitical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upon which to base an investment decision.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limited operating history may hinder your ability to evaluate our prospects due to a lack of historical financial data and our unproven potential to generate profits. You should evaluate the likelihood of financial and operational success in light of the risks, uncertainties, expenses and difficulties associated with an early-stage business, many of which may be beyond our control, including:</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continue to undertake preclinical studies, pharmaceutical development and clinical trials,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obtain regulatory approvals,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manufacture, sell and market our products.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have been limited to organizing and staffing our company, acquiring, developing and securing our proprietary technology and intellectual property and undertaking preclinical studies and early-stage clinical trials of our principal product candidates. These operations provide a limited basis for you to assess our ability to commercialize our product candidates.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to raise additional capital to operate our business. If we fail to obtain the capital necessary to fund our operations, we will be unable to continue or complete our product development and we may not be able to continue as a going concern.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company focused on product development and have not generated any product revenues to date. Until, and if, we receive approval from the FDA and other regulatory authorities for our product candidates, we cannot sell our drugs and will not have product revenues. We had cash and cash equivalents of approximately $7.8 million as of December 31, 2025. However, we will need to continue to seek capital from time to time to continue the development and potential commercialization of our product candidates, including any expansion of our clinical programs to facilitate a larger safety database for the use of NRX-101 as a chronic, or chronic-intermittent, treatment as advised by FDA in our recent Type B meeting, and to acquire and develop other product candidates. Accordingly, we believe that we will need to raise substantial additional capital to fund our continuing operations and the development and potential commercialization of our product candidates during calendar year 2026. We may raise capital through future share offerings, the issuance of debt instruments and grant monies. Our actual capital requirements will depend on many factors. For instance, our business or operations may change in a manner that would consume available funds more rapidly than anticipated and substantial additional funding may be required to maintain operations, fund expansion, develop new or enhanced products, acquire complementary products, business or technologies or otherwise respond to competitive pressures and opportunities, such as a change in the regulatory environment or a change in preferred depression treatment. If we experience unanticipated cash requirements, we may need to seek additional sources of financing, which may not be available on favorable terms, if at all.</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not be able to secure funding when we need it or on favorable terms. If we cannot raise adequate funds to satisfy our capital requirements, we will have to delay, scale-back or eliminate our research and development activities, clinical studies or future operations and we may be unable to complete planned nonclinical studies and clinical trials or obtain approval of our product candidates from the FDA and other regulatory authorities. In addition, we could be forced to discontinue product development, reduce or forego sales and marketing efforts and attractive business opportunities, reduce overhead, or be unable to continue as a going concern. We may also be required to obtain funds through arrangements with collaborators, which arrangements may require us to relinquish rights to certain technologies or products that we otherwise would not consider relinquishing, including rights to future product candidates or certain major geographic markets. We may further have to license our technology to others. This could result in sharing revenues which we might otherwise retain for ourselves. Any of these actions may harm our business, financial condition and results of operations.</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capital we may need depends on many factors, including the progress, timing and scope of our product development programs; the progress, timing and scope of our nonclinical studies and clinical trials; the time and cost necessary to obtain regulatory approvals; the time and cost necessary to further develop manufacturing processes and arrange for contract manufacturing; our ability to enter into and maintain collaborative, licensing and other commercial relationships; and our partners’ commitment of time and resources to the development and commercialization of our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access the capital markets and even if we can raise additional funding, we may be required to do so on terms that are dilutive.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capital markets have been unpredictable in the recent past for unprofitable companies such as ours. In addition, it is generally difficult for companies to raise capital under current market conditions. The amount of capital that a company such as ours is able to raise often depends on variables that are beyond our control. As a result, we cannot assure you that we will be able to secure financing on terms attractive to us, or at all. If we are able to consummate a financing arrangement, the amount raised may not be sufficient to meet our future needs. If adequate funds are not available on acceptable terms, or at all, our business, results of operations, financial condition and our continued viability will be materially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using the proceeds of shares sold to investors, and we may not spend the proceeds in an effective manner.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limited in the use of proceeds of shares sold to investors. We may use such proceeds for working capital and general corporate purposes to support our growth, to pay dividends on our outstanding securities, or for acquisitions or other strategic investments. We have not allocated such funds to any particular purpose, and our management will have the discretion to allocate the proceeds as it determines. We may not apply the proceeds effectively.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NRX-101 is still in Phase 2/3 of clinical testing.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NRX-101 is in Phase 2b/3 of clinical testing with Breakthrough Therapy designation, a Biomarker Letter and a Special Protocol Agreement issued by the FDA on April 20, 2018. A Special Protocol Agreement is a mechanism by which the FDA indicates that the proposed clinical trial, if successful, will be adequate to support an application for drug approval. FDA approval requires that a drug candidate complete a Phase 2I study program, which tests the safety and efficacy of the drug candidate on a large sample of patients. We are conducting a new registrational study of NRX-101 for severe bipolar depression in patients with ASIB after initial stabilization with NRX-100 (ketamine). We are using newly-manufactured material that was manufactured using the expected commercial process. In addition, we have initiated a Phase 2 clinical study for bipolar depression with sub-acute suicidal ideation and behavior. This population is significantly larger than the Bipolar Depression population with ASIB, and does not require initial stabilization with NRX-100. On January 3, 2023, the Company announced that its first clinical trial site had been contracted for a Phase II/III clinical trial of NRX-101 for the treatment of Severe Bipolar Depression in patients with Acute Suicidal Ideation and Behavior, a potentially lethal condition that currently takes the lives of thousands of Americans each year. Because NRX-101 is a Breakthrough Therapy, we anticipate being able to file an NDA based upon a single, successful Phase 2I trial. While we cannot predict with any certainty if or when we might submit an NDA for regulatory approval of NRX-101, we aim to submit an NDA to the FDA on a rolling basis for the regulatory approval and commercialization of NRX-101 in the U.S. in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are newly-formulated and we have not yet scaled manufacturing to levels that will be required for sustained sales.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NRX-101 has been formulated under cGMP and long-term stability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five years) has been achieved for our solid dose formulation of NRX-</w:t>
      </w:r>
    </w:p>
    <w:p>
      <w:pPr>
        <w:spacing w:after="0" w:line="29" w:lineRule="exact"/>
        <w:rPr>
          <w:sz w:val="20"/>
          <w:szCs w:val="20"/>
          <w:color w:val="auto"/>
        </w:rPr>
      </w:pPr>
    </w:p>
    <w:p>
      <w:pPr>
        <w:jc w:val="both"/>
        <w:ind w:firstLine="8"/>
        <w:spacing w:after="0" w:line="255" w:lineRule="auto"/>
        <w:tabs>
          <w:tab w:leader="none" w:pos="3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Company completed a Type C meeting in which FDA agreed to the Company's Chemical Manufacturing Control and stability program for drug manufacture, and production of NRX-101 has been transferred to a commercial scale cGMP manufacturing facility in South Carolina, we have yet to attempt large scale manufacturing.</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outcome of any current or future disputes, claims, arbitration and litigation could have a material adverse effect on our business, financial condition and results of operations.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in the future, be involved in one or more lawsuits, claims or other proceedings. These suits could concern issues including contract disputes, employment actions, employee benefits, taxes, environmental, health and safety, fraud and abuse, personal injury and product liability matters.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3. Legal Proceedings” for a full description of such proceedings.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FDA and other regulatory clearances for our products, or if such clearances are delayed, we will be unable to commercially distribute and market our products.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products are subject to rigorous regulation by national regulators around in the world, and by the FDA in the U.S. The process of seeking regulatory clearance or approval to market a drug product is expensive and time consuming and, notwithstanding the effort and expense incurred, clearance or approval is never guaranteed. If we are not successful in obtaining timely clearance or approval of our products from the FDA, we may never be able to generate significant revenue in the U.S. and may be forced to focus on international markets where we currently do not have a presence or an established partnership, which will limit the revenue potential of our products.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U.S., the FDA permits commercial distribution of a new drug product only after the product has received approval of an NDA filed with the FDA, seeking permission to market the product in interstate commerce in the U.S. The NDA process is costly, lengthy and uncertain. Any NDA application filed by us will have to be supported by extensive data, including, but not limited to, technical, nonclinical, clinical trial, manufacturing and labelling data, to demonstrate to the FDA’s satisfaction the safety and efficacy of the product for its intended use.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Obtaining clearances or approvals from the FDA and from the regulatory agencies in other countries could result in unexpected and significant costs for us and consume management’s time and other resources. The FDA and other agencies could ask us to supplement our submissions, collect non-clinical data, conduct additional clinical trials or engage in other time-consuming actions, or they could simply deny our applications. In addition, even if we obtain an NDA approval or pre-market approvals in other countries, the approval could be revoked or other restrictions imposed if post-market data demonstrates safety issues or lack of effectiveness. We cannot predict with certainty how, or when, the FDA will act. If we are unable to obtain the necessary regulatory approvals, our financial condition and cash flow may be adversely affected, and our ability to grow domestically and internationally may be limited. Additionally, even if cleared or approved, our products may not be approved for the specific indications that are most necessary or desirable for successful commercialization or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stream will depend upon third-party reimbursement.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Once our product candidates are cleared or approved by the regulatory authorities, the commercial success of our products in both domestic and international markets will be substantially dependent on whether third-party coverage and reimbursement is available for patients that use our products. However, the availability of insurance coverage and reimbursement for newly approved drugs is uncertain, and therefore, third-party coverage may be particularly difficult to obtain even if our products are approved by national regulatory authorities as safe and efficacious. Many patients using existing approved therapies are generally reimbursed all or part of the product cost by governmental and non-governmental insurance plans. Such payors are increasingly attempting to contain healthcare costs by limiting both coverage and the level of reimbursement of new drugs, and, as a result, they may not cover or provide adequate payment for these products. Submission of applications for reimbursement approval generally does not occur prior to the filing of an NDA for that product and may not be granted for as long as many months after NDA approval. In order to obtain reimbursement arrangements for these products, we or our commercialization partners may have to agree to a net sales price lower than the net sales price we might charge in other sales channels. The continuing efforts of government and third-party payors to contain or reduce the costs of healthcare may limit our revenue. Initial dependence on the commercial success of our products may make our revenues particularly susceptible to any cost containment or reduction efforts.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conflicts with our partners that could delay or prevent the development or commercialization of our product candidates.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not aware of any material commercial conflicts that could delay or prevent development or commercialization. However, commercial conflicts such as the interpretation of contractual obligations, payments for services, development obligations or the ownership of intellectual property could arise in any joint development activity. If any conflicts arise with any of our partners, such partner may act in a manner that is adverse to our best interests. Any such disagreement could result in one or more of the following, each of which could delay or prevent the development or commercialization of our product candidates, and in turn prevent us from generating revenues: unwillingness on the part of a partner to pay us a share in profits that we believe are due to us under a collaboration; uncertainty regarding ownership of intellectual property rights arising from our collaborative activities, which could prevent us from entering into additional collaborations; unwillingness on the part of a partner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will face significant competition in the markets for such products, and if they are unable to compete successfully, our business will suffer.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product candidates face, and will continue to face, intense competition from large pharmaceutical companies, specialty pharmaceutical and biotechnology companies as well as academic and research institutions. We compete in an industry that is characterized by: (i) rapid technological change,</w:t>
      </w:r>
    </w:p>
    <w:p>
      <w:pPr>
        <w:jc w:val="both"/>
        <w:ind w:firstLine="8"/>
        <w:spacing w:after="0" w:line="255" w:lineRule="auto"/>
        <w:tabs>
          <w:tab w:leader="none" w:pos="2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industry standards, (iii) emerging competition and (iv) new product introductions. Our competitors have existing products and technologies that will compete with our products and technologies and may develop and commercialize additional products and technologies that will compete with our products and technologies.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several competing companies and institutions have greater financial resources than us, they may be able to: (i) provide broader services and product lines, (ii) make greater investments in research and development, and (iii) carry on larger R&amp;D initiatives. Our competitors also have greater development capabilities than we do and have substantially greater experience in undertaking non-clinical and clinical testing of products, obtaining regulatory approvals, and manufacturing and marketing pharmaceutical products. They also have greater name recognition and better access to customers than us. Our chief competitors in the psychiatry area include companies such as Johnson &amp; Johnson, Pfizer, Eli Lilly, Sage Therapeutics, Axsome, and Relmada, among others.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faced with intense competition and rapid technological change, which may make it more difficult for us to achieve significant market penetration. If we cannot compete successfully for market share against other drug companies, we may not achieve sufficient product revenues and our business will suffer.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for our product candidates is characterized by intense competition and rapid technological advances. If our product candidates receive regulatory approval in any jurisdiction, they will compete with a number of existing and future drugs and therapies developed, manufactured and marketed by others. If our competitors’ existing products or new products are more effective than or considered superior to our future products, the commercial opportunity for our product candidates will be reduced or eliminated. Existing or future competing products may provide greater therapeutic convenience or clinical or other benefits for a specific indication than our products, or may offer comparable performance at a lower cost. We face competition from fully integrated pharmaceutical companies and smaller companies that are collaborating with larger pharmaceutical companies, academic institutions, government agencies and other public and private research organizations. If we are successful in penetrating the relevant markets for treatment with our product candidates, other companies may be attracted to the market. Many of our competitors have products already approved or in development. In addition, many of these competitors, either alone or together with their collaborative partners, are larger than we are and have substantially greater financial, technical, research, marketing, sales, distribution and other resources than we do. Our competitors may develop or market products that are more effective or commercially attractive than any that we are developing or marketing. Our competitors may obtain regulatory approvals, and introduce and commercialize products before we do. These developments could have a significant negative effect on our financial condition. Even if we are able to compete successfully, we may not be able to do so in a profitable manner.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products may never achieve market acceptance.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Future products that we may develop may never gain market acceptance among physicians, patients and the medical community. The degree of market acceptance of any of our products will depend on a number of factors, including the actual and perceived effectiveness and reliability of our products; the results of any long-term clinical trials relating to use of our products; the availability, relative cost and perceived advantages and disadvantages of alternative technologies; the degree to which treatments using our products are approved for reimbursement by public and private insurers; the strength of our marketing and distribution infrastructure; and the level of education and awareness among physicians and hospitals concerning our products. The failure of any of our products to significantly penetrate current or new markets would negatively impact our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be commercially successful, physicians must be persuaded that using our products are effective alternatives to existing therapies and treatments.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doctors and other physicians will not widely adopt our products unless they determine, based on experience, clinical data, and published peer reviewed journal articles, that the use of our products provides an effective alternative to other therapies and treatments. Patient studies or clinical experience may indicate that treatment with our products does not provide patients with sufficient benefits and/or improvement in quality of life. We believe that recommendations and support for the use of our products from medical societies and/or influential physicians will be essential for widespread market acceptance. Our products are still in the development stage and it is premature to attempt to gain support from physicians at this time. We can provide no assurance that such support will ever be obtained. If our products do not receive such support from these physicians and from long-term data, physicians may not use or continue to use, and hospitals may not purchase or continue to purchase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testing and marketing of medical products entails an inherent risk of product liability. We may be held liable if serious adverse reactions from the use of our product candidates occur. If we cannot successfully defend ourselves against product liability claims, we may incur substantial liabilities or be required to limit commercialization of our product candidates. Our inability to obtain sufficient product liability insurance at an acceptable cost to protect against potential product liability claims could prevent or inhibit the commercialization of pharmaceutical products we develop, alone or with corporate collaborators. We currently carry clinical trials liability insurance, but we do not currently carry product liability insurance.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plan to obtain product liability insurance as we near commercialization, we, or any corporate collaborators, may not be able to obtain insurance at a reasonable cost, if at all. Even if our agreements with any future corporate collaborators entitle us to indemnification against losses, such indemnification may not be available or adequate if any claim arises.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Hatch-Waxman Act marketing exclusivity or equivalent regulatory data exclusivity protection in other jurisdictions for our products.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Should we not obtain or fail to maintain patent protection on our products, we intend to rely, in part, on Hatch-Waxman exclusivity for the commercialization of our products in the U.S. The Hatch- Waxman Act provides marketing exclusivity to the first applicant to gain approval of an NDA under specific provisions of the FFDCA for a product using an active ingredient that the FDA has not previously approved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five years) or for a new dosage form, route or indication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three years). This market exclusivity will not prevent the FDA from approving a competitor’s NDA if the competitor’s NDA is based on studies it has performed and not on our studies. However, there can be no assurance that we will obtain Hatch-Waxman exclusivity for our products or that such exclusivity, if obtained, will protect us from direct competition.</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Similarly, in the European Union, new products authorized for marketing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reference products) qualify for eight years of data exclusivity and an additional two years of market exclusivity upon marketing authorization, which, if obtained, would prevent generic applicants from relying on our preclinical and clinical trial data. However, there can be no assurance that European authorities will grant data exclusivity for our products. Even if European data exclusivity is granted for our products, that may not protect us from direct competition. A competitor with a generic version of our products may be able to obtain approval of their product during our product’s period of data exclusivity by submitting a MAA with a less than full package of nonclinical and clinical data.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the future, we may undertake international operations, which would subject us to risks inherent with operations outside of the 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do not have any foreign manufacturing or distribution operations at this time, we may seek to obtain market clearances in foreign markets that we deem could generate significant opportunities. However, even with the cooperation of a commercialization partner, conducting drug development in foreign countries involves inherent risks, including, but not limited to: difficulties in staffing, funding and managing foreign operations; unexpected changes in regulatory requirements; export restrictions; tariffs and other trade barriers; difficulties in protecting, acquiring, enforcing and litigating intellectual property rights; fluctuations in currency exchange rates; and potentially adverse tax consequences.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would need to obtain approvals from the appropriate regulatory, pricing and reimbursement authorities to market any of our proposed products internationally, and we may be unable to obtain foreign regulatory approvals. Pursuing foreign regulatory approvals would be time-consuming and expensive. The regulations can vary among countries and foreign regulatory authorities may require different or additional clinical trials than the trials we conducted to obtain FDA approval for our product candidates. In addition, adverse clinical trial results in such countries, such as death or injury due to side effects, could jeopardize not only regulatory approval, but if approval is granted, may also lead to marketing restrictions. Our product candidates may also face foreign regulatory requirements applicable to controlled substances.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were to experience any of the difficulties listed above, or any other difficulties, any international development activities and our overall financial condition may suffer and cause us to reduce or discontinue our international development and registration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commercialization of our product candidates requires successful collaborations.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plan to commercialize some of our products internationally through collaborative relationships with foreign partners. We have limited foreign regulatory, clinical and commercial resources. Future partners are critical to our international success. However, we may not be able to enter into collaboration agreements with appropriate partners for important foreign markets on acceptable terms, or at all. Future collaborations with foreign partners may not be effective or profitable for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could face disruption due to pandemics and other public health emergencies.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monitor pandemics and other public health emergencies and have made certain assumptions regarding their potential impact on our business, operations and financial condition and results for purposes of our operational planning and financial projections, including assumptions regarding the duration and severity of the pandemic and the global macroeconomic impact of the pandemic. Despite careful tracking and planning, however, we are unable to accurately predict the extent of the impact of pandemics and other public health emergencies on our business, operations and financial condition and results. If a new pandemic and public health emergency arises, the research and development of our products will be delayed and we may be unable to perform fully on our contracts, which will likely result in increases in costs and reduction in revenue. These cost increases may not be fully recoverable or adequately covered by insurance. The long-term effects of any pandemic to the global economy and to us will be difficult to assess or predict and may include a decline in the market prices of our products, risks to employee health and safety, risks for the deployment of our products and services and reduced sales in geographic locations impacted. Any prolonged restrictive measures put in place in response to public health emergencies in any of our targeted markets may have a material and adverse effect on our business operations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political and social conditions, armed conflicts and uncertainties in the market that we serve may adversely impact our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performance depends on the financial health and strength of our potential customers, which in turn is dependent on the economic conditions of the markets in which we and our customers operate.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recent declines in the global economy, difficulties in the financial services sector and credit markets, continuing geopolitical uncertainties and other macroeconomic factors all affect the spending behavior of potential customers. The economic uncertainty in Europe, the U.S., India, China and other countries may cause end-users to further delay or reduce technology purchases.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face risks from financial difficulties or other uncertainties experienced by our suppliers, distributors or other third parties on which we rely. If third parties are unable to supply us with required materials or components or otherwise assist us in operating our business, our business could be harmed.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example, the possibility of trade disputes and tariffs between countries with whom we are engaged may impact the cost of raw materials, finished products or components used in our products and our ability to sell our products in various markets. In addition, the consequences of the ongoing conflicts around the world, including related sanctions and countermeasures, and the effects of rising global inflation, are difficult to predict, and could adversely affect our business and operations. Other changes in U.S. social, political, regulatory and economic conditions or in laws and policies governing foreign trade, manufacturing, development and investment could also adversely affect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may be materially adversely affected by the negative impact on the global economy and capital markets resulting from new international conflicts or any other geopolitical tensions.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and global markets generally experience volatility and disruption as a result of geopolitical tensions and military conflicts, including significant volatility in commodity prices, credit and capital markets, as well as supply chain disruptions.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international sanctions and other penalties can disrupt payment systems and imports/exports and lead to instability and lack of liquidity in capital markets, potentially making it more difficult for us to obtain additional funds. Any such disruptions may also magnify the impact of other risks described in this annual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hiring and retaining key employees and contractors.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operations and successes depend in large part upon the continued service of key members of our senior management team whom we are highly dependent upon to manage our business, including our Chief Executive Officer. If he terminates his relationship with us, such a departure could have a material adverse effect on our business.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also depends on our ability to identify, attract, hire or engage, retain and motivate other well-qualified managerial, technical, clinical and regulatory personnel. We will need to hire additional qualified personnel with expertise in nonclinical pharmacology and toxicology, pharmaceutical development, clinical research, regulatory affairs, manufacturing, sales and marketing. We compete for qualified individuals with numerous biopharmaceutical companies, universities and other research institutions. Competition for such individuals, particularly in the U.S., is intense, and we may not be able to hire sufficient personnel to support our efforts. There can be no assurance that these professionals will be available in the market, or that we will be able to retain existing professionals or to meet or to continue to meet their compensation requirements. Furthermore, the cost base in relation to such compensation, which may include equity compensation, may increase significantly, which could have a material adverse effect on us. Failure to establish and maintain an effective management team and workforce could adversely affect our ability to operate, grow and manage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w:t>
      </w:r>
    </w:p>
    <w:p>
      <w:pPr>
        <w:spacing w:after="0" w:line="27" w:lineRule="exact"/>
        <w:rPr>
          <w:sz w:val="20"/>
          <w:szCs w:val="20"/>
          <w:color w:val="auto"/>
        </w:rPr>
      </w:pP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FDA regulations or similar regulations of comparable foreign regulatory authorities; provide accurate information to the FDA or comparable foreign regulatory authorities;</w:t>
      </w:r>
    </w:p>
    <w:p>
      <w:pPr>
        <w:ind w:left="6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or data accurately; or disclose unauthorized activities to us.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Business Code of Conduct and Anti-Corruption Policy,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potential customers and payors will be subject to applicable anti-kickback, fraud and abuse, transparency, and other healthcare laws and regulations, which could expose use to criminal sanctions, civil penalties, contractual damages, reputational harm, and administrative burdens.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payors play a primary role in the recommendation and prescription of any product candidates for which we may obtain marketing approval. Our arrangements with payors and customers may expose us to broadly applicable fraud and abuse and other healthcare laws and regulations that may constrain the business or financial arrangements and relationships through which we market, sell and distribute any product candidates for which we may obtain marketing approval. Restrictions under applicable federal, state and foreign healthcare laws and regulations may affect our ability to operate, including:</w:t>
      </w:r>
    </w:p>
    <w:p>
      <w:pPr>
        <w:spacing w:after="0" w:line="183" w:lineRule="exact"/>
        <w:rPr>
          <w:sz w:val="20"/>
          <w:szCs w:val="20"/>
          <w:color w:val="auto"/>
        </w:rPr>
      </w:pPr>
    </w:p>
    <w:p>
      <w:pPr>
        <w:jc w:val="both"/>
        <w:ind w:left="660" w:hanging="328"/>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which prohibits, among other things,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Foreign Assets Control, which prohibits, among other things, transactions or dealings with specified countries, their governments, and in certain circumstances, their nationals, and with individuals and entities that are specially designated, including narcotics traffickers and terrorists or terrorist organization;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on Foreign Investment in the U.S., which has regulatory oversight over the sources and amounts of investment we may accept from non-US investors;</w:t>
      </w: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anti-kickback and false claims laws, which may apply to sales or marketing arrangements and claims involving healthcare items or services reimbursed by non-governmental payors, including private insurers;</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2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which imposes criminal and civil liability for executing a scheme to defraud any healthcare benefit program or making false statements relating to healthcare matters;</w:t>
      </w:r>
    </w:p>
    <w:p>
      <w:pPr>
        <w:jc w:val="both"/>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which require pharmaceutical companies to comply with the pharmaceutical industry’s voluntary compliance guidelines and the relevant compliance guidance promulgated by the federal government or otherwise restricting payments that may be made to healthcare providers; and</w:t>
      </w:r>
    </w:p>
    <w:p>
      <w:pPr>
        <w:jc w:val="both"/>
        <w:ind w:left="660" w:hanging="328"/>
        <w:spacing w:after="0" w:line="25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requiring drug manufacturers to report information related to payments and other transfers of value made to physicians and other healthcare providers, as well as ownership or investment interests held by physicians and their immediate family members, including under the federal open payments program, as well as other state and foreign laws regulating marketing activities.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Managing our growth as we expand operations may strain our resources and we may not successfully manage our growth.</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to need to grow rapidly in order to support additional, larger, and potentially international, pivotal clinical trials of our drug candidates, which will place a significant strain on our financial, managerial and operational resources. In order to achieve and manage growth effectively, we must continue to improve and expand our operational and financial management capabilities. Moreover, we will need to increase staffing and to train, motivate and manage our employees. All of these activities will increase our expenses and may require us to raise additional capital sooner than expected. If we grow significantly, such growth will place a significant strain on our management and on our administrative, operational and financial resources. To manage this growth, we must expand our facilities, augment our operational, financial and management systems, internal controls and infrastructure and hire and train additional qualified personnel. Our future success is heavily dependent upon growth and acceptance of our future products. If we are unable to scale our business appropriately or otherwise adapt to anticipated growth and new product introduction, our business and financial condition will be harmed.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the acquisition of rights to new drug candidates that could disrupt our business, harm our financial condition and may also dilute current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ownership interests in our company.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strategy includes expanding our products and capabilities, and we may seek acquisitions of drug candidates or technologies to do so. Acquisitions involve numerous risks, including substantial cash expenditures; potentially dilutive issuances of equity securities; incurrence of debt and contingent liabilities, some of which may be difficult or impossible to identify at the time of acquisition; difficulties in assimilating the acquired technologies or the operations of the acquired companies; diverting our management’s attention away from other business concerns; risks of entering markets in which we have limited or no direct experience; and the potential loss of our key employees or key employees of the acquired companies.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assure you that any acquisition will result in short-term or long-term benefits to us. We may incorrectly judge the value or worth of an acquired product, company or business. Any such transaction could also result in impairment of goodwill and other intangibles, write-offs and other related expenses. In addition, our future success would depend in part on our ability to manage the rapid growth associated with some of these acquisitions. We cannot assure you that we will be able to make the combination of our business with that of acquired products, businesses or companies work or be successful. Furthermore, the development or expansion of our business or any acquired products, business or companies may require a substantial capital investment by us. We may not have these necessary funds or they might not be available to us on acceptable terms or at all. We may also seek to raise funds by selling shares of our preferred or common stock, which could dilute each current stockholder’s ownership interest in NRx.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limit our ability to operate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operations as well as those of our collaborators on which we depend are vulnerable to damage or interruption from computer viruses, human error, natural disasters, wars, electrical and telecommunication failures, international acts of terror and similar events. We have not established a formal disaster recovery plan and our back-up operations and our business interruption insurance may not be adequate to compensate us for losses we may suffer. A significant business interruption could result in losses or damages incurred by us and require us to cease or curtail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security attacks, internal system or service failures may adversely impact our business and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system or service disruptions, including those caused by projects to improve our information technology systems, if not anticipated and appropriately mitigated, could disrupt our business and impair our ability to effectively provide products and related services to our customers and could have a material adverse effect on our business. We could also be subject to systems failures, including network, software or hardware failures, whether caused by us, third-party service providers, intruders or hackers, computer viruses, natural disasters, power shortages or terrorist attacks.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Cyber security threats are evolving and include, but are not limited to, malicious software, phishing and other unauthorized attempts to gain access to sensitive, confidential or otherwise protected information related to us or our products, customers or suppliers, or other acts that could lead to disruptions in our business. Since the COVID-19 pandemic, many of our employees have shifted to work-from-home arrangements, which increases our vulnerability to email phishing, social engineering or “hacking” through our remote networks, and similar cyber-attacks aimed at employees working remotely. Because the techniques used by cyber-attackers to access or sabotage networks change frequently and may not be recognized until launched against a target, we may be unable to anticipate these tactics. Any such failures to prevent or mitigate cyber-attacks could cause loss of data and interruptions or delays in our business, cause us to incur remediation costs or subject us to claims and damage our reputation.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failure or disruption of our communications or utilities could cause us to interrupt or suspend our operations or otherwise adversely affect our business. Although we utilize various procedures and controls to monitor and mitigate the risk of these threats and training our employees to recognize attacks, there can be no assurance that these procedures and controls will be sufficient. Our property and business interruption insurance may be inadequate to compensate us for all losses that may occur as a result of any system or operational failure or disruption which would adversely affect our business, results of operations and financial condition. Moreover, expenditures incurred in implementing cyber security and other procedures and controls could adversely affect our results of operations and financial condition.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over financial reporting in accordance with Section 404 of the Sarbanes-Oxley Act could impair our ability to produce timely and accurate financial statements or comply with applicable regulations and have a material adverse effect on our business.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has significant requirements for enhanced financial reporting and internal controls as a public company. The process of designing and implementing effective internal controls is a continuous effort that will require us to anticipate and react to changes in our business and the economic and regulatory environments and to expend significant resources to maintain a system of internal controls that is adequate to satisfy our reporting obligations as a public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establish and maintain appropriate internal financial reporting controls and procedures, in accordance with Section 404 of the Sarbanes-Oxley Act, it could impact our operating results, result in material misstatements in our consolidated financial statements and cause us to fail to meet our reporting obligations on a timely basis. Testing and maintaining internal controls may divert management’s attention from other matters that are important to our business. Our independent registered public accounting firm may be required to attest to the effectiveness of our internal control over financial reporting on an annual basis in the future.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Hope Therapeutics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plans to partially spin-off Hope as an independent, publicly traded company may not be completed on the currently contemplated timeline or at all and, if completed, may not achieve the intended benefits and expose us to new risks.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previously announced our plan partially spin-off Hope as a separately traded company. A spin-off would be through a partial pro-rata distribution of shares to our common stockholders resulting in two distinct, publicly traded companies. The proposed spin-off is subject to various conditions, is complex in nature, and may be affected by unanticipated developments, credit and equity markets, or changes in market conditions. As independent, publicly traded companies, each of the resulting companies will be smaller and less diversified than the existing company, with a narrower business focus, and they may be more vulnerable to changing market conditions.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that we anticipate to result from the spin-off, or such benefits may be delayed or not occur at all. We may experience negative reactions from financial markets if we do not complete the separation in a reasonable time period, or at all. Following the proposed spin-off, the combined value of the shares of the two publicly traded companies may not be equal to or greater than what the value of our common stock would have been had the proposed separation not occurred. In addition, the cost and resources required to effectuate the separation may be significantly higher than what we currently anticipate, and we will likely incur one-time costs in connection with the proposed spin-off that may negate some of the benefits we expect to achieve. Moreover, we may determine to change our strategy, including to pursue, modify or abandon such spin-off at any time, and, in any event, there can be no assurance we will be successful in executing on our current strategy or any changed strategy.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could have a material adverse effect on our business, financial condition, results of operations, cash flows or the price of our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or strategic transactions, which may require us to seek additional financing or financial commitments, increase our expenses and/or present significant distractions to our management.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need to acquire additional financing to fund other potential acquisitions or strategic transactions (particularly, if the acquired entity is not cash flow positive or does not have significant cash on hand). Obtaining financing through the issuance or sale of additional equity and/or debt securities, if possible, may not be at favorable terms and may result in additional dilution to our current stockholders. Additionally, any such transaction may require us to incur non-recurring or other charges, may increase our near and long-term expenses and may pose significant integration challenges or disrupt our management or business, which could adversely affect our operations and financial results. For example, an acquisition or strategic transaction may entail numerous operational and financial risks, including the risks outlined above and additionally:</w:t>
      </w:r>
    </w:p>
    <w:p>
      <w:pPr>
        <w:spacing w:after="0" w:line="18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or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there can be no assurance that we will undertake or successfully complete any transactions of the nature described above, and any transactions that we do complete could have a material adverse effect on our business, results of operations, financial condition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identify, audit, negotiate, finance or close future acquisitions.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component of our growth strategy for HOPE focuses on acquiring majority equity ownership interests in interventional psychiatry clinics. However, we may not be able to identify, audit, or acquire such equity ownership interests on acceptable terms, if at all. No guarantee or assurance whatsoever can be given that discussions/negotiations with any potential acquisition candidates will result in any letter of intent or definitive agreements. If we do enter any letter of intent or definitive agreements, we may need to finance all or a portion of the purchase price for an acquisition by incurring indebtedness or by selling shares of our common or convertible preferred stock. There can be no assurance that we will be able to obtain financing on terms that are favorable, if at all, which will limit our ability to acquire such equity ownership interests in the future. Target companies may not decide to proceed forward with mergers that are the subject of letters of intent. Failure to acquire such equity ownership interests on acceptable terms, if at all, may have a material adverse effect on our ability to increase assets, revenues and net income. The foregoing risks may have a material adverse effect on our Company and the trading price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may render our products or technologies obsolete or non-competitive.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Alternative technologies and products are being developed to treat depression and some may target suicidal bipolar depression and PTSD. Many of the organizations competing with us have substantially greater capital resources, larger research and development staffs and facilities, greater experience in drug development and in obtaining regulatory approvals and greater manufacturing and marketing capabilities than we do. Our competitors may market less expensive or more effective drugs that would compete with our drug candidates or reach market with competing drugs before we are able to reach market with our drug candidates. These organizations also compete with us to attract qualified personnel and partners for acquisitions, joint ventures, or other collaborations.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Clinical and Regulatory Matters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the necessary regulatory approvals, or if such approvals are limited, we will not be allowed to commercialize our drug candidates, and we will not generate product revenues.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Satisfaction of all regulatory requirements for commercialization of a drug candidate typically takes many years, is dependent upon the type, complexity, and novelty of the product candidate, and requires the expenditure of substantial resources for research and development. Our research and clinical approaches may not lead to drugs that regulators consider safe for humans and effective for indicated uses we are studying. Regulators may require additional studies, in which case we and any product collaborators would have to expend additional time and resources and would likely delay the date of potentially receiving regulatory approval. The approval process may also be delayed by changes in government regulation, future legislation or administrative action or changes in regulatory policy that occur prior to or during our regulatory review.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Delays in obtaining regulatory approvals would:</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product revenues from, our product candidates;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the competitive advantages that we may have otherwise enjoyed, which would have an adverse effect on our operating results and financial condition.</w:t>
      </w:r>
    </w:p>
    <w:p>
      <w:pPr>
        <w:spacing w:after="0" w:line="1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Even if we comply with all regulatory requirements, our product candidates may never obtain regulatory approval. If we fail to obtain regulatory approval for any of our product candidates we will have fewer commercial products, if any, and corresponding lower product revenues,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 drug product is approved, the regulators may impose limitations on the use or marketing of such product.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from regulators, they may limit the approved indications for use of the product, require that contraindications, warnings, or precautions be included in the product labeling, including a black boxed warning. Regulators may also require us or our collaborators to commit to perform lengthy Phase IV post-approval clinical efficacy or safety studies, require testing and surveillance programs to monitor the product after commercialization, or impose other conditions, including distribution restrictions or other risk management mechanisms that could materially affect the potential market and profitability of the product. Our expending of additional resources on such trials or programs would have an adverse effect on our operating results and financial condition.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approval, certain circumstances may require additional regulatory notification, review, or approval, as well as further testing. These may include some types of changes to the approved product, such as adding new indications, manufacturing changes, and additional labeling claims, or new safety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 approval, later discovery of previously unknown problems with a product will have adverse consequences for 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 holds or termination of post-approval clinical trials or FDA debarment;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refusal of regulators to approve pending NDAs or supplements to approved NDAs, or suspension or revocation of product license approvals;</w:t>
      </w: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including the FDA, issued safety alerts, Dear Healthcare Provider letters, press releases or other communications containing warnings about such products;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modifications to promotional material or issuance of corrective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 disgorgement, and restitution, as well as consent decrees, corporate integrity agreements, deferred prosecution agreements and exclusion from federal healthcare programs.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design, conduct and complete clinical trials successfully, our drug candidates will not be able to receive regulatory approval.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obtain regulatory approval for any of our drug candidates, we must submit an NDA or request for EUA that demonstrates with substantive evidence that the drug candidate is both safe and effective in humans for its intended use. This demonstration requires significant research and animal tests, which are referred to as preclinical studies, as well as human tests, which are referred to as clinical trials.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Results from Phase I clinical programs may not support moving a drug candidate to Phase 2 or Phase 2I clinical trials. Phase 2I clinical trials may not demonstrate the safety or efficacy of our drug candidates. Success in preclinical studies and early clinical trials does not ensure that later clinical trials will be successful. Results of later clinical trials may not replicate the results of prior clinical trials and preclinical studies.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Even if the results of Phase 2I clinical trials are positive, we may have to commit substantial time and additional resources to conducting further preclinical studies and clinical trials before obtaining FDA approval for any of our drug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Clinical trials are very expensive and difficult to design and implement, in part because they are subject to rigorous requirements. The clinical trial process also consumes a significant amount of time. Furthermore, if participating patients in clinical trials suffer drug-related adverse reactions during the course of such clinical trials, or if we or the FDA believe that participating patients are being exposed to unacceptable health risks, such clinical trials will have to be suspended or terminated. Failure can occur at any stage of the clinical trials, and we could encounter problems that cause abandonment or repetition of clinical trials. The success in clinical trials depends on reaching statistically significant changes in patients’ symptoms based on clinician-rated scales. Due in part to a lack of consensus on standardized processes for assessing clinical outcomes, these scores may or may not be reliable, useful or acceptable to regulatory agencies.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know whether any of our planned clinical trials will result in marketable drugs. In addition, completion of clinical trials can be delayed by numerous factors, including:</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and agreeing on acceptable terms with prospective clinical trial sites;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and enrollment;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patient dropout rates;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time required to complete monitoring of patients during or after participation in a clinical trial.</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delays could significantly impact the timing, approval and commercialization of our drug candidates and could significantly increase our overall costs of drug development.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Even if clinical trials are completed as planned, their results may not support expectations or intended marketing claims. The clinical trials process may fail to demonstrate that our drug candidates are safe and effective for indicated uses. Such failure would cause us to abandon a drug candidate and could delay development of other drug candidates.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whether regulatory agencies will determine that the data from our clinical trials of our product candidates supports marketing approval.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FDA’s and other regulatory agencies’ decision to approve our drug candidates will depend on our ability to demonstrate with substantial clinical evidence through well-controlled clinical trials, that the product candidates are effective, as measured statistically by comparing the overall improvement in actively- treated patients against improvement in the control group (usually a placebo control). However, there is a possibility that our data may fail to show a statistically significant difference from the placebo-control or the active control. Alternatively, there is a possibility that our data may be statistically significant, but that the actual clinical benefit of the product candidates may not be considered to be clinically significant, clinically relevant or clinically meaningful. Consequently, we believe that regulators may consider additional data, such as a “responder” analysis, secondary efficacy endpoints and safety when evaluating whether our product candidates can be approved. We cannot predict whether the regulatory agencies will find that our clinical trial results provide compelling “responder” or other secondary endpoint data. Even if we believe that the data from our trials will support marketing approval in the U.S. or in Europe, we cannot predict whether the agencies will agree with our analysis and approve our applications.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regulatory authorities will grant NDA approval of our current or future product candidates and failure to obtain necessary clearances or approvals for our current and future product candidates would adversely affect our ability to grow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initiated a Phase 2b/3 clinical research program of NRX-101 during the second half of 2017 under an FDA IND application that was granted Fast Track designation by the FDA in August 2017 and was granted the Breakthrough Therapy designation by the FDA in November 2018. In April 2018, the FDA granted a Special Protocol Agreement. We successfully completed a Phase 2 clinical trial of NRX-101 in patients with severe bipolar depression and acute suicidal ideation following stabilization with a single dose of ketamine and saw a statistically significant reduction in depression (P=0.04) and suicidal ideation (P=0.02) compared to lurasidone alone over 42 days of treatment. If this statistically-significant advantage is replicated in the current Phase 2I clinical trial, under the terms agreed to with the FDA in our Special Protocol Agreement, we aim to submit an NDA to the FDA on a rolling basis for the regulatory approval and commercialization of NRX-101 in the U.S. in 2025.</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assure investors that the FDA or any other regulator will approve or clear NRX-101 or other product candidates for the indications that are necessary or desirable for successful commercialization. Indeed, the FDA may refuse our requests for NDA market approval of new products, new intended uses or indications to existing or future products. Failure to receive approval for our new products would have an adverse effect on our ability to expand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 respect to clinical trials, discussions and guidance are not binding obligations on the part of regulatory authorities.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Regulatory authorities may revise previous guidance or decide to ignore previous guidance at any time during the course of our clinical activities or after the completion of our clinical trials. Even with successful clinical safety and efficacy data, including such data from a clinical trial conducted pursuant to a special protocol agreement, we may be required to conduct additional, expensive clinical trials to obtain regulatory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current or future clinical trials may not support our product candidate claims or may result in the discovery of unexpected adverse side effects.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if our clinical trials are completed as planned, we cannot be certain that their results will support our drug candidates’ claims or that the regulatory authorities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In particular, our clinical trials performed until now involve a relatively small patient population. Because of the small sample size, their results may not be indicative of future results. It is also possible that patients enrolled in clinical trials will experience adverse side effects that are not currently part of the product candidate’s profile. Accordingly, the clinical trial process may fail to demonstrate that our drug candidates are safe and effective for the proposed indicated uses. If the FDA concludes that the clinical trials for any of our products for which we might seek clearance have failed to demonstrate safety and effectiveness, we would not receive regulatory clearance to market that product in the applicable countries for the indications sought. In addition, such an outcome could cause us to abandon the product candidate and might delay development of others. Any delay or termination of our clinical trials will delay the filing of any product submissions with regulatory authorities and, ultimately, our ability to commercialize our product candidates and generate revenues.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or completion of pharmaceutical development, manufacturing or clinical efficacy and safety testing could result in increased costs to us and delay our ability to generate revenues.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know whether our pharmaceutical development, manufacturing or clinical efficacy and safety testing will begin on time or be completed on schedule, if at all. For example, we may encounter delays during the manufacture of pilot scale batches including delays with our contract development or manufacturing organization, sourcing satisfactory quantities of active pharmaceutical ingredient, narcotic import and export permits, sourcing of excipients, contract disputes with our third-party vendors and manufacturers, or failure of the product to meet specification.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completion of clinical trials can be disrupted for a variety of reasons, including difficulties in:</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 suitable clinical sites;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enrolling patients to participate in a clinical trial;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commence a clinical trial;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clinical research organizations and trial sites;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 fraud, including data fabrication by clinical trial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controlled substances by clinical trial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trial may also be suspended or terminated by us or by regulatory authorities due to a number of factors, including: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in accordance with our clinical protocols;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 by regulatory authorities resulting in the imposition of a clinical hold;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patient enrollment or lack of adequate funding to continue the clinical trial.</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changes in regulatory requirements and guidance may occur and we may need to amend clinical trial protocols to reflect these changes, which could impact the cost, timing or successful completion of a clinical trial. If we experience delays in the commencement or completion of our clinical trials, the commercial prospects for our product candidates will be harmed, and our ability to generate product revenues will be delayed. Many of the factors that cause, or lead to, a delay in the commencement or completion of clinical trials may also lead to the denial of regulatory approval of a product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the enrollment of large numbers of patients, and suitable patients may be difficult to identify and recruit.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the number of ongoing clinical trials in the same indication that compete for the same patients;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Patients may also not participate in our clinical trials if they choose to participate in contemporaneous clinical trials of competitive products. Pandemic or pandemic-like conditions may limit the ability of patients to participate in studies.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sufficient and appropriate clinical protocols to demonstrate safety and efficacy are required and we may not adequately develop such protocols to support clearance and approval.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Regulators may require us to submit data on a greater number of patients than we originally anticipated and/or for a longer follow-up period or change the data collection requirements or data analysis applicable to our clinical trials. They may also require additional data on certain categories of patients, should it emerge during the conduct of our clinical trials that certain categories of patients are likely to be affected in different and/or additional manner than most of the patients. In addition to regulatory authority requirements, our clinical trial requires the approval of the institutional review board (IRB) at each site selected for participation in our clinical trial.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delays to the completion of clinical studies may result from modifications being made to the protocol during the clinical trial, if such modifications are warranted and/or required by the occurrences in the given trial.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choose to make modifications to a clinical trial protocol during the clinical trial if such modifications are warranted and/or required by the occurrences in the trial. Each of such modifications has to be submitted to a regulatory authority. This could result in the delay or halt of a clinical trial while the modification is evaluated. In addition, depending on the magnitude and nature of the changes made, the regulatory authority could take the position that the data generated by the clinical trial cannot be pooled because the same protocol was not used throughout the trial. This might require the enrollment of additional subjects, which could result in the extension of the clinical trial and the FDA delaying clearance or approval of a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data generated using modified protocols will be acceptable to regulators.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data generated using modified protocols will be acceptable to the regulators or that if future modifications during the trial are necessary, any such modifications will be acceptable to regulators. If the regulators believe that prior approval is required for a particular modification, they can delay or halt a clinical trial while they evaluate additional information regarding the change.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 adverse event occurs during a clinical trial, the regulators or an IRB may delay (clinical hold) or terminate the trial, which could adversely affect our business and prospects.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Serious injury or death resulting from a failure of one of our drug candidates during current or future clinical trials could result in the regulators delaying our clinical trials or denying or delaying clearance or approval of a product. Even though an adverse event may not be the result of the failure of our drug candidate, the regulators or an IRB could delay or halt a clinical trial for an indefinite period of time while an adverse event is reviewed, and likely would do so in the event of multiple such events.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delay or termination of our current or future clinical trials as a result of the risks summarized above, including delays in obtaining or maintaining required approvals from IRBs, delays in patient enrollment, the failure of patients to continue to participate in a clinical trial, and delays or termination of clinical trials as a result of protocol modifications or adverse events during the trials, may cause an increase in costs and delays in the filing of any product submissions with the FDA, delay the approval and commercialization of our products or result in the failure of the clinical trial, which could adversely affect our business, operating results and prospects. Lengthy delays in the completion of clinical trials of our products would adversely affect our business and prospects and could cause us to cease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may establish standards of care that affect our ability to conduct our clinical trials as planned.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standards related to clinical trial design could affect our ability to design and conduct clinical trials as planned. For example, regulatory authorities may not allow us to compare our drug candidates to placebo in a particular clinical indication where approved products are available. In that case, both the cost and the amount of time required to conduct a clinical trial could increase. Our NRX-101 clinical trial is against a strong active ingredient as opposed to a placebo.</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are approved by regulatory authorities, if we or our suppliers fail to comply with ongoing FDA regulation or if we experience unanticipated problems with our products, these products could be subject to restrictions or withdrawal from the market.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product for which we obtain clearance or approval, and the manufacturing processes, reporting requirements, post-approval clinical data and promotional activities for such product, will be subject to continued regulatory review, oversight and periodic inspections by the FDA. In particular, we and our suppliers are required to comply with the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clearance or approval.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Regulatory bodies, such as the FDA, enforce these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enforcement actions by the FDA.</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regulatory clearance or approval of a product is granted, such clearance or approval may be subject to limitations on the intended uses for which the product may be marketed and reduce the potential to successfully commercialize the product and generate revenue from the product. If the FDA determines that the product promotional materials, labeling, training or other marketing or educational activities constitute promotion of an unapproved use, it could request that we or our commercialization partners cease or modify our training or promotional materials or subject us to regulatory enforcement actions. It is also possible that other federal, state or foreign enforcement authorities might take action if they consider such training or other promotional materials to constitute promotion of an unapproved use, which could result in significant fines or penalties under other statutory authorities, such as laws prohibiting false claims for reimbursement.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may be required to conduct costly post-market testing and surveillance to monitor the safety or effectiveness of our products, and we must comply with adverse event and pharmacovigilance reporting requirements, including the reporting of adverse events which occur in connection with, and whether or not directly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recall, replace or refund the cost of any product we manufacture or distribute, fines, suspension of regulatory approvals, product seizures, injunctions or the imposition of civil or criminal penalties which would adversely affect our business, operating results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government regulation may affect the commercialization of our product candidate.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predict the likelihood, nature or extent of adverse government regulation that may arise from future legislation or administrative action, either in the U.S. or abroad. If we are not able to maintain regulatory compliance, we may be subject to fines, suspension or withdrawal of regulatory approvals, product recalls, seizure of products, operating restrictions and criminal prosecution. Any of these events could prevent us from marketing our drugs and our business could suffer. If time and resources devoted are limited or there is a failure to fund the continued development of our drug candidates or there is otherwise a failure to perform as we expect to do, we may not achieve clinical and regulatory milestones and regulatory submissions and related product introductions may be delayed or prevented, and revenues that we would receive from these activities will be less than expected.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Conducting clinical trials of our drug candidates or commercial sales of a drug candidate may expose us to expensive product liability claims and we may not be able to maintain product liability insurance on reasonable terms or at all.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risk of product liability is inherent in the testing of pharmaceutical products. If we cannot successfully defend ourselves against product liability claims, we may incur substantial liabilities or be required to limit or terminate testing of one or more of our drug candidates. Our inability to obtain sufficient product liability insurance at an acceptable cost to protect against product liability claims could prevent or inhibit the commercialization of our drug candidates. We currently carry clinical trial insurance but do not carry product liability insurance. If we successfully commercialize one or more of our drug candidates, we may face product liability claims, regardless of FDA approval for commercial manufacturing and sale. We may not be able to obtain such insurance at a reasonable cost, if at all. Even if our agreements with any current or future corporate collaborators entitle us to indemnification against product liability losses, such indemnification may not be available or adequate should any claim arise.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a controlled substance in our NRX-100 drug candidate subjects us to DEA scrutiny and compliance, which may result in additional expense and clinical delays.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 Drug Enforcement Administration (DEA) regulates chemical compounds as Schedule I, II, III, IV or V substances, with Schedule I substances considered to present the highest risk of substance abuse and Schedule V substances the lowest risk. One of the ingredients in NRX-100 is ketamine, a Schedule III controlled substance with high abuse potential. Consequently, the manufacture, research, shipment, storage, sale and use of this drug candidate is subject to a high degree of oversight and regulation. None of our other drugs currently under development, including NRX-101, include a scheduled chemical compound.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 oversight and regulation can have the following impact on our efforts to develop new drug candidates:</w:t>
      </w:r>
    </w:p>
    <w:p>
      <w:pPr>
        <w:spacing w:after="0" w:line="225" w:lineRule="exact"/>
        <w:rPr>
          <w:sz w:val="20"/>
          <w:szCs w:val="20"/>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interference with, or limits on, the supply of the drugs used in clinical trials for our product candidates, and, in the future, the ability to produce and distribute our products in the volume needed to meet commercial demand;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5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provides recommendations to DEA as to whether a drug should be scheduled as a controlled substance and the appropriate level of control; if DEA scheduling is required, a drug product may not be marketed until the scheduling process is completed, which could delay the launch of the product;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Schedule, drug products may be subject to registration, security, recordkeeping, reporting, storage, distribution, importation, exportation, inventory, quota and other requirements administered by the DEA, which are directly applicable to product applicants, contract manufacturers, distributors, prescribers and dispensers of controlled substances;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 regulates the handling of controlled substances through a closed chain of distribution. This control extends to the equipment and raw materials used in their manufacture and packaging in order to prevent loss and diversion into illicit channels of commerce, which limits our ability to increase the availability of any controlled substances needed for clinical trials or commercial manufacturing.</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substantial penalties for failing to comply with DEA regulations.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However, records must be maintained for the handling of all controlled substances, and periodic reports may be required to be made to the DEA for the distribution of certain controlled substances. Reports must also be made for thefts or significant losses of any controlled substance.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limitations on the availability of controlled substances used in NRX-100 that may limit the availability of the active ingredients for this drug product.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DEA limits the availability and production of all scheduled substances, including ketamine, through a quota system. The DEA requires substantial evidence and documentation of expected legitimate medical and scientific needs before assigning quotas to manufacturers. In future years, we may need greater amounts of controlled substances to sustain our Phase 2b/3 development program for NRX-101 after stabilization with NRX-100, and we will need significantly greater amounts to implement our commercialization plans if the FDA approves our proposed formulations. Any delay or refusal by the DEA in establishing the procurement quota or a reduction in our quota for scheduled controlled substances or a failure to increase it over time as we anticipate could delay or stop the clinical development or commercial sale of some of our products or product candidates. This could have a material adverse effect on our business, results of operations, financial condition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demonstrate the reduced risk we believe is applicable.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III drugs have lower abuse potential than Schedule I and II drugs. However, despite the foregoing reduced risk of abuse from Schedule</w:t>
      </w:r>
    </w:p>
    <w:p>
      <w:pPr>
        <w:spacing w:after="0" w:line="27" w:lineRule="exact"/>
        <w:rPr>
          <w:sz w:val="20"/>
          <w:szCs w:val="20"/>
          <w:color w:val="auto"/>
        </w:rPr>
      </w:pPr>
    </w:p>
    <w:p>
      <w:pPr>
        <w:jc w:val="both"/>
        <w:ind w:firstLine="8"/>
        <w:spacing w:after="0" w:line="253" w:lineRule="auto"/>
        <w:tabs>
          <w:tab w:leader="none" w:pos="2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drugs, when compared to Schedule II drugs, there is no assurance that such reduced risk can be demonstrated in well controlled non-clinical and/or clinical studies in models of physical dependence, psychic dependence, addiction or precipitated withdrawal, or in studies of addiction or abuse liability in addicts, ex-addicts or recreational drug users. In the event that a reduced risk of abuse from Schedule III drugs, when compared to Schedule II drugs, is demonstrated in well controlled non- clinical and/or clinical studies, there is no assurance that the FDA will agree to incorporation of such favorable language in the products prescribing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controlled substances in our product candidates may generate controversy.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Products containing controlled substances may generate public controversy. Opponents of these products may seek restrictions on marketing and withdrawal of any regulatory approvals. In addition, these opponents may seek to generate negative publicity and media stories in an effort to persuade the medical community to reject these products. Political pressures and adverse publicity could lead to additional regulatory hurdles, delays in, increased expenses for, and limit or restrict the introduction and marketing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focus our future efforts in new therapeutic areas where we have little or no experience</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our primary strategic interests are in the areas of depression therapies, NRX-101 has potential benefits in other therapeutic areas. If our drug development efforts in bipolar depression fails, or if the competitive landscape or investment climate for antidepressant drug development therapies is less attractive, we may need to change our strategic focus to include development of our product candidates, or of newly acquired product candidates, for therapeutic areas other than depression. We have very limited drug development experience in other therapeutic areas and we may be unsuccessful in making this change to a company with a focus in areas other than depression or a company with a focus in multiple therapeutic areas including depression.</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products for clinical trials may be manufactured outside the 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Currently, clinical trial supplies for NRX-101 are being manufactured in the U.S., and no supplies are sourced from outside the U.S. Switching or adding manufacturing capability outside the U.S. can involve substantial cost and require extensive management time and focus, additional regulatory filings and compliance with import/ export regulations. In addition, there is a natural transition period when a new manufacturing facility commences work. As a result, delays may occur, which can materially impact our ability to meet our desired timelines, thereby increasing our costs and reducing our ability to generate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to our products may require new NDA approvals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Once a particular company product receives FDA approval or clearance, expanded uses or uses in new indications of our products may require additional human clinical trials and new regulatory approvals or clearances, including additional IND and NDA submissions and premarket approvals before we can begin clinical development, and/or prior to marketing and sales. If the FDA requires new clearances or approvals for a particular use or indication, we may be required to conduct additional clinical studies, which would require additional expenditures and negatively impact our operating results. If the products are already being used for these new indications, we may also be subject to significant enforcement actions.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Conducting clinical trials and obtaining clearances and approvals can be a time-consuming process, and delays in obtaining required future clearances or approvals could adversely affect our ability to introduce new or enhanced products in a timely manner, which in turn would harm our future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other product candidates will require Risk Evaluation and Mitigation Strategies.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FDA Amendments Act of 2007 implemented safety-related changes to product labeling and requires the adoption of REMS. Some of our product candidates, including the controlled substance-based products and potentially others, will require REMS. The REMS may include requirements for special labeling or medication guides for patients, special communication plans to health care professionals and restrictions on distribution and use.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specific REMS to be required as part of the FDA’s approval of any of our products. Depending on the extent of the REMS requirements, our costs to commercialize our products may increase significantly. Furthermore, controlled substances risks that are not adequately addressed through proposed REMS for our product candidates may also prevent or delay their approval for commercialization.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reliant on third party manufacturers to produce controlled substances that conform to our specifications and the FDA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strict regulatory requirements.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facilities of any of our future manufacturers of controlled substances must be approved by the FDA after we submit our NDA and before approval. We are dependent on the continued adherence of third-party manufacturers to cGMP manufacturing. If our manufacturers cannot successfully produce material that conforms to our specifications and the FDA’s strict regulatory requirements, they will not be able to secure FDA approval for their manufacturing facilities. If the FDA does not approve these facilities for the commercial manufacture, we will need to find alternative suppliers, which would result in significant delays in obtaining FDA approvals. These challenges may have a material adverse impact on our business, results of operations, financial condition and prospects.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will involve the use of hazardous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relies on certain licensing rights that can be terminated in certain circumstances.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continue to develop our product candidates is dependent on the use of certain intellectual property that is licensed to us, or in the process of being licensed to us, by third parties. These licenses are granted, or being granted, pursuant to agreements setting forth certain terms and condition for maintaining such licenses. In the event that the terms and conditions are not met, the licenses are at risk of being revoked and the granting process may be terminated. The primary license agreements include the Development and License Agreement, as amended, between Glytech LLC (Glytech) and NeuroRx (the “Glytech DLA”) and the Exclusive License Agreement, dated as of April 16, 2019, by and between NeuroRx and Sarah Herzog Memorial Hospital Ezrat Nashim.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licensing rights in the future, which may not be attainable.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fully develop the full commercial potential of our product candidates may require us to acquire additional licensing rights from third parties in the future. There are no assurances that such rights will be available in the market when required, or that an agreement could be reached to license such rights from a third party on terms acceptable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succeed at in-licensing drug candidates or technologies to expand our product pipeline.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successfully in-license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licensing of patent technology or know-how developed by a third party in lieu of developing the technology ourselves) drug candidates or technologies to expand our product pipeline. The number of such candidates and technologies is limited. Competition among large pharmaceutical companies and biopharmaceutical companies for promising drug candidates and technologies is intense because such companies generally desire to expand their product pipelines through in- licensing. If we are unable to carry out such in-licensing and expand our product pipeline, our potential future revenues may suffer.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upon securing and protecting critical intellectual property.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part on our obtaining and maintaining patent, trade secret, copyright and trademark protection of our technologies in the U.S. and other jurisdictions as well as successfully enforcing this intellectual property and defending this intellectual property against third-party challenges. We will only be able to protect our technologies from unauthorized use by third parties to the extent that valid and enforceable intellectual property protection, such as patents or trade secrets, cover them. In particular, we place considerable emphasis on obtaining patent and trade secret protection for significant new technologies, products and processes. Furthermore, the degree of future protection of our proprietary rights is uncertain because legal means afford only limited protection and may not adequately protect our rights or permit us to gain or keep our competitive advantage. Moreover, the degree of future protection of our proprietary rights is uncertain for products that are currently in the early stages of development because we cannot predict which of these products will ultimately reach the commercial market or whether the commercial versions of these products will incorporate proprietary technologies.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 position is highly uncertain and involves complex legal and factual questions.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patent position is highly uncertain and involves complex legal and factual questions. Accordingly, we cannot predict the breadth of claims that may be allowed or enforced in our patents or in third-party patents. For example, we or our licensors might not have been the first to make the inventions covered by each of our pending patent applications and issued patents; we or our licensors might not have been the first to file patent applications for these inventions; others may independently develop similar or alternative technologies or duplicate any of our technologies; it is possible that none of our pending patent applications or the pending patent applications of our licensors will result in issued patents; our issued patents and issued patents of our licensors may not provide a basis for commercially viable technologies, or may not provide us with any competitive advantages, or may be challenged and invalidated by third parties; and, we may not develop additional proprietary technologies that are patentable.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the validity of our owned and licensed patents may be challenged and we may not be able to obtain and enforce patents and to maintain trade secret protection for the full commercial extent of our technology. The extent to which we are unable to do so could materially harm our business.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or our licensors have applied for and will continue to apply for patents for certain products. Such applications may not result in the issuance of any patents, and any patents now held or that may be issued may not provide us with adequate protection from competition. Furthermore, it is possible that patents issued or licensed to us may be challenged successfully. In that event, if we have a preferred competitive position because of such patents, any preferred position held by us would be lost. If we are unable to secure or to continue to maintain a preferred position, we could become subject to competition from the sale of generic products. Failure to receive, inability to protect, or expiration of our patents would adversely affect our business and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Patents issued or licensed to us may be infringed by the products or processes of others. The cost of enforcing our patent rights against infringers, if such enforcement is required, could be significant, and we do not currently have the financial resources to fund such litigation. Further, such litigation can go on for years and the time demands could interfere with our normal operations and may absorb significant management time. There has been substantial litigation and other proceedings regarding patent and other intellectual property rights in the pharmaceutical industry. We may become a party to patent litigation and other proceedings. The cost to us of any patent litigation, even if resolved in our favor, could be substantial. Some of our competitors may be able to sustain the costs of such litigation more effectively than we can because of their substantially greater financial resources.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Unpatented trade secrets, improvements, confidential know-how and continuing technological innovation are important to our scientific and commercial success. Although we attempt to and will continue to attempt to protect our proprietary information through reliance on trade secret laws and the use of confidentiality agreements with our corporate partners, collaborators, employees and consultants and other appropriate means, these measures may not effectively prevent disclosure of our proprietary information, and, in any event, others may develop independently, or obtain access to, the same or similar information.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is unenforceable or may refuse to stop the other party from using the technology at issue on the grounds that our patents do not cover the technology in question.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For example, patents covering therapeutic methods of treating humans are not available in many foreign countries.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U.S. These products may compete with our product candidates in jurisdictions where we do not have any issued patents and our patent claims or other intellectual property rights may not be effective or sufficient to prevent them from competing.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and political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be impossible or impractical due to sanctions or trade disputes between countries,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be infringing on patents or trade secrets owned by others, we may be forced to cease or alter our product development efforts, obtain a license to continue the development or sale of our products, and/or pay damages.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manufacturing processes and potential products may violate proprietary rights of patents that have been or may be granted to competitors, universities or others, or the trade secrets of those persons and entities. As the pharmaceutical industry expands and more patents are issued, the risk increases that our processes and potential products may give rise to claims that they infringe the patents or trade secrets of others. These other persons could bring legal actions against us claiming damages and seeking to enjoin clinical testing, manufacturing and marketing of the affected product or process. If any of these actions are successful, in addition to any potential liability for damages, we could be required to obtain a license in order to continue to conduct clinical tests, manufacture or market the affected product or use the affected process. Required licenses may not be available on acceptable terms, if at all, and the results of litigation are uncertain. If we become involved in litigation or other proceedings, it could consume a substantial portion of our financial resources and the efforts of our personnel.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and enforce our patents does not guarantee that we will secure the right to commercialize our patents.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patent is a limited exclusionary right conferred upon an inventor, and his successors in title, in return for the making and disclosing of a new and non-obvious invention. This exclusionary right is of limited duration but, while in force, allows the patent holder to prevent others from making and/or using his invention. While a patent gives the holder this right to exclude others, it is not an authorization to commercialize the invention, where other permissions may be required for permissible commercialization to occur. For example, a drug cannot be marketed without the appropriate authorization from the FDA, regardless of the existence of a patent covering the product. Further, the invention, even if patented itself, may not be able to be successfully commercialized if it infringes the valid patent rights of another party.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confidentiality agreements to protect our trade secrets. If these agreements are breached by our employees or other parties, our trade secrets may become known to our competitors.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trade secrets that we seek to protect through confidentiality agreements with our employees and other parties. If these agreements are breached, our competitors may obtain and use our trade secrets to gain a competitive advantage over us. We may not have any remedies against our competitors and any remedies that may be available to us may not be adequate to protect our business or compensate us for the damaging disclosure. In addition, we may have to expend resources to protect our interests from possible infringement by others.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obtain the statutory patent extension related to the review time in the U.S., we may need to rely on the 3-year Hatch-Waxman Act marketing exclusivity, the six-month pediatric exclusivity, any approved Orphan Drug exclusivities, potential future formulation patents and up to ten years of data exclusivity in Europe. See “</w:t>
      </w:r>
      <w:r>
        <w:rPr>
          <w:rFonts w:ascii="Times New Roman" w:cs="Times New Roman" w:eastAsia="Times New Roman" w:hAnsi="Times New Roman"/>
          <w:sz w:val="18"/>
          <w:szCs w:val="18"/>
          <w:i w:val="1"/>
          <w:iCs w:val="1"/>
          <w:color w:val="auto"/>
        </w:rPr>
        <w:t>Risks Related to Clinical and Regulatory Matters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We may not be able to obtain Hatch-Waxman Act marketing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exclusivity or equivalent regulatory data exclusivity protection in other jurisdictions for our products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royalty or milestone revenue relating to our product candidates under our collaboration and future license agreements for several years, or at all</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our future collaboration agreements and future license agreements relating to our product candidates will provide for payments on achievement of development or commercialization milestones and for royalties on product sales. However, because none of our drug candidates has been approved for commercial sale, many of our drug candidates are at early stages of development and drug development entails a high risk of failure, we may never realize much of the milestone revenue provided for in our future collaboration and future license agreements and we do not expect to receive any royalty revenue for several years, if at all. Similarly, drugs we select to commercialize ourselves, or partner for later stage co-development and commercialization, may not generate revenue for several years, or at 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direct control of third parties performing preclinical and clinical trials.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depend on independent investigators and collaborators, such as universities and medical institutions, to conduct our preclinical and clinical trials under agreements with us. These investigators and collaborators are not our employees, and we cannot control the amount or timing of resources that they devote to our programs. They may not assign as great a priority to our programs or pursue them as diligently as we would if we were undertaking such activities ourselves. If these investigators or collaborators fail to devote sufficient time and resources to our drug development programs, or if their performance is substandard, the approval of our regulatory submissions and our introductions of new drugs will be delayed or prevented.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potential collaborators may also have relationships with other commercial entities, some of which may compete with us. If outside collaborators assist our competitors to our detriment, the approval of our regulatory submissions will be delayed and the sales from our products, if any are commercialized, will be less than expected.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approval for or commercialize our products.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all the pre-clinical and clinical trials for our products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manufacturing capabilities and depend on other parties for our manufacturing operations. If these manufacturers fail to meet our requirements and strict regulatory requirements, our product development and commercialization efforts may be materially harmed.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depend on contract manufacturers. We plan to enter into long-term commercial supply agreements for our product candidates. If any manufacturer is unable to produce required quantities on a timely basis or at all, our operations would be delayed and our business harmed. Our reliance on contract manufacturers exposes us to additional risks, including:</w:t>
      </w:r>
    </w:p>
    <w:p>
      <w:pPr>
        <w:spacing w:after="0" w:line="17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future manufacturers to comply with strictly-enforced regulatory requirements;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to our specifications, or to deliver sufficient quantities in a timely manner;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terminate a contract manufacturer and need to engage a replacement;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future manufacturers may not be able to manufacture our product candidates and products without infringing the intellectual property rights of others;</w:t>
      </w: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future manufacturers may not have adequate intellectual property rights to provide for exclusivity and prevent competition; and</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intellectual property rights to any improvements in the manufacturing processes or new manufacturing processes for our products.</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Any of these factors could result in significant delay or suspension of our clinical trials, regulatory submissions, receipt of required approvals or commercialization of our products and harm our business. If we are not able to secure favorable arrangements with such third parties, our business and financial condition could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enter into agreements with, and depend upon, one or more partners to assist us in commercializing our product candidates.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commercialize depends upon our continued ability to purchase raw materials from suppliers, our ability to arrange manufacture at contract manufacturers, our ability to deploy commercial sales force via third party partnerships, and our ability to manage shipping and logistics. Any collaboration agreement we enter into may contain unfavorable terms, for example, with respect to product candidates covered, control over decisions and responsibilities, termination rights, payment, and other significant terms.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receive any significant revenue from our product candidates covered by the collaboration agreement will be dependent on the efforts of our collaboration partner and may result in lower levels of income to us than if we marketed our product candidates entirely on our own. The collaboration partner may not fulfill its obligations or commercialize our product candidates as quickly as we would like. Even if the collaboration partner performs well, there is no assurance that our proposed products will achieve acceptance by patients, health care providers and insurance companies.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could also become involved in disputes with our partner, which could lead to delays in or termination of our commercialization programs and time-consuming and expensive litigation or arbitration. If a collaboration partner terminates or breaches its agreement with us, or otherwise fails to complete its obligations in a timely manner, the chances of successfully developing or commercializing our product candidates would be materially and adversely affected.</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depending upon the collaboration partner that we choose, other companies that might otherwise be interested in developing products with us could be less inclined to do so because of our relationship with the collaboration partner. If our ability to work with present or future strategic partners or collaborators is adversely affected as a result of our collaboration agreement, our business prospects may be limited, and our financial condition may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Upon commercialization of our products, we may be dependent on third parties to market, distribute and sell our products. If we are not successful in contracting with third parties for these services on favorable terms, or at all, our product revenues could be disappointing.</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 experience selling, marketing or distributing products and no internal capability to do so. In order to commercialize our products, if any are approved by the FDA, we will either have to develop such capabilities internally or collaborate with third parties who can perform these services for us. We have entered into a partnership and collaboration agreement with Alvogen (as defined below) for the commercialization of NRX-101. If we decide to commercialize NRX-101, notwithstanding these agreements, or any future drugs ourselves, we may not be able to hire the necessary experienced personnel and build sales, marketing and distribution operations which are capable of successfully launching new drugs and generating sufficient product revenues. In addition, establishing such operations will take time and involve significant expense.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decide to enter into new co-promotion or other licensing arrangements with third parties, we may be unable to locate acceptable collaborators because the number of potential collaborators is limited and because of competition from others for similar alliances with potential collaborators. Even if we are able to identify one or more acceptable new collaborators, we may not be able to enter into any collaborative arrangements on favorable terms, or at all.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any revenues we receive would depend upon our collaborators’ efforts which may not be adequate due to lack of attention or resource commitments, management turnover, change of strategic focus, business combinations or other factors outside of our control. Depending upon the terms of our collaboration, the remedies we have against an under-performing collaborator may be limited. If we were to terminate the relationship, it may be difficult or impossible to find a replacement collaborator on acceptable terms,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shares of common stock or convertible securities could make it difficult for another company to acquire us, may dilute your ownership of us and could adversely affect our stock price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in the future, we may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our common stock by us or our existing stockholders in the public market could cause the market price for our common stock to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shares of common stock reserved for future issuance under the NRx 2021 Omnibus Incentive Plan (the “Incentive Plan”) are eligible for sale in the public market once those shares are issued, subject to provisions relating to various vesting agreements, lock-up agreements and, in some cases, limitations on volume and manner of sale applicable to affiliates under Rule 144 of the Exchange Act, as applicable. The original number of shares reserved for future issuance under the Incentive Plan was 380,182. In addition, the Incentive Plan includes an evergreen feature that will allow our Board, in its sole discretion, to reserve 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Accordingly, our stockholders and the holders of insider shares may sell large amounts of common stock or warrants in the open market or in privately negotiated transactions when permitted, which could have the effect of increasing the volatility in the trading price of the common stock or the warrants or putting significant downward pressure on the price of the common stock or the warrants.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sales of common stock or warrants upon expiration of any applicable lockup periods could encourage short sales of our common stock or warrants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Short sales of our common stock or warrants could have a tendency to depress the price of our common stock or warrants, respectively, which could increase the potential for short sales.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size of future issuances of our common stock or warrants or the effect, if any, that future issuances and sales of shares of our common stock or warrants will have on the market price of our common stock or warrants. Sales of substantial amounts of common stock, or the perception that such sales could occur, may adversely affect prevailing market prices of our common stock or warrants.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qualify as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smaller reporting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within the meaning of the Securities Act, and if we take advantage of certain exemptions from disclosure requirements available to smaller reporting companies, it could make our securities less attractive to investors and may make it more difficult to compare our performance to the performance of other public companies.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qualify as a “smaller reporting company” as defined in Item 10(f)(1) of Regulation S-K. Smaller reporting companies may take advantage of certain reduced disclosure obligations, including, among other things, providing only two (2)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governing documents and under Delaware law could make an acquisition of us more difficult, limit attempts by our stockholders to replace or remove our current management and limit the market price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Charter, the Bylaws and Delaware General Corporation Law (DGCL) contain provisions that could have the effect of rendering more difficult, delaying, or preventing an acquisition deemed undesirable by our Board. Among other things, the Charter and/or the Bylaws include the following provisions:</w:t>
      </w:r>
    </w:p>
    <w:p>
      <w:pPr>
        <w:spacing w:after="0" w:line="176" w:lineRule="exact"/>
        <w:rPr>
          <w:sz w:val="20"/>
          <w:szCs w:val="20"/>
          <w:color w:val="auto"/>
        </w:rPr>
      </w:pPr>
    </w:p>
    <w:p>
      <w:pPr>
        <w:ind w:left="720" w:hanging="334"/>
        <w:spacing w:after="0" w:line="261"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which means that our Board is classified into three classes of directors with staggered three-year terms and directors are only able to be removed from office for cause;</w:t>
      </w:r>
    </w:p>
    <w:p>
      <w:pPr>
        <w:ind w:left="720" w:hanging="334"/>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convening special stockholder meetings, which could make it difficult for our stockholders to adopt desired governance changes;</w:t>
      </w:r>
    </w:p>
    <w:p>
      <w:pPr>
        <w:spacing w:after="0" w:line="9" w:lineRule="exact"/>
        <w:rPr>
          <w:rFonts w:ascii="Times New Roman" w:cs="Times New Roman" w:eastAsia="Times New Roman" w:hAnsi="Times New Roman"/>
          <w:sz w:val="18"/>
          <w:szCs w:val="18"/>
          <w:color w:val="auto"/>
        </w:rPr>
      </w:pPr>
    </w:p>
    <w:p>
      <w:pPr>
        <w:ind w:left="720" w:hanging="334"/>
        <w:spacing w:after="0" w:line="250"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means that our stockholders will only be able to take action at a meeting of stockholders;</w:t>
      </w:r>
    </w:p>
    <w:p>
      <w:pPr>
        <w:ind w:left="720" w:hanging="334"/>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forum selection clause, which means certain litigation against us can only be brought in Delaware;</w:t>
      </w:r>
    </w:p>
    <w:p>
      <w:pPr>
        <w:spacing w:after="0" w:line="9" w:lineRule="exact"/>
        <w:rPr>
          <w:rFonts w:ascii="Times New Roman" w:cs="Times New Roman" w:eastAsia="Times New Roman" w:hAnsi="Times New Roman"/>
          <w:sz w:val="18"/>
          <w:szCs w:val="18"/>
          <w:color w:val="auto"/>
        </w:rPr>
      </w:pPr>
    </w:p>
    <w:p>
      <w:pPr>
        <w:ind w:left="720" w:hanging="334"/>
        <w:spacing w:after="0" w:line="250"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undesignated preferred stock, the terms of which may be established and shares of which may be issued without further action by our stockholders; and</w:t>
      </w:r>
    </w:p>
    <w:p>
      <w:pPr>
        <w:ind w:left="720" w:hanging="334"/>
        <w:spacing w:after="0" w:line="260"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which apply for stockholders to nominate candidates for election as directors or to bring matters before an annual meeting of stockholders.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We have elected in the Charter not to be subject to Section 203 of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at least 85% of the common stock, or</w:t>
      </w:r>
    </w:p>
    <w:p>
      <w:pPr>
        <w:spacing w:after="0" w:line="3" w:lineRule="exact"/>
        <w:rPr>
          <w:sz w:val="20"/>
          <w:szCs w:val="20"/>
          <w:color w:val="auto"/>
        </w:rPr>
      </w:pPr>
    </w:p>
    <w:p>
      <w:pPr>
        <w:jc w:val="both"/>
        <w:ind w:firstLine="8"/>
        <w:spacing w:after="0" w:line="253" w:lineRule="auto"/>
        <w:tabs>
          <w:tab w:leader="none" w:pos="3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board approval, such business combination receives the approval of the holders of at least two-thirds of our outstanding common stock not held by such interested stockholder at an annual or special meeting of stockholders. However, the Charter contains provisions that have the same effect as Section 203 of the DGCL, except they provide that Jonathan Javitt and Daniel Javitt and their respective affiliates will not be deemed to be “interested stockholders” regardless of the percentage of common stock owned by them and, accordingly, will not be subject to such restrictions.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provision of the Charter, the Bylaws or DGCL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Charter and the Bylaws provide that the Court of Chancery of the State of Delaware will be the sole and exclusive forum for substantially all disputes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Charter and the Bylaws provide that, unless we consent in writing to the selection of an alternative forum, the (a) Court of Chancery of the State of Delaware (the “</w:t>
      </w:r>
      <w:r>
        <w:rPr>
          <w:rFonts w:ascii="Times New Roman" w:cs="Times New Roman" w:eastAsia="Times New Roman" w:hAnsi="Times New Roman"/>
          <w:sz w:val="18"/>
          <w:szCs w:val="18"/>
          <w:i w:val="1"/>
          <w:iCs w:val="1"/>
          <w:color w:val="auto"/>
        </w:rPr>
        <w:t>Chancery Court</w:t>
      </w:r>
      <w:r>
        <w:rPr>
          <w:rFonts w:ascii="Times New Roman" w:cs="Times New Roman" w:eastAsia="Times New Roman" w:hAnsi="Times New Roman"/>
          <w:sz w:val="18"/>
          <w:szCs w:val="18"/>
          <w:color w:val="auto"/>
        </w:rPr>
        <w:t>”)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our behalf; (ii) any action, suit or proceeding asserting a claim of breach of fiduciary duty owed by any of our directors, officers, or stockholders to us or to our stockholders; (iii) any action, suit or proceeding asserting a claim arising pursuant to the DGCL, the Charter or the Bylaws; or (iv) any action, suit or proceeding asserting a claim governed by the internal affairs doctrine; and (b) subject to the foregoing, the federal district courts of the U.S. shall be the exclusive forum for the resolution of any complaint asserting a cause of action arising under the Securities Act. Notwithstanding the foregoing, such forum selection provisions shall not apply to suits brought to enforce any liability or duty created by the Exchange Act or any other claim for which the federal courts of the U.S.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Section 22 of the Securities Act creates concurrent jurisdiction for federal and state courts over all suits brought to enforce any duty or liability created by the Securities Act or the rules and regulations thereunder. As noted above, the Charter and the Bylaws will provide that the federal district courts of the U.S. shall have jurisdiction over any action arising under the Securities Act.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there is uncertainty as to whether a court would enforce such provision. Our stockholders will not be deemed to have waived our compliance with the federal securities laws and the rules and regulations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stockholders have effective control of NRx, and their interests may conflict with NRx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or yours in the future.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Jonathan Javitt and Daniel Javitt beneficially own approximately 4.7% and 2.9% of the outstanding shares of common stock, respectively. For so long as Jonathan Javitt and Daniel Javitt continue to own a significant percentage of common stock, Jonathan Javitt and Daniel Javitt will still be able to significantly influence the composition of our Board and the approval of actions requiring stockholder approval. Accordingly, for such period of time, Jonathan Javitt and Daniel Javitt will have significant influence with respect to our management, business plans and policies. In particular, for so long as Jonathan Javitt and Daniel Javitt continue to own a significant percentage of common stock, Jonathan Javitt and Daniel Javitt will be able to influence the composition of our Board and could preclude any unsolicited acquisition of NRx. The concentration of ownership could deprive you of an opportunity to receive a premium for your shares of common stock as part of a sale of NRx and ultimately might affect the market price of common stock. So long as Jonathan Javitt and Daniel Javitt continue to own a significant amount of our combined voting power, even if such amount is less than 50%, Jonathan Javitt and Daniel Javitt will continue to be able to strongly influence or effectively control our decisions.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Jonathan Javitt’s and Daniel Javitt’s substantial influence over NRx, we may from time to time enter into transactions with Jonathan Javitt and Daniel Javitt and their respective affiliates, or enter into transactions in which Jonathan Javitt and Daniel Javitt or their respective affiliates otherwise have a direct or indirect material interest. We have adopted a formal written policy for the review and approval of transactions with related persons. A description of the policy we adopted with respect to the approval or ratification of transactions in which related persons, such as Jonathan Javitt and Daniel Javitt and their respective affiliates, have a direct or indirect material interest is included in this annual report. For more information,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section of this annual report.</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will not prevent Jonathan Javitt and Daniel Javitt and their respective affiliates from engaging in business activities which compete with us or otherwise conflict with our interests.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Jonathan Javitt and Daniel Javitt are precluded from engaging, directly or indirectly, in the same business activities or similar business activities or lines of business in which our Company operates based on Jonathan Javitt’s prior employment contract and current consulting contract with us and the Glytech DLA, respectively, our Charter provides that none of Jonathan Javitt and Daniel Javitt or their respective affiliates will have any duty to refrain from engaging, directly or indirectly, in the same business activities or similar business activities or lines of business in which NRx operates. Jonathan Javitt and Daniel Javitt also may pursue corporate opportunities that may be complementary to our business and, as a result, those corporate opportunities may not be available to 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may be volatile or may decline regardless of our operating performance. You may lose some or all of your investment.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trading price of our common stock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 </w:t>
      </w:r>
      <w:r>
        <w:rPr>
          <w:rFonts w:ascii="Times New Roman" w:cs="Times New Roman" w:eastAsia="Times New Roman" w:hAnsi="Times New Roman"/>
          <w:sz w:val="18"/>
          <w:szCs w:val="18"/>
          <w:i w:val="1"/>
          <w:iCs w:val="1"/>
          <w:color w:val="auto"/>
        </w:rPr>
        <w:t>Risks Related to Our Business and Industry</w:t>
      </w:r>
      <w:r>
        <w:rPr>
          <w:rFonts w:ascii="Times New Roman" w:cs="Times New Roman" w:eastAsia="Times New Roman" w:hAnsi="Times New Roman"/>
          <w:sz w:val="18"/>
          <w:szCs w:val="18"/>
          <w:color w:val="auto"/>
        </w:rPr>
        <w:t>” and the following:</w:t>
      </w:r>
    </w:p>
    <w:p>
      <w:pPr>
        <w:spacing w:after="0" w:line="17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 compared to market expectations;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impact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our product users’ businesses or our competitors’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public float;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by or changes in financial estimates by securities analysts or failure to meet their expectations;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growth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exchanges or sales, or expected issuances, exchanges or sales of our capital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new or pending litigation against us;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in the U.S. and global economies or financial markets, including those resulting from natural disasters, terrorist attacks, acts of war and responses to such events.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Securities litigation could have a substantial cost and divert resources and the attention of executive management from our business regardless of the outcome of such litigation.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us, or if they issue unfavorable commentary about us or our industry or downgrade our common stock, the price of our common stock could decline.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third-party securities analysts publish about us and the industries in which we operate. We may be unable, or slow, to attract and maintain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involve significant expenses and will require significant resources and management attention, which may divert from our business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Sarbanes- Oxley Act. The Exchange Act requires that we file annual, quarterly and current reports with respect to our business and financial condition. The Sarbanes-Oxley Act requires, among other things, that we establish and maintain effective internal control over financial reporting. As a result, we will incur significant legal, accounting and other expenses that we did not previously incur. Our entire management team and many of our other employees will need to devote substantial time to compliance and may not effectively or efficiently manage our transition into a public company.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need to establish the corporate infrastructure demanded of a public company may also divert management’s attention from implementing our business strategy, which could prevent us from improving our business, results of operations and financial condition. We have made, and will continue to make, changes to our internal control over financial reporting, including IT controls, and procedures for financial reporting and accounting systems to meet our reporting obligations as a public company. However, the measures we take may not be sufficient to satisfy our obligations as a public company.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rules and regulations result in our incurring legal and financial compliance costs and will make some activities more time-consuming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our Board committees or as executive officers.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reporting company, 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For additional information related to the risks and uncertainties of our compliance with the Sarbanes-Oxley Act, see “</w:t>
      </w:r>
      <w:r>
        <w:rPr>
          <w:rFonts w:ascii="Times New Roman" w:cs="Times New Roman" w:eastAsia="Times New Roman" w:hAnsi="Times New Roman"/>
          <w:sz w:val="18"/>
          <w:szCs w:val="18"/>
          <w:i w:val="1"/>
          <w:iCs w:val="1"/>
          <w:color w:val="auto"/>
        </w:rPr>
        <w:t>Risk Related to an Early-Stage Company</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Failure to achieve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maintain effective internal controls over financial reporting in accordance with Section 404 of the Sarbanes-Oxley Act could impair our ability to produce timely and accurate financial statements or comply with applicable regulations and have a material adverse effect on our business.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applicable continued listing requirements of the Nasdaq Capital Market, Nasdaq may delist our common stock, in which case the liquidity and market price of our common stock could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certain continued listing requirements. On January 12, 2026, we received a written notification from the Staff indicating that we were not in compliance with Nasdaq Listing Rules because we have not yet held an annual meeting of stockholders within twelve months of the end of the Company’s fiscal year end. We were provided 45 calendar days to submit a plan to regain compliance, which was submitted and approved and pursuant to which we were granted an extension until March 23, 2026, the date of our scheduled annual meeting of stockholders, to regain compliance.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no guaranty that we will continue to meet the continued listing requirements to be traded on Nasdaq. If our common stock is delisted, an active trading market for our common stock may not be sustained and the market price of our common stock could decline. Delisting of our common stock could adversely affect our ability to raise additional capital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common stock for the foreseeable future.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and will depend on, among other things, our business prospects, results of operations, financial condition, cash requirements and availability, legal requirements, certain restrictions related to our indebtedness, industry trends and other factors that our Board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a cyber risk management program designed to identify, assess, manage, mitigate, and respond to cybersecurity threats. The underlying processes and controls of NRx’s cyber risk management program incorporate recognized best practices and standards for cybersecurity and information technology, including the National Institute of Standards and Technology (NIST) Cybersecurity Framework (CSF). NRx has an annual assessment performed by a third-party specialist of the Company’s cyber risk management program against the NIST CSF. The annual risk assessment identifies, quantifies, and categorizes material cyber risks. In addition, the Company, in conjunction with the third-party cyber risk management specialists develop a risk mitigation plan to address such risks and, where necessary, remediate potential vulnerabilities identified through the annual assessment process.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NRx maintains policies over areas such as access and account management to help govern the processes put in place by management designed to protect NRx’s IT assets, data, and services from threats and vulnerabilities. NRx employs additional key practices within the cybersecurity risk management program including, but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limited to maintenance of an IT assets inventory, identity access management controls including restricted access of privileged accounts, and critical data backups to reduce cybersecurity risk.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Cybersecurity partners to the Company, including consultants, are a key part of NRx’s cybersecurity risk management strategy and infrastructure.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cybersecurity partners provide services including, but not limited to cybersecurity strategy, cyber risk advisory, assessment, and remediation.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NRx’s management team, in conjunction with cybersecurity service providers are responsible for oversight and administration of NRx’s cyber risk management program, and for informing senior management and other relevant stakeholders regarding the prevention, detection, mitigation, and remediation of cybersecurity incidents. The Company’s management team has prior experience selecting, deploying, and overseeing cybersecurity technologies, initiatives, and processes via engagement of strategic third-party partners. The Company also relies on threat intelligence as well as other information obtained from governmental, public, or private sources, including external consultants engaged by NRx for strategic cyber risk management, advisory and decision making.</w:t>
      </w:r>
    </w:p>
    <w:p>
      <w:pPr>
        <w:spacing w:after="0" w:line="17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Audit Committee of the Board of Directors oversees NRx’s cybersecurity risk exposures and the steps taken by management to monitor and mitigate cybersecurity risks. The cybersecurity stakeholders, including member(s) of management assigned with cybersecurity oversight responsibility and/or third-party consultants providing cyber risk services, brief the Audit Committee on cyber vulnerabilities identified through the risk management process, the effectiveness of NRx’s cyber risk management program, and the emerging threat landscape and new cyber risks on at least an annual basis. This includes updates on NRx's processes to prevent, detect, and mitigate cybersecurity incidents.</w:t>
      </w:r>
    </w:p>
    <w:p>
      <w:pPr>
        <w:spacing w:after="0" w:line="18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NRx faces risks from cybersecurity threats that could have a material adverse effect on its business, financial condition, results of operations, cash flows or reputation. NRx acknowledges that the risk of cyber incident is prevalent in the current threat landscape and that a future cyber incident may occur in the normal course of its business. However, prior cybersecurity incidents have not had a material adverse effect on NRx’s business, financial condition, results of operations, or cash flows. Further, there is increasing regulation regarding responses to cybersecurity incidents, including reporting to regulators, investors, and additional stakeholders, which could subject the Company to additional liability and reputational harm. In response to such risks, the Company has implemented initiatives such as a cybersecurity risk assessment process and development of an incident response plan. See Item 1A. "Risk Factors" for more information on cybersecurity risks.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1201 Orange Street, Suite 600 Wilmington, DE 19801. We believe that our current facilities are suitable and adequate to meet our current needs. We believe that suitable additional space or substitute space will be available in the future to accommodate our operations as needed.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12, 2022, the Company entered into a Settlement Agreement and Asset Purchase Agreement (APA) with Relief Therapeutics Holding AG and Relief Therapeutics International (the “Relief Parties”) to settle the outstanding lawsuit with respect to the Binding Collaboration Agreement dated September 18, 2020 between the Company and the Relief Parties (the “Collaboration Agreement”). The closing under the APA occurred on December 17, 2022 and the parties dismissed their respective claims against each other.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12, 2022, the Company received a demand for arbitration (the “Demand”) from GEM Yield Bahamas Limited and GEM Global Yield LLC SCS (collectively, “GEM”). The Demand claims that the Company’s subsidiary, NeuroRx, failed to satisfy its obligation to pay GEM a commitment fee in the amount of HK$ 15,000,000 (approximately US$1,914,087 at current exchange rates) pursuant to a Share Subscription Facility Agreement, executed on October 18, 2019, by and among NeuroRx and GEM (the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17, 2023, the Company and GEM entered into a settlement and release agreement (the “Settlement Agreement”) pursuant to which the parties agreed to dismiss the arbitration proceeding with prejudice. Pursuant to the Settlement Agreement on August 31, 2023, the Company issued 67,568 shares of common stock to GEM in full satisfaction of the Settlement Agreement for the approximately $0.3 million which was previously accrued and expensed as “Settlement expense.” The shares are registered under a prospectus supplement to the Company’s registration statement on Form S-3 and are subject to a restriction that they cannot be sold or traded for a period of six months from the effective date of the Settlement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was a defendant in litigation filed by Streeterville Capital, LLC (Streeterville) in the Third Judicial District Court of Salt Lake County, Utah. The Complaint sought, among other things: (i) declaratory relief for an order enjoining the Company from undertaking any Fundamental Transaction, including the Spin-Off, or otherwise issuing common stock or other equity securities (such as the shares of HOPE pursuant to the announced Spin-Off); and (ii) repayment of the Streeterville Note and other unspecified amounts of damages, costs and fees, but no less than $6,537,027, or the amounts currently outstanding under the Streeterville Note. On July 29, 2024, in connection with the alleged Event of Default that Streeterville claimed occurred with respect to the Streeterville Note, the Company announced an order of the Utah arbitrator denying the petition of Streeterville to enjoin the planned Spin-Off of 49% of shares in HOPE to current shareholders of the Company. The purpose of the proposed Spin-Off was to provide the Company’s shareholders with valuable consideration and to provide HOPE (currently a wholly-owned subsidiary) with a sufficient shareholder base to enable future listing on a national exchange. The arbitrator also denied Streeterville’s petition to enjoin the Company from selling additional shares of common stock to finance ongoing operations.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12, 2024, the Company and Streeterville entered into a Settlement and Release of Claims (the “Settlement Agreement”), whereby the Company and Streeterville agreed to settle all disputes between the parties and release the Company from all obligations arising from the Notes at certain Securities Purchase Agreement, dated November 4, 2022 (“Streeterville Notes”), between the Company and Streeterville, and that certain Convertible Promissory Note, dated November 4, 2022, issued to Streeterville by the Company, in exchange for a payment of $2.5 million upon the initial closing of the sale of the Anson Notes, and within 60 days thereafter, a second payment of $3.05 million. The Company made the $2.5 million payment upon the Anson Notes closing on August 15, 2024. The Company made the $3.05 million payment in October 2024 in satisfaction of the Streeterville Note.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9, 2025, HOPE and its wholly-owned subsidiary, HTX, entered into an Asset Purchase and Contribution Agreement (the “Kadima Purchase Agreement”), with Kadima Medical, Kadima Holdings, Inc. and David Feifel, M.D., PH.D (collectively, “Kadima”), pursuant to which the Company agreed to purchase and Kadima agreed to sell, certain assets of Kadima, subject to the satisfaction of certain closing conditions (the “Kadima Acquisition”). As of the date of this Report, the parties have not closed the Kadima Acquisition and the matter has entered arbitration. At this stage of the arbitration, it is too early to determine if the matter would reasonably be expected to have a material adverse effect on our financial condition.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we may become involved in various legal actions incidental to our business. As of the date of this annual report, we are not involved in any other legal proceedings that we believe could have a material adverse effect on our financial position or results of operations, but regardless of the outcome, litigation can have an adverse impact on the Company because of defense and settlement costs, and diversion of management resources.</w:t>
      </w:r>
    </w:p>
    <w:p>
      <w:pPr>
        <w:spacing w:after="0" w:line="176"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shares of common stock are currently quoted on the Nasdaq Capital Market under the symbol “NRXP.” Our common stock commenced trading on the Nasdaq Capital Market on May 25, 2021. Prior to such date, our shares of common stock were traded on the Nasdaq Capital Market under the symbol “BRPA.”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approximately 63 record holders of the Company’s common stock. The actual number of stockholders is greater than the number of record holders because stockholders who are beneficial owners but whose shares are held in street name by brokers or other nominees are not counted as separate record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receive such dividends as may be declared by our Board. No cash dividends have been declared or paid with respect to our common stock and no cash dividends are anticipated to be paid in the foreseeable future. Any future decisions as to the payment of dividends will be at the discretion of our Board, subject to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unregistered sales of equity securities occurred during the year ended December 31, 2025, that were not previously reported.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the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 Information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number of common shares to be issued upon exercise of outstanding stock awards is 542,490 and the number of common shares remaining available for future issuance under the Company’s equity compensation plans (excluding the common shares to be issued upon exercise of outstanding stock awards) is 44,845.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11240"/>
          </w:cols>
          <w:pgMar w:left="320" w:top="121" w:right="339" w:bottom="177"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NRx Pharmaceuticals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financial condition and plan of operations together with NRx Pharmaceuticals' consolidated financial statements and the related notes appearing elsewhere herein. In addition to historical information, this discussion and analysis contains forward looking statements that involve risks, uncertainties, and assumptions. NRx Pharmaceuticals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actual results may differ materially from those discussed below. Factors that could cause or contribute to such differences include, but are not limited to, those identified below, and those discussed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elsewhere herein. All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followed by a number reference from 1 to 15 herein, refer to the applicable corresponding numbered footnotes to these consolidated financial statements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a clinical-stage bio-pharmaceutical company which develops and will distribute, through its wholly-owned operating subsidiary, NeuroRx, Inc., (NeuroRx), novel therapeutics for the treatment of central nervous system disorders including suicidal depression, chronic pain, post-traumatic stress disorder (PTSD) and schizophrenia. NRx is additionally the founder and majority owner of HOPE Therapeutics, Inc. (HOPE), a medical services company that offers interventional psychiatry care to patients with treatment-resistant depression and PTSD with a combination of neuroplastic drugs, transcranial magnetic stimulation (TMS), digital therapeutics, and hyperbaric therapy. All of our current drug development activities are focused on drugs that enhance neuroplasticity by modulating the N-methyl-D-aspartate (NMDA) receptor in the brain and nervous system, a neurochemical pathway that has been disclosed in detail in our annual filings. The Company has three lead drug candidates – NRX-100, a preservative-free formulation of ketamine for intravenous infusion, a generic preservative-free formulation of ketamine (KETAFREE™), and NRX-101, an oral fixed dose combination of D-cycloserine (DCS) and lurasidone. KETAFREE™, NRX-100 and NRX-101 are in the process of submission for Food and Drug Administration (FDA).</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2025, the Company reinstated the at-the-market offering and increased the maximum aggregate offering amount and filed a prospectus supplement under the offering agreement for an aggregate of $20,000,000. During the year ended December 31, 2025, the Company sold an aggregate of 2,277,177 shares of Common Stock for approximately $6.54 million, net of $0.2 million in offering costs. Pursuant to the Anson Purchase Agreement, on January 28, 2025, the Company issued $5.4 million of Third Tranche Anson Notes at an 8% original issue discount for total cash proceeds of approximately $5.0 million. On August 18, 2025, the Company entered into the Second RD Purchase Agreement with certain accredited investors for the sale of an aggregate of 3,959,999 shares of the Company’s Common Stock, at a purchase price of $1.65 per share. The Second Registered Direct Offering closed on August 18, 2025, and resulted in net proceeds of approximately $6.2 million, after deducting placement agent fees and other offering-related expenses of approximately $0.3 million. On September 30, 2025, the 1,870,960 shares underlying Anson Warrants were exercised for cash proceeds of $3.09 million. Because the exercise proceeds were received subsequent to September 30, 2025, the Company recorded a subscription receivable asset of $3.09 million as of September 30, 2025. The exercise proceeds of $3.09 million were received on October 1, 2025.</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no assurances can be given, management believes that it will be able to secure necessary financing to support and consummate both its previously announced acquisitions and potential future acquisition candidates, execute its business plan and achieve its projected revenue objectives.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significant operating losses. For the years ended December 31, 2025 and 2024, the Company’s net loss was $28.6 million and $25.1 million, respectively. As of December 31, 2025, the Company had an accumulated deficit of $306.9 million, a stockholders’ deficit of $15.9 million and a working capital deficit of $19.7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ongoing clinical activities continue to generate losses and net cash outflows from operations. The Company plans to pursue additional equity or debt financing or refinancing opportunities to fund ongoing clinical activities, and for the general corporate purposes of the Company. Such arrangements may take the form of loans, equity offerings, strategic agreements, licensing agreements, joint ventures, or other agreements. The sale of equity could result in additional dilution to the Company’s existing stockholders.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its working capital needs and debt repayment obligations. As such, the Company has concluded that substantial doubt exists about the Company’s ability to continue as a going concern for a period of at least twelve months from the date of issuance of these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spacing w:after="0" w:line="192" w:lineRule="exact"/>
        <w:rPr>
          <w:sz w:val="20"/>
          <w:szCs w:val="20"/>
          <w:color w:val="auto"/>
        </w:rPr>
      </w:pPr>
    </w:p>
    <w:p>
      <w:pPr>
        <w:jc w:val="both"/>
        <w:ind w:right="20" w:firstLine="522"/>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patient service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as performance obligations are satisfied, which occurs over time as patients simultaneously receive and consume the benefits of the services provided. Each treatment or visit generally represents a separate contract.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Procedural services, such as ketamine infusions, esketamine administration, TMS sessions, and SGB/epidural procedures, are recognized at the point in time when services are rendered.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recorded total revenue of approximately $1.2 million, which was solely attributable to patient services provided by Dura following its acquisition on September 8, 2025. Prior to the acquisition, the Company did not generate revenue as it was in the development stage and primarily focused on corporate formation, financing, and acquisition-related activities.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initial post-acquisition revenue reflects only a partial period of operations and therefore is not indicative of the Company’s expected ongoing revenue levels. Management anticipates that revenue will increase in subsequent periods as Dura’s operations are fully integrated and additional clinical capacity, patient volume, and service lines are expanded under the Company’s ownership.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patient services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patient services consists primarily of direct expenses associated with providing healthcare services, including salaries and benefits for clinical personnel, medical supplies, pharmaceuticals, and other costs directly attributable to patient care. These costs are expensed as incurred.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cost of patient services related solely to operations of Dura following its acquisition on September 8, 2025. Given the limited period of post-acquisition operations, current cost levels are not representative of the Company’s expected ongoing operating costs. Management anticipates that cost of patient services will increase in proportion with the expected growth in patient volumes and expansion of clinical activities in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research and development expense consists primarily of costs associated with the Company’s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stock-based compensation, consultant fees, and professional fees for legal and accounting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(income) expense</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Settlement (income) expense during the year ended December 31, 2025, consists of amounts related to the resolution of legal claims and income recognized from the reduction of previously accrued settlement liabilities, as certain matters were settled for less than originally estimated.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2025 and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selected statements of operations data for the following periods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Change in</w:t>
            </w:r>
          </w:p>
        </w:tc>
      </w:tr>
      <w:tr>
        <w:trPr>
          <w:trHeight w:val="209"/>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Dollars</w:t>
            </w:r>
          </w:p>
        </w:tc>
      </w:tr>
      <w:tr>
        <w:trPr>
          <w:trHeight w:val="210"/>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patient service revenue</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1,225</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w:t>
            </w:r>
          </w:p>
        </w:tc>
      </w:tr>
      <w:tr>
        <w:trPr>
          <w:trHeight w:val="216"/>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patient services</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3,777</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(2,422)</w:t>
            </w: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13,061</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(income) expense</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r>
      <w:tr>
        <w:trPr>
          <w:trHeight w:val="20"/>
        </w:trPr>
        <w:tc>
          <w:tcPr>
            <w:tcW w:w="4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17,449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(1,053)</w:t>
            </w:r>
          </w:p>
        </w:tc>
      </w:tr>
      <w:tr>
        <w:trPr>
          <w:trHeight w:val="20"/>
        </w:trPr>
        <w:tc>
          <w:tcPr>
            <w:tcW w:w="45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(16,224)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(18,502)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w:t>
            </w:r>
          </w:p>
        </w:tc>
      </w:tr>
      <w:tr>
        <w:trPr>
          <w:trHeight w:val="210"/>
        </w:trPr>
        <w:tc>
          <w:tcPr>
            <w:tcW w:w="4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671</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 payable</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w:t>
            </w: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4,926</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3,269</w:t>
            </w: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issuance of Registered Direct Offering</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Consideration Shares and Warrants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1,277</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 default penalty</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convertible note conversions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6,201</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4,923</w:t>
            </w: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equity investments</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exercise of warrants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(5,369)</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(5,369)</w:t>
            </w:r>
          </w:p>
        </w:tc>
      </w:tr>
      <w:tr>
        <w:trPr>
          <w:trHeight w:val="20"/>
        </w:trPr>
        <w:tc>
          <w:tcPr>
            <w:tcW w:w="4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12,398</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5,774</w:t>
            </w:r>
          </w:p>
        </w:tc>
      </w:tr>
      <w:tr>
        <w:trPr>
          <w:trHeight w:val="20"/>
        </w:trPr>
        <w:tc>
          <w:tcPr>
            <w:tcW w:w="45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tax</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(28,622)</w:t>
            </w: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(3,496)</w:t>
            </w:r>
          </w:p>
        </w:tc>
      </w:tr>
      <w:tr>
        <w:trPr>
          <w:trHeight w:val="20"/>
        </w:trPr>
        <w:tc>
          <w:tcPr>
            <w:tcW w:w="4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(28,622)</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(25,126)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(3,496)</w:t>
            </w:r>
          </w:p>
        </w:tc>
      </w:tr>
      <w:tr>
        <w:trPr>
          <w:trHeight w:val="413"/>
        </w:trPr>
        <w:tc>
          <w:tcPr>
            <w:tcW w:w="458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5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patient service revenue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recorded $1.2 million in net patient service revenues from the clinical services provided by Dura following the acquisition dated September 8, 2025. The Company did not record revenues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patient services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recorded $0.5 million in costs of patient services, as compared to $0 incurred during the year ended December 31, 2024. This increase can be attributed to the acquisition of Dura on September 8,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recorded $3.8 million of research and development expense, as compared to approximately $6.2 million for the year ended December 31, 2024. The decrease of $2.4 million is primarily related to a $0.6 million decrease in clinical trials and development and a $1.4 million decrease in regulatory and process development consulting costs. The research and development expense for each of the years ended December 31, 2025 and 2024, includes less than $0.1 million of non-cash stock-based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recorded $13.1 million of general and administrative expense, as compared to approximately $13.5 million for the year ended December 31, 2024. The decrease of $0.4 million is related primarily to a decrease of $2.7 million in consultant fees and $0.3 million in insurance expenses, partially offset by an increase of $1.1 million in employee costs and $0.9 million in legal fees. General and administrative expense includes $0.2 million of non-cash stock-based compensation for the years ended December 31, 2025 and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expense (income)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settlement expense of less than $0.1 million resulting from certain legal matters that were settled in 2025. The Company recorded $1.2 million in settlement gains during the year ended December 31, 2024 in connection with a vendor settlement.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to $70 for the year ended December 31, 2025, compared to $5 for the same period in 2024, primarily due to the recognition of depreciation and amortization on property and equipment and intangible assets acquired in the Dura acquisition completed in September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 (income)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recorded less than $0.1 million of interest income, as compared to less than $0.1 million of interest income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recorded $0.7 million of interest expense related to accrued interest on the refund liability arising from the termination of the License Agreement with Alvogen. For the year ended December 31, 2024, the Company recorded $0.2 million of interest expense relating to premiums for cash payments on the convertible note.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convertible notes payable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year ended December 31, 2025, the Company recorded a loss of $3.9 million related to the change in fair value of the convertible notes payable which are accounted for under the fair value option. For the year ended December 31, 2024, the Company recorded a loss of $2.7 million related to the change in fair value of the convertible note payable which is accounted for under the fair value option.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recorded a loss of $4.9 million related to the change in fair value of the warrant liabilities, as compared to a loss of $1.7 million for the year ended December 31, 2024. The increase in loss during the year ended December 31, 2025 is attributable to the warrants issued in conjunction with the First, Second and Third Tranches of the Anson Notes, additional shares of Anson Warrants issued as a result anti-dilutive provision, as well as increase in the Company’s stock prices.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convertible note conversions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recorded a loss of $6.2 million related to convertible note conversion, as compared to a loss of $1.3 million during the year ended December 31, 2024. These conversions were calculated as the difference between the conversion price per the terms of the Anson first tranche senior secured convertible notes agreements relative to the fair value of the Common Stock on the date of conversion as described further under footnote 9 to the accompanying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equity investments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recorded a loss of less than $0.1 million related to its investment in Cohen &amp; Associates LLC, which is recorded at cost and adjusted for the Company’s proportionate share of Cohen &amp; Associates’ net income or loss. Please see Note 18 in the accompanying consolidated financial statements for further information on the investment in Cohen &amp; Associates.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exercise of warrants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recorded a $5.4 million gain on the exercise of warrants. This results from the settlement of the warrant liability for exercised warrants (see Note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generated minimal revenues, has incurred operating losses since inception, expects to continue to incur significant operating losses for the foreseeable future and may never become profitable. Until such time as the Company is able to establish a significant revenue stream from the sale of its therapeutic products, it is dependent upon obtaining necessary equity and/or debt financing to continue operations. The Company cannot make any assurances that sales of KETAFREE™, NRX-100, and/or NRX-101 will commence in the near term, revenue from clinics with grow, or that additional financings will be available to it on acceptable terms or at all. This could negatively impact our business and operations and could also lead to the reduction of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 Market Offering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15, 2024, the Company increased the maximum aggregate offering amount of the shares of Common Stock issuable under that certain at-the-market offering agreement, dated August 14, 2023 (the “Offering Agreement”), with H.C. Wainwright &amp; Co., and filed a prospectus supplement under the Offering Agreement for an aggregate of $4.9 million (the “ATM Offering”). On August 14, 2024, the Company reduced the amount under the Offering Agreement to $0 and suspended the ATM Offering. On April 17, 2025, the Company reinstated the ATM Offering and filed a prospectus supplement under the Offering Agreement for an aggregate of $20 million.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Through December 31, 2025, the Company received aggregate net cash proceeds to the Company from the ATM Offering of approximately $8.0 million, with $6.4 million of net aggregate net cash proceeds received during the year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and statistics for each of the periods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460" w:type="dxa"/>
            <w:vAlign w:val="bottom"/>
            <w:tcBorders>
              <w:bottom w:val="single" w:sz="8" w:color="CCEEFF"/>
            </w:tcBorders>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3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 and accrued interest</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26,874</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(15,937)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(23,223)</w:t>
            </w:r>
          </w:p>
        </w:tc>
      </w:tr>
      <w:tr>
        <w:trPr>
          <w:trHeight w:val="414"/>
        </w:trPr>
        <w:tc>
          <w:tcPr>
            <w:tcW w:w="4460" w:type="dxa"/>
            <w:vAlign w:val="bottom"/>
          </w:tcPr>
          <w:p>
            <w:pPr>
              <w:spacing w:after="0"/>
              <w:rPr>
                <w:sz w:val="24"/>
                <w:szCs w:val="24"/>
                <w:color w:val="auto"/>
              </w:rPr>
            </w:pPr>
          </w:p>
        </w:tc>
        <w:tc>
          <w:tcPr>
            <w:tcW w:w="354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6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 Data:</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(14,112)</w:t>
            </w: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23,275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7,485</w:t>
            </w:r>
          </w:p>
        </w:tc>
      </w:tr>
      <w:tr>
        <w:trPr>
          <w:trHeight w:val="223"/>
        </w:trPr>
        <w:tc>
          <w:tcPr>
            <w:tcW w:w="80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operating activities used approximately $14.1 million of cash, primarily resulting from a net loss of $28.6 million partially offset by (a) net non-cash losses of $13.0 million, including $4.0 million in change in fair value of convertible promissory notes, $1.0 million of stock-based compensation and Common Stock issued in exchange for services, $6.2 million loss in convertible note conversion, $1.3 million of loss on Consideration Shares and Warrants, $0.4 million in debt issuance costs, $0.7 million in loss on issuance of Register Direct offering, $5.0 million loss in change in fair value of warrant liabilities, $5.4 million in gain on exercise of warrants, and (b) changes in operating assets and liabilities of $1.4 million.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approximately $10.6 million of cash, primarily resulting from a net loss of $25.1 million, reduced by (a) net non-cash losses of $9.2 million, including a loss of $2.7 million in change in fair value of convertible promissory note, loss of $1.7 million in change in fair value of warrants, $0.5 million of stock-based compensation, $1.3 million loss in convertible note redemptions, $1.3 million of warrant issuance costs related to Alvogen termination, $0.8 million of default penalties, $0.9 million in debt issuance costs, and (b) changes in operating assets and liabilities of $5.3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$2.8 million for the year ended December 31, 2025, compared to no cash used in investing activities during the comparable period in 2024. The outflows in the current period were primarily related to the total of $2.4 million of cash consideration paid in connection with the acquisition of Dura, net of cash acquired, and $0.4 million invested in Cohen and Associates. The Company did not incur any significant capital expenditure during either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During the year ended December 31, 2025, financing activities provided $23.2 million of cash resulting from $9.4 million in proceeds from issuance of Common Stock and warrants related to the RD Offering and $5.0 million in proceeds from the Anson Notes, $6.4 million in proceeds from issuance of Common Stock in connection with ATM offering, $3.0 million of proceeds from exercise of liability classified warrant, offset by $0.5 million in repayments of and by $0.2 million of proceeds from insurance notes, and $0.3 million in debt issuance costs due to the fair value election on Anson Notes.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financing activities provided $7.4 million of cash resulting from $1.0 million in proceeds from issuance of common stock and warrants issued in a private placement, $4.9 million in proceeds from issuance of common stock and warrants, $6.0 million in proceeds from the Anson Notes, and $4.0 million from warrant proceeds attributes to the Anson Notes offset by $7.9 million in repayments of the convertible notes and $0.9 million in debt issuance costs due to the fair value election on Anson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9, Debt, and Note 10, Commitments and Contingencies, of the notes to the Company’s consolidated financial statements as of and for the year ended December 31, 2025 included elsewhere in this report for further discussion of the Company’s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 Acquisition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Dura purchase agreement, The Company may be required to pay up to $3.0 million in contingent earn-out payments based on EBITDA performance during the first three years following closing of the acquisition. Payments are subject to the Seller’s continued employment and are prorated based on actual results achieved. The purchase price is also subject to customary post-closing adjustments for working capital, cash, and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party to any off-balance sheet transactions. The Company has no guarantees or obligations other than those which arise out of normal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management’s discussion and analysis of its financial condition and results of operations is based on its financial statements, which have been prepared in accordance with generally accepted accounting principles in the United States of America (GAAP). The preparation of these financial statements requires NRx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evaluates its estimates and judgments on an ongoing basis. The most critical estimates relate to stock-based compensation, the valuation of warrants, and the valuation of convertible notes payable. NRx bases its estimates and assumptions on current facts, historical experiences, and various other factors that NRx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the Company applies those principles. While its significant accounting policies are more fully described in Note 2 to its financial statements, the Company believes the following are the critical accounting policies used in the preparation of its financial statements that require significant estimates and judgments.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Financial Accounting Standards Board (FASB) Accounting Standards Codification ASC Topic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Private Placement Warrants, Anson Warrants, Consideration Warrants, and Anson Registered Direct Offering Warrants were estimated using a Black-Scholes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Payable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permitted under ASC Topic 825, Financial Instruments (ASC 825), the Company elects to account for its convertible promissory notes,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the convertible notes payable using a Monte Carlo simulation model, which uses as inputs the fair value of our Common Stock and estimates for the equity volatility and volume volatility of our Common Stock, the time to expiration (i.e. expected termination date) of the convertible note, the risk-free interest rate for a period that approximates the time to expiration, and probability of default. Therefore, we estimate our expected future equity and volume volatility based on the historical volatility of both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the fair value of the convertible note payable represent reasonable estimates, but the estimates involve inherent uncertainties and the application of our judgment. As a result, if factors change and we use significantly different assumptions or estimates, the change in fair value of the convertible note payable recorded to other (income) expense could be materially different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account for business combinations in accordance with ASC Topic 805, Business Combinations, which requires that the assets acquired and liabilities assumed in a business combination be recognized at their fair values as of the acquisition date and that the excess of consideration transferred over the fair value of net identifiable assets be recorded as goodwill.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allocation of the purchase price to tangible assets (clinic equipment, leasehold improvements) and identifiable intangible assets (e.g., contracts, clinic trade names) and liabilities assumed (e.g., assumed leases, employee benefit obligations) is based on management’s estimate of fair value as of the acquisition date. This allocation process is considered a critical accounting estimate due to the significant judgments and assumptions inherent in determining the estimated fair values, including the selection of valuation methods (e.g., relief from royalty, multi-period excess earnings, replacement cost), discount rates, expected future cash flows, attrition rates, and useful lives of intangible assets. For the Dura acquisition, the estimated useful lives of acquired intangible assets ranged from 3 to 8 years, and discount rates applied ranged from 12% to 15%. Subsequent adjustments, within the one-year measurement period, may be made as additional information becomes available regarding facts and circumstances that existed at the acquisition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recorded in connection with Dura acquisitions is attributable to the assembled workforce, anticipated growth in the Florida region, and synergies expected from integrating the clinics into our existing operations. Goodwill is not amortized but is subject to annual impairment testing and more frequently if indicators of impairment exist. We test goodwill for impairment for its reporting units on an annual basis, or when events occur, or when circumstances indicate the fair value of a reporting unit is below its carrying value.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perform our annual goodwill impairment assessment on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year or as impairment indicators dictate.</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evaluating the potential impairment of goodwill, management first assess a range of qualitative factors, including but not limited to, macroeconomic conditions, industry conditions, the competitive environment, changes in the market for our products and services, regulatory and political developments, entity specific factors such as strategy and changes in key personnel, and the overall financial performance for each of our reporting units. If, after completing this assessment, it is determined that it is more likely than not that the fair value of a reporting unit is less than its carrying value, we then proceed to the impairment testing methodology using an appropriate valuation method.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compare the carrying value of the reporting unit, including goodwill, with its fair value, as determined by its estimated discounted cash flows. If the carrying value of a reporting unit exceeds its fair value, then the amount of impairment to be recognized is recognized as the amount by which the carrying amount exceeds the fair value.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required, we may arrive at our estimates of fair value using a discounted cash flow methodology which includes estimates of future cash flows to be generated by specifically identified assets, as well as selecting a discount rate to measure the present value of those anticipated cash flows. Estimating future cash flows requires significant judgment and includes making assumptions about projected growth rates, industry-specific factors, working capital requirements, weighted average cost of capital, and current and anticipated operating conditions. The use of different assumptions or estimates for future cash flows could produce different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20" w:type="dxa"/>
            <w:vAlign w:val="bottom"/>
            <w:gridSpan w:val="3"/>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NRx Pharmaceuticals, Inc.</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0" w:type="dxa"/>
            <w:vAlign w:val="bottom"/>
            <w:gridSpan w:val="4"/>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firm ID. 572)</w:t>
            </w:r>
          </w:p>
        </w:tc>
        <w:tc>
          <w:tcPr>
            <w:tcW w:w="4620" w:type="dxa"/>
            <w:vAlign w:val="bottom"/>
            <w:gridSpan w:val="2"/>
            <w:vMerge w:val="restart"/>
          </w:tcPr>
          <w:p>
            <w:pPr>
              <w:spacing w:after="0"/>
              <w:rPr>
                <w:sz w:val="24"/>
                <w:szCs w:val="24"/>
                <w:color w:val="auto"/>
              </w:rPr>
            </w:pPr>
          </w:p>
        </w:tc>
        <w:tc>
          <w:tcPr>
            <w:tcW w:w="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5940" w:type="dxa"/>
            <w:vAlign w:val="bottom"/>
            <w:gridSpan w:val="6"/>
            <w:vMerge w:val="continue"/>
          </w:tcPr>
          <w:p>
            <w:pPr>
              <w:spacing w:after="0"/>
              <w:rPr>
                <w:sz w:val="14"/>
                <w:szCs w:val="14"/>
                <w:color w:val="auto"/>
              </w:rPr>
            </w:pPr>
          </w:p>
        </w:tc>
        <w:tc>
          <w:tcPr>
            <w:tcW w:w="4620" w:type="dxa"/>
            <w:vAlign w:val="bottom"/>
            <w:gridSpan w:val="2"/>
            <w:vMerge w:val="continue"/>
          </w:tcPr>
          <w:p>
            <w:pPr>
              <w:spacing w:after="0"/>
              <w:rPr>
                <w:sz w:val="14"/>
                <w:szCs w:val="14"/>
                <w:color w:val="auto"/>
              </w:rPr>
            </w:pPr>
          </w:p>
        </w:tc>
        <w:tc>
          <w:tcPr>
            <w:tcW w:w="68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5"/>
              </w:rPr>
              <w:t>F-1</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firm ID. 106) (Salberg)</w:t>
            </w:r>
          </w:p>
        </w:tc>
        <w:tc>
          <w:tcPr>
            <w:tcW w:w="3900" w:type="dxa"/>
            <w:vAlign w:val="bottom"/>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F-3</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4560" w:type="dxa"/>
            <w:vAlign w:val="bottom"/>
            <w:gridSpan w:val="5"/>
          </w:tcPr>
          <w:p>
            <w:pPr>
              <w:spacing w:after="0"/>
              <w:rPr>
                <w:sz w:val="24"/>
                <w:szCs w:val="24"/>
                <w:color w:val="auto"/>
              </w:rPr>
            </w:pPr>
          </w:p>
        </w:tc>
        <w:tc>
          <w:tcPr>
            <w:tcW w:w="3900" w:type="dxa"/>
            <w:vAlign w:val="bottom"/>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F-4</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F-5</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 of Changes in Stockholders’ Deficit</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F-6</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Consolidated Statement of Cash Flows</w:t>
            </w:r>
          </w:p>
        </w:tc>
        <w:tc>
          <w:tcPr>
            <w:tcW w:w="6220" w:type="dxa"/>
            <w:vAlign w:val="bottom"/>
            <w:gridSpan w:val="3"/>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F-7</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400" w:type="dxa"/>
            <w:vAlign w:val="bottom"/>
            <w:gridSpan w:val="4"/>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5"/>
              </w:rPr>
              <w:t>F-8</w:t>
            </w:r>
          </w:p>
        </w:tc>
        <w:tc>
          <w:tcPr>
            <w:tcW w:w="0" w:type="dxa"/>
            <w:vAlign w:val="bottom"/>
          </w:tcPr>
          <w:p>
            <w:pPr>
              <w:spacing w:after="0"/>
              <w:rPr>
                <w:sz w:val="1"/>
                <w:szCs w:val="1"/>
                <w:color w:val="auto"/>
              </w:rPr>
            </w:pPr>
          </w:p>
        </w:tc>
      </w:tr>
      <w:tr>
        <w:trPr>
          <w:trHeight w:val="453"/>
        </w:trPr>
        <w:tc>
          <w:tcPr>
            <w:tcW w:w="3160" w:type="dxa"/>
            <w:vAlign w:val="bottom"/>
            <w:tcBorders>
              <w:top w:val="single" w:sz="8" w:color="0000EE"/>
            </w:tcBorders>
            <w:gridSpan w:val="4"/>
          </w:tcPr>
          <w:p>
            <w:pPr>
              <w:spacing w:after="0"/>
              <w:rPr>
                <w:sz w:val="24"/>
                <w:szCs w:val="24"/>
                <w:color w:val="auto"/>
              </w:rPr>
            </w:pPr>
          </w:p>
        </w:tc>
        <w:tc>
          <w:tcPr>
            <w:tcW w:w="278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99"/>
              </w:rPr>
              <w:t>68</w:t>
            </w:r>
          </w:p>
        </w:tc>
        <w:tc>
          <w:tcPr>
            <w:tcW w:w="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NRx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1201 Orange Street, Suite 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 19801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Opinion on the Financial Statements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NRx Pharmaceuticals, Inc. and Subsidiaries (the “Company”) as of December 31, 2025, and the related statements of operations, stockholders’ deficit, and cash flows for the year then ended,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suffered recurring losses from operations, has experienced negative cash flows from operating activities, and had a stockholders’ deficit at December 31, 2025. These matters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for Opinion</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Convertible 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the Matter</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described in Note 9 – Debt and Note 13 – Fair Value Measurements, to the financial statements, during the year ended December 31, 2025, the Company had outstanding Convertible Notes payable (the Anson Notes). The Company elected the fair value option for the Anson Notes at inception; accordingly, the notes were measured at fair value upon issuance and subsequently remeasured at fair value each reporting period through settlement. During the year ended December 31, 2025, all outstanding Anson Notes, including accrued interest, were extinguished through conversion into shares of Common Stock.</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identified auditing the valuation and extinguishment of the Anson Notes as a critical audit matter due to the complexity of the accounting for the transaction and the significant judgements used by the Company in determining the fair value and extinguishment of the Anson Notes. This required a high degree of auditor judgment and increased auditor effort, including the involvement of valuation specialists.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We Addressed the Matter in Our Audit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the Anson Note agreements to understand the specific terms and conditions, including conversion and redemption features.</w:t>
      </w:r>
    </w:p>
    <w:p>
      <w:pPr>
        <w:spacing w:after="0" w:line="36" w:lineRule="exact"/>
        <w:rPr>
          <w:rFonts w:ascii="Times New Roman" w:cs="Times New Roman" w:eastAsia="Times New Roman" w:hAnsi="Times New Roman"/>
          <w:sz w:val="18"/>
          <w:szCs w:val="18"/>
          <w:color w:val="auto"/>
        </w:rPr>
      </w:pPr>
    </w:p>
    <w:p>
      <w:pPr>
        <w:ind w:left="660" w:right="180" w:hanging="328"/>
        <w:spacing w:after="0" w:line="257"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 we evaluated the appropriateness of the valuation method and model used to value the liabilities associated with the Anson Notes, tested the mathematical accuracy of the fair value calculations, developed independent expectations of the fair values of the Anson Notes, and compared our independent expectations to management’s recorded amounts.</w:t>
      </w:r>
    </w:p>
    <w:p>
      <w:pPr>
        <w:spacing w:after="0" w:line="1"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examined the underlying conversion documents, confirmed the settlement of the Anson Notes with the holder, and tested the Company’s calculation of the loss upon extinguishment/conversion of the Anson Notes.</w:t>
      </w: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adequacy of the Company’s disclosures related to the Anson Notes and related accounting conclusions.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Weinberg &amp; Company 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291465</wp:posOffset>
            </wp:positionV>
            <wp:extent cx="3857625" cy="522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576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NRX Pharmaceuticals,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Opinion on the Financial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NRX Pharmaceuticals, Inc. and subsidiaries (the “Company”) as of December 31, 2024, the related consolidated statements of operations and comprehensive loss, changes in stockholders’ equity (deficit) and cash flows for the year then ended, and the related notes (collectively referred to as the “consolidated financial statements”). In our opinion, the consolidated financial statements present fairly, in all material respects, the consolidated financial position of the Company as of December 31, 2024, and the consolidated results of its operations and its cash flows for the year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no revenues, has suffered operating losses since inception and has a working capital deficit at December 31, 2024. These matters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for Opinion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74190" cy="4972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741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SALBERG &amp; COMPANY, 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2295 NW Corporate Blvd., Suite 240 • Boca Raton, FL 33431-7326</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Phone: (561) 995-8270 • Toll Free: (866) CPA-8500 • Fax: (561) 995-1920</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www.salbergco.com • info@salbergco.com</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i w:val="1"/>
          <w:iCs w:val="1"/>
          <w:color w:val="auto"/>
        </w:rPr>
        <w:t xml:space="preserve">Member National Association of Certified Valuation Analysts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Registered with the PCAOB</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i w:val="1"/>
          <w:iCs w:val="1"/>
          <w:color w:val="auto"/>
        </w:rPr>
        <w:t xml:space="preserve">Member CPAConnect with Affiliated Offices Worldwide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Member AICPA Center for Audit Quality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NRX PHARMACEUTICALS, INC.</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53"/>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7,797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 - related party, net</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 (provisional)</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(provisional)</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63"/>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8000" w:type="dxa"/>
            <w:vAlign w:val="bottom"/>
            <w:shd w:val="clear" w:color="auto" w:fill="CCEEFF"/>
          </w:tcPr>
          <w:p>
            <w:pPr>
              <w:ind w:left="19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4,270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11,337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clinical site costs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payable and accrued interest, current</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loan payable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12,304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short term</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short term - related party</w:t>
            </w:r>
          </w:p>
        </w:tc>
        <w:tc>
          <w:tcPr>
            <w:tcW w:w="160" w:type="dxa"/>
            <w:vAlign w:val="bottom"/>
          </w:tcPr>
          <w:p>
            <w:pPr>
              <w:spacing w:after="0"/>
              <w:rPr>
                <w:sz w:val="19"/>
                <w:szCs w:val="19"/>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payable and accrued interest, long term</w:t>
            </w:r>
          </w:p>
        </w:tc>
        <w:tc>
          <w:tcPr>
            <w:tcW w:w="1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5,011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noncurrent - related party</w:t>
            </w:r>
          </w:p>
        </w:tc>
        <w:tc>
          <w:tcPr>
            <w:tcW w:w="160" w:type="dxa"/>
            <w:vAlign w:val="bottom"/>
          </w:tcPr>
          <w:p>
            <w:pPr>
              <w:spacing w:after="0"/>
              <w:rPr>
                <w:sz w:val="19"/>
                <w:szCs w:val="19"/>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50,000,000 shares authorized.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12,000,000 shares authorized; 0 shares issued and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2024</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500,000,000 shares authorized; 31,734,333 and 14,591,505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2025 and 2024, respectively</w:t>
            </w:r>
          </w:p>
        </w:tc>
        <w:tc>
          <w:tcPr>
            <w:tcW w:w="160" w:type="dxa"/>
            <w:vAlign w:val="bottom"/>
          </w:tcPr>
          <w:p>
            <w:pPr>
              <w:spacing w:after="0"/>
              <w:rPr>
                <w:sz w:val="20"/>
                <w:szCs w:val="20"/>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290,926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255,035</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5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(306,895)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(278,273)</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NRX PHARMACEUTICALS,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patient service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patient services</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13,061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Settlement expense (income)</w:t>
            </w:r>
          </w:p>
        </w:tc>
        <w:tc>
          <w:tcPr>
            <w:tcW w:w="320" w:type="dxa"/>
            <w:vAlign w:val="bottom"/>
          </w:tcPr>
          <w:p>
            <w:pPr>
              <w:spacing w:after="0"/>
              <w:rPr>
                <w:sz w:val="19"/>
                <w:szCs w:val="19"/>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notes payable</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2,654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issuance of Registered Direct Offering</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Consideration Shares and Warrants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note default penalty</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convertible note conversions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2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exercise of warrants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Stock outstanding:</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21,401,683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10,644,461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20" w:type="dxa"/>
            <w:vAlign w:val="bottom"/>
          </w:tcPr>
          <w:p>
            <w:pPr>
              <w:spacing w:after="0"/>
              <w:rPr>
                <w:sz w:val="15"/>
                <w:szCs w:val="15"/>
                <w:color w:val="auto"/>
              </w:rPr>
            </w:pPr>
          </w:p>
        </w:tc>
        <w:tc>
          <w:tcPr>
            <w:tcW w:w="11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22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520" w:type="dxa"/>
            <w:vAlign w:val="bottom"/>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w w:val="96"/>
              </w:rPr>
              <w:t>3,000,000</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8,391,956</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241,406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(253,147)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Series A preferred</w:t>
            </w: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(3,000,000)</w:t>
            </w:r>
          </w:p>
        </w:tc>
        <w:tc>
          <w:tcPr>
            <w:tcW w:w="380" w:type="dxa"/>
            <w:vAlign w:val="bottom"/>
          </w:tcPr>
          <w:p>
            <w:pPr>
              <w:spacing w:after="0"/>
              <w:rPr>
                <w:sz w:val="10"/>
                <w:szCs w:val="10"/>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300,000</w:t>
            </w:r>
          </w:p>
        </w:tc>
        <w:tc>
          <w:tcPr>
            <w:tcW w:w="320" w:type="dxa"/>
            <w:vAlign w:val="bottom"/>
          </w:tcPr>
          <w:p>
            <w:pPr>
              <w:spacing w:after="0"/>
              <w:rPr>
                <w:sz w:val="10"/>
                <w:szCs w:val="10"/>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stock into common stock</w:t>
            </w: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At-the-market “ATM” offering, net</w:t>
            </w: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385,515</w:t>
            </w:r>
          </w:p>
        </w:tc>
        <w:tc>
          <w:tcPr>
            <w:tcW w:w="3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1,626</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1,627</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 offering costs of $197</w:t>
            </w: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and warrants issued,</w:t>
            </w: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1,273,050</w:t>
            </w:r>
          </w:p>
        </w:tc>
        <w:tc>
          <w:tcPr>
            <w:tcW w:w="320" w:type="dxa"/>
            <w:vAlign w:val="bottom"/>
          </w:tcPr>
          <w:p>
            <w:pPr>
              <w:spacing w:after="0"/>
              <w:rPr>
                <w:sz w:val="10"/>
                <w:szCs w:val="10"/>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3,256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3,257</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net of issuance costs $975</w:t>
            </w: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and warrants issued</w:t>
            </w: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270,000</w:t>
            </w:r>
          </w:p>
        </w:tc>
        <w:tc>
          <w:tcPr>
            <w:tcW w:w="3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1,026</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 private placement</w:t>
            </w: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awards</w:t>
            </w:r>
          </w:p>
        </w:tc>
        <w:tc>
          <w:tcPr>
            <w:tcW w:w="6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57,500</w:t>
            </w:r>
          </w:p>
        </w:tc>
        <w:tc>
          <w:tcPr>
            <w:tcW w:w="32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as repayment of</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and interest for convertible</w:t>
            </w: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3,820,444</w:t>
            </w:r>
          </w:p>
        </w:tc>
        <w:tc>
          <w:tcPr>
            <w:tcW w:w="3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5,859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5,863</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w:t>
            </w: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related to reverse</w:t>
            </w: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73,040</w:t>
            </w:r>
          </w:p>
        </w:tc>
        <w:tc>
          <w:tcPr>
            <w:tcW w:w="320" w:type="dxa"/>
            <w:vAlign w:val="bottom"/>
          </w:tcPr>
          <w:p>
            <w:pPr>
              <w:spacing w:after="0"/>
              <w:rPr>
                <w:sz w:val="10"/>
                <w:szCs w:val="10"/>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stock split</w:t>
            </w: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Contract cost related to Alvogen</w:t>
            </w: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1,336</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1,336</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termination (see Note 8)</w:t>
            </w: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in exchange</w:t>
            </w: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20,000</w:t>
            </w:r>
          </w:p>
        </w:tc>
        <w:tc>
          <w:tcPr>
            <w:tcW w:w="320" w:type="dxa"/>
            <w:vAlign w:val="bottom"/>
          </w:tcPr>
          <w:p>
            <w:pPr>
              <w:spacing w:after="0"/>
              <w:rPr>
                <w:sz w:val="10"/>
                <w:szCs w:val="10"/>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for services</w:t>
            </w: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AOCI upon</w:t>
            </w: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 Streeterville Note</w:t>
            </w: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(25,126)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(25,126)</w:t>
            </w:r>
          </w:p>
        </w:tc>
        <w:tc>
          <w:tcPr>
            <w:tcW w:w="0" w:type="dxa"/>
            <w:vAlign w:val="bottom"/>
          </w:tcPr>
          <w:p>
            <w:pPr>
              <w:spacing w:after="0"/>
              <w:rPr>
                <w:sz w:val="1"/>
                <w:szCs w:val="1"/>
                <w:color w:val="auto"/>
              </w:rPr>
            </w:pPr>
          </w:p>
        </w:tc>
      </w:tr>
      <w:tr>
        <w:trPr>
          <w:trHeight w:val="142"/>
        </w:trPr>
        <w:tc>
          <w:tcPr>
            <w:tcW w:w="2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2024</w:t>
            </w:r>
          </w:p>
        </w:tc>
        <w:tc>
          <w:tcPr>
            <w:tcW w:w="520" w:type="dxa"/>
            <w:vAlign w:val="bottom"/>
            <w:tcBorders>
              <w:top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2"/>
                <w:szCs w:val="12"/>
                <w:color w:val="auto"/>
              </w:rPr>
            </w:pPr>
          </w:p>
        </w:tc>
        <w:tc>
          <w:tcPr>
            <w:tcW w:w="720" w:type="dxa"/>
            <w:vAlign w:val="bottom"/>
            <w:tcBorders>
              <w:top w:val="single" w:sz="8" w:color="auto"/>
            </w:tcBorders>
          </w:tcPr>
          <w:p>
            <w:pPr>
              <w:ind w:left="5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2"/>
                <w:szCs w:val="12"/>
                <w:color w:val="auto"/>
              </w:rPr>
            </w:pPr>
          </w:p>
        </w:tc>
        <w:tc>
          <w:tcPr>
            <w:tcW w:w="3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14,591,505</w:t>
            </w: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255,035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(278,273)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(23,223)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26"/>
        </w:trPr>
        <w:tc>
          <w:tcPr>
            <w:tcW w:w="2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in exchange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225,000</w:t>
            </w:r>
          </w:p>
        </w:tc>
        <w:tc>
          <w:tcPr>
            <w:tcW w:w="320" w:type="dxa"/>
            <w:vAlign w:val="bottom"/>
          </w:tcPr>
          <w:p>
            <w:pPr>
              <w:spacing w:after="0"/>
              <w:rPr>
                <w:sz w:val="10"/>
                <w:szCs w:val="10"/>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for services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as repayment of</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and interest for convertible</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7,290,898</w:t>
            </w:r>
          </w:p>
        </w:tc>
        <w:tc>
          <w:tcPr>
            <w:tcW w:w="3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18,912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18,919</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with register direct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5,175,277</w:t>
            </w:r>
          </w:p>
        </w:tc>
        <w:tc>
          <w:tcPr>
            <w:tcW w:w="320" w:type="dxa"/>
            <w:vAlign w:val="bottom"/>
          </w:tcPr>
          <w:p>
            <w:pPr>
              <w:spacing w:after="0"/>
              <w:rPr>
                <w:sz w:val="10"/>
                <w:szCs w:val="10"/>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9,463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9,468</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offering, net of offering cost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of warrants issued with</w:t>
            </w: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(3,255)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(3,255)</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register direct offering</w:t>
            </w: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At-the-market "ATM" offering, net</w:t>
            </w: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2,276,874</w:t>
            </w:r>
          </w:p>
        </w:tc>
        <w:tc>
          <w:tcPr>
            <w:tcW w:w="320" w:type="dxa"/>
            <w:vAlign w:val="bottom"/>
          </w:tcPr>
          <w:p>
            <w:pPr>
              <w:spacing w:after="0"/>
              <w:rPr>
                <w:sz w:val="10"/>
                <w:szCs w:val="10"/>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6,390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6,392</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of offering costs</w:t>
            </w: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as a result of repricing</w:t>
            </w: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303,819</w:t>
            </w:r>
          </w:p>
        </w:tc>
        <w:tc>
          <w:tcPr>
            <w:tcW w:w="3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under VWAP</w:t>
            </w: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Amortization of prepaid offering</w:t>
            </w:r>
          </w:p>
        </w:tc>
        <w:tc>
          <w:tcPr>
            <w:tcW w:w="6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costs</w:t>
            </w: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as a result of</w:t>
            </w: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1,870,960</w:t>
            </w:r>
          </w:p>
        </w:tc>
        <w:tc>
          <w:tcPr>
            <w:tcW w:w="3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3,085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3,087</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(28,622)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(28,622)</w:t>
            </w:r>
          </w:p>
        </w:tc>
        <w:tc>
          <w:tcPr>
            <w:tcW w:w="0" w:type="dxa"/>
            <w:vAlign w:val="bottom"/>
          </w:tcPr>
          <w:p>
            <w:pPr>
              <w:spacing w:after="0"/>
              <w:rPr>
                <w:sz w:val="1"/>
                <w:szCs w:val="1"/>
                <w:color w:val="auto"/>
              </w:rPr>
            </w:pPr>
          </w:p>
        </w:tc>
      </w:tr>
      <w:tr>
        <w:trPr>
          <w:trHeight w:val="156"/>
        </w:trPr>
        <w:tc>
          <w:tcPr>
            <w:tcW w:w="22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 December 31, 2025</w:t>
            </w:r>
          </w:p>
        </w:tc>
        <w:tc>
          <w:tcPr>
            <w:tcW w:w="520" w:type="dxa"/>
            <w:vAlign w:val="bottom"/>
            <w:tcBorders>
              <w:top w:val="single" w:sz="8" w:color="auto"/>
              <w:bottom w:val="single" w:sz="8" w:color="auto"/>
            </w:tcBorders>
            <w:shd w:val="clear" w:color="auto" w:fill="CCEEFF"/>
          </w:tcPr>
          <w:p>
            <w:pPr>
              <w:ind w:left="3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ind w:left="5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31,734,333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290,926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(306,895</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(15,937</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NRX PHARMACEUTICALS,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8"/>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7"/>
              </w:rPr>
              <w:t>(28,622)</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(25,126)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operating right of use assets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issued in exchange for services</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4,926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3,939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convertible note conversions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6,201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exercise of warrant liabilities</w:t>
            </w:r>
          </w:p>
        </w:tc>
        <w:tc>
          <w:tcPr>
            <w:tcW w:w="92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(5,369)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 of registered direct Common Stock</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debt settlement</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for debt issuance costs due to fair value election on Anson Notes</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issuance costs related to Alvogen termination</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 default penalty</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 receivable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 and other liabilities</w:t>
            </w:r>
          </w:p>
        </w:tc>
        <w:tc>
          <w:tcPr>
            <w:tcW w:w="92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(14,112</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 net of cash acquired</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(2,378)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investments</w:t>
            </w:r>
          </w:p>
        </w:tc>
        <w:tc>
          <w:tcPr>
            <w:tcW w:w="920" w:type="dxa"/>
            <w:vAlign w:val="bottom"/>
          </w:tcPr>
          <w:p>
            <w:pPr>
              <w:spacing w:after="0"/>
              <w:rPr>
                <w:sz w:val="19"/>
                <w:szCs w:val="19"/>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convertible note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(7,850)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insurance note</w:t>
            </w:r>
          </w:p>
        </w:tc>
        <w:tc>
          <w:tcPr>
            <w:tcW w:w="92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for debt issuance costs due to fair value election on Anson Notes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insurance loan</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Anson convertible note, net</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liability classified warrants</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ATM offering, net of offering costs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6,392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warrants issued in registered direct offering, net of issuance</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w:t>
            </w:r>
          </w:p>
        </w:tc>
        <w:tc>
          <w:tcPr>
            <w:tcW w:w="920" w:type="dxa"/>
            <w:vAlign w:val="bottom"/>
          </w:tcPr>
          <w:p>
            <w:pPr>
              <w:spacing w:after="0"/>
              <w:rPr>
                <w:sz w:val="20"/>
                <w:szCs w:val="20"/>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9,468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 net of issuance costs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 issued in private placement, net of issuance costs</w:t>
            </w:r>
          </w:p>
        </w:tc>
        <w:tc>
          <w:tcPr>
            <w:tcW w:w="92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6,354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920" w:type="dxa"/>
            <w:vAlign w:val="bottom"/>
          </w:tcPr>
          <w:p>
            <w:pPr>
              <w:spacing w:after="0"/>
              <w:rPr>
                <w:sz w:val="19"/>
                <w:szCs w:val="19"/>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as principal and interest repayment for convertible notes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12,788</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warrants as offering costs</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Recognition of assets acquired as part of business combination (non-cash)</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liabilities assumed as part of business combination (non-cash)</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liability</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due to VWAP adjustments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Warrants issued due to VWAP adjustments</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offering costs to additional paid-in capital</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Series A preferred stock into Common Stock</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5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AND 2024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Organization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Business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NRx Pharmaceuticals, Inc. (Nasdaq: NRXP) (“NRx”, the “Company”, “we”, “us” or “our”) is a clinical-stage bio-pharmaceutical company which develops and will distribute, through its wholly-owned operating subsidiary, NeuroRx, Inc., (NeuroRx), novel therapeutics for the treatment of central nervous system disorders including suicidal depression, chronic pain, post-traumatic stress disorder (PTSD) and schizophrenia. NRx is additionally the founder and majority owner of HOPE Therapeutics, Inc. (HOPE), a medical services company that offers interventional psychiatry care to patients with treatment-resistant depression and PTSD with a combination of neuroplastic drugs, transcranial magnetic stimulation (TMS), digital therapeutics, and hyperbaric therapy. All of our current drug development activities are focused on drugs that enhance “neuroplasticity” (growth of new brain connections) by modulating the N-methyl-D-aspartate (NMDA) receptor in the brain and nervous system, a neurochemical pathway. The Company has three lead drug candidates – NRX-100, a preservative-free formulation of ketamine for intravenous infusion, a generic preservative-free formulation of ketamine (KETAFREE™), and NRX-101, an oral fixed dose combination of D-cycloserine (DCS) and lurasidone.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announced, in February 2024, NRx incorporated HOPE Therapeutics, a medical care delivery organization focused on providing cutting-edge, comprehensive interventional psychiatric treatment with the most effective treatments available, including NMDA-targeted and other neuroplastic drugs, such as ketamine, Spravato and NRX-101, neuromodulatory devices, such as TMS, hyperbaric therapy, digital therapeutics, and medication management.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December 2, 2024, HOPE formed HTX Management Company, LLC (HTX), a wholly owned subsidiary organized as a Delaware limited liability company, for the purpose of supporting future back-end operations associated with the growing network of HOPE clinics.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8, 2025, HOPE became a revenue-generating clinical enterprise through its completion of the previously announced acquisition of Dura Medical, LLC (Dura), a Florida limited liability company, and a revenue-generating clinical organization with locations in Naples and Ft. Myers, Florida. Founded in 2018, Dura offers precision-based interventional psychiatry services, including ketamine infusion therapy, TMS, Spravato®, stellate ganglion blocks, and psychotherapy (See Note 16).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17, 2025, the Company completed the addition of Cohen and Associates, based in Sarasota, Florida, to the HOPE Network with a strategic minority investment, which expanded HOPE’s footprint on the West Coast of Florida, and related appointment of Dr. Rebecca Cohen as HOPE’s Medical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generally accepted accounting principles in the United States of American (GAAP) as determined by the Financial Accounting Standards Board (FASB) Accounting Standards Codification (ASC). The consolidated financial statements include the accounts of NRx Pharmaceuticals, Inc. and its wholly owned subsidiaries. All intercompany transactions and balances have been eliminated in consolidation.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continue as a going concern, which contemplates the realization of assets and the satisfaction of liabilities in the ordinary course of business. Since inception, the Company has incurred recurring operating losses and negative cash flows from operations. For the year ended December 31, 2025, the Company reported a net loss of approximately $28.6 million, used cash in operations of approximately $14.1 million, had a shareholders' deficit of approximately $15.9 million. As of December 31, 2025, the Company had cash and cash equivalents of $7.8 million and a working capital deficit of $19.7 million.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generated initial patient service revenue of approximately $1.2 million during the year ended December 31, 2025, following the acquisition of Dura on September 8, 2025. Management expects to continue incurring operating losses through at least the remainder of 2026 as it integrates Dura and pursues additional acquisitions through its HOPE subsidiary. While management projects incremental revenue from clinical operations and, upon regulatory approval, from pharmaceutical product sales, these projections are subject to significant uncertainty, including successful completion of pending acquisitions and receipt of FDA approval for NRX-100 and NRX-101.</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secured operating capital that it anticipates as sufficient to fund its drug development operations through at least the second quarter of 2026 solely from existing cash on hand to finance submission of FDA NDAs for KETAFREE™, NRX-100 and NRX-101. The Company additionally expects to continue to accrue revenue from clinical operations and utilize its existing at-the-market offering to provide cash resources to further support operations. The Company may pursue additional equity or debt financing or refinancing opportunities in 2026 to fund ongoing clinical activities and for general corporate purposes. Such arrangements may take the form of loans, equity offerings, strategic agreements, licensing agreements, joint ventures, or other agreements. The sale of equity could result in additional dilution to the Company’s existing stockholders.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the Company’s working capital needs and debt repayment obligations. As such, the Company has concluded that substantial doubt exists regarding the Company’s ability to continue as a going concern for a period of at least twelve months from the date of issuance of these consolidated financial statements. The accompanying consolidated financial statements have been prepared assuming the Company will continue to operate as a going concern basis, which contemplates the realization of assets and satisfaction of liabilities in the ordinary course of business. They do not include any adjustments to reflect the possible future effects on the recoverability and classification of recorded asset amounts and classifications of liabilities that might be necessary should the company be unable to continue as a going concern.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management to make estimates and assumptions that affect the reported amounts of assets, liabilities and expenses, and the disclosure of contingent assets and. The most significant estimates in the Company’s consolidated financial statements relate to the allowance for credit losses on accounts receivable, fair value of the convertible notes payable, fair value of warrant liabilities, fair value of stock options and warrants, fair value of the Common Stock shares granted for services, fair value of the purchase price and the assets acquired and liabilities assumed in business combinations, the fair value of intangible assets and goodwill, the fair value of lease liabilities and related right of use assets, and the utilization of deferred tax assets. Actual results may differ from these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86" w:lineRule="exact"/>
        <w:rPr>
          <w:sz w:val="20"/>
          <w:szCs w:val="20"/>
          <w:color w:val="auto"/>
        </w:rPr>
      </w:pPr>
    </w:p>
    <w:p>
      <w:pPr>
        <w:jc w:val="both"/>
        <w:ind w:firstLine="648"/>
        <w:spacing w:after="0" w:line="245" w:lineRule="exact"/>
        <w:rPr>
          <w:sz w:val="20"/>
          <w:szCs w:val="20"/>
          <w:color w:val="auto"/>
        </w:rPr>
      </w:pPr>
      <w:r>
        <w:rPr>
          <w:rFonts w:ascii="Times New Roman" w:cs="Times New Roman" w:eastAsia="Times New Roman" w:hAnsi="Times New Roman"/>
          <w:sz w:val="18"/>
          <w:szCs w:val="18"/>
          <w:color w:val="auto"/>
        </w:rPr>
        <w:t>Certain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amounts have been reclassified to conform to the 2025 presentation. Furniture and equipment, previously included in other assets as of December 31, 2024, is now presented within Furniture and equipment, net.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Risks and Uncertainties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FASB ASC Topic 820, Fair Value Measurements (ASC 820),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accounting guidance classifies fair value measurements in one of the following three categories for disclosure purposes: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Acquisitions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and measures identifiable tangible and intangible assets acquired and liabilities assumed as of the acquisition date at fair value. Fair value measurements require extensive use of estimates and assumptions, including estimates of future cash flows to be generated by the acquired assets. The operating results of the acquired business are included in our consolidated financial statements beginning on the date of acquisition. The purchase price is equivalent to the fair value of consideration transferred. Goodwill is recognized for the excess of purchase price over the net fair value of assets acquired and liabilities assumed. Acquisition-related costs are expensed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initial purchase to be cash equivalents, including balances held in the Company’s money market accounts. The Company maintains its cash and cash equivalents with financial institutions, in which balances from time to time may exceed the U.S. federally insured limits. The objectives of the Company’s cash management policy are to safeguard and preserve funds to maintain liquidity sufficient to meet the Company’s cash flow requirements, and to attain a market rate of return.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Deposits in financial institutions may, from time to time, exceed federally insured limits. As of December 31, 2025, the Company’s cash and cash equivalents balance within money market accounts was in excess of the U.S. federally insured limits by $7.5 million. The Company has not experienced any losses on its deposits of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Accounts receivable are recorded at the estimated transaction price (net of contractual adjustments, discounts, and implicit price concessions). The Company applies the Current Expected Credit Loss (CECL) model to estimate lifetime expected credit losses on trade receivables and contract assets, pooling receivables by payer type and aging and incorporating historical loss experience, current conditions, and reasonable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supportable forecasts with reversion to historical loss information beyond the forecast horizon. Receivables are written off when collection is deemed remote; recoveries are recognized when received. The Company does not have any off-balance sheet credit exposure related to its customers.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intangible assets consist of customer relationships, trade name, and non-compete agreements. Customer relationships represent the value of established patient relationships and referral sources that are expected to generate recurring revenue streams. Trade name represents the value associated with the brand name in place at the date of the acquisition. The customer relationships and trade name are being amortized over a 3-year term and 10-year term, respectively, based on the estimated economic useful life of the customer relationships and trademark. The amortization of intangible assets is computed using the straight-line method.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its definite-lived intangible assets for impairment whenever events or changes in circumstances indicate that the carrying amount may not be recoverable. Such indicators may include adverse changes in market conditions, legal or regulatory developments, or underperformance relative to expectations. If indicators are present, the Company performs a recoverability test by comparing the asset’s carrying amount to the undiscounted future cash flows expected to result from its use and eventual disposition. If the carrying amount is not recoverable, an impairment loss is recognized for the excess of the carrying amount over the asset’s fair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cost of an acquired business over the fair value assigned to its net assets. Goodwill is not amortized but is tested for impairment at a reporting unit level on an annual basis or when an event occurs, or circumstances change that would more likely than not reduce the fair value of a reporting unit below its carrying amount. Events or changes in circumstances that may trigger interim impairment reviews include, but not limited to, significant adverse changes in business climate, operating results, planned investments in the reporting unit, or an expectation that the carrying amount may not be recoverable, among other factors.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first assess qualitative factors to determine whether it is more likely than not that the fair value of a reporting unit is less than its carrying amount. If, after assessing the totality of events and circumstances, the Company determines it is more likely than not that the fair value of the reporting unit is greater than its carrying amount, an impairment test is unnecessary. If an impairment test is necessary, the Company will estimate the fair value of its related reporting units. If the carrying value of a reporting unit exceeds its fair value, the goodwill of that reporting unit is determined to be impaired, and the Company will proceed with recording an impairment charge equal to the excess of the carrying value over the related fair value.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goodwill in connection with a business acquisition. In evaluating whether a triggering event occurred during the period, the Company performed a qualitative assessment consistent with GAAP. This assessment considered the totality of events and circumstances, including the existence of substantial doubt to continue as a going concern, and concluded that it is not more likely than not (i.e., less than a 50% likelihood) that the fair value of the reporting unit is below its carrying amount. Based on this assessment, no impairment charges related to goodwill were recorded for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Furniture and Equipment, net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Furniture and equipment, net is stated at cost less accumulated depreciation. These assets are depreciated over their estimated useful lives of five to seven years using the straight-line method.</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adheres to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and periodically evaluates whether current facts or circumstances indicate that the carrying value of its depreciable assets to be held and used may not be recoverable. If such circumstances are determined to exist, an estimate of undiscounted future cash flows produced by the long-lived assets, or the appropriate grouping of assets, is compared to the carrying value to determine whether impairment exists. If an asset is determined to be impaired, the loss is measured based on the difference between the asset’s fair value and its carrying value. For long-lived assets, the estimate of fair value is based on various valuation techniques, including a discounted value of estimated future cash flows. The Company reports an asset to be disposed of at the lower of its carrying value or its fair value less costs to sell. There were no impairment losses for long-lived assets recorded for the years ended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liabilities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right-of-use assets (ROU), lease liabilities, and lease liabilities – related party. Lease liabilities are recognized based on the present value of the future minimum lease payments over the lease term at commencement date. None of the leases entered into have an implicit rate, the Company uses its incremental borrowing rate based on the information available at lease commencement date in determining the present value of future payments. Incremental borrowing rate is estimated to approximate the interest rate on a collateralized basis with similar terms and payments, and in economic environments where the leased asset is located. The ROU assets also include any prepaid lease payments made and initial direct costs incurred and exclude lease incentives. The Company’s lease terms may include options to extend or terminate the lease, which is recognized when it is reasonably certain that the Company will exercise that option. Lease expense for minimum lease payments is recognized on a straight-line basis over the lease term. Leases with an initial term of 12 months or less are not recorded on the balance sheet.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revenue under FASB ASC Topic 606, </w:t>
      </w:r>
      <w:r>
        <w:rPr>
          <w:rFonts w:ascii="Times New Roman" w:cs="Times New Roman" w:eastAsia="Times New Roman" w:hAnsi="Times New Roman"/>
          <w:sz w:val="18"/>
          <w:szCs w:val="18"/>
          <w:i w:val="1"/>
          <w:iCs w:val="1"/>
          <w:color w:val="auto"/>
        </w:rPr>
        <w:t>Revenue for Contract with Customers</w:t>
      </w:r>
      <w:r>
        <w:rPr>
          <w:rFonts w:ascii="Times New Roman" w:cs="Times New Roman" w:eastAsia="Times New Roman" w:hAnsi="Times New Roman"/>
          <w:sz w:val="18"/>
          <w:szCs w:val="18"/>
          <w:color w:val="auto"/>
        </w:rPr>
        <w:t xml:space="preserve"> (ASC 606). Patient service revenue is recognized as performance obligations are satisfied, which occurs over time as patients simultaneously receive and consume services. Each treatment or visit generally represents a separate contract. Procedural services (e.g., ketamine infusions, esketamine administration, TMS sessions, SGB/epidural procedures) are recognized at the point in time when rendered; therapy and medication management services are recognized as sessions occur. The transaction price includes variable consideration such as contractual adjustments, expected denials, and implicit price concessions, which are estimated and constrained to amounts not expected to reverse. The Company applies the portfolio approach for contracts with similar characteristics by payer and service type. The Company elected the practical expedient not to assess a significant financing component because the period between service and payment is one year or less. The Company acts as principal in its patient service arrangements and records revenue on a gross basis.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Patient service revenue is primarily derived from services rendered to patients for outpatient behavioral health care, interventional psychiatry, and pain management procedures. The Company’s services have no fixed duration and can generally be terminated by the patient or the Company at any time; therefore, each treatment or visit is considered its own stand-alone contract.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disaggregates Patient service revenue from contracts with customers by service type including procedural services and therapy services and by payor type including commercial insurance, Medicare, and self-pay. Management believes this presentation best reflects the nature, amount, timing, and uncertainty of the Company’s patient service revenue and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Patient Services</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Cost of patient services includes direct costs associated with providing healthcare services, such as salaries and benefits for clinical personnel, medical supplies, pharmaceuticals, and other costs directly attributable to patient care. These costs are expensed as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recorded as prepaid assets and expensed when the activity has been performed or when the goods have been received.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Non-cancellable Contracts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may record certain obligations as liabilities related to non-cancellable contracts. If appropriate, the offsetting costs may be recorded as a deferred cost asset.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Payable and Fair Value Election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permitted under FASB ASC Topic 825, Financial Instruments (ASC 825), the Company elected to account for its promissory notes, which meet the required criteria, at fair value at inception. Subsequent changes in fair value including interest and amortization of discounts are recorded as a component the change in fair value of convertible notes payable included in other expense (income) in the consolidated statements of operations. As a result of electing the fair value option, direct costs and fees related to the issuance of the promissory notes are expensed as incurred.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its notes payable using a Monte Carlo simulation model, which uses as inputs the fair value of its Common Stock and estimates for the equity volatility of its Common Stock, the time to expiration (i.e., expected term) of the note, the risk-free interest rate for a period that approximates the time to expiration, and probability of default. Therefore, the Company estimates its expected future equity volatility based on the historical volatility of its Common Stock price utilizing a lookback period consistent with the time to expiration. The time to expiration is based on the contractual maturity date, giving consideration to the redemption features embedded in the notes. The risk-free interest rate is determined based on the U.S. Treasury yield curve in effect at the time of measurement for time periods approximately equal to the time to expiration. Unless otherwise specified, the probability of default is estimated using Bloomberg’s Default Risk function which uses its financial information to calculate a default risk specific to the Company. Management believes those assumptions are reasonable but if these assumptions change, it could materially affect the fair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award grants using the closing trading price of the Company’s Common Stock on the date of issuance. All stock-based compensation costs are recorded in selling, general and administrative or research and development expenses in the consolidated statements of operations based upon the underlying individual’s role at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FASB ASC Topic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The assessment considers whether the warrants are freestanding financial instruments pursuant to ASC 480, meet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Company generally determines fair value of the Common Stock Warrants using a Black-Scholes valuation methodology.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change in any of the terms or conditions of warrants is accounted for as a modification.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480, the Company’s Series A preferred stock was classified as permanent equity as it was not mandatorily redeemable upon an event that is considered outside of the Company’s control. Further,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Contracts in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w:t>
      </w:r>
      <w:r>
        <w:rPr>
          <w:rFonts w:ascii="Times New Roman" w:cs="Times New Roman" w:eastAsia="Times New Roman" w:hAnsi="Times New Roman"/>
          <w:sz w:val="18"/>
          <w:szCs w:val="18"/>
          <w:color w:val="auto"/>
        </w:rPr>
        <w:t>, the Series A preferred stock did not meet any of the criteria that would preclude equity classification. The Company concluded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Series A preferred stock was more akin to an equity-type instrument than a debt-type instrument, therefore the conversion features associated with the convertible preferred stock were deemed to be clearly and closely related to the host instrument and were not bifurcated as a derivative under ASC 815.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who reviews financial information presented for purposes of making operating decisions, assessing financial performance, and allocating resources. The Company operates as a single operating and reportable segment, consistent with the manner in which the CODM evaluates performance and allocates resources, see Note 14 for further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entities over which the Company has the ability to exercise significant influence, but does not control, are accounted for under the equity method of accounting in accordance with ASC Topic 323,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 Method and Joint Ventures</w:t>
      </w:r>
      <w:r>
        <w:rPr>
          <w:rFonts w:ascii="Times New Roman" w:cs="Times New Roman" w:eastAsia="Times New Roman" w:hAnsi="Times New Roman"/>
          <w:sz w:val="18"/>
          <w:szCs w:val="18"/>
          <w:color w:val="auto"/>
        </w:rPr>
        <w:t xml:space="preserve"> (“ASC 323”). Under the equity method, investments are initially recorded at cost and subsequently adjusted to reflect the Company’s proportionate share of the investee’s net income or loss, which is recorded in equity method income (loss) in the statements of operations. Distributions received from investees reduce the carrying amount of the investment. The Company evaluates its equity method investments for impairment whenever events or changes in circumstances indicate that the carrying value of the investment may not be recoverable.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be recovered or settled.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14"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Per Share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applies the two-class method when computing net income or loss per share attributable to Common Stockholders. In determining net income or loss attributable to Common Stockholders, the two-class method requires income or loss allocable to participating securities for the period to be allocated between common and participating securities based on their respective rights to share in the earnings as if all of the income or loss allocable for the period had been distributed. In periods of net loss, there is no allocation required under the two-class method as the participating securities do not have an obligation to fund the losses of the Company.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1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587,355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9,359,710</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7,173,766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32,895</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issuable upon conversion of Anson Notes</w:t>
            </w:r>
          </w:p>
        </w:tc>
        <w:tc>
          <w:tcPr>
            <w:tcW w:w="21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4,920,126</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9,979,960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No. 2023-09-Income Taxes (Topic 740):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which is intended to enhance the transparency and decision usefulness of income tax disclosures, primarily by amending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for the effective tax rate reconciliation and income taxes paid. ASU 2023-09 should be applied on a prospective basis, and retrospective application is permitted. ASU 2023-09 is effective for annual periods beginning after December 15, 2024. Early adoption is permitted. The Company adopted this ASU or the year ended December 31, 2025 (see Note 15 “Income Taxes” for more information).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 xml:space="preserve">(“ASU 2024-03”) and in January 2025, the FASB issued ASU No. 2025-01,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 Disaggregation Disclosures (Subtopic 220-40): Clarifying the Effective Date</w:t>
      </w:r>
      <w:r>
        <w:rPr>
          <w:rFonts w:ascii="Times New Roman" w:cs="Times New Roman" w:eastAsia="Times New Roman" w:hAnsi="Times New Roman"/>
          <w:sz w:val="18"/>
          <w:szCs w:val="18"/>
          <w:color w:val="auto"/>
        </w:rPr>
        <w:t>, which clarified the effective date of ASU 2024-03. ASU 2024-03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2024-03 will also require the Company to disclose both the amount and the Company’s definition of selling expenses. The Company is currently evaluating the impact of adopting of ASU 2024-03.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and accounts receivable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for the year ended December 31, 2025 is derived from services rendered to patients for outpatient behavioral health care, interventional psychiatry, and pain management procedures. The Company’s services have no fixed duration and can generally be terminated by the patient or the Company at any time; therefore, each treatment or visit is considered its own stand-alone contract.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by service type and by payor, as management believes this best depicts the nature, amount, timing, and uncertainty of revenue and cash flows.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Service Type (in thousands):</w:t>
      </w:r>
    </w:p>
    <w:p>
      <w:pPr>
        <w:spacing w:after="0" w:line="221"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Ended December</w:t>
      </w:r>
    </w:p>
    <w:p>
      <w:pPr>
        <w:spacing w:after="0" w:line="9"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3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1"/>
        </w:trPr>
        <w:tc>
          <w:tcPr>
            <w:tcW w:w="73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Procedures income</w:t>
            </w:r>
          </w:p>
        </w:tc>
        <w:tc>
          <w:tcPr>
            <w:tcW w:w="600" w:type="dxa"/>
            <w:vAlign w:val="bottom"/>
            <w:shd w:val="clear" w:color="auto" w:fill="CCEEFF"/>
          </w:tcPr>
          <w:p>
            <w:pPr>
              <w:jc w:val="right"/>
              <w:ind w:right="436"/>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line="192" w:lineRule="exact"/>
              <w:rPr>
                <w:sz w:val="20"/>
                <w:szCs w:val="20"/>
                <w:color w:val="auto"/>
              </w:rPr>
            </w:pPr>
            <w:r>
              <w:rPr>
                <w:rFonts w:ascii="Times New Roman" w:cs="Times New Roman" w:eastAsia="Times New Roman" w:hAnsi="Times New Roman"/>
                <w:sz w:val="18"/>
                <w:szCs w:val="18"/>
                <w:color w:val="auto"/>
              </w:rPr>
              <w:t>371</w:t>
            </w: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Therapy services</w:t>
            </w:r>
          </w:p>
        </w:tc>
        <w:tc>
          <w:tcPr>
            <w:tcW w:w="6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w:t>
            </w:r>
          </w:p>
        </w:tc>
      </w:tr>
      <w:tr>
        <w:trPr>
          <w:trHeight w:val="223"/>
        </w:trPr>
        <w:tc>
          <w:tcPr>
            <w:tcW w:w="7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patient service revenue</w:t>
            </w:r>
          </w:p>
        </w:tc>
        <w:tc>
          <w:tcPr>
            <w:tcW w:w="60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payor (in thousands):</w:t>
      </w:r>
    </w:p>
    <w:p>
      <w:pPr>
        <w:spacing w:after="0" w:line="221"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Ended December</w:t>
      </w:r>
    </w:p>
    <w:p>
      <w:pPr>
        <w:spacing w:after="0" w:line="9"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31, 2025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60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Medicare</w:t>
            </w:r>
          </w:p>
        </w:tc>
        <w:tc>
          <w:tcPr>
            <w:tcW w:w="6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8"/>
                <w:szCs w:val="18"/>
                <w:color w:val="auto"/>
              </w:rPr>
            </w:pPr>
          </w:p>
        </w:tc>
      </w:tr>
      <w:tr>
        <w:trPr>
          <w:trHeight w:val="22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Self-Pay</w:t>
            </w:r>
          </w:p>
        </w:tc>
        <w:tc>
          <w:tcPr>
            <w:tcW w:w="6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60" w:type="dxa"/>
            <w:vAlign w:val="bottom"/>
            <w:shd w:val="clear" w:color="auto" w:fill="CCEEFF"/>
          </w:tcPr>
          <w:p>
            <w:pPr>
              <w:spacing w:after="0"/>
              <w:rPr>
                <w:sz w:val="19"/>
                <w:szCs w:val="19"/>
                <w:color w:val="auto"/>
              </w:rPr>
            </w:pPr>
          </w:p>
        </w:tc>
      </w:tr>
      <w:tr>
        <w:trPr>
          <w:trHeight w:val="223"/>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patient service revenue</w:t>
            </w:r>
          </w:p>
        </w:tc>
        <w:tc>
          <w:tcPr>
            <w:tcW w:w="6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the following sources: (i) commercial insurers; (ii) the federal government under the Medicare program administered by the Centers for Medicare and Medicaid Services (CMS) and other programs; (iii) state governments under Medicaid and related programs; and (iv) individual patients and clients.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the transaction price based on established billing rates reduced by contractual adjustments, discounts, and implicit price concessions, which represent amounts the Company does not expect to collect based on historical experience and other relevant factors. Contractual adjustments and discounts are based on contractual agreements with commercial insurance and Medicare, discount policies, and historical experience. Implicit price concessions are based on historical collection experience. Most of the Company’s services have contracts containing variable considerations, such as contractual adjustments, discounts, and implicit price concessions, which are estimated and reflected as reductions to revenue in the period the services are provided. However, it is unlikely a significant reversal of revenue will occur when the uncertainty is resolved, and therefore, the Company includes the variable consideration in the estimated transaction price. Subsequent changes resulting from a patient’s ability to pay are recorded as credit loss expense, which is included in other operating expenses. For the year ended December 31, 2025, current expected credit loss recovery was less than $0.1 million reflecting additional allowance for credit losses following the acquisition of Dura.</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derives a significant portion of its revenue from Medicare, and other payors that receive discounts from established billing rates. The Medicare regulations and various managed care contracts under which these discounts must be estimated are complex, subject to interpretation and adjustment, and may include multiple reimbursement mechanisms for different types of services provided. Management estimates the transaction price on a payor specific basis given its interpretation of the applicable regulations or contract terms. The services authorized and provided and related reimbursement are often subject to interpretation that could result in payments that differ from the Company’s estimates.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(in thousands):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8"/>
                <w:szCs w:val="18"/>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 roll-forward (in thousands):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December 31, 2024</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Dura (September 8, 2025)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(recovery) for expected credit losses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December 31, 2025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Accounts Receivable by payor (in thousands):</w:t>
            </w: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6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Medicare</w:t>
            </w:r>
          </w:p>
        </w:tc>
        <w:tc>
          <w:tcPr>
            <w:tcW w:w="16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Self-pay</w:t>
            </w:r>
          </w:p>
        </w:tc>
        <w:tc>
          <w:tcPr>
            <w:tcW w:w="16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Estimation inputs and credit quality information (summary):</w:t>
      </w:r>
    </w:p>
    <w:p>
      <w:pPr>
        <w:sectPr>
          <w:pgSz w:w="11900" w:h="16838" w:orient="portrait"/>
          <w:cols w:equalWidth="0" w:num="1">
            <w:col w:w="11240"/>
          </w:cols>
          <w:pgMar w:left="320" w:top="108" w:right="339" w:bottom="1440" w:gutter="0" w:footer="0" w:header="0"/>
        </w:sectPr>
      </w:pPr>
    </w:p>
    <w:p>
      <w:pPr>
        <w:spacing w:after="0" w:line="227" w:lineRule="exact"/>
        <w:rPr>
          <w:sz w:val="20"/>
          <w:szCs w:val="20"/>
          <w:color w:val="auto"/>
        </w:rPr>
      </w:pPr>
    </w:p>
    <w:p>
      <w:pPr>
        <w:jc w:val="both"/>
        <w:ind w:left="660" w:hanging="319"/>
        <w:spacing w:after="0" w:line="222" w:lineRule="exact"/>
        <w:tabs>
          <w:tab w:leader="none" w:pos="640" w:val="left"/>
        </w:tabs>
        <w:rPr>
          <w:sz w:val="20"/>
          <w:szCs w:val="20"/>
          <w:color w:val="auto"/>
        </w:rPr>
      </w:pPr>
      <w:r>
        <w:rPr>
          <w:rFonts w:ascii="Times New Roman" w:cs="Times New Roman" w:eastAsia="Times New Roman" w:hAnsi="Times New Roman"/>
          <w:sz w:val="18"/>
          <w:szCs w:val="18"/>
          <w:color w:val="auto"/>
        </w:rPr>
        <w:t>●</w:t>
        <w:tab/>
        <w:t>Receivables are pooled by payer class and aging; loss rates reflect historical conditions and reasonable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supportable forecasts with reversion to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run averages beyond does not suspend recognition of revenue on a “nonaccrual” basis for trade receivables.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firstLine="65"/>
        <w:spacing w:after="0" w:line="282" w:lineRule="auto"/>
        <w:rPr>
          <w:sz w:val="20"/>
          <w:szCs w:val="20"/>
          <w:color w:val="auto"/>
        </w:rPr>
      </w:pPr>
      <w:r>
        <w:rPr>
          <w:rFonts w:ascii="Times New Roman" w:cs="Times New Roman" w:eastAsia="Times New Roman" w:hAnsi="Times New Roman"/>
          <w:sz w:val="18"/>
          <w:szCs w:val="18"/>
          <w:color w:val="auto"/>
        </w:rPr>
        <w:t>experience updated for current the forecast horizon. The Company</w:t>
      </w:r>
    </w:p>
    <w:p>
      <w:pPr>
        <w:spacing w:after="0" w:line="378" w:lineRule="exact"/>
        <w:rPr>
          <w:sz w:val="20"/>
          <w:szCs w:val="20"/>
          <w:color w:val="auto"/>
        </w:rPr>
      </w:pPr>
    </w:p>
    <w:p>
      <w:pPr>
        <w:sectPr>
          <w:pgSz w:w="11900" w:h="16838" w:orient="portrait"/>
          <w:cols w:equalWidth="0" w:num="2">
            <w:col w:w="8280" w:space="120"/>
            <w:col w:w="2840"/>
          </w:cols>
          <w:pgMar w:left="320" w:top="108"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Prepaid Expense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 and other current assets consisted of the following at the dates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clinical development costs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prepaid expense</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 and other current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Furniture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2024, furniture and equipment,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2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equipment</w:t>
            </w:r>
          </w:p>
        </w:tc>
        <w:tc>
          <w:tcPr>
            <w:tcW w:w="128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furniture and equipment</w:t>
            </w:r>
          </w:p>
        </w:tc>
        <w:tc>
          <w:tcPr>
            <w:tcW w:w="1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(30)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280" w:type="dxa"/>
            <w:vAlign w:val="bottom"/>
            <w:tcBorders>
              <w:top w:val="single" w:sz="8" w:color="auto"/>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less than $0.01 million for the years ended December 31,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operating leases for three healthcare clinics in Naples, Fort Myers, and West Palm Beach, Florida:</w:t>
      </w:r>
    </w:p>
    <w:p>
      <w:pPr>
        <w:spacing w:after="0" w:line="225" w:lineRule="exact"/>
        <w:rPr>
          <w:sz w:val="20"/>
          <w:szCs w:val="20"/>
          <w:color w:val="auto"/>
        </w:rPr>
      </w:pPr>
    </w:p>
    <w:p>
      <w:pPr>
        <w:jc w:val="both"/>
        <w:ind w:left="660" w:hanging="328"/>
        <w:spacing w:after="0" w:line="25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Lease (Related Party): The Company leases its Naples clinic from Dura Properties, LLC, an entity owned and controlled by Dura’s former sole member prior to the acquisition. Following the acquisition on September 8, 2025, the former member became a director and minority shareholder of the Company. Right-of-use (ROU) assets and operating lease liabilities was measured under ASC 805 as if the leases were new at the acquisition date. The amended lease commenced on September 8, 2025 and expires on December 31, 2027. It is non-cancelable and requires monthly base rent of $6 thousand (subject to 3% annual escalations), plus $2 thousand in common area maintenance charges, and $1 thousand in taxes.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 Myers Lease (Third Party): The Company amended a lease for its Fort Myers clinic on September 8, 2025, with a commencement date of September 8, 2025, and an expiration date of November 30, 2026. Right-of-use (ROU) assets and operating lease liabilities were measured under ASC 805 as if the leases were new at the acquisition date. The amended lease is non-cancellable and requires monthly base rent of $5 thousand in the first year, plus $2 thousand in common area maintenance charges, subject to 3% annual escalations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20" w:lineRule="exact"/>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 Palm Beach Lease (Third Party): On November 14, 2025, the Company entered into a sublease agreement with Third Party of office space located at West Palm Beach, Florida. The sublease commenced on December 1, 2025 and expires on April 5, 2028. The sublease provides for fixed annual rent of approximately $151.0 thousand in the first lease year, subject to contractual escalations, and includes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rent abatement at commencement. The Company is also responsible for its proportionate share of operating expenses and other additional rent in accordance with the sublease terms.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expense included in the Company’s statement of operations were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lease expense:</w:t>
            </w: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Expense Classification</w:t>
            </w:r>
          </w:p>
        </w:tc>
        <w:tc>
          <w:tcPr>
            <w:tcW w:w="0" w:type="dxa"/>
            <w:vAlign w:val="bottom"/>
          </w:tcPr>
          <w:p>
            <w:pPr>
              <w:spacing w:after="0"/>
              <w:rPr>
                <w:sz w:val="1"/>
                <w:szCs w:val="1"/>
                <w:color w:val="auto"/>
              </w:rPr>
            </w:pPr>
          </w:p>
        </w:tc>
      </w:tr>
      <w:tr>
        <w:trPr>
          <w:trHeight w:val="191"/>
        </w:trPr>
        <w:tc>
          <w:tcPr>
            <w:tcW w:w="586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ROU asset</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operating lease liability</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ROU asset - related party</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operating lease liability - related party</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0" w:type="dxa"/>
            <w:vAlign w:val="bottom"/>
          </w:tcPr>
          <w:p>
            <w:pPr>
              <w:spacing w:after="0"/>
              <w:rPr>
                <w:sz w:val="1"/>
                <w:szCs w:val="1"/>
                <w:color w:val="auto"/>
              </w:rPr>
            </w:pPr>
          </w:p>
        </w:tc>
      </w:tr>
      <w:tr>
        <w:trPr>
          <w:trHeight w:val="234"/>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information related to leases is as follows:</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641223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641223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641223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213"/>
        <w:spacing w:after="0"/>
        <w:rPr>
          <w:sz w:val="20"/>
          <w:szCs w:val="20"/>
          <w:color w:val="auto"/>
        </w:rPr>
      </w:pPr>
      <w:r>
        <w:rPr>
          <w:rFonts w:ascii="Times New Roman" w:cs="Times New Roman" w:eastAsia="Times New Roman" w:hAnsi="Times New Roman"/>
          <w:sz w:val="18"/>
          <w:szCs w:val="18"/>
          <w:b w:val="1"/>
          <w:bCs w:val="1"/>
          <w:color w:val="auto"/>
        </w:rPr>
        <w:t>For the year</w:t>
      </w:r>
    </w:p>
    <w:p>
      <w:pPr>
        <w:spacing w:after="0" w:line="31" w:lineRule="exact"/>
        <w:rPr>
          <w:sz w:val="20"/>
          <w:szCs w:val="20"/>
          <w:color w:val="auto"/>
        </w:rPr>
      </w:pPr>
    </w:p>
    <w:p>
      <w:pPr>
        <w:jc w:val="center"/>
        <w:ind w:right="1213"/>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1213"/>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213"/>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512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ind w:left="1327" w:hanging="1327"/>
        <w:spacing w:after="0"/>
        <w:tabs>
          <w:tab w:leader="none" w:pos="13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w:t>
      </w:r>
    </w:p>
    <w:p>
      <w:pPr>
        <w:spacing w:after="0" w:line="27" w:lineRule="exact"/>
        <w:rPr>
          <w:rFonts w:ascii="Times New Roman" w:cs="Times New Roman" w:eastAsia="Times New Roman" w:hAnsi="Times New Roman"/>
          <w:sz w:val="18"/>
          <w:szCs w:val="18"/>
          <w:color w:val="auto"/>
        </w:rPr>
      </w:pPr>
    </w:p>
    <w:p>
      <w:pPr>
        <w:ind w:left="14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9"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33</w:t>
      </w:r>
    </w:p>
    <w:p>
      <w:pPr>
        <w:spacing w:after="0" w:line="9"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31</w:t>
      </w:r>
    </w:p>
    <w:p>
      <w:pPr>
        <w:spacing w:after="0" w:line="9" w:lineRule="exact"/>
        <w:rPr>
          <w:sz w:val="20"/>
          <w:szCs w:val="20"/>
          <w:color w:val="auto"/>
        </w:rPr>
      </w:pPr>
    </w:p>
    <w:p>
      <w:pPr>
        <w:ind w:left="1227" w:hanging="1227"/>
        <w:spacing w:after="0"/>
        <w:tabs>
          <w:tab w:leader="none" w:pos="12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512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8400" w:space="113"/>
            <w:col w:w="2727"/>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680" w:type="dxa"/>
            <w:vAlign w:val="bottom"/>
          </w:tcPr>
          <w:p>
            <w:pPr>
              <w:spacing w:after="0"/>
              <w:rPr>
                <w:sz w:val="18"/>
                <w:szCs w:val="18"/>
                <w:color w:val="auto"/>
              </w:rPr>
            </w:pPr>
          </w:p>
        </w:tc>
      </w:tr>
      <w:tr>
        <w:trPr>
          <w:trHeight w:val="230"/>
        </w:trPr>
        <w:tc>
          <w:tcPr>
            <w:tcW w:w="4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80" w:type="dxa"/>
            <w:vAlign w:val="bottom"/>
          </w:tcPr>
          <w:p>
            <w:pPr>
              <w:spacing w:after="0"/>
              <w:rPr>
                <w:sz w:val="19"/>
                <w:szCs w:val="19"/>
                <w:color w:val="auto"/>
              </w:rPr>
            </w:pPr>
          </w:p>
        </w:tc>
      </w:tr>
      <w:tr>
        <w:trPr>
          <w:trHeight w:val="238"/>
        </w:trPr>
        <w:tc>
          <w:tcPr>
            <w:tcW w:w="4180" w:type="dxa"/>
            <w:vAlign w:val="bottom"/>
          </w:tcPr>
          <w:p>
            <w:pPr>
              <w:spacing w:after="0"/>
              <w:rPr>
                <w:sz w:val="20"/>
                <w:szCs w:val="20"/>
                <w:color w:val="auto"/>
              </w:rPr>
            </w:pPr>
          </w:p>
        </w:tc>
        <w:tc>
          <w:tcPr>
            <w:tcW w:w="5220" w:type="dxa"/>
            <w:vAlign w:val="bottom"/>
            <w:gridSpan w:val="2"/>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6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 (in years)</w:t>
            </w:r>
          </w:p>
        </w:tc>
        <w:tc>
          <w:tcPr>
            <w:tcW w:w="5380" w:type="dxa"/>
            <w:vAlign w:val="bottom"/>
            <w:gridSpan w:val="3"/>
          </w:tcPr>
          <w:p>
            <w:pPr>
              <w:ind w:left="4900"/>
              <w:spacing w:after="0"/>
              <w:rPr>
                <w:sz w:val="20"/>
                <w:szCs w:val="20"/>
                <w:color w:val="auto"/>
              </w:rPr>
            </w:pPr>
            <w:r>
              <w:rPr>
                <w:rFonts w:ascii="Times New Roman" w:cs="Times New Roman" w:eastAsia="Times New Roman" w:hAnsi="Times New Roman"/>
                <w:sz w:val="18"/>
                <w:szCs w:val="18"/>
                <w:color w:val="auto"/>
              </w:rPr>
              <w:t>2.03</w:t>
            </w:r>
          </w:p>
        </w:tc>
        <w:tc>
          <w:tcPr>
            <w:tcW w:w="16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5380" w:type="dxa"/>
            <w:vAlign w:val="bottom"/>
            <w:gridSpan w:val="3"/>
          </w:tcPr>
          <w:p>
            <w:pPr>
              <w:ind w:left="4900"/>
              <w:spacing w:after="0"/>
              <w:rPr>
                <w:sz w:val="20"/>
                <w:szCs w:val="20"/>
                <w:color w:val="auto"/>
              </w:rPr>
            </w:pPr>
            <w:r>
              <w:rPr>
                <w:rFonts w:ascii="Times New Roman" w:cs="Times New Roman" w:eastAsia="Times New Roman" w:hAnsi="Times New Roman"/>
                <w:sz w:val="18"/>
                <w:szCs w:val="18"/>
                <w:color w:val="auto"/>
                <w:w w:val="98"/>
              </w:rPr>
              <w:t>7.62%</w:t>
            </w:r>
          </w:p>
        </w:tc>
        <w:tc>
          <w:tcPr>
            <w:tcW w:w="1680" w:type="dxa"/>
            <w:vAlign w:val="bottom"/>
          </w:tcPr>
          <w:p>
            <w:pPr>
              <w:spacing w:after="0"/>
              <w:rPr>
                <w:sz w:val="20"/>
                <w:szCs w:val="20"/>
                <w:color w:val="auto"/>
              </w:rPr>
            </w:pPr>
          </w:p>
        </w:tc>
      </w:tr>
      <w:tr>
        <w:trPr>
          <w:trHeight w:val="414"/>
        </w:trPr>
        <w:tc>
          <w:tcPr>
            <w:tcW w:w="4180" w:type="dxa"/>
            <w:vAlign w:val="bottom"/>
          </w:tcPr>
          <w:p>
            <w:pPr>
              <w:spacing w:after="0"/>
              <w:rPr>
                <w:sz w:val="24"/>
                <w:szCs w:val="24"/>
                <w:color w:val="auto"/>
              </w:rPr>
            </w:pPr>
          </w:p>
        </w:tc>
        <w:tc>
          <w:tcPr>
            <w:tcW w:w="53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F- 17</w:t>
            </w:r>
          </w:p>
        </w:tc>
        <w:tc>
          <w:tcPr>
            <w:tcW w:w="1680" w:type="dxa"/>
            <w:vAlign w:val="bottom"/>
          </w:tcPr>
          <w:p>
            <w:pPr>
              <w:spacing w:after="0"/>
              <w:rPr>
                <w:sz w:val="24"/>
                <w:szCs w:val="24"/>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future minimum lease payments required under leases as of December 31, 2025 were as follows (in thousands):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18"/>
                <w:szCs w:val="18"/>
                <w:color w:val="auto"/>
              </w:rPr>
            </w:pP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10"/>
        </w:trPr>
        <w:tc>
          <w:tcPr>
            <w:tcW w:w="74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Borders>
              <w:top w:val="single" w:sz="8" w:color="CCEEFF"/>
            </w:tcBorders>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at the dates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 liability (see Note 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4,715</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costs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research and development expense</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Dura acquisition cost due post-closing</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expense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Alvogen Licensing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2023, the Company entered into a License Agreement with Alvogen. On June 21, 2024, the Company received a notice of termination from Alvogen effective immediately. Following the termination of the License Agreement by Alvogen, the amounts advanced pursuant to the amendment became due and payable to Alvogen. Accordingly, the refund liability has not been reclassified to deferred revenue or recorded as revenue as of December 31, 2025 and will remain permanent as refund liability until settled.</w:t>
      </w:r>
    </w:p>
    <w:p>
      <w:pPr>
        <w:spacing w:after="0" w:line="180"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Upon termination of the License Agreement, the intellectual property rights licensed to Alvogen under the License Agreement reverted to the Company, and all other rights and obligations of each of the parties immediately ceased, except for outstanding amounts owed as of the time of such expiration or termination. In accordance with the License Agreement, any unpaid amounts accrue interest from the due date at a rate equal to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Term SOFR plus 6.0% per annum (10.8% as of December 31, 2025). Interest expense related to the accrued interest on the refund liability is recognized as incurred and is included in interest expense in the consolidated statements of operations. As of December 31, 2025, the refund liability due to Alvogen was $5.5 million, which represents a total of $4.8 million of all payments made by Alvogen through December 31, 2025 along with the $0.7 million of accrued interests, and is included as a component of accrued expense and other current liabilities on the consolidated balance sheet (See Note 7). As of December 31, 2024, the refund liability due to Alvogen was $4.7 million, which represents all payments made by Alvogen through December 31, 2024. Following the early termination by Alvogen, the Company does not anticipate recognizing any revenue under the License Agreement. Additionally, in June 2024 the Company wrote off the unfunded stock subscription receivable of $1.3 million related to the warrants previously classified in additional paid-in capital to research and development expense following the termination.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Streeterville Convertible Note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4, 2022, the Company issued a convertible note to Streeterville Capital, LLC (Streeterville), for an aggregate principal amount of $11.0 million (the “Streeterville Note”). The note was accounted for under the fair value option of ASC 825. On August 12, 2024, the Company and Streeterville entered into a Settlement and Release of Claims (the “Settlement Agreement”), whereby the Company and Streeterville agreed to settle all disputes between the parties and release the Company from all obligations to Streeterville under the terms of the Streeterville Note in exchange for a payment of $2.5 million upon the initial closing of the sale of the Anson Notes, and within 60 days thereafter, a second payment of $3.05 million. The Company made the above payments as agreed, thereby consummating the settlement in 2024. The Settlement Amendment was deemed to be debt modifications and did not result in recognition of a gain or loss in the consolidated statements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Streeterville Note as of December 31, 2024 (in thousands):</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9"/>
        </w:trPr>
        <w:tc>
          <w:tcPr>
            <w:tcW w:w="8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48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of the Note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Default penalty</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849</w:t>
            </w:r>
          </w:p>
        </w:tc>
      </w:tr>
      <w:tr>
        <w:trPr>
          <w:trHeight w:val="229"/>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Conversions and repayments of principal and interest (shares and cash)</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(12,324)</w:t>
            </w:r>
          </w:p>
        </w:tc>
      </w:tr>
      <w:tr>
        <w:trPr>
          <w:trHeight w:val="209"/>
        </w:trPr>
        <w:tc>
          <w:tcPr>
            <w:tcW w:w="8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Carrying value of the Note before current period change in fair value</w:t>
            </w:r>
          </w:p>
        </w:tc>
        <w:tc>
          <w:tcPr>
            <w:tcW w:w="1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Cumulative fair value adjustments through earnings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8"/>
                <w:szCs w:val="18"/>
                <w:color w:val="auto"/>
              </w:rPr>
            </w:pPr>
          </w:p>
        </w:tc>
      </w:tr>
      <w:tr>
        <w:trPr>
          <w:trHeight w:val="22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fair value adjustments through accumulated other comprehensive loss</w:t>
            </w: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carrying value of Note</w:t>
            </w:r>
          </w:p>
        </w:tc>
        <w:tc>
          <w:tcPr>
            <w:tcW w:w="1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6"/>
        </w:trPr>
        <w:tc>
          <w:tcPr>
            <w:tcW w:w="8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 current portion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 net of current portion</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21" w:right="339" w:bottom="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Anson Convertible Promissory Notes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Anson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12, 2024, the Company entered into the Anson Purchase Agreement with the Anson Investment Master Fund LP and Anson East Master Fund LP (collectively “Anson”). The Company agreed to sell, in three equal tranches, original issue discount Anson Notes in the aggregate principal amount of up to approximately $16.3 million for an aggregate purchase price of up to approximately $15.0 million and warrants to purchase that amount of shares equal to 50% of the principal amount of the Anson Notes divided by the VWAP of the Common Stock, as listed on the Nasdaq Capital Market, on the day prior to the closing of each respective tranche under the Anson Warrants (as defined below), with a 7% cash fee paid to the placement agent.  </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14, 2024, the Company entered into the first tranche Senior Secured Convertible Note Agreements (the “First Tranche Notes”) with Anson at various amounts for an aggregate of $5.435 million subject to an original issuance discount of 8% or $435,000, less other cash issuance costs of $521,000, resulting in net cash proceeds of $4.5 million, prior to any allocation to the Anson Warrants. The First Tranche Notes bore interest at a rate of 6% per annum, maturing on November 14, 2025, and were convertible at the option of the holder at any time after issuance into Common Stock, at a per share conversion price equal to the lower of (a) $2.4168 or (b) a price equal to 92% of the lowest VWAP during the seven trading day period immediately preceding the effective conversion date. Certain additional pricing and purchase protections and covenants triggering repayment were also afforded to the holders, and the First Tranche Notes carried certain mandatory redemption features. In conjunction with the issuance of the First Tranche Notes, the Company also issued warrants to purchase up to 1,349,305 shares of Common Stock.</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Anson Purchase Agreement, on October 10, 2024 (the “Second Closing Date”), the Company sold a total of $5.4 million in Notes (the “Second Tranche Notes”), subject to an original issue discount of 8% or $435,000 less other cash issuance cost of $375,000, with an aggregate purchase price of approximately $5.0 million, and warrants to purchase up to 1,846,128 shares of Common Stock. The Second Tranche Notes were convertible into Common Stock, at a per share conversion price equal to by the lower of (a) $1.7664 or (b) a price equal to 92% of the lowest VWAP during the seven-trading day period immediately preceding the effective date set forth in a Notice of Conversion delivered by an Investor to the Company. The Conversion Price was subject to, among other customary provisions, downward adjustment in the event of any future issuance by the Company of Common Stock below the then effective Conversion Price. In connection with the Second Tranche Notes, the Company paid a cash fee of 7% of the gross proceeds the Company received in the Second Closing to a placement agent and incurred certain additional other issuance costs and reimbursement for legal counsel disbursements and placement agent, for aggregate issuance costs of approximately $0.4 million.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Anson Purchase Agreement, on January 28, 2025 (the “Third Closing Date”), the Company sold a total of $5.435 million in Notes subject to an original issue discount of 8% or $0.435 million less other issuance costs of $0.4 million noted below (the “Third Tranche Notes” and collectively with the First Tranche Notes and Second Tranche Notes, the (“Anson Notes”)), with an aggregate purchase price of approximately $5.0 million, and Warrants to purchase up to 862,699 shares of Common Stock. The Third Tranche Notes were convertible into Common Stock, at a per share conversion price equal to by the lower of (a) $3.78 or (b) a price equal to 92% of the lowest VWAP during the seven-trading day period immediately preceding the effective date set forth in a Notice of Conversion delivered by an Investor to the Company. The Conversion Price is subject to, among other customary provisions, downward adjustment in the event of any future issuance by the Company of Common Stock below the then effective Conversion Price. In connection with the Third Tranche Notes, the Company paid a cash tail fee to the Placement Agent equal to 7% of the gross proceeds the Company received in the Third Closing and incurred certain additional other issuance costs and reimbursement for legal counsel disbursements, for aggregate issuance costs of approximately $0.4 million.</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loss from the change in fair value of the First Tranche Notes of $4.4 million, which was recognized in other (income) expense on the consolidated statements of operations as a result of the Company’s election of the fair value option. At December 31, 2024 the effective interest rate of the First and the Second Tranche Note was 82% and 53%, respectively.</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Anson converted $4.2 million of principal and interest of the First Tranche Note into Common Stock, resulting in the issuances of 3,676,796 shares of Common Stock and loss on conversion of $1.3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Anson converted the remaining $1.3 million of principal and interest of the First Tranche Notes, and all of the principal and interest on the Second and Third Tranche Notes ($5.8 million and $5.5 million, respectively) into Common Stock, resulting in the aggregate issuances of 7.3 million shares of Common Stock valued at $18.9 million and loss on conversion of $6.2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Anson Notes remained outstanding as of December 31, 2025.</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embedded features within the Anson Notes, the Company elected to account for the First, Second, and Third Tranche Notes at fair value at inception. Subsequent changes in fair value were recorded as a component of other income (loss) in the consolidated statements of operations. During the years ended December 31, 2025 and 2024, the Company recorded a loss and (gain) from the change in fair value of Anson Notes of $3.9 million and $2.7 million, respectively, which was recognized in other expense (income) on the consolidated statements of operations as a result of the Company’s election of the fair value option.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or about January 27, 2025, the Company and Anson entered into a Consent and Waiver Agreement (the “CWA”), relating to certain rights and prohibitions arising under the Anson Purchase Agreement and the Notes. In the CWA, Anson provided its consent under certain restrictive provisions, and waived certain rights, including, among other things, a right to participate in certain Qualified Financings (as defined in the CWA) made by us under the Anson Purchase Agreement and the Notes, the prohibition on issuance of certain equity securities, and waiver of any potential liquidated damages arising under that certain Registration Rights Agreement by and between the Company and Anson dated August 14, 2024, until March 31, 2025. On March 20, 2025, following the conversion of less than $0.1 million of the Third Tranche Note into 5,463 shares of Common Stock, the Company issued 303,819 shares of Common Stock as Consideration Shares with a fair value of $0.6 million and 303,819 of Consideration Warrants with a fair value of $0.6 million to Anson in accordance with the terms of the CWA (see Note 11).</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Second RD Purchase Agreement (see Note 11), and pursuant to the full ratchet anti-dilution provisions contained in the Anson financing agreements, the exercise price of all outstanding Common Stock purchase warrants issued on August 14, 2024, October 10, 2024, January 28, 2025, and January 29, 2025 (collectively, the “Anson Warrants”) were each adjusted to $1.65 per share, which was reflected in the change in fair value of convertible notes payable recorded in the consolidated statement of operations. In addition, the number of shares underlying the Anson Warrants was increased by an aggregate of 1,870,960 shares of Company’s Common Stock (see below under “Warrants”).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holders of Anson Notes and Anson Warrants, in accordance with an agreement entered into with Anson on September 30, 2025, agreed to, among other things, i) certain trading volume limitations, and ii) a partial exercise on previously issued Anson Warrants for cash. Specifically, if the closing stock price of the Company’s common stock as reported on the Principal Market (as defined in the August 2024 Purchase Agreement) is below $3.25 on any trading day, Anson may not sell, dispose of, or otherwise transfer, in the aggregate, more than 12.5% of the composite daily trading volume of the Company’s common stock on that trading day. In accordance with the agreement, the holders exercised their Anson Warrants for cash, generating net proceeds of $3.09 million and resulting in the issuance of 1,870,960 shares of Company’s Common Stock on September 30, 2025 (see “Warrants”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Anson Notes as of December 31, 2025 and 2024 (in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of the Anson 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Initial original issue discount</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and repayments of principal and interest (shares)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(4,190)</w:t>
            </w:r>
          </w:p>
        </w:tc>
      </w:tr>
      <w:tr>
        <w:trPr>
          <w:trHeight w:val="21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Carrying value of the Anson Notes before current period change in fair value</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allocated to Common Stock liability classified warrants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through earnings</w:t>
            </w:r>
          </w:p>
        </w:tc>
        <w:tc>
          <w:tcPr>
            <w:tcW w:w="160" w:type="dxa"/>
            <w:vAlign w:val="bottom"/>
          </w:tcPr>
          <w:p>
            <w:pPr>
              <w:spacing w:after="0"/>
              <w:rPr>
                <w:sz w:val="19"/>
                <w:szCs w:val="19"/>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8,351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4,413</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carrying value of Anson Notes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 - current portion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payable, net of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5,011</w:t>
            </w:r>
          </w:p>
        </w:tc>
      </w:tr>
      <w:tr>
        <w:trPr>
          <w:trHeight w:val="414"/>
        </w:trPr>
        <w:tc>
          <w:tcPr>
            <w:tcW w:w="8000" w:type="dxa"/>
            <w:vAlign w:val="bottom"/>
          </w:tcPr>
          <w:p>
            <w:pPr>
              <w:ind w:left="5440"/>
              <w:spacing w:after="0"/>
              <w:rPr>
                <w:sz w:val="20"/>
                <w:szCs w:val="20"/>
                <w:color w:val="auto"/>
              </w:rPr>
            </w:pPr>
            <w:r>
              <w:rPr>
                <w:rFonts w:ascii="Times New Roman" w:cs="Times New Roman" w:eastAsia="Times New Roman" w:hAnsi="Times New Roman"/>
                <w:sz w:val="18"/>
                <w:szCs w:val="18"/>
                <w:color w:val="auto"/>
              </w:rPr>
              <w:t>F- 20</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Sarah Herzog Memorial Hospital License Agreement</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The Company is required to make certain payments related to the development of NRX-101 (the “</w:t>
      </w:r>
      <w:r>
        <w:rPr>
          <w:rFonts w:ascii="Times New Roman" w:cs="Times New Roman" w:eastAsia="Times New Roman" w:hAnsi="Times New Roman"/>
          <w:sz w:val="18"/>
          <w:szCs w:val="18"/>
          <w:i w:val="1"/>
          <w:iCs w:val="1"/>
          <w:color w:val="auto"/>
        </w:rPr>
        <w:t>Licensed Product</w:t>
      </w:r>
      <w:r>
        <w:rPr>
          <w:rFonts w:ascii="Times New Roman" w:cs="Times New Roman" w:eastAsia="Times New Roman" w:hAnsi="Times New Roman"/>
          <w:sz w:val="18"/>
          <w:szCs w:val="18"/>
          <w:color w:val="auto"/>
        </w:rPr>
        <w:t>”) in order to maintain the license agreement with the Sarah Herzog Memorial Hospital Ezrat Nashim (SHMH) (the “SHMH License Agreement”).</w:t>
      </w:r>
    </w:p>
    <w:p>
      <w:pPr>
        <w:spacing w:after="0" w:line="160"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In April 2025, the Company and the Licensor entered into an Amendment to the Exclusive License Agreement (the “Amendment”), which resolved a dispute between the parties and modified certain payment and reporting terms of the License Agreement. The Amendment also modified certain milestone obligations related to NRX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101. In full satisfaction of the milestone payments associated with the completion of Phase II and Phase III clinical trials for NRX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101, the Company is required to pay the Licensor a single milestone payment of $187,500 upon the first approval of NRX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101 by the U.S. Food and Drug Administration, including accelerated approval. All remaining milestone provisions under the License Agreement remain unchanged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tc>
        <w:tc>
          <w:tcPr>
            <w:tcW w:w="30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Phase I Clinical Trials of Licensed Product (completed)</w:t>
            </w:r>
          </w:p>
        </w:tc>
        <w:tc>
          <w:tcPr>
            <w:tcW w:w="30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End of Phase II Clinical Trials of Licensed Product (completed)</w:t>
            </w:r>
          </w:p>
        </w:tc>
        <w:tc>
          <w:tcPr>
            <w:tcW w:w="3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Phase III Clinical Trials of Licensed Product</w:t>
            </w:r>
          </w:p>
        </w:tc>
        <w:tc>
          <w:tcPr>
            <w:tcW w:w="30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187,500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First Commercial Sale of Licensed Product in U.S.</w:t>
            </w:r>
          </w:p>
        </w:tc>
        <w:tc>
          <w:tcPr>
            <w:tcW w:w="3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Commercial Sale of Licensed Product in Europe</w:t>
            </w:r>
          </w:p>
        </w:tc>
        <w:tc>
          <w:tcPr>
            <w:tcW w:w="30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Annual Revenues Reach $100,000,000</w:t>
            </w:r>
          </w:p>
        </w:tc>
        <w:tc>
          <w:tcPr>
            <w:tcW w:w="3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750,000</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milestone payments due above may be reduced by 25% in certain circumstances, and by the application of certain sub-license fees. As of December 31, 2025, the total cumulative payments made under the SHMH License Agreement were $0.3 million, with no payments made during the years ended December 31, 2025 and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royalty in an amount equal to: (a) 1% of revenues from the sale of any product incorporating a Licensed Product when at least one Licensed Patent remains in force, if such product is not covered by a Valid Claim (as defined below) in the country or region in which the sale occurs, or (b) 2.5% of revenues from the sale of any Licensed Product that is covered by at least one Valid Claim in the country or region in which such product is manufactured or sold. A “Valid Claim” means any issued claim in the Licensed Patents that remains in force and that has not been finally invalidated or held to be unenforceable. The royalty rates above may be doubled if we commence a legal challenge to the validity, enforceability, or scope of any of the Licensed Patents during the term of the SHMH License Agreement and do not prevail in such proceeding.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Royalties shall also apply to any revenues generated by sub-licensees from sale of Licensed Products subject to a cap of 8.5% of the payments received by us from sub-licensees in connection with such sales. During the years ended December 31, 2025 and 2024, no royalty payments were due.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Maintenance Fee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fixed amount of $100,000 was paid on April 16, 2021 and, thereafter, a fixed amount of $150,000 was due on the anniversary of such date during the term of the SHMH License Agreement. The Company paid $150,000 in annual maintenance fees in the year ended December 31, 2024 expensed through Research and Development expenses in the accompanying Consolidated Statement of Operations. Under the Amendment, during the year ended December 31, 2025, the Company made a payment to the Licensor $150,000 in cash in full satisfaction of the annual license maintenance fee that became due on April 16, 2024.</w:t>
      </w:r>
    </w:p>
    <w:p>
      <w:pPr>
        <w:spacing w:after="0" w:line="183"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Beginning with the sixth anniversary of the effective date of the License Agreement (or April 16, 2025), future annual license maintenance fees of $150,000 are payable in the form of the Company’s common stock rather than cash. The number of shares to be issued each year is determined based on the volume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average closing price of the Company’s common stock for the 30 consecutive trading days immediately preceding April 16 of the applicable year, subject to adjustment for stock splits and similar events. On May 15, 2025, the Company granted 75,000 shares of fully vested common stock to a Licensor in accordance with a Amendment. The fair value of the shares granted was determined based on the quoted trading price of the Company’s common stock on the grant date of $2.08 per share, resulting in aggregate expense of approximately $0.2 million, which was recorded within the accompanying consolidated statement of operations for the year ended December 31, 2025.</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recorded $0.1 million and $0 in related annual maintenance fees,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2023, the Company entered into a license agreement with Apkarian Technologies LLC to in-license US patent 8,653,120 that claims the use of DCS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NRX-101 to decrease both chronic pain and neuropathic pain while potentially decreasing craving for opioids. For the years ended December 31, 2025 and 2024, the Company has recorded no expenses relating to the licensure of the patent.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Kadima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9, 2025, HOPE and its wholly-owned subsidiary, HTX, entered into an Asset Purchase and Contribution Agreement (the “Kadima Purchase Agreement”), with Kadima Medical, Kadima Holdings, Inc. (“Kadima Holdings”), and David Feifel, M.D., PH.D (“Feifel”, and collectively with Kadima Medical and Kadima Holdings, “Kadima”), pursuant to which the Company agreed to purchase and Kadima agreed to sell, certain assets of Kadima, subject to the satisfaction of certain closing conditions (the “Acquisition”).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Kadima Purchase Agreement contains representations, warranties and covenants of the Company and Kadima that are customary for a transaction of this nature, including among others, covenants by Kadima regarding the validity of certain material contracts entered into between Kadima and third-parties being assigned to the Subsidiaries, title to the assets being sold by Kadima, the condition and sufficiency of the assets being purchased, and Kadima’s rights to its intellectual property, tax liabilities, and the investment representations of Kadima.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Kadima Purchase Agreement also contains customary indemnification provisions whereby Kadima will indemnify the Company for certain losses arising out of inaccuracies in, or breaches of, the representations, warranties and covenants of Kadima, pre-closing taxes of Kadima, and certain other matters, subject to certain caps and thresholds.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 parties have not closed the Acquisition and the matter has entered arbitration. At this stage of the arbitration, it is too early to determine if the matter would reasonably be expected to have a material adverse effect on our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office space on a month-to-month basis. The rent expense for the years ended December 31, 2025 and 2024 was $0.1 million and $0.1 million,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leases two healthcare clinical facilities and office space located in Naples, West Palm Beach and Fort Myers, Florida under non-cancelable operating lease agreements. Details regarding lease terms, future minimum lease payments, and right-of-use assets and liabilities are disclosed in Note 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involved in various legal proceedings incidental to the conduct of our business. Historically, the outcome of nearly all such legal proceedings has not, in the aggregate, had a material adverse effect on our business, financial condition, results of operations or liquidity. There are no material pending or threatened legal proceedings at this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Reverse Stock Split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21, 2024, the Board approved a reverse stock split ratio of 1-for-10. On March 28, 2024, the Company filed an amendment to its certificate of incorporation in the State of Delaware (the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which provided that every ten shares of its issued and outstanding Common Stock would automatically be combined into one issued and outstanding share of Common Stock, without any change in the par value per share.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April 1, 2024, every 10 issued and outstanding shares of the Company’s Common Stock were converted automatically into one share of the Company’s Common Stock, without any change in the par value per share. The Reverse Stock Split reduced the number of shares of Common Stock issued and outstanding from approximately 95.7 million to approximately 9.6 million.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Stock Split. Shareholders who otherwise would have been entitled to receive a fractional share instead became entitled to receive one whole share of Common Stock in lieu of such fractional share. As a result of the Reverse Stock Split, 73,040 additional shares of common stock were issued in lieu of fractional shares. All share and per share amounts in the accompanying consolidated financial statements and footnotes have been retrospectively adjusted for the reverse split.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Company’s Second Amended and Restated Certificate of Incorporation, the Company has 50,000,000 shares of preferred stock authorized with a par value of $0.001, of which 12,000,000 were designated Series A Convertible Preferred Stock (“Series A Preferred Stock”). In August 2023, the Company sold and issued 3.0 million shares of Series A Preferred Stock for an aggregate cash purchase price of $1.2 million. During March 2024, holders of the Company’s Series A Preferred Stock elected to convert 3.0 million shares of Series A Preferred into 300,000 shares of Common Stock. As of December 31, 2025 and 2024, no shares of Series A Preferred Stock remained issued or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Company’s Second Amended and Restated Certificate of Incorporation, the Company has authorized 500,000,000 shares of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2, 2024, the Company issued 143,648 shares of Common Stock as payment for the $0.4 million minimum payment to Streeterville related to principal and interest payments on the Streeterville Note.</w:t>
      </w:r>
    </w:p>
    <w:p>
      <w:pPr>
        <w:sectPr>
          <w:pgSz w:w="11900" w:h="16846" w:orient="portrait"/>
          <w:cols w:equalWidth="0" w:num="1">
            <w:col w:w="11240"/>
          </w:cols>
          <w:pgMar w:left="320" w:top="121" w:right="339" w:bottom="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February 20, 2024 to July 29, 2024, the Company announced that it entered into multiple at-the-market purchase agreements (the “ATM Purchase Agreements”) subject to standard closing conditions where accredited investors purchased 385,515 shares of unregistered Common Stock at a range of $2.42 – $7.10 per share. On April 15, 2024, the Company increased the maximum aggregate offering amount of the shares of Common Stock issuable under that certain at-the-market offering agreement, dated August 14, 2023 (the “Offering Agreement”), with H.C. Wainwright &amp; Co., and filed a prospectus supplement under the Offering Agreement for an aggregate of $4.9 million. The Company suspended the at-the-market offering from August 14, 2024 through April 17, 2025. On April 17, 2025, the Company reinstated the at-the-market offering and increased the maximum aggregate offering amount and filed a prospectus supplement under the Offering Agreement for an aggregate of $20,000,000. During the year ended December 31, 2024, the aggregate net cash proceeds to the Company from the ATM Purchases Agreements were approximately $1.6 million. During the year ended December 31, 2025, the Company sold an aggregate of 2,276,874 shares of its Common Stock shares for approximately $6.4 million, net of $0.2 million in transaction costs.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27, 2024, the Company entered into an underwriting agreement with EF Hutton LLC (the “Representative”), as the representative of the several underwriters named therein, relating to an underwritten public offering of 500,000 shares of the Company’s Common Stock (the “February Shares”). The public offering price for each share of Common Stock was $3.00, and the underwriters purchased the shares of Common Stock at a price for each share of Common Stock of $2.76. Pursuant to the associated underwriting agreement, the Company also granted the Representative the option to purchase up to an additional 75,000 shares at $3.00 per share, which was also exercised. The aggregate net cash proceeds to the Company from the February 2024 offering were approximately $1.5 million after offering costs of approximately $0.6 million including the proceeds from exercise of representative options.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29, 2024, the Company entered into a securities purchase agreement with an investor providing for the issuance and sale of 270,000 shares of Common Stock and warrants to purchase up to 270,000 shares of Common Stock (the “February Warrants”) at a price of $3.80 per share of Common Stock and accompanying warrant, which represented a 26.7% premium to the offering price in February 2024 Public Offering. The Common Stock and the February Warrants were offered pursuant to a private placement (the “February 2024 Private Placement”) under Section 4(a)(2) of the Securities Act of 1933, as amended. The aggregate net cash proceeds to the Company from the February 2024 Private Placement were approximately $1.0 million.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18, 2024, the Company entered into an underwriting agreement (the “April Underwriting Agreement”) with the Representative, as the representative of the several underwriters named therein (the “April Underwriters”), relating to an underwritten public offering (the “April 2024 Public Offering”) of 607,000 shares (the “April Shares”) of Common Stock. The public offering price for each share of Common Stock was $3.30. Pursuant to the April Underwriting Agreement, the Company also granted the Representative a 45-day option to purchase up to an additional 91,050 shares (the “April Option Shares”) of the Common Stock on the same terms as the April Shares sold in the April 2024 Public Offering (the “April Over-Allotment Option”). On April 19, 2024, the Offering closed. Net proceeds from the April 2024 Public Offering were approximately $1.6 million after offering costs of approximately $0.4 million. On May 23, 2024, the April Underwriters of the previously announced underwritten public offering of the Company exercised their option in accordance with the April Underwriting Agreement, dated April 18, 2024, by and between the Company and the Representative, as representative of the several underwriters named therein, to purchase up to an additional 91,050 shares of the Company’s Common Stock, at the public offering price of $3.30 per share (the “April Overallotment Exercise”). The April Over-Allotment Exercise was exercised in full and closed on May 23, 2024. The net cash proceeds to the Company from the April Overallotment Exercise were approximately $0.2 million which include offering costs of less than $0.1 million.</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28, 2024, the Company issued 20,000 shares of Common Stock in relation to consulting services performed by a third party. The fair value of the Common Stock on the date of issuance was less than $0.1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Anson converted $4.2 million of principal and interest of the First Tranche Note into Common Stock, resulting in the issuances of 3,676,796 shares of Common Stock valued at $5.5 million based on the market price of the Common Stock at the date of Common Stock issuance resulting in a loss on conversion of $1.3 million (see Note 9).</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27, 2025, the Company entered into a securities purchase agreement (the “First RD Purchase Agreement”) with Anson for the sale by the Company of 1,215,278 shares (the “First RD Shares”) of Common Stock, at a purchase price of $2.88 per share, in a registered direct offering (the “First Registered Direct Offering”). Concurrently, the Company also sold unregistered Common Stock purchase warrants (the “First RD Warrants”) to Anson to purchase up to an aggregate of 1,215,278 shares of Common Stock, in a private placement. Subject to certain beneficial ownership limitations, the First RD Warrants were immediately exercisable upon issuance at an exercise price equal to $2.88 per share of Common Stock, subject to adjustments as provided under the terms of the First RD Warrants. The closing of the sales of these securities under the First RD Purchase Agreement occurred on or about January 29, 2025, resulting in net proceeds to the Company of approximately $3.3 million after transaction costs. A grant date fair value of $4.0 million of the warrants was determined utilizing a Black-Scholes model considering all relevant assumptions current at the date of issuance (i.e., share price of $2.07, exercise price of $2.88, term of five years, volatility of 115.8%, and risk-free rate of 4.00%). As the fair value of the liabilities exceeded the net proceeds received of $3.3 million, the Company recognized the excess as a loss upon issuance of First RD Shares of $0.7 million which is included in other expense (income) in the consolidated statement of operations for the year ended December 31, 2025.</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18, 2025, the Company entered into a securities purchase agreement (the “Second RD Purchase Agreement”) with certain accredited investors for the sale of an aggregate of 3,959,999 shares of the Company’s Common Stock, at a purchase price of $1.65 per share (the “Second Registered Direct Offering”). The Second Registered Direct Offering closed on August 18, 2025, and resulted in net proceeds of approximately $6.2 million, after deducting placement agent fees and other offering-related expenses of approximately $0.3 million. Concurrently, the purchasers of the entered into Lock-Up Agreements with the Company, pursuant to which they agreed not to sell, transfer, or otherwise dispose of the shares of Common Stock, subject to certain exceptions, without the prior written consent of the Company until August 19, 2026.</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20, 2025, following the conversion of less than $0.1 million of the Third Tranche Note into 5,463 shares of Common Stock, the Company issued 303,819 shares of Common Stock Consideration Shares and 303,819 of warrants (“Consideration Warrants”) to Anson in accordance with the terms of the CWA. As a result of this adjustment, the exercise price of the RD Warrants was updated to $2.30 as of March 20, 2025. The Consideration Shares, being equity-classified, were recognized at fair value with credit to Common Stock and additional paid in capital. The Consideration Warrants, liability-classified under ASC 815-40, were initially recognized at fair value, with changes in fair value subsequently recognized through earnings. In accordance with the CWA, the Company recorded loss on issuance of the Consideration shares and the Consideration Warrants in total of $1.28 million recognized within other expense (income) during the year ended December 31, 2025, within accompanying consolidated statements of operations and comprehensive loss.</w:t>
      </w:r>
    </w:p>
    <w:p>
      <w:pPr>
        <w:sectPr>
          <w:pgSz w:w="11900" w:h="16838" w:orient="portrait"/>
          <w:cols w:equalWidth="0" w:num="1">
            <w:col w:w="11240"/>
          </w:cols>
          <w:pgMar w:left="320" w:top="121" w:right="339" w:bottom="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mentioned, during the year ended December 31, 2025, Anson converted the remaining $1.3 million of principal and interest of the First Tranche Notes, and all of the principal and interest on the Second and Third Tranche Notes ($5.8 million and $5.5 million, respectively) into Common Stock, resulting in the aggregate issuances of 7.3 million shares of Common Stock valued at $18.9 million and loss on conversion of $6.2 million. No Anson Notes remained outstanding as of December 31, 2025. (See Note 9).</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15, 2025, the Company granted 75,000 shares of fully vested Common Stock to a Licensor in accordance with the Amendment to the Exclusive SHMH License Agreement (see Note 10). The value of the fully vested shares granted was determined by the value of the stock on the quoted trading price of $2.08 and an aggregate of approximately $0.2 million was recorded as expense within the accompanying consolidated statement of operations for the year ended December 31, 2025.</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17, 2025, the Company granted 150,000 shares of fully vested Common Stock to a vendor in accordance with the vendor agreement. The value of the fully vested shares granted was determined by the value of the stock on the quoted trading price of $3.00 and an aggregate of approximately $0.45 million was recorded as prepaid expense and amortized over the service period as expense within the accompanying consolidated statement of operations for the year ended December 31, 2025.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30, 2025, the 1,870,960 shares underlying the Anson Warrants, that were issued with the original convertible notes, were exercised for cash proceeds of $3.09 million. The fair value of the exercised warrants, which were initially recorded as warrant liability, was determined to be $5.37 million as of the exercise date, resulting in a gain of $5.37 million upon settlement of these warrant liabilities exercises, representing the difference between the fair value of the exercised Anson warrants and the cash proceeds received. The gain on Anson warrants exercised was recognized within other expense (income) for the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Substitute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Liability</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24, 2021, the Company completed the merger (“Merger”) under the Agreement and Plan of Merger dated December 13, 2020, as amended, among the Company (formerly Big Rock Partners Acquisition Corp.), NeuroRx, Inc., and Big Rock Merger Corp., a wholly owned subsidiary of our company. In the transaction, Big Rock Merger Corp. merged with and into NeuroRx, with NeuroRx continuing as the surviving entity. In connection with the Merger in 2021, each warrant to purchase shares of Common Stock of NRx that was outstanding and unexercised immediately prior to the effective time (whether vested or unvested) was assumed by Big Rock Partners Acquisition Corp. (BRPA) and converted into a warrant, based on the exchange ratio (of 0.316), that will continue to be governed by substantially the same terms and conditions, including vesting, as were applicable to the former warrant (the “Substitute Warrants”). There were 3,792,970 warrants outstanding and unexercised at the effective time. As these Substitute Warrants meet the definition of a derivative as contemplated in FASB ASC Topic 815, based on provisions in the warrant agreement related to the Earnout Shares Milestone and the Earnout Cash Milestone and the contingent right to receive additional shares for these provisions, the Substitute Warrants were recorded as derivative liabilities on the consolidated balance sheet and measured at fair value at inception (on the date of the Merger) and at each reporting date in accordance with FASB ASC Topic 820, with changes in fair value recognized in the statements of operations in the period of change. Refer to Note 13 for further discussion of fair value measurement of the warrant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Assumed Public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Merger, the Company had 3,450,000 warrants outstanding (the “Public Warrants”) to purchase up to 345,000 shares of Common Stock. Each Public Warrant entitles the holder to purchase one-tenth share of Common Stock at an exercise price of $115 per share. The Public Warrants became exercisable at the effective time of the Merger and expire five years after the effective time on or earlier upon their redemption or liquidation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no Public Warrants were exercised. The outstanding balance of these public warrants remains in equity. At December 31, 2025 and 2024, there were 3,448,856 Public Warrants outstanding to purchase up to 344,886 shares of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Assumed Private Placement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Liabilities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Merger, the Company had outstanding 136,250 Private Placement Warrants (the “Private Placement Warrants”) to purchase up to 13,625 shares of Common Stock. The Private Placement Warrants are not indexed to the Company’s common shares in the manner contemplated by FASB ASC Topic 815-40-15 because the holder of the instrument is not an input into the pricing of a fixed-for-fixed option on equity shares. The Company classifies the Private Placement Warrants as derivative liabilities in its consolidated balance sheets as of December 31, 2025 and 2024. The Company measures the fair value of the Private Placement Warrants at the end of each reporting period and recognizes changes in the fair value from the prior period in the Company’s statements of operations for the current period. The Company recognized a gain on the change in fair value of the Private Placement Warrants for each of the years ended December 31, 2025 and 2024 of less than $0.1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for discussion of the fair value measurement of the Company’s warrant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above, on February 29, 2024, in conjunction with the sale of 270,000 shares of Common Stock, the Company issued warrants to purchase up to 270,000 shares of Common Stock. The allocated fair value of $0.5 million was recorded within additional paid-in capital and was determined utilizing a Black-Scholes model considering all relevant assumptions current at the date of issuance (i.e., share price of $3.59, exercise price of $3.80, term of 5 years, volatility of 178.10%, risk-free rate of 4.26%, and expected dividend rate of 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28, 2024, the Company issued to the Representative 5-year warrants to purchase up to 25,000 shares of Common Stock. The allocated fair value of $0.1 million was recorded within additional paid-in capital and was determined utilizing a Black-Scholes model considering all relevant assumptions current at the date of issuance (i.e., share price of $3.05, exercise price of $3.30, term of 5 years, volatility of 178.10%, risk-free rate of 4.26%, and expected dividend rate of 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5, 2024, the Company issued Underwriter’s warrants to purchase up to 3,750 shares of Common Stock. A fair value of less than $0.1 million was recorded within additional paid-in capital and was determined utilizing a Black-Scholes model considering all relevant assumptions current at the date of issuance (i.e., share price of $3.05, exercise price of $3.30, term of 5 years, volatility of 178.10%, risk-free rate of 4.12%, and expected dividend rate of 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19, 2024, the Company issued to Underwriter’s the Representative 5-year warrants to purchase up to 30,350 shares of Common Stock. A fair value of less than $0.1 million was recorded within additional paid-in capital and was determined utilizing a Black-Scholes model considering all relevant assumptions current at the date of issuance (i.e., share price of $3.04, exercise price of $3.63, term of 5 years, volatility of 178.10%, risk-free rate of 4.66%, and expected dividend rate of 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23, 2024, the Company issued Underwriter’s warrants to purchase up to 4,553 shares of Common Stock. A fair value of less than $0.1 million was recorded within additional paid-in capital and was determined utilizing a Black-Scholes model considering all relevant assumptions current at the date of issuance (i.e., share price of $3.62, exercise price of $3.63, term of 5 years, volatility of 178.10%, risk-free rate of 4.52%, and expected dividend rate of 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Alvogen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conjunction with the amended Licensing Agreement with Alvogen discussed in Note 8, on February 7, 2024 the Company issued warrants to purchase up to 419,598 shares of Common Stock. A fair value of $1.3 million was recorded within additional paid-in capital and was determined utilizing a Black-Scholes model considering all relevant assumptions current at the date of issuance (i.e., share price of $4.10, exercise price of $4.00, term of 3 years, volatility of 138.0%, risk-free rate of 4.2%, and expected dividend rate of 0.0%). Upon termination of the License Agreement on June 21, 2024, the offsetting amount recorded within additional paid-in capital as an unfunded stock subscription receivable was expensed to research and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Anson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Liability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Anson Warrants, originally issued in the Anson Purchase Agreement, are recognized as derivative liabilities in accordance with ASC 815, as certain settlement features included in the Anson Warrants are not indexed to the Company's own stock, and therefore preclude equity classification. Accordingly, the Company recognizes the warrant instruments as liabilities at fair value and adjusts the instruments to fair value at each reporting period, and any change in fair value is recognized in the Company’s consolidated statements of operations. The Anson Warrants are measured at fair value using a Black-Scholes model, and all warrant liabilities are classified as current liabilities on the Company's consolidated balance sheets.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14, 2024, in conjunction with the issuance of the First Tranche Notes, the Company issued 5-year warrants to purchase up to 1,349,305 shares of the Common Stock with a grant date fair value of $2.1 million considering all relevant assumptions current at the date of issuance (i.e., share price of $1.86, exercise price of $2.42, term of five years, volatility of 122%, and risk-free rate of 3.67%, and expected dividend rate of 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10, 2024, in conjunction with the issuance of the Second Tranche Notes, the Company issued 5-year warrants to purchase up to 1,846,128 shares of Common Stock with a grant date fair value of $1.9 million considering all relevant assumptions current at the date of issuance (i.e., share price of $1.38, exercise price of $1.76, term of five years, volatility of 105%, and risk-free rate of 3.91%, and expected dividend rate of 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28, 2025, in conjunction with the issuance of the Third Tranche Notes, the Company issued warrants to purchase up to 862,699 shares of Common Stock with a grant date fair value of $2.5 million considering all relevant assumptions current at the date of issuance (i.e., share price of $3.55, exercise price of $3.78, term of five years, volatility of 113%, risk-free rate of 4.33%, and expected dividend rate of 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in connection with the Second RD Purchase Agreement, and pursuant to the full ratchet anti-dilution provisions contained in the Anson financing agreements, the exercise price of all Anson Warrants were each adjusted to $1.65 per share and the number of shares underlying the Anson Warrants was increased by an aggregate of 1,870,960 shares of common stock. The effect of the full ratchet trigger was $5.7 million and was reflected as part of the change in fair value of warrant liabilities on the statement of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holders of Anson Notes and Anson Warrants, in accordance with an agreement entered into with Anson on September 30, 2025, agreed to, among other things, i) certain trading volume limitations, and ii) a partial exercise of previously issued Anson Warrants for cash. Specifically, if the closing stock price of the Company’s common stock as reported on the Principal Market (as defined in the August 2024 Purchase Agreement) is below $3.25 on any trading day, Anson may not sell, dispose of, or otherwise transfer, in the aggregate, more than 12.5% of the composite daily trading volume of the Company’s common stock on that trading day. In accordance with the agreement, 1,870,960 shares of underlying Anson Warrants, which were issued with the original convertible notes, were exercised on September 30, 2025, for cash proceeds of $3.1 million. The fair value of the exercised Anson Warrants liabilities was determined to be $5.4 million as of the exercise date, resulting in a gain of $5.4 million recognized within other (income) expense, representing the difference between the fair value of the exercised Anson Warrants and the cash proceeds received.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RD Warrants – Liabilities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above, on January 29, 2025, in conjunction with the issuance of the First RD Shares, the Company issued the First RD Warrants to purchase up to 1,215,278 shares of Common Stock which were classified as a liability, with a grant date fair value of $4.0 million determined utilizing a Black-Scholes model considering all relevant assumptions current at the date of issuance (i.e., share price of $2.07, exercise price of $2.88, term of five years, volatility of 115.8%, and risk-free rate of 4.00%). As the fair value of the liabilities exceeded the net proceeds received of $3.3 million, the Company recognized the excess of the fair value over the net proceeds received as a loss upon issuance of $0.7 million which is included in other expense (income) in the consolidated statement of operations for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Warrants – Liability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above, on March 20, 2025, in conjunction with the issuance of the Consideration Shares, the Company issued Consideration Warrants to purchase up to 303,819 shares of Common Stock which were classified as a liability. The grant date fair value was estimated to be $0.6 million utilizing a Black-Scholes model considering all relevant assumptions current at the date of issuance (i.e., share price of $2.07, exercise price of $2.88, term of five years, volatility of 115.8%, and risk-free rate of 4.00%).</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the aggregate fair value of all liability classified warrants, which include Substitute Warrants, Assumed Private Placement Warrants, Anson Warrants, First RD Warrants and Consideration Warrants, was $15.9 million. The Company recognized a loss on the change in fair value of the liability classified warrants for the year ended December 31, 2025 of approximately $5.0 million. In addition, the Company recognized a gain of $5.4 million upon the exercise of Anson Warrants, representing the difference between the fair value of the exercised warrant liabilities and the cash proceeds received. Refer to Note 13 for discussion of the fair value measurement of the Company’s warrant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3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the activity for all warrants for the respective periods.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(in</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3,321,499</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3,948,484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(96,417)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7,173,766</w:t>
            </w:r>
          </w:p>
        </w:tc>
        <w:tc>
          <w:tcPr>
            <w:tcW w:w="26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4,252,758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(1,870,962)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(195,852)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gridSpan w:val="2"/>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9,359,710</w:t>
            </w:r>
          </w:p>
        </w:tc>
        <w:tc>
          <w:tcPr>
            <w:tcW w:w="26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3.17</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7.77</w:t>
            </w:r>
          </w:p>
        </w:tc>
        <w:tc>
          <w:tcPr>
            <w:tcW w:w="2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Omnibus Incentive Plan</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Prior to the Merger, the Company maintained its 2016 Omnibus Incentive Plan (the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based on the Exchange Ratio (of 0.316:1).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closing of the Merger, the outstanding and unexercised NeuroRx stock options became options to purchase an aggregate 289,542 shares of Common Stock at an average exercise price of $51.00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Omnibus Incentive Plan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2025, 1,050,809 shares of Common Stock are authorized for issuance pursuant to awards under the Company’s 2021 Omnibus Incentive Plan (the “2021 Plan”). As of January 1, 2025, 95,528 shares were added to the 2021 Plan under an evergreen feature that automatically increases the reserve with 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On December 28, 2023, the first amendment to the 2021 Plan was executed which increased the maximum number of shares (i) available for issuance under the Plan by an additional 200,000 shares, and (ii) that may be delivered pursuant to the exercise of Incentive Stock Options granted under the 2021 Plan to be equal to 100% of the Share Pool. As of December 31, 2025, an aggregate 1,005,644 shares of Common Stock have been awarded net of forfeitures, and no shares of Common Stock remain available for issuance under the 2021 Plan. The 2021 Plan permits the granting of incentive stock options, restricted stock awards, other stock-based awards or other cash-based awards to employees, directors, and non-employee consultants.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227" w:lineRule="exact"/>
        <w:rPr>
          <w:sz w:val="20"/>
          <w:szCs w:val="20"/>
          <w:color w:val="auto"/>
        </w:rPr>
      </w:pPr>
    </w:p>
    <w:p>
      <w:pPr>
        <w:jc w:val="both"/>
        <w:ind w:firstLine="648"/>
        <w:spacing w:after="0" w:line="223" w:lineRule="exact"/>
        <w:rPr>
          <w:sz w:val="20"/>
          <w:szCs w:val="20"/>
          <w:color w:val="auto"/>
        </w:rPr>
      </w:pPr>
      <w:r>
        <w:rPr>
          <w:rFonts w:ascii="Times New Roman" w:cs="Times New Roman" w:eastAsia="Times New Roman" w:hAnsi="Times New Roman"/>
          <w:sz w:val="18"/>
          <w:szCs w:val="18"/>
          <w:color w:val="auto"/>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an NDA by the FDA for NRX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101, or b) immediately preceding a change in control of the Company, whichever occurs first.</w:t>
      </w:r>
    </w:p>
    <w:p>
      <w:pPr>
        <w:spacing w:after="0" w:line="17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7, 2025, the Company issued 50,000 stock options. These shares have a vesting term of three years, an expiration date of ten years from the grant date and were valued at approximately $0.1 million as of the grant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9, 2025, the Company issued 497,000 stock options. These shares have a vesting term of three years, an expiration date of ten years from the grant date and were valued at approximately $0.6 million as of the grant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July 25, 2025, the Company issued 44,865 stock options. These shares have a vesting term of two years, an expiration date of ten years from the grant date and were valued at approximately $0.1 million as of the grant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stock options granted during the year ended December 31, 2025 were valued utilizing the Black-Scholes options pricing model with the following inputs: $1.78-3.00 of stock price, 3.91%-4.31% risk-free rate, 156.0%-126.76% volatility, 0% dividend rate, and the expected term of 3-6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839"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employee and non-employee stock option activity under the 2021 Plan for the following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life (in</w:t>
            </w:r>
          </w:p>
        </w:tc>
        <w:tc>
          <w:tcPr>
            <w:tcW w:w="120" w:type="dxa"/>
            <w:vAlign w:val="bottom"/>
          </w:tcPr>
          <w:p>
            <w:pPr>
              <w:spacing w:after="0"/>
              <w:rPr>
                <w:sz w:val="19"/>
                <w:szCs w:val="19"/>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value (in</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264,983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Forfeited/Expired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(143,150)</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5"/>
              </w:rPr>
              <w:t>121,833</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591,865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Forfeited/Expired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(126,343)</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1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587,355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2025</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12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w w:val="95"/>
              </w:rPr>
              <w:t>147,953</w:t>
            </w:r>
          </w:p>
        </w:tc>
        <w:tc>
          <w:tcPr>
            <w:tcW w:w="2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18.62</w:t>
            </w:r>
          </w:p>
        </w:tc>
        <w:tc>
          <w:tcPr>
            <w:tcW w:w="220" w:type="dxa"/>
            <w:vAlign w:val="bottom"/>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22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was $0.2 million and $0.2 million for the years ended December 31, 2025 and 2024,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the total unrecognized compensation related to unvested employee and non-employee stock option awards granted was $0.5 million, which the Company expects to recognize over a weighted-average period of approximately 2.13 years.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Restricted Stock Activity:</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 (unvested)</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(90,833)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 (unvested)</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32,895</w:t>
            </w: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 (unvested)</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22, 2025, the Company granted 32,895 restricted shares of Company’s common stock of to an employee in accordance with Medical Director Agreement. The shares were valued at approximately $100 thousand based on the closing price of NRx Common Stock on October 16, 2025 of $3.04 per share. The Restricted Stock vests in equal tranches over a three-year period, with each tranche vesting on the day prior to each anniversary of the effective date. The related stock-based compensation expense is being recognized over the vesting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12, 2022, the board of directors (the “Board”) granted an award of 100,000 restricted shares of the Company as an inducement to the then newly appointed (former) chief executive officer, which was being vested over a three-year period. In October 2024, the (former) chief executive officer announced his resignation, and as a result, all unvested RSAs were forfeited.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28, 2023, the Company granted 57,500 RSAs to a consultant for services provided. The RSAs vested after six months from the grant date. The shares were valued on the grant date based on the quoted price of $4.60 or approximately $0.3 million, which was amortized over the vesting term.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RSAs was less than $0.1 million and less than $0.3 million for the years ended December 31, 2025 and 2024,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recognition of stock-based compensation for the following periods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56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6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60" w:type="dxa"/>
            <w:vAlign w:val="bottom"/>
          </w:tcPr>
          <w:p>
            <w:pPr>
              <w:spacing w:after="0"/>
              <w:rPr>
                <w:sz w:val="18"/>
                <w:szCs w:val="18"/>
                <w:color w:val="auto"/>
              </w:rPr>
            </w:pPr>
          </w:p>
        </w:tc>
      </w:tr>
      <w:tr>
        <w:trPr>
          <w:trHeight w:val="230"/>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9"/>
                <w:szCs w:val="19"/>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measurements discussed herein are based upon certain market assumptions and pertinent information available to management as of and during the years ended December 31, 2025 and 2024. The carrying amount of accounts payable approximated fair value as they are short term in nature. The fair value of stock options and warrants issued for services, and warrants issued with the Convertible Notes are estimated based on the Black-Scholes model. The fair value of the convertible notes payable was estimated utilizing a Monte Carlo simulation.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on a Recurring Basis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convertible note payable represent Level 3 measurements. The following table presents information about the Company’s assets and liabilities that are measured at fair value on a recurring basis at December 31, 2025 and 2024, and indicates the fair value hierarchy of the valuation inputs the Company utilized to determine such fair value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Account</w:t>
            </w:r>
          </w:p>
        </w:tc>
        <w:tc>
          <w:tcPr>
            <w:tcW w:w="254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5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 (Note 11)</w:t>
            </w:r>
          </w:p>
        </w:tc>
        <w:tc>
          <w:tcPr>
            <w:tcW w:w="2540" w:type="dxa"/>
            <w:vAlign w:val="bottom"/>
            <w:gridSpan w:val="3"/>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5,639</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 payable and accrued interest, current (Note 9)</w:t>
            </w:r>
          </w:p>
        </w:tc>
        <w:tc>
          <w:tcPr>
            <w:tcW w:w="254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 payable and accrued interest, non-current (Note 9)</w:t>
            </w:r>
          </w:p>
        </w:tc>
        <w:tc>
          <w:tcPr>
            <w:tcW w:w="2540" w:type="dxa"/>
            <w:vAlign w:val="bottom"/>
            <w:gridSpan w:val="3"/>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5,011</w:t>
            </w:r>
          </w:p>
        </w:tc>
      </w:tr>
      <w:tr>
        <w:trPr>
          <w:trHeight w:val="432"/>
        </w:trPr>
        <w:tc>
          <w:tcPr>
            <w:tcW w:w="5240" w:type="dxa"/>
            <w:vAlign w:val="bottom"/>
          </w:tcPr>
          <w:p>
            <w:pPr>
              <w:spacing w:after="0"/>
              <w:rPr>
                <w:sz w:val="24"/>
                <w:szCs w:val="24"/>
                <w:color w:val="auto"/>
              </w:rPr>
            </w:pPr>
          </w:p>
        </w:tc>
        <w:tc>
          <w:tcPr>
            <w:tcW w:w="2540" w:type="dxa"/>
            <w:vAlign w:val="bottom"/>
            <w:gridSpan w:val="3"/>
          </w:tcPr>
          <w:p>
            <w:pPr>
              <w:jc w:val="right"/>
              <w:ind w:right="1870"/>
              <w:spacing w:after="0"/>
              <w:rPr>
                <w:sz w:val="20"/>
                <w:szCs w:val="20"/>
                <w:color w:val="auto"/>
              </w:rPr>
            </w:pPr>
            <w:r>
              <w:rPr>
                <w:rFonts w:ascii="Times New Roman" w:cs="Times New Roman" w:eastAsia="Times New Roman" w:hAnsi="Times New Roman"/>
                <w:sz w:val="18"/>
                <w:szCs w:val="18"/>
                <w:color w:val="auto"/>
              </w:rPr>
              <w:t>F- 29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Convertible Note Payable - </w:t>
      </w:r>
      <w:r>
        <w:rPr>
          <w:rFonts w:ascii="Times New Roman" w:cs="Times New Roman" w:eastAsia="Times New Roman" w:hAnsi="Times New Roman"/>
          <w:sz w:val="18"/>
          <w:szCs w:val="18"/>
          <w:i w:val="1"/>
          <w:iCs w:val="1"/>
          <w:u w:val="single" w:color="auto"/>
          <w:color w:val="auto"/>
        </w:rPr>
        <w:t>Streeterville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Convertible Note categorized within Level 3 of the fair value hierarchy (in thousands):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the Note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77227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Conversions and repayments of principal and interest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7227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Conversions and repayments of principal and interest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penalty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adjustment through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77227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the Note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77227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 payable - current portion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 payable, net of current portion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100" w:hanging="1100"/>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9,161</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(7,850)</w:t>
      </w:r>
    </w:p>
    <w:p>
      <w:pPr>
        <w:spacing w:after="0" w:line="20"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w:t>
      </w:r>
    </w:p>
    <w:p>
      <w:pPr>
        <w:spacing w:after="0" w:line="9" w:lineRule="exact"/>
        <w:rPr>
          <w:rFonts w:ascii="Times New Roman" w:cs="Times New Roman" w:eastAsia="Times New Roman" w:hAnsi="Times New Roman"/>
          <w:sz w:val="18"/>
          <w:szCs w:val="18"/>
          <w:color w:val="auto"/>
        </w:rPr>
      </w:pP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w:t>
      </w:r>
    </w:p>
    <w:p>
      <w:pPr>
        <w:spacing w:after="0" w:line="1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512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 w:lineRule="exact"/>
        <w:rPr>
          <w:sz w:val="20"/>
          <w:szCs w:val="20"/>
          <w:color w:val="auto"/>
        </w:rPr>
      </w:pPr>
    </w:p>
    <w:p>
      <w:pPr>
        <w:ind w:left="1320" w:hanging="1320"/>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512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 w:lineRule="exact"/>
        <w:rPr>
          <w:sz w:val="20"/>
          <w:szCs w:val="20"/>
          <w:color w:val="auto"/>
        </w:rPr>
      </w:pPr>
    </w:p>
    <w:p>
      <w:pPr>
        <w:ind w:left="1320" w:hanging="1320"/>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20" w:hanging="1320"/>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8360" w:space="720"/>
            <w:col w:w="2160"/>
          </w:cols>
          <w:pgMar w:left="320" w:top="121"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2024, the Streeterville Note was repaid in full and the outstanding balance was $0 as of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Payable - Anson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significant inputs used in the Monte Carlo simulation to measure the Anson Convertible Notes that are categorized within Level 3 of the fair value hierarchy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40" w:type="dxa"/>
            <w:vAlign w:val="bottom"/>
          </w:tcPr>
          <w:p>
            <w:pPr>
              <w:spacing w:after="0"/>
              <w:rPr>
                <w:sz w:val="20"/>
                <w:szCs w:val="20"/>
                <w:color w:val="auto"/>
              </w:rPr>
            </w:pPr>
          </w:p>
        </w:tc>
        <w:tc>
          <w:tcPr>
            <w:tcW w:w="52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valuation date</w:t>
            </w:r>
          </w:p>
        </w:tc>
        <w:tc>
          <w:tcPr>
            <w:tcW w:w="3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Time to expiration</w:t>
            </w:r>
          </w:p>
        </w:tc>
        <w:tc>
          <w:tcPr>
            <w:tcW w:w="3740" w:type="dxa"/>
            <w:vAlign w:val="bottom"/>
          </w:tcPr>
          <w:p>
            <w:pPr>
              <w:spacing w:after="0"/>
              <w:rPr>
                <w:sz w:val="18"/>
                <w:szCs w:val="18"/>
                <w:color w:val="auto"/>
              </w:rPr>
            </w:pP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0.87 – 1.03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market interest rate</w:t>
            </w:r>
          </w:p>
        </w:tc>
        <w:tc>
          <w:tcPr>
            <w:tcW w:w="3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Equity volatility</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135.0%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default</w:t>
            </w:r>
          </w:p>
        </w:tc>
        <w:tc>
          <w:tcPr>
            <w:tcW w:w="3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Anson Note categorized within Level 3 of the fair value hierarchy (in thousands):</w:t>
      </w:r>
    </w:p>
    <w:p>
      <w:pPr>
        <w:sectPr>
          <w:pgSz w:w="11900" w:h="16838" w:orient="portrait"/>
          <w:cols w:equalWidth="0" w:num="1">
            <w:col w:w="11240"/>
          </w:cols>
          <w:pgMar w:left="320" w:top="121"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Anson Notes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Anson III Note at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Conversion and repayments of principal and interest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adjustment through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Fair value of Anson Notes as of December 31, 2025</w:t>
      </w:r>
    </w:p>
    <w:p>
      <w:pPr>
        <w:spacing w:after="0" w:line="200" w:lineRule="exact"/>
        <w:rPr>
          <w:sz w:val="20"/>
          <w:szCs w:val="20"/>
          <w:color w:val="auto"/>
        </w:rPr>
      </w:pPr>
    </w:p>
    <w:p>
      <w:pPr>
        <w:spacing w:after="0" w:line="268" w:lineRule="exact"/>
        <w:rPr>
          <w:sz w:val="20"/>
          <w:szCs w:val="20"/>
          <w:color w:val="auto"/>
        </w:rPr>
      </w:pPr>
    </w:p>
    <w:p>
      <w:pPr>
        <w:ind w:right="3680"/>
        <w:spacing w:after="0" w:line="312" w:lineRule="auto"/>
        <w:rPr>
          <w:sz w:val="20"/>
          <w:szCs w:val="20"/>
          <w:color w:val="auto"/>
        </w:rPr>
      </w:pPr>
      <w:r>
        <w:rPr>
          <w:rFonts w:ascii="Times New Roman" w:cs="Times New Roman" w:eastAsia="Times New Roman" w:hAnsi="Times New Roman"/>
          <w:sz w:val="17"/>
          <w:szCs w:val="17"/>
          <w:color w:val="auto"/>
        </w:rPr>
        <w:t>Convertible note payable as of December 31, 2025 - current portion Convertible note payable as of December 31, 2025,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the Anson I and II Notes at issuance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Conversions and repayments of principal and interest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Fair value adjustment through earnings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Anson Notes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ind w:right="3680"/>
        <w:spacing w:after="0" w:line="312" w:lineRule="auto"/>
        <w:rPr>
          <w:sz w:val="20"/>
          <w:szCs w:val="20"/>
          <w:color w:val="auto"/>
        </w:rPr>
      </w:pPr>
      <w:r>
        <w:rPr>
          <w:rFonts w:ascii="Times New Roman" w:cs="Times New Roman" w:eastAsia="Times New Roman" w:hAnsi="Times New Roman"/>
          <w:sz w:val="17"/>
          <w:szCs w:val="17"/>
          <w:color w:val="auto"/>
        </w:rPr>
        <w:t>Convertible note payable as of December 31, 2024 - current portion Convertible note payable as of December 31, 2024,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040" w:hanging="1033"/>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6,257</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(12,718)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3,939</w:t>
      </w:r>
    </w:p>
    <w:p>
      <w:pPr>
        <w:spacing w:after="0" w:line="31" w:lineRule="exact"/>
        <w:rPr>
          <w:sz w:val="20"/>
          <w:szCs w:val="20"/>
          <w:color w:val="auto"/>
        </w:rPr>
      </w:pPr>
    </w:p>
    <w:p>
      <w:pPr>
        <w:ind w:left="1280" w:hanging="1273"/>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169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280" w:hanging="1273"/>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80" w:hanging="1273"/>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1040" w:hanging="1033"/>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6,034</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(4,190)</w:t>
      </w:r>
    </w:p>
    <w:p>
      <w:pPr>
        <w:spacing w:after="0" w:line="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1" w:lineRule="exact"/>
        <w:rPr>
          <w:sz w:val="20"/>
          <w:szCs w:val="20"/>
          <w:color w:val="auto"/>
        </w:rPr>
      </w:pPr>
    </w:p>
    <w:p>
      <w:pPr>
        <w:ind w:left="1040" w:hanging="1033"/>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169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46" w:lineRule="exact"/>
        <w:rPr>
          <w:sz w:val="20"/>
          <w:szCs w:val="20"/>
          <w:color w:val="auto"/>
        </w:rPr>
      </w:pPr>
    </w:p>
    <w:p>
      <w:pPr>
        <w:ind w:left="1040" w:hanging="1033"/>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1,246</w:t>
      </w:r>
    </w:p>
    <w:p>
      <w:pPr>
        <w:spacing w:after="0" w:line="27" w:lineRule="exact"/>
        <w:rPr>
          <w:rFonts w:ascii="Times New Roman" w:cs="Times New Roman" w:eastAsia="Times New Roman" w:hAnsi="Times New Roman"/>
          <w:sz w:val="18"/>
          <w:szCs w:val="18"/>
          <w:color w:val="auto"/>
        </w:rPr>
      </w:pPr>
    </w:p>
    <w:p>
      <w:pPr>
        <w:ind w:left="1060" w:hanging="1053"/>
        <w:spacing w:after="0"/>
        <w:tabs>
          <w:tab w:leader="none" w:pos="10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5,011</w:t>
      </w:r>
    </w:p>
    <w:p>
      <w:pPr>
        <w:spacing w:after="0" w:line="611" w:lineRule="exact"/>
        <w:rPr>
          <w:sz w:val="20"/>
          <w:szCs w:val="20"/>
          <w:color w:val="auto"/>
        </w:rPr>
      </w:pPr>
    </w:p>
    <w:p>
      <w:pPr>
        <w:sectPr>
          <w:pgSz w:w="11900" w:h="16838" w:orient="portrait"/>
          <w:cols w:equalWidth="0" w:num="2">
            <w:col w:w="8960" w:space="720"/>
            <w:col w:w="1560"/>
          </w:cols>
          <w:pgMar w:left="320" w:top="121" w:right="339" w:bottom="1440" w:gutter="0" w:footer="0" w:header="0"/>
          <w:type w:val="continuous"/>
        </w:sectPr>
      </w:pP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utilizes a Black-Scholes model approach to value its liability-classified warrants at each reporting period, with changes in fair value recognized in the consolidated statements of operations. The estimated fair value of the warrant liabilities is determined using Level 3 inputs. There were no transfers between levels within the fair value hierarchy during the periods presented. Inherent in a Black Scholes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significant inputs used in the Black-Scholes model to measure the warrant liabilities that are categorized within Level 3 of the fair value hierarchy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9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4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valuation date</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11.50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118.80%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reconciliation of warrant liabilities is included below (in thousands):</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recognition of issuance of warrants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3,965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0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recognition of issuance of warrants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7,108</w:t>
            </w: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4,926</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Anson warrants exercised</w:t>
            </w: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(5,369)</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5440"/>
              <w:spacing w:after="0"/>
              <w:rPr>
                <w:sz w:val="20"/>
                <w:szCs w:val="20"/>
                <w:color w:val="auto"/>
              </w:rPr>
            </w:pPr>
            <w:r>
              <w:rPr>
                <w:rFonts w:ascii="Times New Roman" w:cs="Times New Roman" w:eastAsia="Times New Roman" w:hAnsi="Times New Roman"/>
                <w:sz w:val="18"/>
                <w:szCs w:val="18"/>
                <w:color w:val="auto"/>
              </w:rPr>
              <w:t>F- 31</w:t>
            </w: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9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Assets that are measured at fair value and classified as level 3 on a non-recurring basis are as follows (in thousands):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20" w:type="dxa"/>
            <w:vAlign w:val="bottom"/>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8, 2025</w:t>
            </w:r>
          </w:p>
        </w:tc>
        <w:tc>
          <w:tcPr>
            <w:tcW w:w="100" w:type="dxa"/>
            <w:vAlign w:val="bottom"/>
          </w:tcPr>
          <w:p>
            <w:pPr>
              <w:spacing w:after="0"/>
              <w:rPr>
                <w:sz w:val="24"/>
                <w:szCs w:val="24"/>
                <w:color w:val="auto"/>
              </w:rPr>
            </w:pPr>
          </w:p>
        </w:tc>
      </w:tr>
      <w:tr>
        <w:trPr>
          <w:trHeight w:val="209"/>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7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these assets were measured at the acquisition dates in conjunction with the Dura acquisition.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significant unobservable inputs used in our level 3 fair value measurements during the year ended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Range</w:t>
            </w:r>
          </w:p>
        </w:tc>
      </w:tr>
      <w:tr>
        <w:trPr>
          <w:trHeight w:val="238"/>
        </w:trPr>
        <w:tc>
          <w:tcPr>
            <w:tcW w:w="15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Areas</w:t>
            </w:r>
          </w:p>
        </w:tc>
        <w:tc>
          <w:tcPr>
            <w:tcW w:w="100" w:type="dxa"/>
            <w:vAlign w:val="bottom"/>
          </w:tcPr>
          <w:p>
            <w:pPr>
              <w:spacing w:after="0"/>
              <w:rPr>
                <w:sz w:val="20"/>
                <w:szCs w:val="20"/>
                <w:color w:val="auto"/>
              </w:rPr>
            </w:pPr>
          </w:p>
        </w:tc>
        <w:tc>
          <w:tcPr>
            <w:tcW w:w="3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Valuation Techniques</w:t>
            </w:r>
          </w:p>
        </w:tc>
        <w:tc>
          <w:tcPr>
            <w:tcW w:w="100" w:type="dxa"/>
            <w:vAlign w:val="bottom"/>
          </w:tcPr>
          <w:p>
            <w:pPr>
              <w:spacing w:after="0"/>
              <w:rPr>
                <w:sz w:val="20"/>
                <w:szCs w:val="20"/>
                <w:color w:val="auto"/>
              </w:rPr>
            </w:pPr>
          </w:p>
        </w:tc>
        <w:tc>
          <w:tcPr>
            <w:tcW w:w="33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60" w:type="dxa"/>
            <w:vAlign w:val="bottom"/>
          </w:tcPr>
          <w:p>
            <w:pPr>
              <w:spacing w:after="0"/>
              <w:rPr>
                <w:sz w:val="20"/>
                <w:szCs w:val="20"/>
                <w:color w:val="auto"/>
              </w:rPr>
            </w:pPr>
          </w:p>
        </w:tc>
      </w:tr>
      <w:tr>
        <w:trPr>
          <w:trHeight w:val="209"/>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Relief-from-Royalty Method</w:t>
            </w: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Royality Rate</w:t>
            </w:r>
          </w:p>
        </w:tc>
        <w:tc>
          <w:tcPr>
            <w:tcW w:w="2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10% average through FY2030, 8%</w:t>
            </w:r>
          </w:p>
        </w:tc>
      </w:tr>
      <w:tr>
        <w:trPr>
          <w:trHeight w:val="234"/>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Revenue Growth Rate</w:t>
            </w:r>
          </w:p>
        </w:tc>
        <w:tc>
          <w:tcPr>
            <w:tcW w:w="120" w:type="dxa"/>
            <w:vAlign w:val="bottom"/>
          </w:tcPr>
          <w:p>
            <w:pPr>
              <w:spacing w:after="0"/>
              <w:rPr>
                <w:sz w:val="20"/>
                <w:szCs w:val="20"/>
                <w:color w:val="auto"/>
              </w:rPr>
            </w:pPr>
          </w:p>
        </w:tc>
        <w:tc>
          <w:tcPr>
            <w:tcW w:w="2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thereafter</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rate</w:t>
            </w:r>
          </w:p>
        </w:tc>
        <w:tc>
          <w:tcPr>
            <w:tcW w:w="2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Economic useful life (yrs)</w:t>
            </w:r>
          </w:p>
        </w:tc>
        <w:tc>
          <w:tcPr>
            <w:tcW w:w="2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Customer</w:t>
            </w:r>
          </w:p>
        </w:tc>
        <w:tc>
          <w:tcPr>
            <w:tcW w:w="100" w:type="dxa"/>
            <w:vAlign w:val="bottom"/>
          </w:tcPr>
          <w:p>
            <w:pPr>
              <w:spacing w:after="0"/>
              <w:rPr>
                <w:sz w:val="17"/>
                <w:szCs w:val="17"/>
                <w:color w:val="auto"/>
              </w:rPr>
            </w:pPr>
          </w:p>
        </w:tc>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Multi-Period Excess Earnings Method</w:t>
            </w: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relationship</w:t>
            </w: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(MPEEM)</w:t>
            </w: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Royalty rate</w:t>
            </w:r>
          </w:p>
        </w:tc>
        <w:tc>
          <w:tcPr>
            <w:tcW w:w="2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Growth Rates</w:t>
            </w:r>
          </w:p>
        </w:tc>
        <w:tc>
          <w:tcPr>
            <w:tcW w:w="1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 average through FY 2028</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Expense Growth Rates</w:t>
            </w:r>
          </w:p>
        </w:tc>
        <w:tc>
          <w:tcPr>
            <w:tcW w:w="2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Contributory Assets’ Charges as % from</w:t>
            </w:r>
          </w:p>
        </w:tc>
        <w:tc>
          <w:tcPr>
            <w:tcW w:w="1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 – 0.7%</w:t>
            </w:r>
          </w:p>
        </w:tc>
      </w:tr>
      <w:tr>
        <w:trPr>
          <w:trHeight w:val="198"/>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Business development expense for new</w:t>
            </w: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customers</w:t>
            </w:r>
          </w:p>
        </w:tc>
        <w:tc>
          <w:tcPr>
            <w:tcW w:w="2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Distributor EBITA margin for customer</w:t>
            </w:r>
          </w:p>
        </w:tc>
        <w:tc>
          <w:tcPr>
            <w:tcW w:w="1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2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rate</w:t>
            </w:r>
          </w:p>
        </w:tc>
        <w:tc>
          <w:tcPr>
            <w:tcW w:w="2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r>
      <w:tr>
        <w:trPr>
          <w:trHeight w:val="234"/>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Economic useful life (yrs)</w:t>
            </w:r>
          </w:p>
        </w:tc>
        <w:tc>
          <w:tcPr>
            <w:tcW w:w="2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8, 2025, HOPE completed the previously announced acquisition of Dura, and a revenue-generating clinical organization. Following the acquisition, the Company began generating patient service revenue through Dura’s operations. As a result, the Company now operates in two reportable segments, consistent with the manner in which the Chief Executive Officer, who is designated as the Company’s CODM, evaluates the Company’s performance and allocates resources. The Company’s operations consist of (i) the development of novel therapeutics for the treatment of central nervous system disorders, including suicidal depression, chronic pain, PTSD, and schizophrenia, and (ii) the operation of a clinical services business through Hope.</w:t>
      </w:r>
    </w:p>
    <w:p>
      <w:pPr>
        <w:spacing w:after="0" w:line="183"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The Company generated $1,445 thousand in revenues during the year ended December 31, 2025. The revenue for the year ended December 31, 2025 represents the revenue generated from Dura. The CODM evaluates performance based on operating expenses and monitors key expense categories related to the Company’s research and development activities, as well as general and administrative functions. While the Company has commenced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generating activities, operating expenses remain a primary focus of management given the Company’s ongoing investment in research and development and corporate infrastructure.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CODM does not separately evaluate performance by geographic region or product line, as the Company has limited operations due to the current liquidity and funding of the Company. The Company’s operations are conducted solely within the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Segment Information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Company’s assets relate to these two operating segments, see the accompanying balance sheets below.</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All of the Company’s operating expenses, which consist of cost of patient services, research and development, general and administrative expenses, and depreciation and amortization expenses, relate to this single operating segment, see the accompanying statements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loss from operations to total loss for the years ended December 31, 2025 and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For the years</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NRx</w:t>
            </w:r>
          </w:p>
        </w:tc>
        <w:tc>
          <w:tcPr>
            <w:tcW w:w="220" w:type="dxa"/>
            <w:vAlign w:val="bottom"/>
          </w:tcPr>
          <w:p>
            <w:pPr>
              <w:spacing w:after="0"/>
              <w:rPr>
                <w:sz w:val="19"/>
                <w:szCs w:val="19"/>
                <w:color w:val="auto"/>
              </w:rPr>
            </w:pPr>
          </w:p>
        </w:tc>
        <w:tc>
          <w:tcPr>
            <w:tcW w:w="112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Dura</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Category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(16,137)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(16,224)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(18,502)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671</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3,939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3,939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4,926</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4,926</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 of Registered Direct Offering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Consideration Shares and Warrants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1,277</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1,277</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default penalty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convertible note conversions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6,201</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6,201</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exercise of warrants</w:t>
            </w:r>
          </w:p>
        </w:tc>
        <w:tc>
          <w:tcPr>
            <w:tcW w:w="240" w:type="dxa"/>
            <w:vAlign w:val="bottom"/>
          </w:tcPr>
          <w:p>
            <w:pPr>
              <w:spacing w:after="0"/>
              <w:rPr>
                <w:sz w:val="19"/>
                <w:szCs w:val="19"/>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(5,369)</w:t>
            </w:r>
          </w:p>
        </w:tc>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(5,369)</w:t>
            </w:r>
          </w:p>
        </w:tc>
        <w:tc>
          <w:tcPr>
            <w:tcW w:w="26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Long-lived assets consist of furniture and equipment which are included in furniture and equipment, net in the balance sheet. Long-lived assets by year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16"/>
        </w:trPr>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r>
      <w:tr>
        <w:trPr>
          <w:trHeight w:val="238"/>
        </w:trPr>
        <w:tc>
          <w:tcPr>
            <w:tcW w:w="388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NRx</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Dura</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equipment</w:t>
            </w:r>
          </w:p>
        </w:tc>
        <w:tc>
          <w:tcPr>
            <w:tcW w:w="2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PPE</w:t>
            </w:r>
          </w:p>
        </w:tc>
        <w:tc>
          <w:tcPr>
            <w:tcW w:w="2100" w:type="dxa"/>
            <w:vAlign w:val="bottom"/>
          </w:tcPr>
          <w:p>
            <w:pPr>
              <w:spacing w:after="0"/>
              <w:rPr>
                <w:sz w:val="18"/>
                <w:szCs w:val="18"/>
                <w:color w:val="auto"/>
              </w:rPr>
            </w:pPr>
          </w:p>
        </w:tc>
        <w:tc>
          <w:tcPr>
            <w:tcW w:w="82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29</w:t>
            </w:r>
          </w:p>
        </w:tc>
        <w:tc>
          <w:tcPr>
            <w:tcW w:w="260" w:type="dxa"/>
            <w:vAlign w:val="bottom"/>
          </w:tcPr>
          <w:p>
            <w:pPr>
              <w:spacing w:after="0"/>
              <w:rPr>
                <w:sz w:val="18"/>
                <w:szCs w:val="18"/>
                <w:color w:val="auto"/>
              </w:rPr>
            </w:pPr>
          </w:p>
        </w:tc>
        <w:tc>
          <w:tcPr>
            <w:tcW w:w="86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93</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2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w w:val="70"/>
              </w:rPr>
              <w:t>6</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63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880" w:type="dxa"/>
            <w:vAlign w:val="bottom"/>
          </w:tcPr>
          <w:p>
            <w:pPr>
              <w:spacing w:after="0"/>
              <w:rPr>
                <w:sz w:val="24"/>
                <w:szCs w:val="24"/>
                <w:color w:val="auto"/>
              </w:rPr>
            </w:pPr>
          </w:p>
        </w:tc>
        <w:tc>
          <w:tcPr>
            <w:tcW w:w="2920" w:type="dxa"/>
            <w:vAlign w:val="bottom"/>
            <w:gridSpan w:val="2"/>
          </w:tcPr>
          <w:p>
            <w:pPr>
              <w:jc w:val="right"/>
              <w:ind w:right="894"/>
              <w:spacing w:after="0"/>
              <w:rPr>
                <w:sz w:val="20"/>
                <w:szCs w:val="20"/>
                <w:color w:val="auto"/>
              </w:rPr>
            </w:pPr>
            <w:r>
              <w:rPr>
                <w:rFonts w:ascii="Times New Roman" w:cs="Times New Roman" w:eastAsia="Times New Roman" w:hAnsi="Times New Roman"/>
                <w:sz w:val="18"/>
                <w:szCs w:val="18"/>
                <w:color w:val="auto"/>
              </w:rPr>
              <w:t>F- 33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prospectively adopt the guidance in ASU No. 2023-09, "Income Taxes (Topic 740): Improvements to Income Tax Disclosures". The following table reconciles the U.S. federal statutory income tax rate of 21% to the Company’s effective income tax rate for the years ended December 31, 2025 and 2024 in accordance with the guidance in ASU No. 2023-09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60" w:type="dxa"/>
            <w:vAlign w:val="bottom"/>
          </w:tcPr>
          <w:p>
            <w:pPr>
              <w:spacing w:after="0"/>
              <w:rPr>
                <w:sz w:val="18"/>
                <w:szCs w:val="18"/>
                <w:color w:val="auto"/>
              </w:rPr>
            </w:pPr>
          </w:p>
        </w:tc>
        <w:tc>
          <w:tcPr>
            <w:tcW w:w="24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24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9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Percentage</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Percentage</w:t>
            </w:r>
          </w:p>
        </w:tc>
        <w:tc>
          <w:tcPr>
            <w:tcW w:w="220" w:type="dxa"/>
            <w:vAlign w:val="bottom"/>
          </w:tcPr>
          <w:p>
            <w:pPr>
              <w:spacing w:after="0"/>
              <w:rPr>
                <w:sz w:val="18"/>
                <w:szCs w:val="18"/>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color w:val="auto"/>
              </w:rPr>
              <w:t>Other state tax expense (benefits)</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valuation allowance</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8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&amp; warrant compensation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notes and warrants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and loss on notes conversion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40" w:right="3280" w:hanging="4784"/>
        <w:spacing w:after="0" w:line="403" w:lineRule="auto"/>
        <w:tabs>
          <w:tab w:leader="none" w:pos="988"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State taxes in Virginia comprise the majority (greater than 50%) of the tax effect in this category. 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7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1000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components of income tax provision (benefit) are as follows for years ended December 31, 2025 and 2024 (in thousands):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18"/>
                <w:szCs w:val="18"/>
                <w:color w:val="auto"/>
              </w:rPr>
            </w:pPr>
          </w:p>
        </w:tc>
        <w:tc>
          <w:tcPr>
            <w:tcW w:w="16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18"/>
                <w:szCs w:val="18"/>
                <w:color w:val="auto"/>
              </w:rPr>
            </w:pPr>
          </w:p>
        </w:tc>
        <w:tc>
          <w:tcPr>
            <w:tcW w:w="16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18"/>
                <w:szCs w:val="18"/>
                <w:color w:val="auto"/>
              </w:rPr>
            </w:pPr>
          </w:p>
        </w:tc>
        <w:tc>
          <w:tcPr>
            <w:tcW w:w="16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1,559</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4,758</w:t>
            </w: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income taxes paid or refunds received during the years ended December 31, 2025 and 2024.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 full valuation allowance on its net deferred tax asset and did not recognize an income tax benefit in the years ended December 31, 2025 and 2024 due to the uncertainty of future taxable income.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4060" w:type="dxa"/>
            <w:vAlign w:val="bottom"/>
            <w:tcBorders>
              <w:bottom w:val="single" w:sz="8" w:color="CCEEFF"/>
            </w:tcBorders>
          </w:tcPr>
          <w:p>
            <w:pPr>
              <w:spacing w:after="0"/>
              <w:rPr>
                <w:sz w:val="19"/>
                <w:szCs w:val="19"/>
                <w:color w:val="auto"/>
              </w:rPr>
            </w:pPr>
          </w:p>
        </w:tc>
        <w:tc>
          <w:tcPr>
            <w:tcW w:w="39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44,410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39,753</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warrants</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1,830</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5,186</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Bonus accrual</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06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(49,665)</w:t>
            </w: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 of allowance</w:t>
            </w:r>
          </w:p>
        </w:tc>
        <w:tc>
          <w:tcPr>
            <w:tcW w:w="39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4260" w:type="dxa"/>
            <w:vAlign w:val="bottom"/>
            <w:gridSpan w:val="2"/>
          </w:tcPr>
          <w:p>
            <w:pPr>
              <w:jc w:val="right"/>
              <w:ind w:right="2410"/>
              <w:spacing w:after="0"/>
              <w:rPr>
                <w:sz w:val="20"/>
                <w:szCs w:val="20"/>
                <w:color w:val="auto"/>
              </w:rPr>
            </w:pPr>
            <w:r>
              <w:rPr>
                <w:rFonts w:ascii="Times New Roman" w:cs="Times New Roman" w:eastAsia="Times New Roman" w:hAnsi="Times New Roman"/>
                <w:sz w:val="18"/>
                <w:szCs w:val="18"/>
                <w:color w:val="auto"/>
              </w:rPr>
              <w:t>F- 35</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6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had federal net operating losses of approximately $207.5 million and $187.1 million and state net operating loss carryforwards of approximately $17.6 million and $10.2 million, respectively. The federal and state net operating loss carryforwards generated in the tax years prior to 2018 will begin to expire, if not utilized, by 2035. Certain Net Operating Losses in these jurisdictions are not subject to expiration. Utilization of the net operating loss carryforwards may be subject to an annual limitation according to Section 382 of the Internal Revenue Code of 1986 as amended, and similar provisions.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portion or all of the deferred tax assets will not be realized. After consideration of all of the evidence, the Company has recorded a valuation allowance of $51.2 million against its deferred tax assets at December 31, 2025 because management has determined that it is more likely than not that the Company will not recognize the benefits of its federal and state deferred tax assets, primarily due to its history of cumulative net losses incurred since inception and its lack of commercialization of products or generation of revenue from product sales since inception.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accrued to unrecognized tax benefits and penalties as income tax expense. The Company accrued total penalties and interest of $0 during the years ended December 31, 2025 and 2024 and in total, as of December 31, 2025 and 2024 has recognized penalties and interest of $0.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they operate. In the normal course of business, the Company is subject to examination by federal and foreign jurisdictions where applicable based on the statute of limitations that apply in each jurisdiction. As of December 31, 2025, open years related to all jurisdictions are 2024, 2023, 2022, and 2021.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 open tax audits with any taxing authority as of December 31,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 Medical, LLC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Overview</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8, 2025, HOPE, a wholly owned subsidiary the Company, completed the acquisition of Dura, a Florida-based behavioral health and interventional psychiatry practice with locations in Naples and Fort Myers, Florida. Dura was founded in 2018 and provides outpatient mental health treatment specializing in evidence-based therapies for treatment-resistant conditions, including depression, anxiety, PTSD, OCD, and chronic pain. Services include ketamine infusion therapy, Spravato® administration, TMS, Stellate Ganglion Blocks, psychotherapy, and medication management.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acquisition aligns with the Company’s strategy to expand its clinical care delivery platform through HOPE and establish a multi-site network offering advanced interventional psychiatry services. Management expects the acquisition to accelerate revenue generation and provide a foundation for integrating proprietary therapeutics, including NRX-100 and NRX-101, upon FDA approval.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Transferred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consideration transferred was $3.52 million, consisting of cash consideration (subject to customary closing adjustments). The preliminary estimated working capital and other customary closing adjustments resulted in a decrease of approximately $0.3 million to the purchase price, which is included in the total consideration transferred.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items were determined to represent post-employment compensation under ASC 805 and ASC 718 and are excluded from the purchase price consideration:</w:t>
      </w:r>
    </w:p>
    <w:p>
      <w:pPr>
        <w:spacing w:after="0" w:line="162"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6,188 Class A units of HTX as rollover equity subject to conditional vesting; and</w:t>
      </w:r>
    </w:p>
    <w:p>
      <w:pPr>
        <w:spacing w:after="0" w:line="36" w:lineRule="exact"/>
        <w:rPr>
          <w:rFonts w:ascii="Times New Roman" w:cs="Times New Roman" w:eastAsia="Times New Roman" w:hAnsi="Times New Roman"/>
          <w:sz w:val="18"/>
          <w:szCs w:val="18"/>
          <w:color w:val="auto"/>
        </w:rPr>
      </w:pPr>
    </w:p>
    <w:p>
      <w:pPr>
        <w:ind w:left="660" w:right="700" w:hanging="328"/>
        <w:spacing w:after="0" w:line="51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of up to $3.0 million payable over three years based on achievement of specified EBITDA performance targets. These amounts will be accounted for as compensation expense in future periods as services are rendered.</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Dura, the Company incurred total acquisition-related costs of approximately $0.1 million during the year ended December 31, 2025. These costs primarily consist of legal, accounting, consulting fees and a finder fee directly attributable to the transaction. These costs were expensed as incurred and are reflected in general and administrative expenses in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finalizes the estimation of the fair value of the purchase price and the fair value of the assets acquired and liabilities assumed, additional adjustments may be recorded during the measurement period (a period not to exceed 12 months from the acquisition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all tangible and identifiable intangible assets acquired and liabilities assumed at their preliminary estimated fair values as of the acquisition date. The preliminary allocation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 Recognized as of the Acquisition Date (In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assumed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r>
      <w:tr>
        <w:trPr>
          <w:trHeight w:val="216"/>
        </w:trPr>
        <w:tc>
          <w:tcPr>
            <w:tcW w:w="8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Pr>
          <w:p>
            <w:pPr>
              <w:spacing w:after="0"/>
              <w:rPr>
                <w:sz w:val="18"/>
                <w:szCs w:val="18"/>
                <w:color w:val="auto"/>
              </w:rPr>
            </w:pPr>
          </w:p>
        </w:tc>
      </w:tr>
      <w:tr>
        <w:trPr>
          <w:trHeight w:val="209"/>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liabilities assumed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r>
      <w:tr>
        <w:trPr>
          <w:trHeight w:val="210"/>
        </w:trPr>
        <w:tc>
          <w:tcPr>
            <w:tcW w:w="8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Borders>
              <w:top w:val="single" w:sz="8" w:color="CCEEFF"/>
            </w:tcBorders>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adjustments of approximately $0.1 million to the purchase price were recorded, decreasing the purchase price during the measurement period ended December 31, 2025. Changes to the provisional amounts recognized at the acquisition date—if based on new information about facts and circumstances that existed as of the acquisition—must be accounted for retrospectively during the measurement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identified the following finite-lived intangible assets, which will be amortized on a straight-line basis over their estimated useful lives once finalized:</w:t>
      </w:r>
    </w:p>
    <w:p>
      <w:pPr>
        <w:spacing w:after="0" w:line="162"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Name – includes the “Dura Medical” name and associated trademarks.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 – representing the value of established patient relationships and referral sources.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intangible assets are being amortized over their estimated useful lives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0"/>
        </w:trPr>
        <w:tc>
          <w:tcPr>
            <w:tcW w:w="7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38"/>
        </w:trPr>
        <w:tc>
          <w:tcPr>
            <w:tcW w:w="7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Values</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320" w:type="dxa"/>
            <w:vAlign w:val="bottom"/>
            <w:gridSpan w:val="3"/>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673</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984</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 value</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 Company incurred amortization expense of $89 thousand during year ended December 31, 2025.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the maturities of the Company’s intangible assets were as follows (in thousands):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gridSpan w:val="3"/>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188</w:t>
            </w:r>
          </w:p>
        </w:tc>
        <w:tc>
          <w:tcPr>
            <w:tcW w:w="8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188</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158</w:t>
            </w:r>
          </w:p>
        </w:tc>
        <w:tc>
          <w:tcPr>
            <w:tcW w:w="8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223</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5440"/>
              <w:spacing w:after="0"/>
              <w:rPr>
                <w:sz w:val="20"/>
                <w:szCs w:val="20"/>
                <w:color w:val="auto"/>
              </w:rPr>
            </w:pPr>
            <w:r>
              <w:rPr>
                <w:rFonts w:ascii="Times New Roman" w:cs="Times New Roman" w:eastAsia="Times New Roman" w:hAnsi="Times New Roman"/>
                <w:sz w:val="18"/>
                <w:szCs w:val="18"/>
                <w:color w:val="auto"/>
              </w:rPr>
              <w:t>F- 37</w:t>
            </w: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of approximately $1.8 million represents the excess of the purchase consideration over the fair value of net assets acquired and was recognized in connection with the acquisition. None of the goodwill is expected to be deductible for tax purposes. The goodwill is assigned to the Dura subsidiary. The goodwill primarily represents expected synergies, assembled workforce, and future growth potential. No goodwill arose from step acquisitions or non-controlling interests.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Period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Acquisition was recorded as a business combination on a preliminary valuation of assets acquired and liabilities assumed at their acquisition date fair values using unobservable inputs that are supported by little or no market activity and are significant to their fair value of the assets and liabilities (“Level 3” inputs). We expect to complete our purchase price allocation, as well as our fair value estimate of the purchase price consideration as soon as reasonably possible, not to exceed one year from the acquisition date. Adjustments to the preliminary purchase price and allocation could be material. Goodwill and intangible assets represent the excess of the purchase price consideration over the preliminary valuation of the other net assets acquired.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Pro-Forma Financial Information (Unaudited)</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consolidated results of Dura included in the Company’s consolidated statement of operations and comprehensive loss for the year ended December 31, 2025, as if the acquisition was made on January 1, 2025, and operations for the year ended December 31, 2024, as if the Acquisition had occurred on January 1, 2024. The unaudited pro forma information is presented for illustrative purposes only. It is not necessarily indicative of the results of operations of future periods, or the results of operations that actually would have been realized had the entities been a single company during the periods presented or the results that the combined company will experience after the acquisition. The unaudited pro forma information does not give effect to the potential impact of current financial conditions, regulatory matters or any anticipated synergies, operating efficiencies or cost savings that may be associated with the acquisition. The unaudited pro forma information also does not include any integration costs or remaining future transaction costs that the companies may incur related to the acquisition as part of combining the operations of the companies.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consolidated results of revenue and net loss, assuming the acquisitions had occurred on January 1, 2024,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ended December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 December</w:t>
            </w:r>
          </w:p>
        </w:tc>
      </w:tr>
      <w:tr>
        <w:trPr>
          <w:trHeight w:val="230"/>
        </w:trPr>
        <w:tc>
          <w:tcPr>
            <w:tcW w:w="7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73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results for the years ended December 31, 2025 and 2024, include material nonrecurring adjustments of $0.1 million and $0.2 million, respectively, related to the amortization of intangible assets acquired in connection with the Dura acquisition and approximately $0.1 million related to the finders’ fees incurred and earned upon closing of the transaction. Net patient service revenue and net loss attributable to Dura for the year ended December 31, 2025, and included in the Company’s consolidated statement of operations, were $1.2 million and $0.1 million,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Glytech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licenses patents that are owned by Glytech, LLC (Glytech), pursuant to a license agreement (the “</w:t>
      </w:r>
      <w:r>
        <w:rPr>
          <w:rFonts w:ascii="Times New Roman" w:cs="Times New Roman" w:eastAsia="Times New Roman" w:hAnsi="Times New Roman"/>
          <w:sz w:val="18"/>
          <w:szCs w:val="18"/>
          <w:i w:val="1"/>
          <w:iCs w:val="1"/>
          <w:color w:val="auto"/>
        </w:rPr>
        <w:t>Glytech Agreement</w:t>
      </w:r>
      <w:r>
        <w:rPr>
          <w:rFonts w:ascii="Times New Roman" w:cs="Times New Roman" w:eastAsia="Times New Roman" w:hAnsi="Times New Roman"/>
          <w:sz w:val="18"/>
          <w:szCs w:val="18"/>
          <w:color w:val="auto"/>
        </w:rPr>
        <w:t>”). Glytech is owned by Daniel Javitt, the co-founder and a former director of the Company. The Glytech Agreement requires that the Company pay Glytech for ongoing scientific support and also reimburse Glytech for expenses of obtaining and maintaining patents that are licensed to the Company. During the years ended December 31, 2025 and 2024, the Company paid Glytech $0 and $0.3 million, respectively, for continuing technology support services and reimbursed expenses. These support services are ongoing.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Fourth Amendment to the Glytech Agreement, effective as of December 31, 2020, includes an equity value-triggered transfer of Excluded Technology from Glytech to the Company. The Excluded Technology is defined in the Glytech Agreement as any technology, and any know-how related thereto, covered in the licensed patents that do not recite either DCS or lurasidone individually or jointly. This definition would cover pharmaceutical formulations, including some that the Company considers “pipeline” or “future product” opportunities, which contain a combination of pharmaceutical components different from those contained in NRX-100 and NRX-101. On November 6, 2022 the Glytech Agreement was amended whereby Glytech agreed to transfer and assign the remainder of the Licensed Technology and the Excluded Technology to the Company for no additional consideration at any time upon receipt of written notice from the Company if, on or prior to June 30, 2024, (i) the value of the Glytech equity holdings in the Company (the “Glytech Equity”) has an aggregate liquidity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with Dr. Jonathan Javitt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Chief Scientist of the Company, Dr. Jonathan Javitt, is a major stockholder of the Company and a member of the Board. Therefore, his services are deemed to be a related party transaction. He served the Company on a full-time basis as chief executive officer under an employment agreement with the Company until March 8, 2022 and currently serves under a consulting agreement with the Company as Chief Scientist thereafter and received compensation of $0.8 million and $0.1 million during the years ended December 31, 2025 and 2024, respectively.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29, 2023, the consulting agreement dated March 8, 2022 (the “Javitt Consulting Agreement”) between the Company and Dr. Jonathan Javitt was amended to extend the term of the Javitt Consulting Agreement until March 8, 2024 with automatic annual renewals thereafter unless one party or the other provides notice of non-renewal. The amendment also provided for payment at the rate of $0.6 million per year, payable monthly (i.e., less than $0.1 million per month), and a performance-based annual bonus with a minimum target of $0.3 million, at the discretion of the Board and upon satisfactory performance of the services. The annual discretionary bonus for 2023, if any, may be approved by the Board in 2024 and is payable in March 2024, will be pro-rated from the start of the extension period and is subject to Dr. Javitt’s continued engagement by the Company. The annual discretionary bonus for 2024, if any, may be approved by the board in 2025 and is payable in March 2025, will be pro-rated from the start of the extension period and is subject to Dr. Javitt’s continued engagement by the Company. As of December 31, 2025 and 2024, the annual discretionary bonus of $0.2 million and $0.2 million is accrued and included within accrued and other current liabilities on the consolidated balance sheets,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with Zachary Javitt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Zachary Javitt is the son of Dr. Jonathan Javitt. Zachary Javitt provides services related to website, IT, and marketing support under the supervision of the Company’s chief executive officer who is responsible for assuring that the services are provided on financial terms that are at market. The Company paid this family member a total of $0.2 million and $0.1 million during the years ended December 31, 2025 and 2024, respectively. These services are ongoing.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Included in accounts payable were $0.3 million and less than $0.1 million due to the above related parties as of December 31,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with Michael Taylor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2024, the Company entered into a consulting agreement with Michael Taylor (the “Taylor Consulting Agreement”), who was subsequently appointed to the Company’s Board of Directors in January 2025. Pursuant to the Taylor Consulting Agreement, Michael Taylor provides capital formation and strategic advisory services in support of the Company’s development of HOPE Therapeutics, including advising on the Company’s initial funding efforts for HOPE Therapeutics, assisting with outreach to family offices and similar investors, and supporting the identification and retention of a brand ambassador. During the years ended December 31, 2025 and 2024, the Company made cash payments to Michael Taylor totaling $120 thousand and $100 thousand, respectively, in connection with the Taylor Consulting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Naples Lease Operating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leases its Naples clinic from Dura Properties, LLC, an entity owned and controlled by Dura’s former sole member. Following the acquisition on September 8, 2025, the former sole member became a director and minority shareholder of the Company. As a result, the related-party lease right-of-use (“ROU”) asset and operating lease liability were measured as of the acquisition date in accordance with FASB ASC 805, Business Combinations, as if the lease were a new lease as of that date. Total payments made under the lease agreement during the year ended December 31, 2025, were approximately $29 thousand.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Investment in Cohen and Associates: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17, 2025, the Company, through its subsidiary HOPE, completed the acquisition of a strategic, minority ownership interest in Cohen</w:t>
      </w:r>
    </w:p>
    <w:p>
      <w:pPr>
        <w:spacing w:after="0" w:line="27" w:lineRule="exact"/>
        <w:rPr>
          <w:sz w:val="20"/>
          <w:szCs w:val="20"/>
          <w:color w:val="auto"/>
        </w:rPr>
      </w:pPr>
    </w:p>
    <w:p>
      <w:pPr>
        <w:jc w:val="both"/>
        <w:ind w:firstLine="8"/>
        <w:spacing w:after="0" w:line="226" w:lineRule="exact"/>
        <w:tabs>
          <w:tab w:leader="none" w:pos="20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Associates, LLC, a Florida limited liability company (Cohen &amp; Associates), for cash consideration of $432 thousand. The investment was acquired pursuant to a Membership Interest Purchase Agreement dated October 17, 2025, by and among HOPE, Cohen LLC, and Rebecca S. Cohen, MD, which includes customary representations, warranties, indemnification provisions, and certain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adjustments.</w:t>
      </w:r>
    </w:p>
    <w:p>
      <w:pPr>
        <w:spacing w:after="0" w:line="1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its investment in Cohen &amp; Associates under the equity method of accounting, as the Company has the ability to exercise significant influence over Cohen &amp; Associates but does not control the entity. The investment is recorded at cost and subsequently adjusted for the Company’s proportionate share of Cohen &amp; Associates’ net income or loss, which is included in equity method loss in the accompanying statements of operations for the year ended December 31, 2025 in the amount of $35 thousand. As of December 31, 2025 the carrying value of the equity method investment was $397 thousand.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February 18, 2026 through March 23, 2026, the Company sold an aggregate of 1,195,290 shares of its common stock shares in connection with the at-the-market offering for approximately $2.1 million, net of less than $0.05 million in offering costs.</w:t>
      </w:r>
    </w:p>
    <w:p>
      <w:pPr>
        <w:sectPr>
          <w:pgSz w:w="11900" w:h="16838" w:orient="portrait"/>
          <w:cols w:equalWidth="0" w:num="1">
            <w:col w:w="11240"/>
          </w:cols>
          <w:pgMar w:left="320" w:top="121" w:right="339" w:bottom="0" w:gutter="0" w:footer="0" w:header="0"/>
        </w:sectPr>
      </w:pPr>
    </w:p>
    <w:bookmarkStart w:id="112" w:name="page113"/>
    <w:bookmarkEnd w:id="112"/>
    <w:p>
      <w:pPr>
        <w:ind w:firstLine="648"/>
        <w:spacing w:after="0" w:line="282" w:lineRule="auto"/>
        <w:rPr>
          <w:sz w:val="20"/>
          <w:szCs w:val="20"/>
          <w:color w:val="auto"/>
        </w:rPr>
      </w:pPr>
      <w:r>
        <w:rPr>
          <w:rFonts w:ascii="Times New Roman" w:cs="Times New Roman" w:eastAsia="Times New Roman" w:hAnsi="Times New Roman"/>
          <w:sz w:val="18"/>
          <w:szCs w:val="18"/>
          <w:color w:val="auto"/>
        </w:rPr>
        <w:t>On January 27, 2026, the Company issued 100,000 stock options. These shares have a vesting term of three years, an expiration date of ten years from December 1,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December 31, 2025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December 31, 2025 in providing reasonable assurance of achieving the desired control objectives.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that occurred during the year ended December 31, 2025 that have materially affected, or are reasonably likely to materially affect, the Company’s internal control 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Internal control over financial reporting refers to the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 of our management and directors; and</w:t>
      </w:r>
    </w:p>
    <w:p>
      <w:pPr>
        <w:ind w:left="980" w:right="20" w:hanging="324"/>
        <w:spacing w:after="0" w:line="260"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acquisitions, use or disposition of our assets that could have a material effect on the financial statements.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2025. In making the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the results of this assessment, management (including our Chief Executive Officer and our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concluded that, as of December 31, 2025, our internal control over financial reporting was effective.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the date of this Annual Report on Form 10-K, certain information regarding our current executive officers and directors who are responsible for overseeing the management of our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Age</w:t>
            </w: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tcBorders>
              <w:top w:val="single" w:sz="8" w:color="auto"/>
            </w:tcBorders>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Javitt, M.D., M.P.H.</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69</w:t>
            </w: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Chairman, Chief Executive Officer and Chief Scientist</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Joseph Casper</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75</w:t>
            </w: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Abrams</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55</w:t>
            </w: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Patrick J. Flynn</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77</w:t>
            </w: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Chaim Hurvitz</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Dennis McBride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72</w:t>
            </w: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Taylor</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Biographies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Jonathan Javitt, M.D., M.P.H. </w:t>
      </w:r>
      <w:r>
        <w:rPr>
          <w:rFonts w:ascii="Times New Roman" w:cs="Times New Roman" w:eastAsia="Times New Roman" w:hAnsi="Times New Roman"/>
          <w:sz w:val="18"/>
          <w:szCs w:val="18"/>
          <w:color w:val="auto"/>
        </w:rPr>
        <w:t>Dr. Javitt, founder of the Company, serves as our Chairman, Chief Executive Officer and Chief Scientist. Dr. Javitt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served as the Company’s Chief Executive Officer (“CEO”) from May 2021 until March 2022 and was elected Chairman in December 2023. He was the Co-founder, Chairman, and CEO of NeuroRx, Inc., which merged with the Company in May 2021. He participated in leading drug and medical device development and commercialization projects for Allergan, Alcon, Eyetech, Merck, Novartis, Pfizer, and Pharmacia and has led the Company’s regulatory and clinical development efforts from their inception. He has played leadership roles in seven successful healthcare IT and biopharma start-up companies. He was appointed to healthcare leadership roles under President Ronald Reagan, George H.W. Bush, Clinton and George W. Bush. During the Reagan and Bush ‘41 administrations, he was designated as an Expert Consultant to the Department of Health and Human Services. President Clinton designated him as a Special Government Employee of the White House Executive Office of the President to serve on the 1993 Health Reform Task Force. Under President George W. Bush, he was commissioned to lead the Healthcare Committee of the President’s Information Technology Advisory Committee and to serve as a Special Employee of the Undersecretary of Defense. Dr. Javitt has published more than 200 scientific works in the areas of health outcomes and pharmacoeconomics that have been cited more than 31,000 times. Dr. Javitt holds an A.B. with Honors from Princeton University, an M.D. from Cornell University and a Masters of Public Health from the Harvard Chan School of Public Health which designated him an Alumnus of Merit. He continues to serve as an adjunct Professor of Ophthalmology at the Johns Hopkins School of Medicine and as a Senior Fellow of the Potomac Institute for Policy Studies.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re-elected Dr. Javitt to serve as Chairman, based on his substantial practical experience and expertise in drug development and his prior leadership in multiple private and public sector organizations.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Joseph Casper. </w:t>
      </w:r>
      <w:r>
        <w:rPr>
          <w:rFonts w:ascii="Times New Roman" w:cs="Times New Roman" w:eastAsia="Times New Roman" w:hAnsi="Times New Roman"/>
          <w:sz w:val="18"/>
          <w:szCs w:val="18"/>
          <w:color w:val="auto"/>
        </w:rPr>
        <w:t>Mr. Casper has served as our Chief Operational Officer since January 2026. Mr. Casper brings 35 years of experience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industry to the Company’s leadership team. Prior to joining the Company, Mr. Casper has held various senior leadership positions. Mr. Casper has served in consulting leadership positions with Deloitte and First Consulting Group, where he advised large organizations and academic medical centers. His professional experience also includes work with major payer and provider organizations, including Kaiser Permanente and Anthem. He also worked extensively with academic medical centers such as the University Medical Center, Cleveland, Ohio. Mr. Casper is the co-inventor of an early medical record aggregation platform that ultimately scaled to serve more than 15 million patients. Between 2016 to 2021, he served on the board of directors of Ingine Inc., a healthcare artificial intelligence company. Since 2019, he has been serving on the board of directors of ThriveWell Tech, a company focused on senior living technologies. Further, since 2021, he has been serving on the board of directors of Touro University, supporting physician and nursing education through its Colleges of Osteopathic Medicine and Health and Human Services. Additionally, since 2022, he has been serving on the board of directors of SureTest, Inc., a company that develops and delivers intelligent test automation solutions for health systems and enterprise software environments. Between March 2023 and August 2025, Mr. Casper served as the Chief Strategy Officer of Ryte AI, artificial intelligence-powered healthcare data analytics platform. Previously, Mr. Casper served a two-year term as Chairman of the Leukemia Society, Northwest Chapter. His experience spans organizations ranging from early-stage companies to multi-billion-dollar enterprises.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Casper brings decades of healthcare industry experience as an executive, advisor and director, which is expected to add value in the ongoing development of the Company and planned growth of Hope Therapeutics.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Michael Abrams</w:t>
      </w:r>
      <w:r>
        <w:rPr>
          <w:rFonts w:ascii="Times New Roman" w:cs="Times New Roman" w:eastAsia="Times New Roman" w:hAnsi="Times New Roman"/>
          <w:sz w:val="18"/>
          <w:szCs w:val="18"/>
          <w:color w:val="auto"/>
        </w:rPr>
        <w:t>. Mr. Abrams has served as our Chief Financial Officer since November 2024. Prior to his appointment as our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Mr. Abrams served as the Chief Financial Officer of Arch Therapeutics, Inc., a publicly traded biotechnology company, from May 2021 through January 2025, which he resigned from on February 3, 2025 after a brief transitional role. From February 2019 to April 2021, Mr. Abrams served as the Chief Financial Officer for RiseIT Solutions, Inc. where he helped return the business to profitability. From August 2009 to February 2019, Mr. Abrams served as the Chief Financial Officer of FitLife Brands, Inc., a publicly traded entity focused on the development of functional nutritional supplements to support an active, healthy lifestyle. Mr. Abrams earned his M.B.A. with Honors from the Booth School of Business at the University of Chicago and received his B.B.A. with Honors from the University of Massachusetts at Amherst as a William F. Field Alumni Scholar.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Patrick J. Flynn</w:t>
      </w:r>
      <w:r>
        <w:rPr>
          <w:rFonts w:ascii="Times New Roman" w:cs="Times New Roman" w:eastAsia="Times New Roman" w:hAnsi="Times New Roman"/>
          <w:sz w:val="18"/>
          <w:szCs w:val="18"/>
          <w:color w:val="auto"/>
        </w:rPr>
        <w:t>. Mr. Flynn has served as a member of our Board since May 2021, and is the Chair of our Audit Committee and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Mr. Flynn previously served on the board of directors of NeuroRx, Inc., the predecessor to our company. and. Mr. Flynn is an entrepreneur with more than 35 years of senior executive experience. He has provided leadership to numerous successful organizations including start-ups and growth-stage companies and has served in a variety of roles, including Executive Chairman, board member, CEO, COO, CFO and advisor. Additionally, Mr. Flynn served as an advisor to Good Measures where he was previously COO and responsible for the day-to-day operations of the company’s innovative approach to healthcare and nutrition services. Prior to joining Good Measures, Mr. Flynn was the co-founder of Predilytics, Inc. and served as Executive Chairman. Before joining Predilytics, Mr. Flynn contributed his expertise as COO and then as CEO to Health Dialog, where he helped build the business from an early-stage healthcare services organization and led its successful exit to BUPA, a global insurance company. Prior to this role, Flynn was a co-founder of Symmetrix, a management consulting firm specializing in healthcare and financial services. Mr. Flynn began his career with Bank of America where he held several positions over the course of 15 years, including Vice President of World Banking and Vice President of Risk Management. Mr. Flynn earned his B.S. in Finance from the Wharton School at the University of Pennsylvania.</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selected Mr. Flynn to serve on our Board because he brings to the Company over 30 years of audit compliance, entrepreneurship, business, and board experience.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Chaim Hurvitz</w:t>
      </w:r>
      <w:r>
        <w:rPr>
          <w:rFonts w:ascii="Times New Roman" w:cs="Times New Roman" w:eastAsia="Times New Roman" w:hAnsi="Times New Roman"/>
          <w:sz w:val="18"/>
          <w:szCs w:val="18"/>
          <w:color w:val="auto"/>
        </w:rPr>
        <w:t>. Mr. Hurvitz has served as a member of our Board since May 2021. Mr. Hurvitz served as a member of the board of directors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NeuroRx, Inc., the predecessor to our company, from May 2015. Mr. Hurvitz has served as the Chief Executive Officer of CH Health, a private venture capital firm, since May 2011. Mr. Hurvitz previously served as a member of the board of directors of Teva Pharmaceuticals Industries Ltd. from October 2010 to July 2014. Previously, he was a member of the senior management of Teva Pharmaceuticals Industries Ltd., serving as the President of Teva International Group from 2002 until 2010, as President and Chief Executive Officer of Teva Pharmaceuticals Europe from 1992 to 1999 and as Vice President - Israeli Pharmaceutical Sales from 1999 until 2002. Mr. Hurvitz is a founding investor and a director of Galmed Pharmaceuticals Ltd. Mr. Hurvitz presently serves as a member of the management of the Manufacturers Association of Israel and head of its pharmaceutical branch. Mr. Hurvitz holds a B.A. from Tel Aviv University.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selected Mr. Hurvitz to serve as a director because he brings decades of pharmaceutical experience to the Board. In addition, Mr. Hurvitz brings international relationships to the Company that have, and will continue to add value to the execution of the Company’s business plan.</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Dennis McBride, Ph.D. </w:t>
      </w:r>
      <w:r>
        <w:rPr>
          <w:rFonts w:ascii="Times New Roman" w:cs="Times New Roman" w:eastAsia="Times New Roman" w:hAnsi="Times New Roman"/>
          <w:sz w:val="18"/>
          <w:szCs w:val="18"/>
          <w:color w:val="auto"/>
        </w:rPr>
        <w:t>Dennis McBride, Ph.D., joined the Board in June 2024. Dr. McBride currently serves as the Chair of our Nominating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Committee and has served as a research professor at Virginia Tech since May 2021. Dr. McBride has led numerous national and international initiatives in neuroscience and its interface with information technology, national security, and medical technology/drug development within the federal government, three of which are now multi-billion dollar enterprises. Dr. McBride also served as Director of the Acquisition and Innovation Research Center for the Department of Defense from February 2022 to February 2024, and as Vice President of Strategy and Innovation at Source America from December 2015 to December 2020. Dr. McBride began his career as a medical scientist in Naval Aviation and ergonomics and served in eight nationally prominent laboratories, including the Defense Advanced Research Projects Agency (DARPA), Naval Aerospace Medical Research Lab, Naval Research Lab, the Office of Naval Research, and the Naval Medical Research Institute. Upon retiring as a highly decorated senior officer (O-6), he assumed leadership of the Potomac Institute for Policy Studies, where he continues to serve as President Emeritus. Following his ten-year term, he was recruited back to the National Defense University to lead the Center for Technology and National Security Policy, culminating his government career as a Senior Executive-4 (Civilian equivalent to Rear Admiral/Vice Admiral). Dr. McBride has served as an adviser to Cabinet Secretaries, U.S. Congressional Committees, and to corporate C-Suite executives. His educational background includes formal enrollment at the University of Georgia, Naval Aerospace Medical Institute (flight surgeon school), the University of Southern California, the London School of Economics, and Harvard Business School, earning a Ph.D. in experimental psychology, four master’s degrees, and an additional postdoctoral education in aviation medicine, systems engineering science, and strategic disruption. He has published widely and was elected by faculty in 1999 to full professor. Dr. McBride has served at multiple universities in colleges of Arts &amp; Sciences, Engineering, Public Policy, and Medicine. For the past 12 years, Dr. McBride has served as an adjunct Professor at Georgetown University School of Medicine and co-Director of Georgetown’s Regulatory Science Program.</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selected Dr. McBride to serve as a director because he brings decades of high-level science experience to the Board. In addition, Dr. McBride brings important new relationships to the Company that have, and will continue to add value to the execution of the Company’s business plan.</w:t>
      </w:r>
    </w:p>
    <w:p>
      <w:pPr>
        <w:spacing w:after="0" w:line="16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Michael Taylor. </w:t>
      </w:r>
      <w:r>
        <w:rPr>
          <w:rFonts w:ascii="Times New Roman" w:cs="Times New Roman" w:eastAsia="Times New Roman" w:hAnsi="Times New Roman"/>
          <w:sz w:val="17"/>
          <w:szCs w:val="17"/>
          <w:color w:val="auto"/>
        </w:rPr>
        <w:t>Michael Taylor was appointed to the Board in January, 2025. Mr. Taylor is a 25-year veteran in the global credit business, focused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special situations and capital formation, and currently serves as a consultant to Hope Therapeutics, Inc., a wholly-owned subsidiary of the Company. Mr. Taylor previously served as a Partner of the Adi Dassler International Family office wealth advisory firm from August 2016 to February 14, 2023, as Managing Director at Oppenheimer &amp; Co. Inc. from June 2011 to August 2016, a New York-based full-service brokerage and investment bank, focusing on complex debt structuring and transactions and multijurisdictional capital formation, and as Managing Director of Institutional Fixed Income Trading and Alternative Investments at Stone &amp; Youngberg LLC, a private investment firm, from July 2004 to June 2011. Mr. Taylor began his career with Morgan Stanley as a Bond Trader. Mr. Taylor holds a Bachelor of Science degree in Economics &amp; International Relations from the London School of Economics.</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Taylor brings decades of experience in the capital markets and capital formation, which is expected to add value in the ongoing development of the Company and planned growth of Hope Therapeutics.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has determined that Messrs. Flynn, Hurvitz, McBride and Taylor are “independent directors” as defined in the Nasdaq Stock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listing standards and applicable SEC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Board directs the management of our business and affairs, as provided by Delaware law, and conducts its business through meetings of the Board and standing committees. Our Board has established the following three standing committees: Audit Committee, Nominating and Corporate Governance Committee and Compensation Committee. In addition, from time to time, special committees may be established under the direction of the Board when necessary to address specific issues. Our Board has adopted written charters for each of these committees, copies of which are available under the Corporate Governance section of our corporate website at </w:t>
      </w:r>
      <w:r>
        <w:rPr>
          <w:rFonts w:ascii="Times New Roman" w:cs="Times New Roman" w:eastAsia="Times New Roman" w:hAnsi="Times New Roman"/>
          <w:sz w:val="18"/>
          <w:szCs w:val="18"/>
          <w:i w:val="1"/>
          <w:iCs w:val="1"/>
          <w:color w:val="auto"/>
        </w:rPr>
        <w:t>www.nrxpharma.com.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reflects the standing committees of our Board and the composition of each committee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r>
      <w:tr>
        <w:trPr>
          <w:trHeight w:val="187"/>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32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Nominating</w:t>
            </w: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and</w:t>
            </w: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Name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w:t>
            </w: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Governance</w:t>
            </w: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J. Flynn</w:t>
            </w: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CC</w:t>
            </w:r>
          </w:p>
        </w:tc>
        <w:tc>
          <w:tcPr>
            <w:tcW w:w="120" w:type="dxa"/>
            <w:vAlign w:val="bottom"/>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CC</w:t>
            </w:r>
          </w:p>
        </w:tc>
        <w:tc>
          <w:tcPr>
            <w:tcW w:w="120" w:type="dxa"/>
            <w:vAlign w:val="bottom"/>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Chaim Hurvitz</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Javitt, M.D., M.P.H.</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K. McBride, Ph.D.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CC</w:t>
            </w: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Taylor</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 - Committee Chair</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2"/>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 - Member</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Audit Committee consists of Messrs. Flynn, Hurvitz, and Taylor, with Mr. Flynn serving as chair. Rule 10A-3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xml:space="preserve">”) and Nasdaq rules require that our Audit Committee be composed entirely of independent members. Our Board has affirmatively determined that Messrs. Flynn, Hurvitz, and Taylor each meet the definition of “independent director” for purposes of serving on the Audit Committee under Rule 10A-3 of the Exchange Act and the Nasdaq rules. Each member of our Audit Committee also meets the financial literacy requirements of Nasdaq listing standards. In addition, our Board has determined that each of Messrs. Flynn, Hurvitz, and Taylor qualifies as an “Audit Committee financial expert,” as such term is defined in Item 407(d)(5) of Regulation S-K. The Audit Committee met 8 times during the year ended December 31, 2025. Our Board has adopted a written charter for the Audit Committee. The complete text of the Audit Committee’s current charter is available on our website at </w:t>
      </w:r>
      <w:r>
        <w:rPr>
          <w:rFonts w:ascii="Times New Roman" w:cs="Times New Roman" w:eastAsia="Times New Roman" w:hAnsi="Times New Roman"/>
          <w:sz w:val="18"/>
          <w:szCs w:val="18"/>
          <w:i w:val="1"/>
          <w:iCs w:val="1"/>
          <w:color w:val="auto"/>
        </w:rPr>
        <w:t>www.nrxpharma.com.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its charter, the Audit Committee is primarily responsible for, among other things:</w:t>
      </w:r>
    </w:p>
    <w:p>
      <w:pPr>
        <w:spacing w:after="0" w:line="225" w:lineRule="exact"/>
        <w:rPr>
          <w:sz w:val="20"/>
          <w:szCs w:val="20"/>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180" w:right="20" w:hanging="172"/>
        <w:spacing w:after="0" w:line="282" w:lineRule="auto"/>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quarterly and annual financial statements that we file with the SEC;</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and accounting controls and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Compensation Committee consists of Messrs. Flynn, Hurvitz, and McBride, with Mr. Flynn serving as chair. Our Board has affirmatively determined that Messrs. Flynn, Hurvitz, and McBride each meet the definition of “independent director” for purposes of serving on the Compensation Committee under the Nasdaq rules, including the heightened independence standards for members of a Compensation Committee, and are “non-employee directors” as defined in Rule 16b-3 of the Exchange Act. The Compensation Committee met 3 times during the year ended December 31, 2025. Our Board has adopted a written charter for the Compensation Committee. The complete text of the Compensation Committee’s current charter is available on our website at </w:t>
      </w:r>
      <w:r>
        <w:rPr>
          <w:rFonts w:ascii="Times New Roman" w:cs="Times New Roman" w:eastAsia="Times New Roman" w:hAnsi="Times New Roman"/>
          <w:sz w:val="18"/>
          <w:szCs w:val="18"/>
          <w:i w:val="1"/>
          <w:iCs w:val="1"/>
          <w:color w:val="auto"/>
        </w:rPr>
        <w:t>www.nrxpharma.com.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its charter, the Compensation Committee is primarily responsible for, among other things:</w:t>
      </w:r>
    </w:p>
    <w:p>
      <w:pPr>
        <w:spacing w:after="0" w:line="225" w:lineRule="exact"/>
        <w:rPr>
          <w:sz w:val="20"/>
          <w:szCs w:val="20"/>
          <w:color w:val="auto"/>
        </w:rPr>
      </w:pPr>
    </w:p>
    <w:p>
      <w:pPr>
        <w:ind w:left="180" w:right="20" w:hanging="172"/>
        <w:spacing w:after="0" w:line="282"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evaluating the performance of and reviewing and approving, (either alone or, if directed by our Board, in conjunction with a majority of the independent members of the Board) the compensation of our Chief Executive Officer;</w:t>
      </w:r>
    </w:p>
    <w:p>
      <w:pPr>
        <w:spacing w:after="0" w:line="161"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the performance of and reviewing and setting or making recommendations to our Board regarding the compensation of our other executive officers;</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regarding our incentive compensation and equity-based plans, policies and programs;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employment agreement and severance arrangements for our executive officers;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the compensation of our directors;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consists of Messrs. McBride, Hurvitz and Taylor, with Dr. McBride serving as chair. Our Board has affirmatively determined that Messrs. McBride, Hurvitz and Taylor each meet the definition of “independent director” under the Nasdaq rules. The Nominating and Corporate Governance Committee did not meet during the year ended December 31, 2025. Our Board has adopted a written charter for the Nominating and Corporate Governance Committee. The complete text of the Nominating and Corporate Governance Committee’s current charter is available on our website at </w:t>
      </w:r>
      <w:r>
        <w:rPr>
          <w:rFonts w:ascii="Times New Roman" w:cs="Times New Roman" w:eastAsia="Times New Roman" w:hAnsi="Times New Roman"/>
          <w:sz w:val="18"/>
          <w:szCs w:val="18"/>
          <w:i w:val="1"/>
          <w:iCs w:val="1"/>
          <w:color w:val="auto"/>
        </w:rPr>
        <w:t>www.nrxpharma.com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its charter, the Nominating and Corporate Governance Committee is primarily responsible for, among other things:</w:t>
      </w:r>
    </w:p>
    <w:p>
      <w:pPr>
        <w:spacing w:after="0" w:line="225" w:lineRule="exact"/>
        <w:rPr>
          <w:sz w:val="20"/>
          <w:szCs w:val="20"/>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consistent with criteria approved by our Board;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our Chief Executive Officer and other executive officers;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our Board’s leadership structure and recommending any proposed changes to our Board;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effectiveness of our Board and its committees;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a set of corporate governance guidelines.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is responsible for overseeing our risk management process. Our Board focuses on our general risk management strategy, the most significant risks facing us, and oversees the implementation of risk mitigation strategies by management. Our Audit Committee is also responsible for discussing our policies with respect to risk assessment and risk management. Our Board believes its administration of its risk oversight function has not negatively affected our Board’s leadership 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our executive officers serve as a member of the Board or Compensation Committee (or other committee performing equivalent functions) of any entity that has one or more executive officers serving on our Board or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adopted a written code of business conduct and ethics, our Business Code of Conduct and Anti-Corruption Policy (the “</w:t>
      </w:r>
      <w:r>
        <w:rPr>
          <w:rFonts w:ascii="Times New Roman" w:cs="Times New Roman" w:eastAsia="Times New Roman" w:hAnsi="Times New Roman"/>
          <w:sz w:val="18"/>
          <w:szCs w:val="18"/>
          <w:i w:val="1"/>
          <w:iCs w:val="1"/>
          <w:color w:val="auto"/>
        </w:rPr>
        <w:t>Code of Conduct</w:t>
      </w:r>
      <w:r>
        <w:rPr>
          <w:rFonts w:ascii="Times New Roman" w:cs="Times New Roman" w:eastAsia="Times New Roman" w:hAnsi="Times New Roman"/>
          <w:sz w:val="18"/>
          <w:szCs w:val="18"/>
          <w:color w:val="auto"/>
        </w:rPr>
        <w:t xml:space="preserve">”), that applies to our directors, officers and employees, including our principal executive officer, principal financial officer, principal accounting officer or controller, or persons performing similar functions. The complete text of the Code of Conduct is available on our website at </w:t>
      </w:r>
      <w:r>
        <w:rPr>
          <w:rFonts w:ascii="Times New Roman" w:cs="Times New Roman" w:eastAsia="Times New Roman" w:hAnsi="Times New Roman"/>
          <w:sz w:val="18"/>
          <w:szCs w:val="18"/>
          <w:i w:val="1"/>
          <w:iCs w:val="1"/>
          <w:color w:val="auto"/>
        </w:rPr>
        <w:t>www.nrxpharma.com</w:t>
      </w:r>
      <w:r>
        <w:rPr>
          <w:rFonts w:ascii="Times New Roman" w:cs="Times New Roman" w:eastAsia="Times New Roman" w:hAnsi="Times New Roman"/>
          <w:sz w:val="18"/>
          <w:szCs w:val="18"/>
          <w:color w:val="auto"/>
        </w:rPr>
        <w:t>. In addition, we intend to post on our website all disclosures that are required by law or the Nasdaq listing standards concerning any amendments to, or waivers from, any provision of the Code of Conduct.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Meetings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encourages and expects all of its directors to attend the meetings of the Board. During the fiscal year ended December 31, 2025, the Board met 14 times. Each member of our Board attended at least 75% of the aggregate of (i) the total number of meetings of the Board (held during the period for which he or she was a director), and (ii) the total number of meetings held by all committees of the Board on which such director served (held during the period that such director served).</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have a formal policy regarding whether to separate the Chairman and Principal Executive Officer positions. Our Board believes that the decision to combine or separate the Chairman and Principal Executive Officer positions depends on the facts and circumstances facing the Company at a given time and could change over time. Currently, Dr. Javitt serves as our Chief Executive Officer, Principal Executive Officer (the “</w:t>
      </w:r>
      <w:r>
        <w:rPr>
          <w:rFonts w:ascii="Times New Roman" w:cs="Times New Roman" w:eastAsia="Times New Roman" w:hAnsi="Times New Roman"/>
          <w:sz w:val="18"/>
          <w:szCs w:val="18"/>
          <w:i w:val="1"/>
          <w:iCs w:val="1"/>
          <w:color w:val="auto"/>
        </w:rPr>
        <w:t>PEO</w:t>
      </w:r>
      <w:r>
        <w:rPr>
          <w:rFonts w:ascii="Times New Roman" w:cs="Times New Roman" w:eastAsia="Times New Roman" w:hAnsi="Times New Roman"/>
          <w:sz w:val="18"/>
          <w:szCs w:val="18"/>
          <w:color w:val="auto"/>
        </w:rPr>
        <w:t>”) and Chairman of the Board of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the Company evolves, the Board will regularly evaluate the Board leadership structure to ensure it continues to meet the needs of the Company, and to ensure that it provides strong, independent oversight for our stockholders. In particular, as part of this evaluation, the Board will take under consideration the outcomes of the Board and committee self-evaluation process as well as other factors, including the current state of the Company’s strategy and operations, recent performance, market and industry factors and peer company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Governing Director Nominations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Securityholder Recommendations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provide that nominations of any person for election to the Board at an annual meeting may be made at such meeting by a stockholder present in person virtually (A) who was a record owner of shares of the Company both at the time of giving the notice provided for in the Bylaws and at the time of the meeting, (B) is entitled to vote at the meeting, and (C) has complied with the Bylaws as to such notice and nomination.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stockholder recommendations for director candidates must be submitted to our Secretary at NRx Pharmaceuticals, Inc., 1201 Orange Street, Suite 600 Wilmington, DE 19801, who will forward all recommendations to the Nominating and Corporate Governance Committee. All stockholder recommendations for director candidates for the Annual Meeting must be submitted to our Secretary before January 26, 2026 and must include the following information:</w:t>
      </w:r>
    </w:p>
    <w:p>
      <w:pPr>
        <w:spacing w:after="0" w:line="180"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(including, if applicable, the name and address that appear on the Company’s books and records);</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the Company that are, directly or indirectly, owned of record or beneficially owned by the stockholder;</w:t>
      </w:r>
    </w:p>
    <w:p>
      <w:pPr>
        <w:spacing w:after="0" w:line="225"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notional amount of any securities that, directly or indirectly, underlie any “derivative security” that constitutes a “call equivalent position” and that is, directly or indirectly, held or maintained by such Proposing Person with respect to any shares of any class or series of shares of the Company;</w:t>
      </w:r>
    </w:p>
    <w:p>
      <w:pPr>
        <w:spacing w:after="0" w:line="161" w:lineRule="exact"/>
        <w:rPr>
          <w:rFonts w:ascii="Times New Roman" w:cs="Times New Roman" w:eastAsia="Times New Roman" w:hAnsi="Times New Roman"/>
          <w:sz w:val="18"/>
          <w:szCs w:val="18"/>
          <w:color w:val="auto"/>
        </w:rPr>
      </w:pPr>
    </w:p>
    <w:p>
      <w:pPr>
        <w:ind w:left="180" w:right="20" w:hanging="172"/>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proposed director candidate (including, if applicable, the name and address that appear on the Company’s books and records);</w:t>
      </w:r>
    </w:p>
    <w:p>
      <w:pPr>
        <w:spacing w:after="0" w:line="161"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the Company that are, directly or indirectly, owned of record or beneficially owned by the proposed director candidate, if applicable;</w:t>
      </w:r>
    </w:p>
    <w:p>
      <w:pPr>
        <w:spacing w:after="0" w:line="161" w:lineRule="exact"/>
        <w:rPr>
          <w:rFonts w:ascii="Times New Roman" w:cs="Times New Roman" w:eastAsia="Times New Roman" w:hAnsi="Times New Roman"/>
          <w:sz w:val="18"/>
          <w:szCs w:val="18"/>
          <w:color w:val="auto"/>
        </w:rPr>
      </w:pPr>
    </w:p>
    <w:p>
      <w:pPr>
        <w:jc w:val="both"/>
        <w:ind w:left="180" w:hanging="172"/>
        <w:spacing w:after="0" w:line="266"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proposed director candidate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as a nominee and to serving as a director if elected);</w:t>
      </w:r>
    </w:p>
    <w:p>
      <w:pPr>
        <w:spacing w:after="0" w:line="175" w:lineRule="exact"/>
        <w:rPr>
          <w:rFonts w:ascii="Times New Roman" w:cs="Times New Roman" w:eastAsia="Times New Roman" w:hAnsi="Times New Roman"/>
          <w:sz w:val="18"/>
          <w:szCs w:val="18"/>
          <w:color w:val="auto"/>
        </w:rPr>
      </w:pPr>
    </w:p>
    <w:p>
      <w:pPr>
        <w:ind w:left="180" w:hanging="172"/>
        <w:spacing w:after="0" w:line="282" w:lineRule="auto"/>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direct or indirect material interest in any material contract or agreement between or among the stockholder, on the one hand, and each proposed director candidate for nomination or his or her respective associates or any other participants in such solicitation, on the other hand; and</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and signed questionnaire, representation and agreement, as specified in the Bylaws.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the Company’s officers and directors, and persons who own more than 10% of the Company’s Common Stock to file reports of ownership and changes of ownership of such securities with the SEC.</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solely on a review of the reports received by the SEC, the Company believes that, during the fiscal year ended December 31, 2024, the Company’s officers, directors and greater than 10% owners timely filed all reports they were required to file under Section 16(a).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wish to communicate with any of our directors or the Board as a group, you may do so by writing to them at Name(s) of Director(s)/Board of Directors of NRx, Pharmaceuticals, Inc., c/o Secretary, NRx Pharmaceuticals, Inc., 1201 Orange Street, Suite 600 Wilmington, Delaware 19801.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recommend that all correspondence be sent via certified U.S. Mail, return receipt requested. All correspondence received by the Secretary will be forwarded by the Secretary promptly to the addressee(s).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summary compensation table and narrative disclosure sets forth information regarding all compensation awarded to, earned by, or paid to our Named Executive Officers, which consist of (a) any persons who served as our principal executive officer during any part of the year ended December 31, 2025; (b) each of our two most highly compensated executive officers other than our principal executive officer who served as executive officers at the end of the year ended December 31, 2025; and (c) up to two additional individuals for whom disclosure would have been provided under clause (b) but for the fact that the person was not serving as an executive officer at the end of the year ended December 31, 2025 (collectively, the “</w:t>
      </w:r>
      <w:r>
        <w:rPr>
          <w:rFonts w:ascii="Times New Roman" w:cs="Times New Roman" w:eastAsia="Times New Roman" w:hAnsi="Times New Roman"/>
          <w:sz w:val="18"/>
          <w:szCs w:val="18"/>
          <w:i w:val="1"/>
          <w:iCs w:val="1"/>
          <w:color w:val="auto"/>
        </w:rPr>
        <w:t>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the year ended December 31, 2025 were (i) Jonathan Javitt, M.D., M.P.H., our Chief Executive Officer, Chief Scientist and Chairman; (ii) Michael Abrams, our Chief Financial Officer; and (iii) Matthew Duffy, our former Chief Business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of our Named Executive Officers for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0"/>
        </w:trPr>
        <w:tc>
          <w:tcPr>
            <w:tcW w:w="1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Javitt(3)(4)(5)</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2025</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575,000</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166,250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271,774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983,024</w:t>
            </w:r>
          </w:p>
        </w:tc>
      </w:tr>
      <w:tr>
        <w:trPr>
          <w:trHeight w:val="196"/>
        </w:trPr>
        <w:tc>
          <w:tcPr>
            <w:tcW w:w="28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Chief Executive Officer, Chief Scientist</w:t>
            </w:r>
          </w:p>
        </w:tc>
        <w:tc>
          <w:tcPr>
            <w:tcW w:w="480" w:type="dxa"/>
            <w:vAlign w:val="bottom"/>
            <w:gridSpan w:val="2"/>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w w:val="94"/>
              </w:rPr>
              <w:t>2024</w:t>
            </w:r>
          </w:p>
        </w:tc>
        <w:tc>
          <w:tcPr>
            <w:tcW w:w="1440" w:type="dxa"/>
            <w:vAlign w:val="bottom"/>
            <w:gridSpan w:val="3"/>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575,000</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w w:val="99"/>
              </w:rPr>
              <w:t>250,000</w:t>
            </w:r>
          </w:p>
        </w:tc>
        <w:tc>
          <w:tcPr>
            <w:tcW w:w="8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109,190</w:t>
            </w:r>
          </w:p>
        </w:tc>
        <w:tc>
          <w:tcPr>
            <w:tcW w:w="122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934,190</w:t>
            </w:r>
          </w:p>
        </w:tc>
      </w:tr>
      <w:tr>
        <w:trPr>
          <w:trHeight w:val="23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and Chairman</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Abrams(8) (9)</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2025</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322,458</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40,625</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109,925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473,008</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20,313</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20,313</w:t>
            </w:r>
          </w:p>
        </w:tc>
      </w:tr>
      <w:tr>
        <w:trPr>
          <w:trHeight w:val="216"/>
        </w:trPr>
        <w:tc>
          <w:tcPr>
            <w:tcW w:w="1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Duffy(6)(7)</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2025</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371,000</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166,250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604,558</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335,000</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335,000</w:t>
            </w:r>
          </w:p>
        </w:tc>
      </w:tr>
      <w:tr>
        <w:trPr>
          <w:trHeight w:val="270"/>
        </w:trPr>
        <w:tc>
          <w:tcPr>
            <w:tcW w:w="1120" w:type="dxa"/>
            <w:vAlign w:val="bottom"/>
            <w:tcBorders>
              <w:bottom w:val="single" w:sz="8" w:color="auto"/>
            </w:tcBorders>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52" w:lineRule="exact"/>
        <w:rPr>
          <w:sz w:val="20"/>
          <w:szCs w:val="20"/>
          <w:color w:val="auto"/>
        </w:rPr>
      </w:pPr>
    </w:p>
    <w:p>
      <w:pPr>
        <w:jc w:val="both"/>
        <w:ind w:left="34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grant date fair value of restricted stock granted as an employee inducement award during 2024 or year 2023 as calculated in accordance with ASC Topic 718, See Note 9 to the consolidated financial statements contained in this Annual Report on Form 10-K for information regarding the assumptions used in calculating these amounts.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grant date fair value of stock options granted during fiscal year 2025 or fiscal year 2024 as calculated in accordance with ASC Topic 718, See Note 9 to the consolidated financial statements contained in this Annual Report on Form 10-K for information regarding the assumptions used in calculating these amounts.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Javitt served as Chief Executive Officer of the Company until his retirement on March 8, 2022, at which time he assumed the role of Chief Scientist and remained as a member of the Board of Directors. Dr. Javitt was appointed as Chairman of the Board on December 19, 2023. Dr. Javitt was appointed Interim Chief Executive Officer on October 7, 2024 upon the resignation of Mr. Willard. Mr. Javitt was appointed Chief Executive Officer on January 4,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reflects (i) $0 in base salary, (ii) $575,000 in consulting fees, (iii) $250,000 in bonus, and (iv) $109,190 in reimbursement for other expenses for Fiscal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reflects (i) $0 in base salary, (ii) $575,000 in consulting fees, (iii) the issuance of options to purchase up to 125,000 shares of Common Stock with a FMV of $166,255 $166,250, and (iv) $109,190 in reimbursement for other expenses for Fiscal 2025.</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reflects (i) $0 in base salary; (ii) $335,000 in consulting fees received in Fiscal 2024.</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reflects (i) $0 in base salary; and (ii) $371,000 in consulting fees, (iii) the issuance of options to purchase up to 125,000 shares of Common Stock with a FMV of $166,255 in Fiscal 2025, and (iv) $67,308 in reimbursement for health insurance for Fiscal 2025. Mr. Duffy resigned effective December 31, 2025</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Abrams joined the Company as its Chief Financial Officer effective November 18, 2024. Per his employment agreement, his base salary of $325,000 per annum was reduced by 50% during an initial period that ended February 1, 2025.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reported reflects (i) $322,458 in base salary; (ii) $40,625 in bonusses, and, (iii) the issuance of options to purchase up to 50,000 shares of Common Stock with a FMV of $109,925 in Fiscal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 and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Named Executive Officers receive an annual base salary or annual rate of compensation to compensate them for services rendered. The base salary or annual rate of compensation payable to each Named Executive Officer is intended to provide a fixed component of compensation reflecting the executive’s skill set, experience, role and responsibilities. For the year ended December 31, 2025: (i) Dr. Javitt was compensated through an annual consulting agreement that was set at $575,000; (ii) Mr. Abrams’ annual base salary was set at $325,000; and (iv) Mr. Duffy was compensated through a consulting agreement at a rate of $360,000 per annum.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Bonus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certain employment and other contractual agreements, (i) Dr. Javitt is eligible for an annual performance-based bonus with a minimum target of $250,000.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typically grant stock options pursuant to the NRx Pharmaceuticals, Inc. 2021 Omnibus Incentive Plan (the “</w:t>
      </w:r>
      <w:r>
        <w:rPr>
          <w:rFonts w:ascii="Times New Roman" w:cs="Times New Roman" w:eastAsia="Times New Roman" w:hAnsi="Times New Roman"/>
          <w:sz w:val="18"/>
          <w:szCs w:val="18"/>
          <w:i w:val="1"/>
          <w:iCs w:val="1"/>
          <w:color w:val="auto"/>
        </w:rPr>
        <w:t>Omnibus Plan</w:t>
      </w:r>
      <w:r>
        <w:rPr>
          <w:rFonts w:ascii="Times New Roman" w:cs="Times New Roman" w:eastAsia="Times New Roman" w:hAnsi="Times New Roman"/>
          <w:sz w:val="18"/>
          <w:szCs w:val="18"/>
          <w:color w:val="auto"/>
        </w:rPr>
        <w:t>”) as the long-term incentive component of our compensation program. Stock options allow employees, including our Named Executive Officers, to purchase shares of Common Stock at a price equal to the fair market value of Common Stock on the date of grant. Our stock options have vesting schedules that are designed to encourage continued employment and typically vest in substantially equal installments on each of the first three anniversaries of the applicable vesting commencement date, subject to the recipient’s continued service through each applicable vesting date. From time to time, our Board may also construct alternate vesting schedules as it determines appropriate to motivate particular employees, as further described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22, 2025, the Company granted 32,895 restricted shares of Company’s common stock under the Omnibus Plan to an employee in accordance with Medical Director Agreement. The shares were valued at approximately $100 thousand based on the closing price of NRx Common Stock on October 16, 2025 of $3.04 per share. The Restricted Stock vests in equal tranches over a three-year period, with each tranche vesting on the day prior to each anniversary of the effective date. The related stock-based compensation expense is being recognized over the vesting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Employment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Javitt Employment Agreement and Javitt Consulting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connection with his commencement of employment with us in May 2015, we entered into an employment agreement with Dr. Javitt (the “</w:t>
      </w:r>
      <w:r>
        <w:rPr>
          <w:rFonts w:ascii="Times New Roman" w:cs="Times New Roman" w:eastAsia="Times New Roman" w:hAnsi="Times New Roman"/>
          <w:sz w:val="18"/>
          <w:szCs w:val="18"/>
          <w:i w:val="1"/>
          <w:iCs w:val="1"/>
          <w:color w:val="auto"/>
        </w:rPr>
        <w:t>Javitt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Employment Agreement</w:t>
      </w:r>
      <w:r>
        <w:rPr>
          <w:rFonts w:ascii="Times New Roman" w:cs="Times New Roman" w:eastAsia="Times New Roman" w:hAnsi="Times New Roman"/>
          <w:sz w:val="18"/>
          <w:szCs w:val="18"/>
          <w:color w:val="auto"/>
        </w:rPr>
        <w:t>”) pursuant to which he served as our Chief Executive Officer and President. The Javitt Employment Agreement provided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five-year term and extended automatically for additional one-year periods unless either party provided notice of termination. The Javitt Employment Agreement provided for a base salary of $275,000, subject to periodic increase by the Board. The Javitt Employment Agreement was terminated on March 8, 2022 when Dr. Javitt retired and became a consultant to the Company. Upon entering into the Javitt Consulting Agreement (as defined below), Dr. Javitt waived his rights to the bonus, severance and certain other provisions under the Javitt Employment Agreement.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a consulting agreement between the Company and Dr. Javitt, dated as of March 8, 2022 (the “</w:t>
      </w:r>
      <w:r>
        <w:rPr>
          <w:rFonts w:ascii="Times New Roman" w:cs="Times New Roman" w:eastAsia="Times New Roman" w:hAnsi="Times New Roman"/>
          <w:sz w:val="18"/>
          <w:szCs w:val="18"/>
          <w:i w:val="1"/>
          <w:iCs w:val="1"/>
          <w:color w:val="auto"/>
        </w:rPr>
        <w:t>Javitt Consulting Agreement</w:t>
      </w:r>
      <w:r>
        <w:rPr>
          <w:rFonts w:ascii="Times New Roman" w:cs="Times New Roman" w:eastAsia="Times New Roman" w:hAnsi="Times New Roman"/>
          <w:sz w:val="18"/>
          <w:szCs w:val="18"/>
          <w:color w:val="auto"/>
        </w:rPr>
        <w:t>”), Dr. Javitt committed to provide consulting services to the Company as its Director and Chief Scientist. The 2022 Javitt Consulting Agreement provided for an annual consulting fee of $1,000,000, to compensate Dr. Javitt for approximately $400,000 in bonus payments that would otherwise have been granted under his prior employment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Javitt Consulting Agreement was amended on March 29, 2023 (the “</w:t>
      </w:r>
      <w:r>
        <w:rPr>
          <w:rFonts w:ascii="Times New Roman" w:cs="Times New Roman" w:eastAsia="Times New Roman" w:hAnsi="Times New Roman"/>
          <w:sz w:val="18"/>
          <w:szCs w:val="18"/>
          <w:i w:val="1"/>
          <w:iCs w:val="1"/>
          <w:color w:val="auto"/>
        </w:rPr>
        <w:t>Javitt Consulting Agreement Amendment</w:t>
      </w:r>
      <w:r>
        <w:rPr>
          <w:rFonts w:ascii="Times New Roman" w:cs="Times New Roman" w:eastAsia="Times New Roman" w:hAnsi="Times New Roman"/>
          <w:sz w:val="18"/>
          <w:szCs w:val="18"/>
          <w:color w:val="auto"/>
        </w:rPr>
        <w:t>”) to renew the agreement in annual increments, commencing on March 8, 2024, unless either party provides notice of termination. The Javitt Consulting Agreement Amendment provides for: (i) an annual consulting fee of $575,000, payable in monthly installments; (ii) eligibility for an annual performance-based bonus with a minimum target of $250,000; and (iii) subject to Board approval, a grant of 50,000 shares of restricted stock that will vest (x) 50% on the date upon which the Food and Drug Administration files the Company’s new drug application for the Antidepressant Drug Regimen (as defined therein) and (y) 50% on the date upon which the Food and Drug Administration has both approved the Company’s Antidepressant Drug Regimen and listed the Company’s Antidepressant Drug Regiment in the Food and Drug Administration’s “Orange Book.”</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Dr. Javitt was appointed Interim Chief Executive Officer on October 7, 2024 upon the resignation of Mr. Willard. Mr. Javitt was appointed Chief Executive Officer on January 4,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Duffy Consulting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a consulting agreement between the Company and Mr. Duffy, dated September 1, 2023 (the “</w:t>
      </w:r>
      <w:r>
        <w:rPr>
          <w:rFonts w:ascii="Times New Roman" w:cs="Times New Roman" w:eastAsia="Times New Roman" w:hAnsi="Times New Roman"/>
          <w:sz w:val="18"/>
          <w:szCs w:val="18"/>
          <w:i w:val="1"/>
          <w:iCs w:val="1"/>
          <w:color w:val="auto"/>
        </w:rPr>
        <w:t>Duffy Consulting Agreement</w:t>
      </w:r>
      <w:r>
        <w:rPr>
          <w:rFonts w:ascii="Times New Roman" w:cs="Times New Roman" w:eastAsia="Times New Roman" w:hAnsi="Times New Roman"/>
          <w:sz w:val="18"/>
          <w:szCs w:val="18"/>
          <w:color w:val="auto"/>
        </w:rPr>
        <w:t>”), Mr. Duffy committed to provide consulting services to the Company as its Chief Business Officer. The Duffy Consulting Agreement provided for a monthly consulting fee of $30,000 per month following a six month interim period at a rate of $15,000 per month. The Duffy Consulting Agreement also provided for (i) payment of necessary and reasonable expenses, and (ii) an initial grant of 20,000 incentive stock options with a three year vesting schedule, which were cancelled prior to vesting. Mr. Duffy was subsequently named Co-Chief Executive Officer of Hope Therapeutics, Inc. (“</w:t>
      </w:r>
      <w:r>
        <w:rPr>
          <w:rFonts w:ascii="Times New Roman" w:cs="Times New Roman" w:eastAsia="Times New Roman" w:hAnsi="Times New Roman"/>
          <w:sz w:val="18"/>
          <w:szCs w:val="18"/>
          <w:i w:val="1"/>
          <w:iCs w:val="1"/>
          <w:color w:val="auto"/>
        </w:rPr>
        <w:t>Hope</w:t>
      </w:r>
      <w:r>
        <w:rPr>
          <w:rFonts w:ascii="Times New Roman" w:cs="Times New Roman" w:eastAsia="Times New Roman" w:hAnsi="Times New Roman"/>
          <w:sz w:val="18"/>
          <w:szCs w:val="18"/>
          <w:color w:val="auto"/>
        </w:rPr>
        <w:t>”), which was incorporated as a wholly-owned subsidiary of the Company in February 2024. Mr. Duffy did not receive any additional compensation in connection with his role at Hope.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Abrams Employment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Pursuant to the terms of an employment agreement entered into on November 18, 2024 (the “</w:t>
      </w:r>
      <w:r>
        <w:rPr>
          <w:rFonts w:ascii="Times New Roman" w:cs="Times New Roman" w:eastAsia="Times New Roman" w:hAnsi="Times New Roman"/>
          <w:sz w:val="18"/>
          <w:szCs w:val="18"/>
          <w:i w:val="1"/>
          <w:iCs w:val="1"/>
          <w:color w:val="auto"/>
        </w:rPr>
        <w:t>Employment Agreement</w:t>
      </w:r>
      <w:r>
        <w:rPr>
          <w:rFonts w:ascii="Times New Roman" w:cs="Times New Roman" w:eastAsia="Times New Roman" w:hAnsi="Times New Roman"/>
          <w:sz w:val="18"/>
          <w:szCs w:val="18"/>
          <w:color w:val="auto"/>
        </w:rPr>
        <w:t>”), Mr. Abrams will serve as Chief Financial Officer of the Company for a one-year term, which term shall be automatically extended thereafter for successive one-year terms, until terminated in accordance with the terms of the Employment Agreement. The Employment Agreement provides that Mr. Abrams will receive an annual base salary (“</w:t>
      </w: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in the amount of $325,000, subject to an initial period rate of 50% of the Base Salary until the earlier of (i) a Qualified Financing, as defined in the Employment Agreement; or (ii) February 1, 2025, which date may be extended by mutual agreement of Mr. Abrams and the Company.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Employment Agreement further provides for (i) a grant, pursuant to the terms of the Company’s 2021 Omnibus Incentive Plan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of 50,000 stock options at an exercise price equal to the closing price of the Company’s common stock on the date announcing the closing of the aforementioned Qualified Financing (the “</w:t>
      </w: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at such time as of the aforementioned Qualified Financing occurs, which Options shall vest over a three-year period; (ii) an annual bonus in the amount of up to 40% of the Base Salary amount, to be determined at the discretion of executive management and subject to approval by the Compensation Committee of the Board of Directors of the Company; (iii) reimbursement of reasonable business expenses; and (iv) eligibility to participate in customary benefits offered to other executives of the Company. The Employment Agreement also contains certain non-competition, non-solicitation and confidentiality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Casper Employment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1, 2025, the Company entered into an employment agreement (the “</w:t>
      </w:r>
      <w:r>
        <w:rPr>
          <w:rFonts w:ascii="Times New Roman" w:cs="Times New Roman" w:eastAsia="Times New Roman" w:hAnsi="Times New Roman"/>
          <w:sz w:val="18"/>
          <w:szCs w:val="18"/>
          <w:i w:val="1"/>
          <w:iCs w:val="1"/>
          <w:color w:val="auto"/>
        </w:rPr>
        <w:t>Casper Employment Agreement</w:t>
      </w:r>
      <w:r>
        <w:rPr>
          <w:rFonts w:ascii="Times New Roman" w:cs="Times New Roman" w:eastAsia="Times New Roman" w:hAnsi="Times New Roman"/>
          <w:sz w:val="18"/>
          <w:szCs w:val="18"/>
          <w:color w:val="auto"/>
        </w:rPr>
        <w:t>”) with Joseph M. Casper pursuant to which Mr. Casper serves as the Company’s Chief Operating Officer. The Casper Employment Agreement provides for an initial one-year term beginning December 1, 2025, which will automatically renew for successive one-year periods unless earlier terminated or either party provides at least sixty (60) days’ notice of non-renewal. Under the Casper Employment Agreement, Mr. Casper is entitled to an annual base salary of $250,000 and is eligible to receive an annual performance bonus of up to 25% of his base salary based on performance milestones to be agreed upon with the Company’s Chief Executive Officer. The Casper Employment Agreement also provides for a grant of 100,000 stock options under the Company’s 2021 Omnibus Incentive Plan at an exercise price of $2.39 per share, vesting in approximately equal installments after six months, December 1, 2026, and December 1, 2027, with accelerated vesting upon a change in control. Mr. Casper is also eligible to participate in the Company’s benefit plans available to its executives, is entitled to three weeks of annual vacation, and is eligible for reimbursement of reasonable business expenses. If Mr. Casper’s employment is terminated by the Company without cause after the three-month anniversary of the agreement, he will be entitled to severance equal to two months of base salary, increasing by one-half month for each additional month of service up to a maximum of six months, subject to his execution of a release of claims. The Casper Employment Agreement also contains customary confidentiality, intellectual property assignment, non-competition and non-solicitation provisions.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shares of Common Stock underlying outstanding equity incentive plan awards for any Named Executive Officer as of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Welfare and Retirement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maintain a 401(k) defined contribution plan or any other employee benefit plans or programs.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Our Board adopted the NRx Pharmaceuticals, Inc. Compensation Recovery Policy (the “</w:t>
      </w: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on November 20, 2023. The Clawback Policy is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 A copy of the Clawback policy is filed as Exhibit 97.1 to the Company's Annual Report on Form 10-K for the year ended December 31, 2023, filed on March 29, 2024.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Javitt Consulting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may terminate the Javitt Consulting Agreement without prior notice immediately upon a termination for Cause. Dr. Javitt may terminate the Javitt Consulting Agreement upon 30 days’ notice at any time and for any reason. Upon termination of Javitt Consulting Agreement, the Company will pay Dr. Javitt any consulting fees and expenses that have been accrued but not yet paid. “Cause” is defined in the Javitt Consulting Agreement as: (i) Dr. Javitt’s gross negligence or willful misconduct, or willful and continued failure to substantially perform his duties (other than due to physical or mental illness or incapacity), which, in either case, causes material injury to the reputation or business of the Company; (ii) Dr. Javitt’s conviction of, or plea of guilty or nolo contendere to, a felony or other crime; (iii) Dr. Javitt’s fraud or embezzlement or other material misuse of funds or property belonging to the Company; or (iv) any material breach by Dr. Javitt under the Javitt Consulting Agreement subject to a 10 day notice and cure period (if reasonably capable of cure).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Abrams Employment Agreement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Mr. Abrams’ employment is terminated by either party for any reason, Mr. Abrams will be entitled to: (i) any earned but unpaid Base Salary earned during his employment and applicable to all pay periods prior to the termination date; (ii) any unreimbursed business expenses properly incurred; and (iii) any employee benefits to which Mr. Abrams may be entitled under the Company’s employee benefit plans or programs which Mr. Abrams participates as of the date of termination of Mr. Abrams’ employment. If Mr. Abrams’ employment is terminated other than for Cause within three months of employment, subject to certain conditions set forth in the Employment Agreement (including the execution and non-revocation of a general release of claims), the Company shall provide Mr. Abrams with severance pay equal to the Base Salary for a period of 60 days from the date of termination. If Mr. Abrams’ employment is terminated other than for Cause after three months of employment, subject to certain conditions set forth in the Employment Agreement (including the execution and non-revocation of a general release of claims), the Company shall provide Mr. Abrams with (i) severance pay equal to the sum of the Base Salary at the rate in effect on the date of termination from the date of termination through three months if in the first 90 days of employment, plus one month every two months of further employment, up to a total of 6 months; and (ii) the immediate vesting of all unvested equity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Awards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Omnibus Plan, in the event of a Change in Control (as defined in the Omnibus Plan): (i) if the acquirer or successor company in such Change in Control has agreed to provide for the substitution, assumption, exchange or other continuation of the stock options, then, if the Named Executive Officer’s employment with or service to the Company is terminated by the Company without Cause (as defined in the Omnibus Plan) (and other than due to death or disability) on or within 24 months following a Change in Control, then all of the Named Executive Officer’s options will become immediately exercisable; (ii) if the acquirer or successor company in such Change in Control has not agreed to provide for the substitution, assumption, exchange or other continuation of the options, all options held by the Named Executive Officer will become immediately exercisable; and (iii) the Committee (as defined in the Omnibus Plan) may cancel any outstanding options in exchange for cash, securities or other property equal to the value of such canceled options.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aggregate information with respect to our equity compensation plans in effect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16"/>
        </w:trPr>
        <w:tc>
          <w:tcPr>
            <w:tcW w:w="608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of</w:t>
            </w: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608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available</w:t>
            </w:r>
          </w:p>
        </w:tc>
      </w:tr>
      <w:tr>
        <w:trPr>
          <w:trHeight w:val="216"/>
        </w:trPr>
        <w:tc>
          <w:tcPr>
            <w:tcW w:w="608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 be issued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for future</w:t>
            </w:r>
          </w:p>
        </w:tc>
      </w:tr>
      <w:tr>
        <w:trPr>
          <w:trHeight w:val="216"/>
        </w:trPr>
        <w:tc>
          <w:tcPr>
            <w:tcW w:w="608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upon exercise of</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issuance</w:t>
            </w:r>
          </w:p>
        </w:tc>
      </w:tr>
      <w:tr>
        <w:trPr>
          <w:trHeight w:val="216"/>
        </w:trPr>
        <w:tc>
          <w:tcPr>
            <w:tcW w:w="608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6080" w:type="dxa"/>
            <w:vAlign w:val="bottom"/>
          </w:tcPr>
          <w:p>
            <w:pPr>
              <w:spacing w:after="0"/>
              <w:rPr>
                <w:sz w:val="18"/>
                <w:szCs w:val="18"/>
                <w:color w:val="auto"/>
              </w:rPr>
            </w:pP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Type</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plans</w:t>
            </w:r>
          </w:p>
        </w:tc>
      </w:tr>
      <w:tr>
        <w:trPr>
          <w:trHeight w:val="178"/>
        </w:trPr>
        <w:tc>
          <w:tcPr>
            <w:tcW w:w="6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85"/>
              </w:rPr>
              <w:t>(2)</w:t>
            </w:r>
          </w:p>
        </w:tc>
        <w:tc>
          <w:tcPr>
            <w:tcW w:w="1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194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587,355(3)</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w:t>
            </w:r>
          </w:p>
        </w:tc>
        <w:tc>
          <w:tcPr>
            <w:tcW w:w="1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12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awards granted pursuant to the Omnibus Plan.</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340" w:hanging="332"/>
        <w:spacing w:after="0" w:line="258"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there were 1,050,509 shares of Common Stock authorized for issuance pursuant to awards under the Omnibus Plan. Pursuant to the terms of the Omnibus Plan, the number of shares available for issuance thereunder will automatically increase each fiscal year beginning with the year ended December 31, 2022 and ending with fiscal year 2031 by the lesser of (a) 1% of the total number of shares outstanding on the last day of the immediately preceding fiscal year on a fully diluted basis assuming that all shares available for issuance under the Omnibus Plan are issued and outstanding, or (b) such number of shares determined by the Board.</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rights outstanding under the 2016 Omnibus Incentive Plan. As of December 31, 2025, there were 70,168 securities to be issued upon exercise of outstanding options, warrants and rights pursuant to our 2016 Omnibus Incentive Plan, with a weighted-average exercise price of $31.22 per share, which were assumed by Big Rock Partners Acquisition Corporation and converted into an option to acquire an adjusted number of shares of Common Stock at an adjusted exercise price per share in connection with the May 2021 merger. No further grants or awards will be made under the 2016 Omnibus Incentive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Option grants to employees, executive officers and non-employee directors are made by the Compensation Committee under the Omnibus Plan from time to time, as determined by the Committee. The Compensation Committee does take material non-public information into account when determining the timing and terms of stock awards, in that if the Company determines that it is in possession of material non-public information on an anticipated grant date, the Compensation Committee expects to defer the grant until a date on which the Company is not in possession of material non-public information. The Company does not time the release of material non-public information based on equity award grant dates or for the purpose of affecting the value of executive compensation. For all stock option awards, the exercise price is the closing price of our common stock on Nasdaq on the last trading day preceding the grant date.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has been the practice of our compensation committee over the previous years to review our results following the end of a fiscal year, review our financial plan and strategy for the current fiscal year, and, based on those reviews, grant refresh equity awards that could include stock options to our Named Executive Officers. Additionally, our compensation committee approves the granting of equity awards in connection with the commencement of employment or promotion of our Named Executive Officers, and from time to time as determined appropriate by our compensation committee. At times but infrequently, our compensation committee’s standard grant practices may result in a grant of stock options that coincide with a period beginning four business days before the filing of a periodic report or current report disclosing material non-public information and ending one business day after the filing or furnishing of such report with the SEC.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Accordingly, we have included all shares of Common Stock issuable to such person upon the exercise of warrants or options currently exercisable or exercisable within 60 days of the date hereof. We did not deem such shares outstanding, however, for the purpose of computing the percentage ownership of any other person.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Common Stock and preferred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indicated in the footnotes to the table, each of the stockholders listed below has sole voting and investment power with respect to the shares of Common Stock owned by such stockholders. Unless otherwise noted, the address of each beneficial owner is c/o NRx Pharmaceuticals, Inc., 1201 Orange Street, Suite 600 Wilmington, Delaware 19801.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beneficial ownership of our Common Stock is based on 33,067,630 shares of Common Stock issued and outstanding as of March 23,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 and</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38"/>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09"/>
        </w:trPr>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Abrams(1)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16,667</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J. Flynn(3)</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168,107</w:t>
            </w:r>
          </w:p>
        </w:tc>
        <w:tc>
          <w:tcPr>
            <w:tcW w:w="1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Chaim Hurvitz(4)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247,504</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Javitt(5)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1,563,509</w:t>
            </w: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McBride, Ph.D.(6)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19,294</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Taylor(7)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9,374</w:t>
            </w:r>
          </w:p>
        </w:tc>
        <w:tc>
          <w:tcPr>
            <w:tcW w:w="1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Joseph Casper(9)</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r>
      <w:tr>
        <w:trPr>
          <w:trHeight w:val="209"/>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(7 persons)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Group Capital LLC(8)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12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less than 1%</w:t>
      </w:r>
    </w:p>
    <w:p>
      <w:pPr>
        <w:spacing w:after="0" w:line="225" w:lineRule="exact"/>
        <w:rPr>
          <w:sz w:val="20"/>
          <w:szCs w:val="20"/>
          <w:color w:val="auto"/>
        </w:rPr>
      </w:pPr>
    </w:p>
    <w:p>
      <w:pPr>
        <w:ind w:left="340" w:right="20" w:hanging="332"/>
        <w:spacing w:after="0" w:line="282"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vested options to purchase up to 16,667 shares of Common Stock. Excludes options to purchase up to 33,333 shares of Common Stock subject to unsatisfied time-based vesting conditions.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up to 10,000 shares of Common Stock, which are vested.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36,234 shares of Common Stock held by Nash-Flynn Investments, LLC, (ii) 8,042 shares of Common Stock held by the Whitney Pritchard Nash Flynn 2010 Trust and the Lindsay Pritchard Nash Flynn 2010 Trust, (iii) 88,256 shares of Common Stock issuable upon exercise of fully vested warrants held by the Whitney Pritchard Nash Flynn 2010 Trust and the Lindsay Pritchard Nash Flynn 2010 Trust, (iv) 175 shares of Common Stock held by Patrick J. Flynn, and (v) options to purchase up to 35,400 shares of Common Stock, which are vested. Excludes options to purchase up to 31,240 shares of Common Stock subject to unsatisfied time-based vesting conditions. Patrick J. Flynn is the owner of Nash-Flynn Investments, LLC and trustee of the Whitney Pritchard Nash Flynn 2010 Trust and the Lindsay Pritchard Nash Flynn 2010 Trust.</w:t>
      </w:r>
    </w:p>
    <w:p>
      <w:pPr>
        <w:spacing w:after="0" w:line="187" w:lineRule="exact"/>
        <w:rPr>
          <w:rFonts w:ascii="Times New Roman" w:cs="Times New Roman" w:eastAsia="Times New Roman" w:hAnsi="Times New Roman"/>
          <w:sz w:val="18"/>
          <w:szCs w:val="18"/>
          <w:color w:val="auto"/>
        </w:rPr>
      </w:pPr>
    </w:p>
    <w:p>
      <w:pPr>
        <w:jc w:val="both"/>
        <w:ind w:left="340" w:right="20" w:hanging="332"/>
        <w:spacing w:after="0" w:line="261"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143,635 shares of Common Stock held by Shirat HaChaim Ltd., (ii) 20,845 shares of Common Stock held by CH Health-Private Venture Capital Ltd, (iii) 57,000 shares of Common Stock held by Chaim Hurvitz individually, and (iv) options to purchase up to 26,024 shares of Common Stock, which are fully vested. Excludes options to purchase up to 15,626 shares of Common Stock subject to unsatisfied time-based vesting conditions. Chaim Hurwitz is the owner of Shirat HaChaim Ltd. and CH Health-Private Venture Capital Ltd.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1,260,000 shares of Common Stock held by the Jonathan Javitt Living Trust, (ii) 142,000 shares of Common Stock held by The Javitt 2012 Irrevocable Dynasty Trust (the “</w:t>
      </w:r>
      <w:r>
        <w:rPr>
          <w:rFonts w:ascii="Times New Roman" w:cs="Times New Roman" w:eastAsia="Times New Roman" w:hAnsi="Times New Roman"/>
          <w:sz w:val="18"/>
          <w:szCs w:val="18"/>
          <w:i w:val="1"/>
          <w:iCs w:val="1"/>
          <w:color w:val="auto"/>
        </w:rPr>
        <w:t>Javitt Dynasty Trust</w:t>
      </w:r>
      <w:r>
        <w:rPr>
          <w:rFonts w:ascii="Times New Roman" w:cs="Times New Roman" w:eastAsia="Times New Roman" w:hAnsi="Times New Roman"/>
          <w:sz w:val="18"/>
          <w:szCs w:val="18"/>
          <w:color w:val="auto"/>
        </w:rPr>
        <w:t>”), (iii) 84,634 shares of Common Stock held by Jonathan Javitt individually, (iv) 30,000 shares of Common Stock held by the Jonathan Javitt Donor Advised Fund, and (v) options to purchase up to 46,875 shares of Common Stock, which are fully vested. Excludes options to purchase up to 78,125 shares of Common Stock subject to unsatisfied time-based vesting conditions. Jonathan Javitt, M.D., M.P.H. is the trustee of the Jonathan Javitt Living Trust and the primary advisor of the Jonathan Javitt Donor Advised Fund. Dr. Javitt is not a trustee or beneficiary of the Javitt Dynasty Trust, and no beneficiary of the Javitt Dynasty Trust resides in Dr. Javitt’s household. Dr. Javitt disclaims beneficial ownership of the securities held by the Javitt Dynasty Trust.</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options to purchase up to 19,294 shares of Common Stock, which are fully vested. Excludes options to purchase up to 15,626 shares of Common Stock subject to unsatisfied time-based vesting conditions.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up to 9,374 shares of Common Stock, which are vested. Excludes options to purchase up to 15,626 shares of Common Stock subject to unsatisfied time-based vesting conditions.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340" w:hanging="332"/>
        <w:spacing w:after="0" w:line="25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 filed jointly by The B Group, Inc., B Group Capital LLC and Branden B. Muhl with the SEC on August 21, 2025, the holdings consist of an aggregate of 3,000,000 shares of Common Stock held by B Group Capital LLC. The B Group, Inc. serves as investment adviser to B Group Capital LLC. Mr. Muhl is the controlling person and manager of The B Group, Inc. and B Group Capital LLC, respectively. In such capacities, The B Group, Inc. and Mr. Muhl may each be deemed to beneficially own the shares of Common Stock held by B Group Capital LLC. The principal business address of The B Group, Inc. is 2900 McKinnon Street, Suite 1101, Dallas, Texas 75201. The principal business address of each of B Group Capital LLC and Mr. Muhl is c/o The B Group, Inc., 2900 McKinnon Street, Suite 1101, Dallas, Texas 75201.</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options to purchase up to 100,000 shares of Common Stock subject to unsatisfied time-based vesting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2025 to which we have been a party in which the amount involved exceeded or will exceed $120,000 or one percent of the average of our total assets at year-end for the last two completed fiscal years in which we were or are to be a participant and in which a related person had or will have a direct or indirect material interest, and in which any of our directors, executive officers or, to our knowledge, beneficial owners of more than 5% of our capital stock or any member of the immediate family of any of the foregoing persons had or will have a direct or indirect material interest, other than transactions that are described under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Annual Report on Form 10-K. We also describe below certain other transactions with our directors, executive officers and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with Respect to Review and Approval of Related Person Transactions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Board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legal department determines that a transaction or relationship is a related person transaction requiring compliance with the policy, our general counsel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the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license patents owned by Glytech, LLC, which is solely owned by Daniel C. Javitt, the brother of Jonathan Javitt, the Chairman and Chief Scientist of the Company. For the years ended December 31, 2025 and 2024, we paid Glytech, LLC $0 and $0.3 million, respectively, for continuing research and development, technology support services and reimbursed expenses. These support services are ongoing.</w:t>
      </w:r>
    </w:p>
    <w:p>
      <w:pPr>
        <w:spacing w:after="0" w:line="17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In addition, we pay Zachary Javitt, the son Jonathan Javitt, on an hourly basis for services related to website, information technology and marketing support under the supervision of the Company’s chief executive officer who is responsible for assuring that the services are provided on financial terms that are at market. For the years ended December 31, 2025 and 2024, we paid Zachary Javitt a total of $0.2 million and $0.2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Agreement with Michael Taylor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2024, the Company entered into a consulting agreement with Michael Taylor (the “Taylor Consulting Agreement”), who was subsequently appointed to the Company’s Board of Directors in January 2025. Pursuant to the Taylor Consulting Agreement, Michael Taylor provides capital formation and strategic advisory services in support of the Company’s development of HOPE Therapeutics, including advising on the Company’s initial funding efforts for HOPE Therapeutics, assisting with outreach to family offices and similar investors, and supporting the identification and retention of a brand ambassador. During the years ended December 31, 2025 and 2024, the Company made cash payments to Michael Taylor totaling $120 thousand and $100 thousand, respectively, in connection with the Taylor Consulting Agreement.</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Weinberg &amp; Company, P.A. (“</w:t>
      </w:r>
      <w:r>
        <w:rPr>
          <w:rFonts w:ascii="Times New Roman" w:cs="Times New Roman" w:eastAsia="Times New Roman" w:hAnsi="Times New Roman"/>
          <w:sz w:val="18"/>
          <w:szCs w:val="18"/>
          <w:i w:val="1"/>
          <w:iCs w:val="1"/>
          <w:color w:val="auto"/>
        </w:rPr>
        <w:t>Weinberg</w:t>
      </w:r>
      <w:r>
        <w:rPr>
          <w:rFonts w:ascii="Times New Roman" w:cs="Times New Roman" w:eastAsia="Times New Roman" w:hAnsi="Times New Roman"/>
          <w:sz w:val="18"/>
          <w:szCs w:val="18"/>
          <w:color w:val="auto"/>
        </w:rPr>
        <w:t>”) served as our independent auditor for the year ended December 31, 2025. Salberg &amp; Company, P.A (“</w:t>
      </w:r>
      <w:r>
        <w:rPr>
          <w:rFonts w:ascii="Times New Roman" w:cs="Times New Roman" w:eastAsia="Times New Roman" w:hAnsi="Times New Roman"/>
          <w:sz w:val="18"/>
          <w:szCs w:val="18"/>
          <w:i w:val="1"/>
          <w:iCs w:val="1"/>
          <w:color w:val="auto"/>
        </w:rPr>
        <w:t>Salberg</w:t>
      </w:r>
      <w:r>
        <w:rPr>
          <w:rFonts w:ascii="Times New Roman" w:cs="Times New Roman" w:eastAsia="Times New Roman" w:hAnsi="Times New Roman"/>
          <w:sz w:val="18"/>
          <w:szCs w:val="18"/>
          <w:color w:val="auto"/>
        </w:rPr>
        <w:t>”) served as our independent auditor for the years ended December 31, 2024 and December 31, 2023. The Company also incurred certain fees during the years ended December 31, 2024 and December 31, 2023 for audit services rendered by KPMG LLP. The Company incurred the following fees from Salberg and KPMG LLP for the audit of the consolidated financial statements and for other services provided during the years ended December 31, 2024 and from Weinberg and Salberg during the years ended December 31,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KPMG LLP(1)</w:t>
            </w: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Audit fees, Salberg and Company(1)</w:t>
            </w:r>
          </w:p>
        </w:tc>
        <w:tc>
          <w:tcPr>
            <w:tcW w:w="6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Weinberg &amp; Company, P.A. (1)</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Salberg and Company (2)</w:t>
            </w:r>
          </w:p>
        </w:tc>
        <w:tc>
          <w:tcPr>
            <w:tcW w:w="6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Audit-related fees, Weinberg &amp; Company, P.A. (2)</w:t>
            </w: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 fees(3)</w:t>
            </w:r>
          </w:p>
        </w:tc>
        <w:tc>
          <w:tcPr>
            <w:tcW w:w="6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468,000</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both"/>
        <w:ind w:left="3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rendered in connection with the audit of our annual consolidated financial statements, the review of the consolidated financial statements included in quarterly reports, services rendered in connection with the May 2021 merger and follow-on public offering, and additional public offerings.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billed in 2025 consist of fees for professional services rendered by Weinberg in connection with the audit of Dura Medical, LLC that was covered by the Company. The were no audit-related fees billed in 2024.</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tax-related fees billed in 2025 and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other fees billed in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 pre-approves audit and permissible non-audit services provided by the independent registered public accounting firm. These services include audit services, audit-related services, tax services and other services.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81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0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Item 15. Exhibits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Incorporate by Reference</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87"/>
        </w:trPr>
        <w:tc>
          <w:tcPr>
            <w:tcW w:w="6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Filing</w:t>
            </w: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10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Number Description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385"/>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4"/>
                <w:szCs w:val="24"/>
                <w:color w:val="auto"/>
              </w:rPr>
            </w:pPr>
          </w:p>
        </w:tc>
        <w:tc>
          <w:tcPr>
            <w:tcW w:w="7240" w:type="dxa"/>
            <w:vAlign w:val="bottom"/>
            <w:tcBorders>
              <w:top w:val="single" w:sz="8" w:color="auto"/>
              <w:bottom w:val="single" w:sz="8" w:color="0000EE"/>
            </w:tcBorders>
            <w:gridSpan w:val="24"/>
          </w:tcPr>
          <w:p>
            <w:pPr>
              <w:ind w:left="20"/>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At The Market Offering Agreement, dated August 14, 2023, by and between the Company and H.C.</w:t>
              </w:r>
            </w:hyperlink>
          </w:p>
        </w:tc>
        <w:tc>
          <w:tcPr>
            <w:tcW w:w="40" w:type="dxa"/>
            <w:vAlign w:val="bottom"/>
            <w:tcBorders>
              <w:top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08/14/2023</w:t>
            </w:r>
          </w:p>
        </w:tc>
        <w:tc>
          <w:tcPr>
            <w:tcW w:w="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0" w:type="dxa"/>
            <w:vAlign w:val="bottom"/>
            <w:gridSpan w:val="27"/>
          </w:tcPr>
          <w:p>
            <w:pPr>
              <w:ind w:left="20"/>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Wainwright &amp; Co., LLC</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7400" w:type="dxa"/>
            <w:vAlign w:val="bottom"/>
            <w:gridSpan w:val="27"/>
          </w:tcPr>
          <w:p>
            <w:pPr>
              <w:ind w:left="20"/>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Underwriting Agreement, dated February 27, 2024, by and between NRx Pharmaceuticals, Inc. and</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02/28/2024</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160" w:type="dxa"/>
            <w:vAlign w:val="bottom"/>
            <w:tcBorders>
              <w:top w:val="single" w:sz="8" w:color="0000EE"/>
            </w:tcBorders>
            <w:gridSpan w:val="21"/>
          </w:tcPr>
          <w:p>
            <w:pPr>
              <w:ind w:left="20"/>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EF Hutton LLC</w:t>
              </w:r>
            </w:hyperlink>
          </w:p>
        </w:tc>
        <w:tc>
          <w:tcPr>
            <w:tcW w:w="24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4"/>
                <w:szCs w:val="24"/>
                <w:color w:val="auto"/>
              </w:rPr>
            </w:pPr>
          </w:p>
        </w:tc>
        <w:tc>
          <w:tcPr>
            <w:tcW w:w="4280" w:type="dxa"/>
            <w:vAlign w:val="bottom"/>
            <w:tcBorders>
              <w:bottom w:val="single" w:sz="8" w:color="0000EE"/>
            </w:tcBorders>
            <w:gridSpan w:val="15"/>
          </w:tcPr>
          <w:p>
            <w:pPr>
              <w:ind w:left="20"/>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Second Amended and Restated Certificate of Incorporation</w:t>
              </w:r>
            </w:hyperlink>
          </w:p>
        </w:tc>
        <w:tc>
          <w:tcPr>
            <w:tcW w:w="3120" w:type="dxa"/>
            <w:vAlign w:val="bottom"/>
            <w:gridSpan w:val="12"/>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5/28/2021</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4"/>
                <w:szCs w:val="24"/>
                <w:color w:val="auto"/>
              </w:rPr>
            </w:pPr>
          </w:p>
        </w:tc>
        <w:tc>
          <w:tcPr>
            <w:tcW w:w="2960" w:type="dxa"/>
            <w:vAlign w:val="bottom"/>
            <w:tcBorders>
              <w:bottom w:val="single" w:sz="8" w:color="0000EE"/>
            </w:tcBorders>
            <w:gridSpan w:val="10"/>
          </w:tcPr>
          <w:p>
            <w:pPr>
              <w:ind w:left="20"/>
              <w:spacing w:after="0"/>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Second Amended and Restated By-Laws</w:t>
              </w:r>
            </w:hyperlink>
          </w:p>
        </w:tc>
        <w:tc>
          <w:tcPr>
            <w:tcW w:w="4440" w:type="dxa"/>
            <w:vAlign w:val="bottom"/>
            <w:gridSpan w:val="17"/>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5/28/2021</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4"/>
                <w:szCs w:val="24"/>
                <w:color w:val="auto"/>
              </w:rPr>
            </w:pPr>
          </w:p>
        </w:tc>
        <w:tc>
          <w:tcPr>
            <w:tcW w:w="4800" w:type="dxa"/>
            <w:vAlign w:val="bottom"/>
            <w:tcBorders>
              <w:bottom w:val="single" w:sz="8" w:color="0000EE"/>
            </w:tcBorders>
            <w:gridSpan w:val="16"/>
          </w:tcPr>
          <w:p>
            <w:pPr>
              <w:ind w:left="20"/>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Certificate of Designation of Series A Convertible Preferred Stock</w:t>
              </w:r>
            </w:hyperlink>
          </w:p>
        </w:tc>
        <w:tc>
          <w:tcPr>
            <w:tcW w:w="2600" w:type="dxa"/>
            <w:vAlign w:val="bottom"/>
            <w:gridSpan w:val="11"/>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9/01/2023</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4"/>
                <w:szCs w:val="24"/>
                <w:color w:val="auto"/>
              </w:rPr>
            </w:pPr>
          </w:p>
        </w:tc>
        <w:tc>
          <w:tcPr>
            <w:tcW w:w="7140" w:type="dxa"/>
            <w:vAlign w:val="bottom"/>
            <w:tcBorders>
              <w:bottom w:val="single" w:sz="8" w:color="0000EE"/>
            </w:tcBorders>
            <w:gridSpan w:val="20"/>
          </w:tcPr>
          <w:p>
            <w:pPr>
              <w:ind w:left="20"/>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Warrant Agreement, dated as of November 20, 2017, by and between BRPA and Continental Stock</w:t>
              </w:r>
            </w:hyperlink>
          </w:p>
        </w:tc>
        <w:tc>
          <w:tcPr>
            <w:tcW w:w="26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11/22/2017</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0" w:type="dxa"/>
            <w:vAlign w:val="bottom"/>
            <w:gridSpan w:val="27"/>
          </w:tcPr>
          <w:p>
            <w:pPr>
              <w:ind w:left="20"/>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Transfer &amp; Trust Company</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24"/>
                <w:szCs w:val="24"/>
                <w:color w:val="auto"/>
              </w:rPr>
            </w:pPr>
          </w:p>
        </w:tc>
        <w:tc>
          <w:tcPr>
            <w:tcW w:w="7400" w:type="dxa"/>
            <w:vAlign w:val="bottom"/>
            <w:gridSpan w:val="27"/>
          </w:tcPr>
          <w:p>
            <w:pPr>
              <w:ind w:left="20"/>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Form of Unit Purchase Option, dated November 20, 2017, with EarlyBirdCapital, Inc. and its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11/22/2017</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20" w:type="dxa"/>
            <w:vAlign w:val="bottom"/>
            <w:tcBorders>
              <w:top w:val="single" w:sz="8" w:color="0000EE"/>
            </w:tcBorders>
            <w:gridSpan w:val="18"/>
          </w:tcPr>
          <w:p>
            <w:pPr>
              <w:ind w:left="20"/>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designees</w:t>
              </w:r>
            </w:hyperlink>
          </w:p>
        </w:tc>
        <w:tc>
          <w:tcPr>
            <w:tcW w:w="68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4"/>
                <w:szCs w:val="24"/>
                <w:color w:val="auto"/>
              </w:rPr>
            </w:pPr>
          </w:p>
        </w:tc>
        <w:tc>
          <w:tcPr>
            <w:tcW w:w="7220" w:type="dxa"/>
            <w:vAlign w:val="bottom"/>
            <w:tcBorders>
              <w:bottom w:val="single" w:sz="8" w:color="0000EE"/>
            </w:tcBorders>
            <w:gridSpan w:val="23"/>
          </w:tcPr>
          <w:p>
            <w:pPr>
              <w:ind w:left="20"/>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Common Stock Purchase Warrant, dated March 9, 2023 by and between NRX Pharmaceuticals, Inc.</w:t>
              </w:r>
            </w:hyperlink>
          </w:p>
        </w:tc>
        <w:tc>
          <w:tcPr>
            <w:tcW w:w="180" w:type="dxa"/>
            <w:vAlign w:val="bottom"/>
            <w:gridSpan w:val="4"/>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3/14/2023</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and Purchasers</w:t>
              </w:r>
            </w:hyperlink>
          </w:p>
        </w:tc>
        <w:tc>
          <w:tcPr>
            <w:tcW w:w="6260" w:type="dxa"/>
            <w:vAlign w:val="bottom"/>
            <w:gridSpan w:val="24"/>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4"/>
                <w:szCs w:val="24"/>
                <w:color w:val="auto"/>
              </w:rPr>
            </w:pPr>
          </w:p>
        </w:tc>
        <w:tc>
          <w:tcPr>
            <w:tcW w:w="7400" w:type="dxa"/>
            <w:vAlign w:val="bottom"/>
            <w:gridSpan w:val="27"/>
          </w:tcPr>
          <w:p>
            <w:pPr>
              <w:ind w:left="20"/>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Investor Warrant</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6/07/2023</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4"/>
                <w:szCs w:val="24"/>
                <w:color w:val="auto"/>
              </w:rPr>
            </w:pPr>
          </w:p>
        </w:tc>
        <w:tc>
          <w:tcPr>
            <w:tcW w:w="3000" w:type="dxa"/>
            <w:vAlign w:val="bottom"/>
            <w:tcBorders>
              <w:bottom w:val="single" w:sz="8" w:color="0000EE"/>
            </w:tcBorders>
            <w:gridSpan w:val="11"/>
          </w:tcPr>
          <w:p>
            <w:pPr>
              <w:ind w:left="20"/>
              <w:spacing w:after="0"/>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Form of Warrant Amendment Agreement</w:t>
              </w:r>
            </w:hyperlink>
          </w:p>
        </w:tc>
        <w:tc>
          <w:tcPr>
            <w:tcW w:w="4400" w:type="dxa"/>
            <w:vAlign w:val="bottom"/>
            <w:gridSpan w:val="16"/>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6/07/2023</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24"/>
                <w:szCs w:val="24"/>
                <w:color w:val="auto"/>
              </w:rPr>
            </w:pPr>
          </w:p>
        </w:tc>
        <w:tc>
          <w:tcPr>
            <w:tcW w:w="7400" w:type="dxa"/>
            <w:vAlign w:val="bottom"/>
            <w:gridSpan w:val="27"/>
          </w:tcPr>
          <w:p>
            <w:pPr>
              <w:ind w:left="20"/>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Investor Warrant</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9/01/2023</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24"/>
                <w:szCs w:val="24"/>
                <w:color w:val="auto"/>
              </w:rPr>
            </w:pPr>
          </w:p>
        </w:tc>
        <w:tc>
          <w:tcPr>
            <w:tcW w:w="2280" w:type="dxa"/>
            <w:vAlign w:val="bottom"/>
            <w:tcBorders>
              <w:bottom w:val="single" w:sz="8" w:color="0000EE"/>
            </w:tcBorders>
            <w:gridSpan w:val="8"/>
          </w:tcPr>
          <w:p>
            <w:pPr>
              <w:ind w:left="20"/>
              <w:spacing w:after="0"/>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Form of Underwriter’s Warrant</w:t>
              </w:r>
            </w:hyperlink>
          </w:p>
        </w:tc>
        <w:tc>
          <w:tcPr>
            <w:tcW w:w="5120" w:type="dxa"/>
            <w:vAlign w:val="bottom"/>
            <w:gridSpan w:val="19"/>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2/28/2024</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24"/>
                <w:szCs w:val="24"/>
                <w:color w:val="auto"/>
              </w:rPr>
            </w:pPr>
          </w:p>
        </w:tc>
        <w:tc>
          <w:tcPr>
            <w:tcW w:w="7400" w:type="dxa"/>
            <w:vAlign w:val="bottom"/>
            <w:gridSpan w:val="27"/>
          </w:tcPr>
          <w:p>
            <w:pPr>
              <w:ind w:left="20"/>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Description of Capital Stock</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4.8</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3/29/2024</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24"/>
                <w:szCs w:val="24"/>
                <w:color w:val="auto"/>
              </w:rPr>
            </w:pPr>
          </w:p>
        </w:tc>
        <w:tc>
          <w:tcPr>
            <w:tcW w:w="3080" w:type="dxa"/>
            <w:vAlign w:val="bottom"/>
            <w:tcBorders>
              <w:bottom w:val="single" w:sz="8" w:color="0000EE"/>
            </w:tcBorders>
            <w:gridSpan w:val="12"/>
          </w:tcPr>
          <w:p>
            <w:pPr>
              <w:ind w:left="20"/>
              <w:spacing w:after="0"/>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Form of Common Stock Purchase Warrant</w:t>
              </w:r>
            </w:hyperlink>
          </w:p>
        </w:tc>
        <w:tc>
          <w:tcPr>
            <w:tcW w:w="432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4.9</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3/29/2024</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40" w:type="dxa"/>
            <w:vAlign w:val="bottom"/>
          </w:tcPr>
          <w:p>
            <w:pPr>
              <w:spacing w:after="0"/>
              <w:rPr>
                <w:sz w:val="24"/>
                <w:szCs w:val="24"/>
                <w:color w:val="auto"/>
              </w:rPr>
            </w:pPr>
          </w:p>
        </w:tc>
        <w:tc>
          <w:tcPr>
            <w:tcW w:w="7180" w:type="dxa"/>
            <w:vAlign w:val="bottom"/>
            <w:tcBorders>
              <w:bottom w:val="single" w:sz="8" w:color="0000EE"/>
            </w:tcBorders>
            <w:gridSpan w:val="22"/>
          </w:tcPr>
          <w:p>
            <w:pPr>
              <w:ind w:left="20"/>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Form of Senior Secured Convertible Promissory Note to be issued by the Company pursuant to and</w:t>
              </w:r>
            </w:hyperlink>
          </w:p>
        </w:tc>
        <w:tc>
          <w:tcPr>
            <w:tcW w:w="220" w:type="dxa"/>
            <w:vAlign w:val="bottom"/>
            <w:gridSpan w:val="5"/>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8/14/2024</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0" w:type="dxa"/>
            <w:vAlign w:val="bottom"/>
            <w:gridSpan w:val="27"/>
          </w:tcPr>
          <w:p>
            <w:pPr>
              <w:ind w:left="20"/>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in accordance with the Securities Purchase Agreement</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Borders>
              <w:right w:val="single" w:sz="8" w:color="0000EE"/>
            </w:tcBorders>
            <w:gridSpan w:val="4"/>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40" w:type="dxa"/>
            <w:vAlign w:val="bottom"/>
          </w:tcPr>
          <w:p>
            <w:pPr>
              <w:spacing w:after="0"/>
              <w:rPr>
                <w:sz w:val="24"/>
                <w:szCs w:val="24"/>
                <w:color w:val="auto"/>
              </w:rPr>
            </w:pPr>
          </w:p>
        </w:tc>
        <w:tc>
          <w:tcPr>
            <w:tcW w:w="7400" w:type="dxa"/>
            <w:vAlign w:val="bottom"/>
            <w:gridSpan w:val="27"/>
          </w:tcPr>
          <w:p>
            <w:pPr>
              <w:ind w:left="20"/>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of Common Stock Purchase Warrant to be issued by the Company pursuant to and in</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8/14/2024</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Borders>
              <w:top w:val="single" w:sz="8" w:color="0000EE"/>
            </w:tcBorders>
            <w:gridSpan w:val="17"/>
          </w:tcPr>
          <w:p>
            <w:pPr>
              <w:ind w:left="20"/>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accordance with the Securities Purchase Agreement</w:t>
              </w:r>
            </w:hyperlink>
          </w:p>
        </w:tc>
        <w:tc>
          <w:tcPr>
            <w:tcW w:w="86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Borders>
              <w:right w:val="single" w:sz="8" w:color="0000EE"/>
            </w:tcBorders>
            <w:gridSpan w:val="4"/>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40" w:type="dxa"/>
            <w:vAlign w:val="bottom"/>
          </w:tcPr>
          <w:p>
            <w:pPr>
              <w:spacing w:after="0"/>
              <w:rPr>
                <w:sz w:val="24"/>
                <w:szCs w:val="24"/>
                <w:color w:val="auto"/>
              </w:rPr>
            </w:pPr>
          </w:p>
        </w:tc>
        <w:tc>
          <w:tcPr>
            <w:tcW w:w="7400" w:type="dxa"/>
            <w:vAlign w:val="bottom"/>
            <w:gridSpan w:val="27"/>
          </w:tcPr>
          <w:p>
            <w:pPr>
              <w:ind w:left="20"/>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Form of Common Stock Purchase Warrant to be issued pursuant to that certain Securities Purchase</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1/29/2025</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9"/>
          </w:tcPr>
          <w:p>
            <w:pPr>
              <w:ind w:left="20"/>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Agreement, dated January 27, 2025.</w:t>
              </w:r>
            </w:hyperlink>
          </w:p>
        </w:tc>
        <w:tc>
          <w:tcPr>
            <w:tcW w:w="4500" w:type="dxa"/>
            <w:vAlign w:val="bottom"/>
            <w:tcBorders>
              <w:top w:val="single" w:sz="8" w:color="0000EE"/>
            </w:tcBorders>
            <w:gridSpan w:val="10"/>
          </w:tcPr>
          <w:p>
            <w:pPr>
              <w:spacing w:after="0"/>
              <w:rPr>
                <w:sz w:val="17"/>
                <w:szCs w:val="17"/>
                <w:color w:val="auto"/>
              </w:rPr>
            </w:pPr>
          </w:p>
        </w:tc>
        <w:tc>
          <w:tcPr>
            <w:tcW w:w="2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24"/>
                <w:szCs w:val="24"/>
                <w:color w:val="auto"/>
              </w:rPr>
            </w:pPr>
          </w:p>
        </w:tc>
        <w:tc>
          <w:tcPr>
            <w:tcW w:w="7260" w:type="dxa"/>
            <w:vAlign w:val="bottom"/>
            <w:tcBorders>
              <w:bottom w:val="single" w:sz="8" w:color="0000EE"/>
            </w:tcBorders>
            <w:gridSpan w:val="25"/>
          </w:tcPr>
          <w:p>
            <w:pPr>
              <w:ind w:left="20"/>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Form of Consideration Warrant to be issued pursuant to that certain Consent and Waiver Agreement,</w:t>
              </w:r>
            </w:hyperlink>
          </w:p>
        </w:tc>
        <w:tc>
          <w:tcPr>
            <w:tcW w:w="14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4.4</w:t>
            </w: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1/29/2025</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0" w:type="dxa"/>
            <w:vAlign w:val="bottom"/>
            <w:gridSpan w:val="27"/>
          </w:tcPr>
          <w:p>
            <w:pPr>
              <w:ind w:left="20"/>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dated January 27, 2025.</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Borders>
              <w:top w:val="single" w:sz="8" w:color="0000EE"/>
            </w:tcBorders>
            <w:gridSpan w:val="4"/>
          </w:tcPr>
          <w:p>
            <w:pPr>
              <w:spacing w:after="0"/>
              <w:rPr>
                <w:sz w:val="24"/>
                <w:szCs w:val="24"/>
                <w:color w:val="auto"/>
              </w:rPr>
            </w:pPr>
          </w:p>
        </w:tc>
        <w:tc>
          <w:tcPr>
            <w:tcW w:w="4780" w:type="dxa"/>
            <w:vAlign w:val="bottom"/>
            <w:gridSpan w:val="13"/>
          </w:tcPr>
          <w:p>
            <w:pPr>
              <w:jc w:val="right"/>
              <w:ind w:right="152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20" w:right="14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69">
        <w:r>
          <w:rPr>
            <w:rFonts w:ascii="Times New Roman" w:cs="Times New Roman" w:eastAsia="Times New Roman" w:hAnsi="Times New Roman"/>
            <w:sz w:val="18"/>
            <w:szCs w:val="18"/>
            <w:u w:val="single" w:color="auto"/>
            <w:color w:val="0000EE"/>
          </w:rPr>
          <w:t>Form of Securities Purchase Agreement, dated as of August 19, 2021, by and among the Company</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and the Selling Securityholders.</w:t>
        </w:r>
      </w:hyperlink>
    </w:p>
    <w:p>
      <w:pPr>
        <w:spacing w:after="0" w:line="162" w:lineRule="exact"/>
        <w:rPr>
          <w:sz w:val="20"/>
          <w:szCs w:val="20"/>
          <w:color w:val="auto"/>
        </w:rPr>
      </w:pPr>
    </w:p>
    <w:p>
      <w:pPr>
        <w:ind w:left="720" w:right="26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70">
        <w:r>
          <w:rPr>
            <w:rFonts w:ascii="Times New Roman" w:cs="Times New Roman" w:eastAsia="Times New Roman" w:hAnsi="Times New Roman"/>
            <w:sz w:val="18"/>
            <w:szCs w:val="18"/>
            <w:u w:val="single" w:color="auto"/>
            <w:color w:val="0000EE"/>
          </w:rPr>
          <w:t>Form of Preferred Investment Options, dated as of August 23, 2021, by and among the Company</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and the Selling Securityholders.</w:t>
        </w:r>
      </w:hyperlink>
    </w:p>
    <w:p>
      <w:pPr>
        <w:spacing w:after="0" w:line="162" w:lineRule="exact"/>
        <w:rPr>
          <w:sz w:val="20"/>
          <w:szCs w:val="20"/>
          <w:color w:val="auto"/>
        </w:rPr>
      </w:pPr>
    </w:p>
    <w:p>
      <w:pPr>
        <w:ind w:left="720" w:right="16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71">
        <w:r>
          <w:rPr>
            <w:rFonts w:ascii="Times New Roman" w:cs="Times New Roman" w:eastAsia="Times New Roman" w:hAnsi="Times New Roman"/>
            <w:sz w:val="18"/>
            <w:szCs w:val="18"/>
            <w:u w:val="single" w:color="auto"/>
            <w:color w:val="0000EE"/>
          </w:rPr>
          <w:t>Form of Registration Rights Agreement, dated as of August 19, 2021, by and among the Company</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and the Selling Securityholders.</w:t>
        </w:r>
      </w:hyperlink>
    </w:p>
    <w:p>
      <w:pPr>
        <w:spacing w:after="0" w:line="162" w:lineRule="exact"/>
        <w:rPr>
          <w:sz w:val="20"/>
          <w:szCs w:val="20"/>
          <w:color w:val="auto"/>
        </w:rPr>
      </w:pPr>
    </w:p>
    <w:p>
      <w:pPr>
        <w:ind w:left="720" w:right="18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72">
        <w:r>
          <w:rPr>
            <w:rFonts w:ascii="Times New Roman" w:cs="Times New Roman" w:eastAsia="Times New Roman" w:hAnsi="Times New Roman"/>
            <w:sz w:val="18"/>
            <w:szCs w:val="18"/>
            <w:u w:val="single" w:color="auto"/>
            <w:color w:val="0000EE"/>
          </w:rPr>
          <w:t>Form of Lock-Up Agreement, dated as of August 19, 2021, by and among the Company, Jonathan</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Javitt and Daniel Javitt.</w:t>
        </w:r>
      </w:hyperlink>
    </w:p>
    <w:p>
      <w:pPr>
        <w:spacing w:after="0" w:line="162" w:lineRule="exact"/>
        <w:rPr>
          <w:sz w:val="20"/>
          <w:szCs w:val="20"/>
          <w:color w:val="auto"/>
        </w:rPr>
      </w:pPr>
    </w:p>
    <w:p>
      <w:pPr>
        <w:ind w:left="720" w:right="18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73">
        <w:r>
          <w:rPr>
            <w:rFonts w:ascii="Times New Roman" w:cs="Times New Roman" w:eastAsia="Times New Roman" w:hAnsi="Times New Roman"/>
            <w:sz w:val="18"/>
            <w:szCs w:val="18"/>
            <w:u w:val="single" w:color="auto"/>
            <w:color w:val="0000EE"/>
          </w:rPr>
          <w:t>Stock Escrow Agreement, dated November 20, 2017, between BRPA, Big Rock Partners Sponsor,</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LLC and Continental Stock Transfer &amp; Trust Company</w:t>
        </w:r>
      </w:hyperlink>
    </w:p>
    <w:p>
      <w:pPr>
        <w:spacing w:after="0" w:line="162" w:lineRule="exact"/>
        <w:rPr>
          <w:sz w:val="20"/>
          <w:szCs w:val="20"/>
          <w:color w:val="auto"/>
        </w:rPr>
      </w:pPr>
    </w:p>
    <w:p>
      <w:pPr>
        <w:spacing w:after="0"/>
        <w:tabs>
          <w:tab w:leader="none" w:pos="7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74">
        <w:r>
          <w:rPr>
            <w:rFonts w:ascii="Times New Roman" w:cs="Times New Roman" w:eastAsia="Times New Roman" w:hAnsi="Times New Roman"/>
            <w:sz w:val="17"/>
            <w:szCs w:val="17"/>
            <w:u w:val="single" w:color="auto"/>
            <w:color w:val="0000EE"/>
          </w:rPr>
          <w:t>Registration Rights Agreement among BRPA and Big Rock Partners Sponsor, LLC</w:t>
        </w:r>
      </w:hyperlink>
    </w:p>
    <w:p>
      <w:pPr>
        <w:spacing w:after="0" w:line="225" w:lineRule="exact"/>
        <w:rPr>
          <w:sz w:val="20"/>
          <w:szCs w:val="20"/>
          <w:color w:val="auto"/>
        </w:rPr>
      </w:pPr>
    </w:p>
    <w:p>
      <w:pPr>
        <w:ind w:left="720" w:right="10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75">
        <w:r>
          <w:rPr>
            <w:rFonts w:ascii="Times New Roman" w:cs="Times New Roman" w:eastAsia="Times New Roman" w:hAnsi="Times New Roman"/>
            <w:sz w:val="18"/>
            <w:szCs w:val="18"/>
            <w:u w:val="single" w:color="auto"/>
            <w:color w:val="0000EE"/>
          </w:rPr>
          <w:t>Agreement, dated November 17, 2018, among BRPA, Big Rock Partners Sponsor, LLC and BRAC</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Lending Group LLC</w:t>
        </w:r>
      </w:hyperlink>
    </w:p>
    <w:p>
      <w:pPr>
        <w:spacing w:after="0" w:line="162" w:lineRule="exact"/>
        <w:rPr>
          <w:sz w:val="20"/>
          <w:szCs w:val="20"/>
          <w:color w:val="auto"/>
        </w:rPr>
      </w:pPr>
    </w:p>
    <w:p>
      <w:pPr>
        <w:spacing w:after="0"/>
        <w:tabs>
          <w:tab w:leader="none" w:pos="7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76">
        <w:r>
          <w:rPr>
            <w:rFonts w:ascii="Times New Roman" w:cs="Times New Roman" w:eastAsia="Times New Roman" w:hAnsi="Times New Roman"/>
            <w:sz w:val="17"/>
            <w:szCs w:val="17"/>
            <w:u w:val="single" w:color="auto"/>
            <w:color w:val="0000EE"/>
          </w:rPr>
          <w:t>Stock Escrow Agent Letter, dated November 17, 2018</w:t>
        </w:r>
      </w:hyperlink>
    </w:p>
    <w:p>
      <w:pPr>
        <w:spacing w:after="0" w:line="225" w:lineRule="exact"/>
        <w:rPr>
          <w:sz w:val="20"/>
          <w:szCs w:val="20"/>
          <w:color w:val="auto"/>
        </w:rPr>
      </w:pPr>
    </w:p>
    <w:p>
      <w:pPr>
        <w:spacing w:after="0"/>
        <w:tabs>
          <w:tab w:leader="none" w:pos="7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77">
        <w:r>
          <w:rPr>
            <w:rFonts w:ascii="Times New Roman" w:cs="Times New Roman" w:eastAsia="Times New Roman" w:hAnsi="Times New Roman"/>
            <w:sz w:val="17"/>
            <w:szCs w:val="17"/>
            <w:u w:val="single" w:color="auto"/>
            <w:color w:val="0000EE"/>
          </w:rPr>
          <w:t>Registration Rights Assignment Agreement, dated November 17, 2018</w:t>
        </w:r>
      </w:hyperlink>
    </w:p>
    <w:p>
      <w:pPr>
        <w:spacing w:after="0" w:line="225" w:lineRule="exact"/>
        <w:rPr>
          <w:sz w:val="20"/>
          <w:szCs w:val="20"/>
          <w:color w:val="auto"/>
        </w:rPr>
      </w:pPr>
    </w:p>
    <w:p>
      <w:pPr>
        <w:ind w:left="720" w:right="4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78">
        <w:r>
          <w:rPr>
            <w:rFonts w:ascii="Times New Roman" w:cs="Times New Roman" w:eastAsia="Times New Roman" w:hAnsi="Times New Roman"/>
            <w:sz w:val="18"/>
            <w:szCs w:val="18"/>
            <w:u w:val="single" w:color="auto"/>
            <w:color w:val="0000EE"/>
          </w:rPr>
          <w:t>Amendment to the Stock Escrow Agreement, dated May 24, 2021, among BRPA, Continental Stock</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Transfer &amp; Trust Company, and the stockholder parties thereto</w:t>
        </w:r>
      </w:hyperlink>
    </w:p>
    <w:p>
      <w:pPr>
        <w:spacing w:after="0" w:line="162" w:lineRule="exact"/>
        <w:rPr>
          <w:sz w:val="20"/>
          <w:szCs w:val="20"/>
          <w:color w:val="auto"/>
        </w:rPr>
      </w:pPr>
    </w:p>
    <w:p>
      <w:pPr>
        <w:ind w:left="720" w:right="58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79">
        <w:r>
          <w:rPr>
            <w:rFonts w:ascii="Times New Roman" w:cs="Times New Roman" w:eastAsia="Times New Roman" w:hAnsi="Times New Roman"/>
            <w:sz w:val="18"/>
            <w:szCs w:val="18"/>
            <w:u w:val="single" w:color="auto"/>
            <w:color w:val="0000EE"/>
          </w:rPr>
          <w:t>Lock-up Agreement, dated May 24, 2021, by and between BRPA and the stockholder parties</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identified therein</w:t>
        </w:r>
      </w:hyperlink>
    </w:p>
    <w:p>
      <w:pPr>
        <w:spacing w:after="0" w:line="162" w:lineRule="exact"/>
        <w:rPr>
          <w:sz w:val="20"/>
          <w:szCs w:val="20"/>
          <w:color w:val="auto"/>
        </w:rPr>
      </w:pPr>
    </w:p>
    <w:p>
      <w:pPr>
        <w:ind w:left="720" w:right="140" w:hanging="701"/>
        <w:spacing w:after="0" w:line="266"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80">
        <w:r>
          <w:rPr>
            <w:rFonts w:ascii="Times New Roman" w:cs="Times New Roman" w:eastAsia="Times New Roman" w:hAnsi="Times New Roman"/>
            <w:sz w:val="18"/>
            <w:szCs w:val="18"/>
            <w:u w:val="single" w:color="auto"/>
            <w:color w:val="0000EE"/>
          </w:rPr>
          <w:t>Registration Rights Agreement, dated May 24, 2021, by and among NRx Pharmaceuticals, Inc.,</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certain equityholders of the Registrant named therein and certain equityholders of NeuroRx named</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therein</w:t>
        </w:r>
      </w:hyperlink>
    </w:p>
    <w:p>
      <w:pPr>
        <w:spacing w:after="0" w:line="176" w:lineRule="exact"/>
        <w:rPr>
          <w:rFonts w:ascii="Times New Roman" w:cs="Times New Roman" w:eastAsia="Times New Roman" w:hAnsi="Times New Roman"/>
          <w:sz w:val="18"/>
          <w:szCs w:val="18"/>
          <w:u w:val="single" w:color="auto"/>
          <w:color w:val="0000EE"/>
        </w:rPr>
      </w:pPr>
    </w:p>
    <w:p>
      <w:pPr>
        <w:ind w:left="720" w:right="34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81">
        <w:r>
          <w:rPr>
            <w:rFonts w:ascii="Times New Roman" w:cs="Times New Roman" w:eastAsia="Times New Roman" w:hAnsi="Times New Roman"/>
            <w:sz w:val="18"/>
            <w:szCs w:val="18"/>
            <w:u w:val="single" w:color="auto"/>
            <w:color w:val="0000EE"/>
          </w:rPr>
          <w:t>Sponsor Agreement, dated May 24, 2021, by and among BRPA, the Big Rock Partners Sponsor,</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LLC, and BRAC Lending Group LLC</w:t>
        </w:r>
      </w:hyperlink>
    </w:p>
    <w:p>
      <w:pPr>
        <w:spacing w:after="0" w:line="162" w:lineRule="exact"/>
        <w:rPr>
          <w:sz w:val="20"/>
          <w:szCs w:val="20"/>
          <w:color w:val="auto"/>
        </w:rPr>
      </w:pPr>
    </w:p>
    <w:p>
      <w:pPr>
        <w:spacing w:after="0"/>
        <w:tabs>
          <w:tab w:leader="none" w:pos="7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82">
        <w:r>
          <w:rPr>
            <w:rFonts w:ascii="Times New Roman" w:cs="Times New Roman" w:eastAsia="Times New Roman" w:hAnsi="Times New Roman"/>
            <w:sz w:val="17"/>
            <w:szCs w:val="17"/>
            <w:u w:val="single" w:color="auto"/>
            <w:color w:val="0000EE"/>
          </w:rPr>
          <w:t>NRx Pharmaceuticals, Inc. 2021 Omnibus Incentive Plan</w:t>
        </w:r>
      </w:hyperlink>
    </w:p>
    <w:p>
      <w:pPr>
        <w:spacing w:after="0" w:line="225" w:lineRule="exact"/>
        <w:rPr>
          <w:sz w:val="20"/>
          <w:szCs w:val="20"/>
          <w:color w:val="auto"/>
        </w:rPr>
      </w:pPr>
    </w:p>
    <w:p>
      <w:pPr>
        <w:spacing w:after="0"/>
        <w:tabs>
          <w:tab w:leader="none" w:pos="7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83">
        <w:r>
          <w:rPr>
            <w:rFonts w:ascii="Times New Roman" w:cs="Times New Roman" w:eastAsia="Times New Roman" w:hAnsi="Times New Roman"/>
            <w:sz w:val="17"/>
            <w:szCs w:val="17"/>
            <w:u w:val="single" w:color="auto"/>
            <w:color w:val="0000EE"/>
          </w:rPr>
          <w:t>Form of Subscription Agreement</w:t>
        </w:r>
      </w:hyperlink>
    </w:p>
    <w:p>
      <w:pPr>
        <w:spacing w:after="0" w:line="225" w:lineRule="exact"/>
        <w:rPr>
          <w:sz w:val="20"/>
          <w:szCs w:val="20"/>
          <w:color w:val="auto"/>
        </w:rPr>
      </w:pPr>
    </w:p>
    <w:p>
      <w:pPr>
        <w:spacing w:after="0"/>
        <w:tabs>
          <w:tab w:leader="none" w:pos="7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84">
        <w:r>
          <w:rPr>
            <w:rFonts w:ascii="Times New Roman" w:cs="Times New Roman" w:eastAsia="Times New Roman" w:hAnsi="Times New Roman"/>
            <w:sz w:val="17"/>
            <w:szCs w:val="17"/>
            <w:u w:val="single" w:color="auto"/>
            <w:color w:val="0000EE"/>
          </w:rPr>
          <w:t>Development and License Agreement, dated as of May 2, 2016, between Glytech LLC and NeuroRx</w:t>
        </w:r>
      </w:hyperlink>
    </w:p>
    <w:p>
      <w:pPr>
        <w:spacing w:after="0" w:line="225" w:lineRule="exact"/>
        <w:rPr>
          <w:sz w:val="20"/>
          <w:szCs w:val="20"/>
          <w:color w:val="auto"/>
        </w:rPr>
      </w:pPr>
    </w:p>
    <w:p>
      <w:pPr>
        <w:ind w:left="720" w:right="54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85">
        <w:r>
          <w:rPr>
            <w:rFonts w:ascii="Times New Roman" w:cs="Times New Roman" w:eastAsia="Times New Roman" w:hAnsi="Times New Roman"/>
            <w:sz w:val="18"/>
            <w:szCs w:val="18"/>
            <w:u w:val="single" w:color="auto"/>
            <w:color w:val="0000EE"/>
          </w:rPr>
          <w:t>Amendment to Development and License Agreement, dated as of October 19, 2016, between</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Glytech LLC and NeuroRx</w:t>
        </w:r>
      </w:hyperlink>
    </w:p>
    <w:p>
      <w:pPr>
        <w:spacing w:after="0" w:line="162" w:lineRule="exact"/>
        <w:rPr>
          <w:sz w:val="20"/>
          <w:szCs w:val="20"/>
          <w:color w:val="auto"/>
        </w:rPr>
      </w:pPr>
    </w:p>
    <w:p>
      <w:pPr>
        <w:ind w:left="720" w:right="24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86">
        <w:r>
          <w:rPr>
            <w:rFonts w:ascii="Times New Roman" w:cs="Times New Roman" w:eastAsia="Times New Roman" w:hAnsi="Times New Roman"/>
            <w:sz w:val="18"/>
            <w:szCs w:val="18"/>
            <w:u w:val="single" w:color="auto"/>
            <w:color w:val="0000EE"/>
          </w:rPr>
          <w:t>Second Amendment to Amended and Restated Development and License Agreement, dated as of</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June 13, 2018, between Glytech LLC and NeuroRx</w:t>
        </w:r>
      </w:hyperlink>
    </w:p>
    <w:p>
      <w:pPr>
        <w:spacing w:after="0" w:line="162" w:lineRule="exact"/>
        <w:rPr>
          <w:sz w:val="20"/>
          <w:szCs w:val="20"/>
          <w:color w:val="auto"/>
        </w:rPr>
      </w:pPr>
    </w:p>
    <w:p>
      <w:pPr>
        <w:ind w:left="720" w:right="38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87">
        <w:r>
          <w:rPr>
            <w:rFonts w:ascii="Times New Roman" w:cs="Times New Roman" w:eastAsia="Times New Roman" w:hAnsi="Times New Roman"/>
            <w:sz w:val="18"/>
            <w:szCs w:val="18"/>
            <w:u w:val="single" w:color="auto"/>
            <w:color w:val="0000EE"/>
          </w:rPr>
          <w:t>Third Amendment to Amended and Restated Development and License Agreement, dated as of</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April 16, 2019, between Glytech LLC and NeuroRx</w:t>
        </w:r>
      </w:hyperlink>
    </w:p>
    <w:p>
      <w:pPr>
        <w:spacing w:after="0" w:line="162" w:lineRule="exact"/>
        <w:rPr>
          <w:sz w:val="20"/>
          <w:szCs w:val="20"/>
          <w:color w:val="auto"/>
        </w:rPr>
      </w:pPr>
    </w:p>
    <w:p>
      <w:pPr>
        <w:ind w:left="720" w:right="30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88">
        <w:r>
          <w:rPr>
            <w:rFonts w:ascii="Times New Roman" w:cs="Times New Roman" w:eastAsia="Times New Roman" w:hAnsi="Times New Roman"/>
            <w:sz w:val="18"/>
            <w:szCs w:val="18"/>
            <w:u w:val="single" w:color="auto"/>
            <w:color w:val="0000EE"/>
          </w:rPr>
          <w:t>Fourth Amendment to Amended and Restated Development and License Agreement, dated as of</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December 31, 2020, between Glytech LLC and NeuroRx</w:t>
        </w:r>
      </w:hyperlink>
    </w:p>
    <w:p>
      <w:pPr>
        <w:spacing w:after="0" w:line="162" w:lineRule="exact"/>
        <w:rPr>
          <w:sz w:val="20"/>
          <w:szCs w:val="20"/>
          <w:color w:val="auto"/>
        </w:rPr>
      </w:pPr>
    </w:p>
    <w:p>
      <w:pPr>
        <w:ind w:left="720" w:right="44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89">
        <w:r>
          <w:rPr>
            <w:rFonts w:ascii="Times New Roman" w:cs="Times New Roman" w:eastAsia="Times New Roman" w:hAnsi="Times New Roman"/>
            <w:sz w:val="18"/>
            <w:szCs w:val="18"/>
            <w:u w:val="single" w:color="auto"/>
            <w:color w:val="0000EE"/>
          </w:rPr>
          <w:t>Exclusive License Agreement, dated as of April 16, 2019, by and between NeuroRx and Sarah</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Herzog Memorial Hospital Ezrat Nashim</w:t>
        </w:r>
      </w:hyperlink>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tabs>
          <w:tab w:leader="none" w:pos="740" w:val="left"/>
          <w:tab w:leader="none" w:pos="1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8/24/2021</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 w:leader="none" w:pos="1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8/24/2021</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 w:leader="none" w:pos="1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8/24/2021</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 w:leader="none" w:pos="1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8/24/2021</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 w:leader="none" w:pos="12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11/22/2017</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 w:leader="none" w:pos="12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11/22/2017</w:t>
      </w:r>
    </w:p>
    <w:p>
      <w:pPr>
        <w:spacing w:after="0" w:line="225" w:lineRule="exact"/>
        <w:rPr>
          <w:sz w:val="20"/>
          <w:szCs w:val="20"/>
          <w:color w:val="auto"/>
        </w:rPr>
      </w:pPr>
    </w:p>
    <w:p>
      <w:pPr>
        <w:spacing w:after="0"/>
        <w:tabs>
          <w:tab w:leader="none" w:pos="740" w:val="left"/>
          <w:tab w:leader="none" w:pos="12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11/20/2018</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 w:leader="none" w:pos="12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11/20/2018</w:t>
      </w:r>
    </w:p>
    <w:p>
      <w:pPr>
        <w:spacing w:after="0" w:line="225" w:lineRule="exact"/>
        <w:rPr>
          <w:sz w:val="20"/>
          <w:szCs w:val="20"/>
          <w:color w:val="auto"/>
        </w:rPr>
      </w:pPr>
    </w:p>
    <w:p>
      <w:pPr>
        <w:spacing w:after="0"/>
        <w:tabs>
          <w:tab w:leader="none" w:pos="740" w:val="left"/>
          <w:tab w:leader="none" w:pos="12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11/20/2018</w:t>
      </w:r>
    </w:p>
    <w:p>
      <w:pPr>
        <w:spacing w:after="0" w:line="225" w:lineRule="exact"/>
        <w:rPr>
          <w:sz w:val="20"/>
          <w:szCs w:val="20"/>
          <w:color w:val="auto"/>
        </w:rPr>
      </w:pPr>
    </w:p>
    <w:p>
      <w:pPr>
        <w:spacing w:after="0"/>
        <w:tabs>
          <w:tab w:leader="none" w:pos="740" w:val="left"/>
          <w:tab w:leader="none" w:pos="1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5/28/2021</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 w:leader="none" w:pos="1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5/28/2021</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 w:leader="none" w:pos="1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color w:val="auto"/>
        </w:rPr>
        <w:t>5/28/2021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40" w:val="left"/>
          <w:tab w:leader="none" w:pos="1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color w:val="auto"/>
        </w:rPr>
        <w:t>5/28/2021</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80" w:val="left"/>
          <w:tab w:leader="none" w:pos="1320" w:val="left"/>
        </w:tabs>
        <w:rPr>
          <w:sz w:val="20"/>
          <w:szCs w:val="20"/>
          <w:color w:val="auto"/>
        </w:rPr>
      </w:pPr>
      <w:r>
        <w:rPr>
          <w:rFonts w:ascii="Times New Roman" w:cs="Times New Roman" w:eastAsia="Times New Roman" w:hAnsi="Times New Roman"/>
          <w:sz w:val="18"/>
          <w:szCs w:val="18"/>
          <w:color w:val="auto"/>
        </w:rPr>
        <w:t>S-4</w:t>
      </w:r>
      <w:r>
        <w:rPr>
          <w:sz w:val="20"/>
          <w:szCs w:val="20"/>
          <w:color w:val="auto"/>
        </w:rPr>
        <w:tab/>
      </w: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7"/>
          <w:szCs w:val="17"/>
          <w:color w:val="auto"/>
        </w:rPr>
        <w:t>5/21/2021</w:t>
      </w:r>
    </w:p>
    <w:p>
      <w:pPr>
        <w:spacing w:after="0" w:line="225" w:lineRule="exact"/>
        <w:rPr>
          <w:sz w:val="20"/>
          <w:szCs w:val="20"/>
          <w:color w:val="auto"/>
        </w:rPr>
      </w:pPr>
    </w:p>
    <w:p>
      <w:pPr>
        <w:spacing w:after="0"/>
        <w:tabs>
          <w:tab w:leader="none" w:pos="740" w:val="left"/>
          <w:tab w:leader="none" w:pos="13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3/15/2021</w:t>
      </w:r>
    </w:p>
    <w:p>
      <w:pPr>
        <w:spacing w:after="0" w:line="225" w:lineRule="exact"/>
        <w:rPr>
          <w:sz w:val="20"/>
          <w:szCs w:val="20"/>
          <w:color w:val="auto"/>
        </w:rPr>
      </w:pPr>
    </w:p>
    <w:p>
      <w:pPr>
        <w:ind w:left="20"/>
        <w:spacing w:after="0"/>
        <w:tabs>
          <w:tab w:leader="none" w:pos="680" w:val="left"/>
          <w:tab w:leader="none" w:pos="1320" w:val="left"/>
        </w:tabs>
        <w:rPr>
          <w:sz w:val="20"/>
          <w:szCs w:val="20"/>
          <w:color w:val="auto"/>
        </w:rPr>
      </w:pPr>
      <w:r>
        <w:rPr>
          <w:rFonts w:ascii="Times New Roman" w:cs="Times New Roman" w:eastAsia="Times New Roman" w:hAnsi="Times New Roman"/>
          <w:sz w:val="18"/>
          <w:szCs w:val="18"/>
          <w:color w:val="auto"/>
        </w:rPr>
        <w:t>S-4</w:t>
      </w:r>
      <w:r>
        <w:rPr>
          <w:sz w:val="20"/>
          <w:szCs w:val="20"/>
          <w:color w:val="auto"/>
        </w:rPr>
        <w:tab/>
      </w: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7"/>
          <w:szCs w:val="17"/>
          <w:color w:val="auto"/>
        </w:rPr>
        <w:t>5/21/2021</w:t>
      </w:r>
    </w:p>
    <w:p>
      <w:pPr>
        <w:spacing w:after="0" w:line="225" w:lineRule="exact"/>
        <w:rPr>
          <w:sz w:val="20"/>
          <w:szCs w:val="20"/>
          <w:color w:val="auto"/>
        </w:rPr>
      </w:pPr>
    </w:p>
    <w:p>
      <w:pPr>
        <w:ind w:left="20"/>
        <w:spacing w:after="0"/>
        <w:tabs>
          <w:tab w:leader="none" w:pos="680" w:val="left"/>
          <w:tab w:leader="none" w:pos="1320" w:val="left"/>
        </w:tabs>
        <w:rPr>
          <w:sz w:val="20"/>
          <w:szCs w:val="20"/>
          <w:color w:val="auto"/>
        </w:rPr>
      </w:pPr>
      <w:r>
        <w:rPr>
          <w:rFonts w:ascii="Times New Roman" w:cs="Times New Roman" w:eastAsia="Times New Roman" w:hAnsi="Times New Roman"/>
          <w:sz w:val="18"/>
          <w:szCs w:val="18"/>
          <w:color w:val="auto"/>
        </w:rPr>
        <w:t>S-4</w:t>
      </w:r>
      <w:r>
        <w:rPr>
          <w:sz w:val="20"/>
          <w:szCs w:val="20"/>
          <w:color w:val="auto"/>
        </w:rPr>
        <w:tab/>
      </w: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7"/>
          <w:szCs w:val="17"/>
          <w:color w:val="auto"/>
        </w:rPr>
        <w:t>5/21/2021</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80" w:val="left"/>
          <w:tab w:leader="none" w:pos="1320" w:val="left"/>
        </w:tabs>
        <w:rPr>
          <w:sz w:val="20"/>
          <w:szCs w:val="20"/>
          <w:color w:val="auto"/>
        </w:rPr>
      </w:pPr>
      <w:r>
        <w:rPr>
          <w:rFonts w:ascii="Times New Roman" w:cs="Times New Roman" w:eastAsia="Times New Roman" w:hAnsi="Times New Roman"/>
          <w:sz w:val="18"/>
          <w:szCs w:val="18"/>
          <w:color w:val="auto"/>
        </w:rPr>
        <w:t>S-4</w:t>
      </w:r>
      <w:r>
        <w:rPr>
          <w:sz w:val="20"/>
          <w:szCs w:val="20"/>
          <w:color w:val="auto"/>
        </w:rPr>
        <w:tab/>
      </w: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7"/>
          <w:szCs w:val="17"/>
          <w:color w:val="auto"/>
        </w:rPr>
        <w:t>5/21/2021</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80" w:val="left"/>
          <w:tab w:leader="none" w:pos="1320" w:val="left"/>
        </w:tabs>
        <w:rPr>
          <w:sz w:val="20"/>
          <w:szCs w:val="20"/>
          <w:color w:val="auto"/>
        </w:rPr>
      </w:pPr>
      <w:r>
        <w:rPr>
          <w:rFonts w:ascii="Times New Roman" w:cs="Times New Roman" w:eastAsia="Times New Roman" w:hAnsi="Times New Roman"/>
          <w:sz w:val="18"/>
          <w:szCs w:val="18"/>
          <w:color w:val="auto"/>
        </w:rPr>
        <w:t>S-4</w:t>
      </w:r>
      <w:r>
        <w:rPr>
          <w:sz w:val="20"/>
          <w:szCs w:val="20"/>
          <w:color w:val="auto"/>
        </w:rPr>
        <w:tab/>
      </w: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7"/>
          <w:szCs w:val="17"/>
          <w:color w:val="auto"/>
        </w:rPr>
        <w:t>5/21/2021</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80" w:val="left"/>
          <w:tab w:leader="none" w:pos="1320" w:val="left"/>
        </w:tabs>
        <w:rPr>
          <w:sz w:val="20"/>
          <w:szCs w:val="20"/>
          <w:color w:val="auto"/>
        </w:rPr>
      </w:pPr>
      <w:r>
        <w:rPr>
          <w:rFonts w:ascii="Times New Roman" w:cs="Times New Roman" w:eastAsia="Times New Roman" w:hAnsi="Times New Roman"/>
          <w:sz w:val="18"/>
          <w:szCs w:val="18"/>
          <w:color w:val="auto"/>
        </w:rPr>
        <w:t>S-4</w:t>
      </w:r>
      <w:r>
        <w:rPr>
          <w:sz w:val="20"/>
          <w:szCs w:val="20"/>
          <w:color w:val="auto"/>
        </w:rPr>
        <w:tab/>
      </w: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7"/>
          <w:szCs w:val="17"/>
          <w:color w:val="auto"/>
        </w:rPr>
        <w:t>5/21/2021</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80" w:val="left"/>
          <w:tab w:leader="none" w:pos="1320" w:val="left"/>
        </w:tabs>
        <w:rPr>
          <w:sz w:val="20"/>
          <w:szCs w:val="20"/>
          <w:color w:val="auto"/>
        </w:rPr>
      </w:pPr>
      <w:r>
        <w:rPr>
          <w:rFonts w:ascii="Times New Roman" w:cs="Times New Roman" w:eastAsia="Times New Roman" w:hAnsi="Times New Roman"/>
          <w:sz w:val="18"/>
          <w:szCs w:val="18"/>
          <w:color w:val="auto"/>
        </w:rPr>
        <w:t>S-4</w:t>
      </w:r>
      <w:r>
        <w:rPr>
          <w:sz w:val="20"/>
          <w:szCs w:val="20"/>
          <w:color w:val="auto"/>
        </w:rPr>
        <w:tab/>
      </w: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7"/>
          <w:szCs w:val="17"/>
          <w:color w:val="auto"/>
        </w:rPr>
        <w:t>5/21/2021</w:t>
      </w:r>
    </w:p>
    <w:p>
      <w:pPr>
        <w:sectPr>
          <w:pgSz w:w="11900" w:h="16838" w:orient="portrait"/>
          <w:cols w:equalWidth="0" w:num="2">
            <w:col w:w="7960" w:space="340"/>
            <w:col w:w="2120"/>
          </w:cols>
          <w:pgMar w:left="320" w:top="121" w:right="115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81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7120" w:type="dxa"/>
            <w:vAlign w:val="bottom"/>
            <w:tcBorders>
              <w:bottom w:val="single" w:sz="8" w:color="0000EE"/>
            </w:tcBorders>
            <w:gridSpan w:val="27"/>
          </w:tcPr>
          <w:p>
            <w:pPr>
              <w:ind w:left="20"/>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License and Option Agreement, dated as of September 1, 2020, between The Research Foundation</w:t>
              </w:r>
            </w:hyperlink>
          </w:p>
        </w:tc>
        <w:tc>
          <w:tcPr>
            <w:tcW w:w="300" w:type="dxa"/>
            <w:vAlign w:val="bottom"/>
            <w:gridSpan w:val="7"/>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10.30</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196"/>
        </w:trPr>
        <w:tc>
          <w:tcPr>
            <w:tcW w:w="700" w:type="dxa"/>
            <w:vAlign w:val="bottom"/>
          </w:tcPr>
          <w:p>
            <w:pPr>
              <w:spacing w:after="0"/>
              <w:rPr>
                <w:sz w:val="17"/>
                <w:szCs w:val="17"/>
                <w:color w:val="auto"/>
              </w:rPr>
            </w:pPr>
          </w:p>
        </w:tc>
        <w:tc>
          <w:tcPr>
            <w:tcW w:w="378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For The State University of New York and NeuroRx</w:t>
              </w:r>
            </w:hyperlink>
          </w:p>
        </w:tc>
        <w:tc>
          <w:tcPr>
            <w:tcW w:w="3640" w:type="dxa"/>
            <w:vAlign w:val="bottom"/>
            <w:gridSpan w:val="21"/>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6980" w:type="dxa"/>
            <w:vAlign w:val="bottom"/>
            <w:tcBorders>
              <w:bottom w:val="single" w:sz="8" w:color="0000EE"/>
            </w:tcBorders>
            <w:gridSpan w:val="21"/>
          </w:tcPr>
          <w:p>
            <w:pPr>
              <w:ind w:left="20"/>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Binding Collaboration Agreement, dated as of September 18, 2020, between Relief Therapeutics</w:t>
              </w:r>
            </w:hyperlink>
          </w:p>
        </w:tc>
        <w:tc>
          <w:tcPr>
            <w:tcW w:w="440" w:type="dxa"/>
            <w:vAlign w:val="bottom"/>
            <w:gridSpan w:val="13"/>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10.31</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196"/>
        </w:trPr>
        <w:tc>
          <w:tcPr>
            <w:tcW w:w="700" w:type="dxa"/>
            <w:vAlign w:val="bottom"/>
          </w:tcPr>
          <w:p>
            <w:pPr>
              <w:spacing w:after="0"/>
              <w:rPr>
                <w:sz w:val="17"/>
                <w:szCs w:val="17"/>
                <w:color w:val="auto"/>
              </w:rPr>
            </w:pPr>
          </w:p>
        </w:tc>
        <w:tc>
          <w:tcPr>
            <w:tcW w:w="6140" w:type="dxa"/>
            <w:vAlign w:val="bottom"/>
            <w:tcBorders>
              <w:bottom w:val="single" w:sz="8" w:color="0000EE"/>
            </w:tcBorders>
            <w:gridSpan w:val="19"/>
          </w:tcPr>
          <w:p>
            <w:pPr>
              <w:ind w:left="20"/>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Holding Aktiengesellschaft and its wholly owned subsidiary Therametrics Discovery</w:t>
              </w:r>
            </w:hyperlink>
          </w:p>
        </w:tc>
        <w:tc>
          <w:tcPr>
            <w:tcW w:w="1280" w:type="dxa"/>
            <w:vAlign w:val="bottom"/>
            <w:gridSpan w:val="15"/>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236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Aktiengesellschaft and NeuroRx</w:t>
              </w:r>
            </w:hyperlink>
          </w:p>
        </w:tc>
        <w:tc>
          <w:tcPr>
            <w:tcW w:w="5060" w:type="dxa"/>
            <w:vAlign w:val="bottom"/>
            <w:gridSpan w:val="28"/>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7240" w:type="dxa"/>
            <w:vAlign w:val="bottom"/>
            <w:tcBorders>
              <w:bottom w:val="single" w:sz="8" w:color="0000EE"/>
            </w:tcBorders>
            <w:gridSpan w:val="32"/>
          </w:tcPr>
          <w:p>
            <w:pPr>
              <w:ind w:left="20"/>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Exclusive Distribution Agreement, dated as of September 25, 2020, between NeuroRx and Cardinal</w:t>
              </w:r>
            </w:hyperlink>
          </w:p>
        </w:tc>
        <w:tc>
          <w:tcPr>
            <w:tcW w:w="180" w:type="dxa"/>
            <w:vAlign w:val="bottom"/>
            <w:gridSpan w:val="2"/>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10.32</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196"/>
        </w:trPr>
        <w:tc>
          <w:tcPr>
            <w:tcW w:w="700" w:type="dxa"/>
            <w:vAlign w:val="bottom"/>
          </w:tcPr>
          <w:p>
            <w:pPr>
              <w:spacing w:after="0"/>
              <w:rPr>
                <w:sz w:val="17"/>
                <w:szCs w:val="17"/>
                <w:color w:val="auto"/>
              </w:rPr>
            </w:pPr>
          </w:p>
        </w:tc>
        <w:tc>
          <w:tcPr>
            <w:tcW w:w="118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Health 105, Inc.</w:t>
              </w:r>
            </w:hyperlink>
          </w:p>
        </w:tc>
        <w:tc>
          <w:tcPr>
            <w:tcW w:w="6240" w:type="dxa"/>
            <w:vAlign w:val="bottom"/>
            <w:gridSpan w:val="31"/>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7420" w:type="dxa"/>
            <w:vAlign w:val="bottom"/>
            <w:gridSpan w:val="34"/>
          </w:tcPr>
          <w:p>
            <w:pPr>
              <w:ind w:left="20"/>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Executive Employment Agreement, dated May 20, 2015, between NeuroRx and Jonathan C. Javitt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10.33</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7020" w:type="dxa"/>
            <w:vAlign w:val="bottom"/>
            <w:tcBorders>
              <w:top w:val="single" w:sz="8" w:color="0000EE"/>
              <w:bottom w:val="single" w:sz="8" w:color="0000EE"/>
            </w:tcBorders>
            <w:gridSpan w:val="22"/>
          </w:tcPr>
          <w:p>
            <w:pPr>
              <w:ind w:left="20"/>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Amendment to “Work for Hire” Agreement, dated as of October 23, 2016, between NeuroRx and</w:t>
              </w:r>
            </w:hyperlink>
          </w:p>
        </w:tc>
        <w:tc>
          <w:tcPr>
            <w:tcW w:w="80" w:type="dxa"/>
            <w:vAlign w:val="bottom"/>
            <w:tcBorders>
              <w:top w:val="single" w:sz="8" w:color="0000EE"/>
            </w:tcBorders>
            <w:gridSpan w:val="4"/>
          </w:tcPr>
          <w:p>
            <w:pPr>
              <w:spacing w:after="0"/>
              <w:rPr>
                <w:sz w:val="24"/>
                <w:szCs w:val="24"/>
                <w:color w:val="auto"/>
              </w:rPr>
            </w:pPr>
          </w:p>
        </w:tc>
        <w:tc>
          <w:tcPr>
            <w:tcW w:w="320" w:type="dxa"/>
            <w:vAlign w:val="bottom"/>
            <w:gridSpan w:val="8"/>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10.35</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196"/>
        </w:trPr>
        <w:tc>
          <w:tcPr>
            <w:tcW w:w="700" w:type="dxa"/>
            <w:vAlign w:val="bottom"/>
          </w:tcPr>
          <w:p>
            <w:pPr>
              <w:spacing w:after="0"/>
              <w:rPr>
                <w:sz w:val="17"/>
                <w:szCs w:val="17"/>
                <w:color w:val="auto"/>
              </w:rPr>
            </w:pPr>
          </w:p>
        </w:tc>
        <w:tc>
          <w:tcPr>
            <w:tcW w:w="316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20REBes Consulting LLC - Robert Besthof</w:t>
              </w:r>
            </w:hyperlink>
          </w:p>
        </w:tc>
        <w:tc>
          <w:tcPr>
            <w:tcW w:w="4260" w:type="dxa"/>
            <w:vAlign w:val="bottom"/>
            <w:gridSpan w:val="26"/>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7420" w:type="dxa"/>
            <w:vAlign w:val="bottom"/>
            <w:gridSpan w:val="34"/>
          </w:tcPr>
          <w:p>
            <w:pPr>
              <w:ind w:left="20"/>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Feasibility Study and Material Transfer Agreement, dated as of January 6, 2021, by and between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10.37</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196"/>
        </w:trPr>
        <w:tc>
          <w:tcPr>
            <w:tcW w:w="70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NeuroRx and TFF Pharmaceuticals, Inc.</w:t>
              </w:r>
            </w:hyperlink>
          </w:p>
        </w:tc>
        <w:tc>
          <w:tcPr>
            <w:tcW w:w="4040" w:type="dxa"/>
            <w:vAlign w:val="bottom"/>
            <w:tcBorders>
              <w:top w:val="single" w:sz="8" w:color="0000EE"/>
            </w:tcBorders>
            <w:gridSpan w:val="13"/>
          </w:tcPr>
          <w:p>
            <w:pPr>
              <w:spacing w:after="0"/>
              <w:rPr>
                <w:sz w:val="17"/>
                <w:szCs w:val="17"/>
                <w:color w:val="auto"/>
              </w:rPr>
            </w:pPr>
          </w:p>
        </w:tc>
        <w:tc>
          <w:tcPr>
            <w:tcW w:w="46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7420" w:type="dxa"/>
            <w:vAlign w:val="bottom"/>
            <w:gridSpan w:val="34"/>
          </w:tcPr>
          <w:p>
            <w:pPr>
              <w:ind w:left="20"/>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Manufacturing Supply Agreement, dated as of August 25, 2020, by and among NeuroRx, Nephron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10.38</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196"/>
        </w:trPr>
        <w:tc>
          <w:tcPr>
            <w:tcW w:w="700" w:type="dxa"/>
            <w:vAlign w:val="bottom"/>
          </w:tcPr>
          <w:p>
            <w:pPr>
              <w:spacing w:after="0"/>
              <w:rPr>
                <w:sz w:val="17"/>
                <w:szCs w:val="17"/>
                <w:color w:val="auto"/>
              </w:rPr>
            </w:pPr>
          </w:p>
        </w:tc>
        <w:tc>
          <w:tcPr>
            <w:tcW w:w="7120" w:type="dxa"/>
            <w:vAlign w:val="bottom"/>
            <w:tcBorders>
              <w:top w:val="single" w:sz="8" w:color="0000EE"/>
            </w:tcBorders>
            <w:gridSpan w:val="27"/>
          </w:tcPr>
          <w:p>
            <w:pPr>
              <w:ind w:left="20"/>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SC, Inc. and Nephron Pharmaceutical Corporation</w:t>
              </w:r>
            </w:hyperlink>
          </w:p>
        </w:tc>
        <w:tc>
          <w:tcPr>
            <w:tcW w:w="30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7240" w:type="dxa"/>
            <w:vAlign w:val="bottom"/>
            <w:tcBorders>
              <w:bottom w:val="single" w:sz="8" w:color="0000EE"/>
            </w:tcBorders>
            <w:gridSpan w:val="32"/>
          </w:tcPr>
          <w:p>
            <w:pPr>
              <w:ind w:left="20"/>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Amendment #1 to Manufacturing Supply Agreement, dated as of September 2, 2020, by and among</w:t>
              </w:r>
            </w:hyperlink>
          </w:p>
        </w:tc>
        <w:tc>
          <w:tcPr>
            <w:tcW w:w="180" w:type="dxa"/>
            <w:vAlign w:val="bottom"/>
            <w:gridSpan w:val="2"/>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10.39</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196"/>
        </w:trPr>
        <w:tc>
          <w:tcPr>
            <w:tcW w:w="700" w:type="dxa"/>
            <w:vAlign w:val="bottom"/>
          </w:tcPr>
          <w:p>
            <w:pPr>
              <w:spacing w:after="0"/>
              <w:rPr>
                <w:sz w:val="17"/>
                <w:szCs w:val="17"/>
                <w:color w:val="auto"/>
              </w:rPr>
            </w:pPr>
          </w:p>
        </w:tc>
        <w:tc>
          <w:tcPr>
            <w:tcW w:w="5080" w:type="dxa"/>
            <w:vAlign w:val="bottom"/>
            <w:tcBorders>
              <w:bottom w:val="single" w:sz="8" w:color="0000EE"/>
            </w:tcBorders>
            <w:gridSpan w:val="17"/>
          </w:tcPr>
          <w:p>
            <w:pPr>
              <w:ind w:left="20"/>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NeuroRx, Nephron SC, Inc. and Nephron Pharmaceutical Corporation</w:t>
              </w:r>
            </w:hyperlink>
          </w:p>
        </w:tc>
        <w:tc>
          <w:tcPr>
            <w:tcW w:w="234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7220" w:type="dxa"/>
            <w:vAlign w:val="bottom"/>
            <w:tcBorders>
              <w:bottom w:val="single" w:sz="8" w:color="0000EE"/>
            </w:tcBorders>
            <w:gridSpan w:val="31"/>
          </w:tcPr>
          <w:p>
            <w:pPr>
              <w:ind w:left="20"/>
              <w:spacing w:after="0"/>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Amendment #2 to Manufacturing Supply Agreement, dated as of November 5, 2020, by and among</w:t>
              </w:r>
            </w:hyperlink>
          </w:p>
        </w:tc>
        <w:tc>
          <w:tcPr>
            <w:tcW w:w="200" w:type="dxa"/>
            <w:vAlign w:val="bottom"/>
            <w:gridSpan w:val="3"/>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10.40</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196"/>
        </w:trPr>
        <w:tc>
          <w:tcPr>
            <w:tcW w:w="700" w:type="dxa"/>
            <w:vAlign w:val="bottom"/>
          </w:tcPr>
          <w:p>
            <w:pPr>
              <w:spacing w:after="0"/>
              <w:rPr>
                <w:sz w:val="17"/>
                <w:szCs w:val="17"/>
                <w:color w:val="auto"/>
              </w:rPr>
            </w:pPr>
          </w:p>
        </w:tc>
        <w:tc>
          <w:tcPr>
            <w:tcW w:w="5080" w:type="dxa"/>
            <w:vAlign w:val="bottom"/>
            <w:tcBorders>
              <w:bottom w:val="single" w:sz="8" w:color="0000EE"/>
            </w:tcBorders>
            <w:gridSpan w:val="17"/>
          </w:tcPr>
          <w:p>
            <w:pPr>
              <w:ind w:left="20"/>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NeuroRx, Nephron SC, Inc. and Nephron Pharmaceutical Corporation</w:t>
              </w:r>
            </w:hyperlink>
          </w:p>
        </w:tc>
        <w:tc>
          <w:tcPr>
            <w:tcW w:w="234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7420" w:type="dxa"/>
            <w:vAlign w:val="bottom"/>
            <w:gridSpan w:val="34"/>
          </w:tcPr>
          <w:p>
            <w:pPr>
              <w:ind w:left="20"/>
              <w:spacing w:after="0"/>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Amendment #3 to Manufacturing Supply Agreement, dated as of February 5, 2021, by and among</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10.41</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196"/>
        </w:trPr>
        <w:tc>
          <w:tcPr>
            <w:tcW w:w="700" w:type="dxa"/>
            <w:vAlign w:val="bottom"/>
          </w:tcPr>
          <w:p>
            <w:pPr>
              <w:spacing w:after="0"/>
              <w:rPr>
                <w:sz w:val="17"/>
                <w:szCs w:val="17"/>
                <w:color w:val="auto"/>
              </w:rPr>
            </w:pPr>
          </w:p>
        </w:tc>
        <w:tc>
          <w:tcPr>
            <w:tcW w:w="7080" w:type="dxa"/>
            <w:vAlign w:val="bottom"/>
            <w:tcBorders>
              <w:top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NeuroRx, Nephron SC, Inc. and Nephron Pharmaceutical Corporation</w:t>
              </w:r>
            </w:hyperlink>
          </w:p>
        </w:tc>
        <w:tc>
          <w:tcPr>
            <w:tcW w:w="34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7300" w:type="dxa"/>
            <w:vAlign w:val="bottom"/>
            <w:tcBorders>
              <w:bottom w:val="single" w:sz="8" w:color="0000EE"/>
            </w:tcBorders>
            <w:gridSpan w:val="33"/>
          </w:tcPr>
          <w:p>
            <w:pPr>
              <w:ind w:left="20"/>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Share Subscription Facility Agreement, dated as of October 18, 2019, among NeuroRx, GEM Global</w:t>
              </w:r>
            </w:hyperlink>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10.42</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196"/>
        </w:trPr>
        <w:tc>
          <w:tcPr>
            <w:tcW w:w="700" w:type="dxa"/>
            <w:vAlign w:val="bottom"/>
          </w:tcPr>
          <w:p>
            <w:pPr>
              <w:spacing w:after="0"/>
              <w:rPr>
                <w:sz w:val="17"/>
                <w:szCs w:val="17"/>
                <w:color w:val="auto"/>
              </w:rPr>
            </w:pPr>
          </w:p>
        </w:tc>
        <w:tc>
          <w:tcPr>
            <w:tcW w:w="3660" w:type="dxa"/>
            <w:vAlign w:val="bottom"/>
            <w:tcBorders>
              <w:bottom w:val="single" w:sz="8" w:color="0000EE"/>
            </w:tcBorders>
            <w:gridSpan w:val="12"/>
          </w:tcPr>
          <w:p>
            <w:pPr>
              <w:ind w:left="20"/>
              <w:spacing w:after="0" w:line="196"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Yield LLC SCS and GEM Yield Bahamas Limited</w:t>
              </w:r>
            </w:hyperlink>
          </w:p>
        </w:tc>
        <w:tc>
          <w:tcPr>
            <w:tcW w:w="3760" w:type="dxa"/>
            <w:vAlign w:val="bottom"/>
            <w:gridSpan w:val="22"/>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4080" w:type="dxa"/>
            <w:vAlign w:val="bottom"/>
            <w:tcBorders>
              <w:bottom w:val="single" w:sz="8" w:color="0000EE"/>
            </w:tcBorders>
            <w:gridSpan w:val="14"/>
          </w:tcPr>
          <w:p>
            <w:pPr>
              <w:ind w:left="20"/>
              <w:spacing w:after="0"/>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Common Stock Purchase Warrant dated March 28, 2021</w:t>
              </w:r>
            </w:hyperlink>
          </w:p>
        </w:tc>
        <w:tc>
          <w:tcPr>
            <w:tcW w:w="3340" w:type="dxa"/>
            <w:vAlign w:val="bottom"/>
            <w:gridSpan w:val="20"/>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10.43</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7060" w:type="dxa"/>
            <w:vAlign w:val="bottom"/>
            <w:tcBorders>
              <w:bottom w:val="single" w:sz="8" w:color="0000EE"/>
            </w:tcBorders>
            <w:gridSpan w:val="24"/>
          </w:tcPr>
          <w:p>
            <w:pPr>
              <w:ind w:left="20"/>
              <w:spacing w:after="0"/>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Clinical Trial Participation Agreement, dated as of December 17, 2020, by and between Quantum</w:t>
              </w:r>
            </w:hyperlink>
          </w:p>
        </w:tc>
        <w:tc>
          <w:tcPr>
            <w:tcW w:w="360" w:type="dxa"/>
            <w:vAlign w:val="bottom"/>
            <w:gridSpan w:val="10"/>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10.44</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5/21/2021</w:t>
            </w:r>
          </w:p>
        </w:tc>
      </w:tr>
      <w:tr>
        <w:trPr>
          <w:trHeight w:val="196"/>
        </w:trPr>
        <w:tc>
          <w:tcPr>
            <w:tcW w:w="700" w:type="dxa"/>
            <w:vAlign w:val="bottom"/>
          </w:tcPr>
          <w:p>
            <w:pPr>
              <w:spacing w:after="0"/>
              <w:rPr>
                <w:sz w:val="17"/>
                <w:szCs w:val="17"/>
                <w:color w:val="auto"/>
              </w:rPr>
            </w:pPr>
          </w:p>
        </w:tc>
        <w:tc>
          <w:tcPr>
            <w:tcW w:w="3320" w:type="dxa"/>
            <w:vAlign w:val="bottom"/>
            <w:tcBorders>
              <w:bottom w:val="single" w:sz="8" w:color="0000EE"/>
            </w:tcBorders>
            <w:gridSpan w:val="9"/>
          </w:tcPr>
          <w:p>
            <w:pPr>
              <w:ind w:left="20"/>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Leap Health Care Collaborative and NeuroRx</w:t>
              </w:r>
            </w:hyperlink>
          </w:p>
        </w:tc>
        <w:tc>
          <w:tcPr>
            <w:tcW w:w="4100" w:type="dxa"/>
            <w:vAlign w:val="bottom"/>
            <w:gridSpan w:val="25"/>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7420" w:type="dxa"/>
            <w:vAlign w:val="bottom"/>
            <w:gridSpan w:val="34"/>
          </w:tcPr>
          <w:p>
            <w:pPr>
              <w:ind w:left="20"/>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Voting Agreement by and between Jonathan Javitt and Daniel Javitt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10.34</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5/28/2021</w:t>
            </w:r>
          </w:p>
        </w:tc>
      </w:tr>
      <w:tr>
        <w:trPr>
          <w:trHeight w:val="20"/>
        </w:trPr>
        <w:tc>
          <w:tcPr>
            <w:tcW w:w="70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7420" w:type="dxa"/>
            <w:vAlign w:val="bottom"/>
            <w:gridSpan w:val="34"/>
          </w:tcPr>
          <w:p>
            <w:pPr>
              <w:ind w:left="20"/>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Statement of Work, dated July 26, 2021, between Pilltracker Ltd. and NeuroRx, Inc.</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11/15/2021</w:t>
            </w:r>
          </w:p>
        </w:tc>
      </w:tr>
      <w:tr>
        <w:trPr>
          <w:trHeight w:val="20"/>
        </w:trPr>
        <w:tc>
          <w:tcPr>
            <w:tcW w:w="70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540" w:type="dxa"/>
            <w:vAlign w:val="bottom"/>
            <w:gridSpan w:val="8"/>
            <w:shd w:val="clear" w:color="auto" w:fill="0000EE"/>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7160" w:type="dxa"/>
            <w:vAlign w:val="bottom"/>
            <w:tcBorders>
              <w:bottom w:val="single" w:sz="8" w:color="0000EE"/>
            </w:tcBorders>
            <w:gridSpan w:val="29"/>
          </w:tcPr>
          <w:p>
            <w:pPr>
              <w:ind w:left="20"/>
              <w:spacing w:after="0"/>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Form of Securities Purchase Agreement, dated as of January 30, 2022, by and among the Company</w:t>
              </w:r>
            </w:hyperlink>
          </w:p>
        </w:tc>
        <w:tc>
          <w:tcPr>
            <w:tcW w:w="260" w:type="dxa"/>
            <w:vAlign w:val="bottom"/>
            <w:gridSpan w:val="5"/>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2/03/2022</w:t>
            </w:r>
          </w:p>
        </w:tc>
      </w:tr>
      <w:tr>
        <w:trPr>
          <w:trHeight w:val="196"/>
        </w:trPr>
        <w:tc>
          <w:tcPr>
            <w:tcW w:w="700" w:type="dxa"/>
            <w:vAlign w:val="bottom"/>
          </w:tcPr>
          <w:p>
            <w:pPr>
              <w:spacing w:after="0"/>
              <w:rPr>
                <w:sz w:val="17"/>
                <w:szCs w:val="17"/>
                <w:color w:val="auto"/>
              </w:rPr>
            </w:pPr>
          </w:p>
        </w:tc>
        <w:tc>
          <w:tcPr>
            <w:tcW w:w="142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and the Purchasers.</w:t>
              </w:r>
            </w:hyperlink>
          </w:p>
        </w:tc>
        <w:tc>
          <w:tcPr>
            <w:tcW w:w="6000" w:type="dxa"/>
            <w:vAlign w:val="bottom"/>
            <w:gridSpan w:val="29"/>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040" w:type="dxa"/>
            <w:vAlign w:val="bottom"/>
            <w:tcBorders>
              <w:bottom w:val="single" w:sz="8" w:color="0000EE"/>
            </w:tcBorders>
            <w:gridSpan w:val="23"/>
          </w:tcPr>
          <w:p>
            <w:pPr>
              <w:ind w:left="20"/>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Form of Preferred Investment Options, dated as of February 2, 2022, by and among the Company</w:t>
              </w:r>
            </w:hyperlink>
          </w:p>
        </w:tc>
        <w:tc>
          <w:tcPr>
            <w:tcW w:w="380" w:type="dxa"/>
            <w:vAlign w:val="bottom"/>
            <w:gridSpan w:val="11"/>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2/03/2022</w:t>
            </w:r>
          </w:p>
        </w:tc>
      </w:tr>
      <w:tr>
        <w:trPr>
          <w:trHeight w:val="196"/>
        </w:trPr>
        <w:tc>
          <w:tcPr>
            <w:tcW w:w="700" w:type="dxa"/>
            <w:vAlign w:val="bottom"/>
          </w:tcPr>
          <w:p>
            <w:pPr>
              <w:spacing w:after="0"/>
              <w:rPr>
                <w:sz w:val="17"/>
                <w:szCs w:val="17"/>
                <w:color w:val="auto"/>
              </w:rPr>
            </w:pPr>
          </w:p>
        </w:tc>
        <w:tc>
          <w:tcPr>
            <w:tcW w:w="116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7"/>
              </w:rPr>
            </w:pPr>
            <w:hyperlink r:id="rId207">
              <w:r>
                <w:rPr>
                  <w:rFonts w:ascii="Times New Roman" w:cs="Times New Roman" w:eastAsia="Times New Roman" w:hAnsi="Times New Roman"/>
                  <w:sz w:val="18"/>
                  <w:szCs w:val="18"/>
                  <w:color w:val="0000EE"/>
                  <w:w w:val="97"/>
                </w:rPr>
                <w:t>and the holders.</w:t>
              </w:r>
            </w:hyperlink>
          </w:p>
        </w:tc>
        <w:tc>
          <w:tcPr>
            <w:tcW w:w="6260" w:type="dxa"/>
            <w:vAlign w:val="bottom"/>
            <w:gridSpan w:val="32"/>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7420" w:type="dxa"/>
            <w:vAlign w:val="bottom"/>
            <w:gridSpan w:val="34"/>
          </w:tcPr>
          <w:p>
            <w:pPr>
              <w:ind w:left="20"/>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Form of Registration Rights Agreement, dated as of January 30, 2022, by and among the Company</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2/03/2022</w:t>
            </w:r>
          </w:p>
        </w:tc>
      </w:tr>
      <w:tr>
        <w:trPr>
          <w:trHeight w:val="196"/>
        </w:trPr>
        <w:tc>
          <w:tcPr>
            <w:tcW w:w="700" w:type="dxa"/>
            <w:vAlign w:val="bottom"/>
          </w:tcPr>
          <w:p>
            <w:pPr>
              <w:spacing w:after="0"/>
              <w:rPr>
                <w:sz w:val="17"/>
                <w:szCs w:val="17"/>
                <w:color w:val="auto"/>
              </w:rPr>
            </w:pPr>
          </w:p>
        </w:tc>
        <w:tc>
          <w:tcPr>
            <w:tcW w:w="7140" w:type="dxa"/>
            <w:vAlign w:val="bottom"/>
            <w:tcBorders>
              <w:top w:val="single" w:sz="8" w:color="0000EE"/>
            </w:tcBorders>
            <w:gridSpan w:val="28"/>
          </w:tcPr>
          <w:p>
            <w:pPr>
              <w:ind w:left="20"/>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and the Purchasers.</w:t>
              </w:r>
            </w:hyperlink>
          </w:p>
        </w:tc>
        <w:tc>
          <w:tcPr>
            <w:tcW w:w="28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620" w:type="dxa"/>
            <w:vAlign w:val="bottom"/>
            <w:gridSpan w:val="1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7200" w:type="dxa"/>
            <w:vAlign w:val="bottom"/>
            <w:tcBorders>
              <w:bottom w:val="single" w:sz="8" w:color="0000EE"/>
            </w:tcBorders>
            <w:gridSpan w:val="30"/>
          </w:tcPr>
          <w:p>
            <w:pPr>
              <w:ind w:left="20"/>
              <w:spacing w:after="0"/>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Form of Placement Agent Preferred Investment Option, dated as of February 2, 2022 by and among</w:t>
              </w:r>
            </w:hyperlink>
          </w:p>
        </w:tc>
        <w:tc>
          <w:tcPr>
            <w:tcW w:w="220" w:type="dxa"/>
            <w:vAlign w:val="bottom"/>
            <w:gridSpan w:val="4"/>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10.4</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2/03/2022</w:t>
            </w:r>
          </w:p>
        </w:tc>
      </w:tr>
      <w:tr>
        <w:trPr>
          <w:trHeight w:val="196"/>
        </w:trPr>
        <w:tc>
          <w:tcPr>
            <w:tcW w:w="700" w:type="dxa"/>
            <w:vAlign w:val="bottom"/>
          </w:tcPr>
          <w:p>
            <w:pPr>
              <w:spacing w:after="0"/>
              <w:rPr>
                <w:sz w:val="17"/>
                <w:szCs w:val="17"/>
                <w:color w:val="auto"/>
              </w:rPr>
            </w:pPr>
          </w:p>
        </w:tc>
        <w:tc>
          <w:tcPr>
            <w:tcW w:w="3520" w:type="dxa"/>
            <w:vAlign w:val="bottom"/>
            <w:tcBorders>
              <w:bottom w:val="single" w:sz="8" w:color="0000EE"/>
            </w:tcBorders>
            <w:gridSpan w:val="10"/>
          </w:tcPr>
          <w:p>
            <w:pPr>
              <w:ind w:left="20"/>
              <w:spacing w:after="0" w:line="196" w:lineRule="exact"/>
              <w:rPr>
                <w:rFonts w:ascii="Times New Roman" w:cs="Times New Roman" w:eastAsia="Times New Roman" w:hAnsi="Times New Roman"/>
                <w:sz w:val="18"/>
                <w:szCs w:val="18"/>
                <w:color w:val="0000EE"/>
                <w:w w:val="98"/>
              </w:rPr>
            </w:pPr>
            <w:hyperlink r:id="rId209">
              <w:r>
                <w:rPr>
                  <w:rFonts w:ascii="Times New Roman" w:cs="Times New Roman" w:eastAsia="Times New Roman" w:hAnsi="Times New Roman"/>
                  <w:sz w:val="18"/>
                  <w:szCs w:val="18"/>
                  <w:color w:val="0000EE"/>
                  <w:w w:val="98"/>
                </w:rPr>
                <w:t>the Company and H.C. Wainwright &amp; Co., LLC.</w:t>
              </w:r>
            </w:hyperlink>
          </w:p>
        </w:tc>
        <w:tc>
          <w:tcPr>
            <w:tcW w:w="3900" w:type="dxa"/>
            <w:vAlign w:val="bottom"/>
            <w:gridSpan w:val="24"/>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7420" w:type="dxa"/>
            <w:vAlign w:val="bottom"/>
            <w:gridSpan w:val="34"/>
          </w:tcPr>
          <w:p>
            <w:pPr>
              <w:ind w:left="20"/>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Consulting Agreement, dated March 8, 2022, by and between the Company and Dr. Jonathan Javitt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7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3/09/2022</w:t>
            </w:r>
          </w:p>
        </w:tc>
      </w:tr>
      <w:tr>
        <w:trPr>
          <w:trHeight w:val="452"/>
        </w:trPr>
        <w:tc>
          <w:tcPr>
            <w:tcW w:w="700" w:type="dxa"/>
            <w:vAlign w:val="bottom"/>
          </w:tcPr>
          <w:p>
            <w:pPr>
              <w:spacing w:after="0"/>
              <w:rPr>
                <w:sz w:val="24"/>
                <w:szCs w:val="24"/>
                <w:color w:val="auto"/>
              </w:rPr>
            </w:pPr>
          </w:p>
        </w:tc>
        <w:tc>
          <w:tcPr>
            <w:tcW w:w="5060" w:type="dxa"/>
            <w:vAlign w:val="bottom"/>
            <w:tcBorders>
              <w:top w:val="single" w:sz="8" w:color="0000EE"/>
            </w:tcBorders>
            <w:gridSpan w:val="16"/>
          </w:tcPr>
          <w:p>
            <w:pPr>
              <w:ind w:left="484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2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10.46</w:t>
      </w:r>
      <w:r>
        <w:rPr>
          <w:sz w:val="20"/>
          <w:szCs w:val="20"/>
          <w:color w:val="auto"/>
        </w:rPr>
        <w:tab/>
      </w:r>
      <w:hyperlink r:id="rId211">
        <w:r>
          <w:rPr>
            <w:rFonts w:ascii="Times New Roman" w:cs="Times New Roman" w:eastAsia="Times New Roman" w:hAnsi="Times New Roman"/>
            <w:sz w:val="18"/>
            <w:szCs w:val="18"/>
            <w:u w:val="single" w:color="auto"/>
            <w:color w:val="0000EE"/>
          </w:rPr>
          <w:t>Executive Employment Agreement, dated June 13, 2022, by and between NRx Pharmaceuticals, Inc.</w:t>
        </w:r>
      </w:hyperlink>
      <w:r>
        <w:rPr>
          <w:rFonts w:ascii="Times New Roman" w:cs="Times New Roman" w:eastAsia="Times New Roman" w:hAnsi="Times New Roman"/>
          <w:sz w:val="18"/>
          <w:szCs w:val="18"/>
          <w:u w:val="single" w:color="auto"/>
          <w:color w:val="0000EE"/>
        </w:rPr>
        <w:t xml:space="preserve"> </w:t>
      </w:r>
      <w:hyperlink r:id="rId211">
        <w:r>
          <w:rPr>
            <w:rFonts w:ascii="Times New Roman" w:cs="Times New Roman" w:eastAsia="Times New Roman" w:hAnsi="Times New Roman"/>
            <w:sz w:val="18"/>
            <w:szCs w:val="18"/>
            <w:u w:val="single" w:color="auto"/>
            <w:color w:val="0000EE"/>
          </w:rPr>
          <w:t>and Seth Van Voorhees</w:t>
        </w:r>
      </w:hyperlink>
    </w:p>
    <w:p>
      <w:pPr>
        <w:spacing w:after="0" w:line="162" w:lineRule="exact"/>
        <w:rPr>
          <w:sz w:val="20"/>
          <w:szCs w:val="20"/>
          <w:color w:val="auto"/>
        </w:rPr>
      </w:pPr>
    </w:p>
    <w:p>
      <w:pPr>
        <w:ind w:left="720" w:right="26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10.47</w:t>
      </w:r>
      <w:r>
        <w:rPr>
          <w:sz w:val="20"/>
          <w:szCs w:val="20"/>
          <w:color w:val="auto"/>
        </w:rPr>
        <w:tab/>
      </w:r>
      <w:hyperlink r:id="rId212">
        <w:r>
          <w:rPr>
            <w:rFonts w:ascii="Times New Roman" w:cs="Times New Roman" w:eastAsia="Times New Roman" w:hAnsi="Times New Roman"/>
            <w:sz w:val="18"/>
            <w:szCs w:val="18"/>
            <w:u w:val="single" w:color="auto"/>
            <w:color w:val="0000EE"/>
          </w:rPr>
          <w:t>Share Purchase Agreement, dated November 4, 2022, by and between NRx Pharmaceuticals, Inc.</w:t>
        </w:r>
      </w:hyperlink>
      <w:r>
        <w:rPr>
          <w:rFonts w:ascii="Times New Roman" w:cs="Times New Roman" w:eastAsia="Times New Roman" w:hAnsi="Times New Roman"/>
          <w:sz w:val="18"/>
          <w:szCs w:val="18"/>
          <w:u w:val="single" w:color="auto"/>
          <w:color w:val="0000EE"/>
        </w:rPr>
        <w:t xml:space="preserve"> </w:t>
      </w:r>
      <w:hyperlink r:id="rId212">
        <w:r>
          <w:rPr>
            <w:rFonts w:ascii="Times New Roman" w:cs="Times New Roman" w:eastAsia="Times New Roman" w:hAnsi="Times New Roman"/>
            <w:sz w:val="18"/>
            <w:szCs w:val="18"/>
            <w:u w:val="single" w:color="auto"/>
            <w:color w:val="0000EE"/>
          </w:rPr>
          <w:t>and Streeterville Capital, LLC</w:t>
        </w:r>
      </w:hyperlink>
    </w:p>
    <w:p>
      <w:pPr>
        <w:spacing w:after="0" w:line="162" w:lineRule="exact"/>
        <w:rPr>
          <w:sz w:val="20"/>
          <w:szCs w:val="20"/>
          <w:color w:val="auto"/>
        </w:rPr>
      </w:pPr>
    </w:p>
    <w:p>
      <w:pPr>
        <w:ind w:left="720" w:right="88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10.48</w:t>
      </w:r>
      <w:r>
        <w:rPr>
          <w:sz w:val="20"/>
          <w:szCs w:val="20"/>
          <w:color w:val="auto"/>
        </w:rPr>
        <w:tab/>
      </w:r>
      <w:hyperlink r:id="rId213">
        <w:r>
          <w:rPr>
            <w:rFonts w:ascii="Times New Roman" w:cs="Times New Roman" w:eastAsia="Times New Roman" w:hAnsi="Times New Roman"/>
            <w:sz w:val="18"/>
            <w:szCs w:val="18"/>
            <w:u w:val="single" w:color="auto"/>
            <w:color w:val="0000EE"/>
          </w:rPr>
          <w:t>Form of Note, dated November 4, 2022, by and between NRX Pharmaceuticals, Inc. and</w:t>
        </w:r>
      </w:hyperlink>
      <w:r>
        <w:rPr>
          <w:rFonts w:ascii="Times New Roman" w:cs="Times New Roman" w:eastAsia="Times New Roman" w:hAnsi="Times New Roman"/>
          <w:sz w:val="18"/>
          <w:szCs w:val="18"/>
          <w:u w:val="single" w:color="auto"/>
          <w:color w:val="0000EE"/>
        </w:rPr>
        <w:t xml:space="preserve"> </w:t>
      </w:r>
      <w:hyperlink r:id="rId213">
        <w:r>
          <w:rPr>
            <w:rFonts w:ascii="Times New Roman" w:cs="Times New Roman" w:eastAsia="Times New Roman" w:hAnsi="Times New Roman"/>
            <w:sz w:val="18"/>
            <w:szCs w:val="18"/>
            <w:u w:val="single" w:color="auto"/>
            <w:color w:val="0000EE"/>
          </w:rPr>
          <w:t>Streeterville Capital, LLC</w:t>
        </w:r>
      </w:hyperlink>
    </w:p>
    <w:p>
      <w:pPr>
        <w:spacing w:after="0" w:line="162" w:lineRule="exact"/>
        <w:rPr>
          <w:sz w:val="20"/>
          <w:szCs w:val="20"/>
          <w:color w:val="auto"/>
        </w:rPr>
      </w:pPr>
    </w:p>
    <w:p>
      <w:pPr>
        <w:ind w:left="720" w:right="52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10.49</w:t>
      </w:r>
      <w:r>
        <w:rPr>
          <w:sz w:val="20"/>
          <w:szCs w:val="20"/>
          <w:color w:val="auto"/>
        </w:rPr>
        <w:tab/>
      </w:r>
      <w:hyperlink r:id="rId214">
        <w:r>
          <w:rPr>
            <w:rFonts w:ascii="Times New Roman" w:cs="Times New Roman" w:eastAsia="Times New Roman" w:hAnsi="Times New Roman"/>
            <w:sz w:val="18"/>
            <w:szCs w:val="18"/>
            <w:u w:val="single" w:color="auto"/>
            <w:color w:val="0000EE"/>
          </w:rPr>
          <w:t>Form of Guarantee, dated November 4, 2022, by and between NeuroRx, Inc. and Streeterville</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Capital, LLC</w:t>
        </w:r>
      </w:hyperlink>
    </w:p>
    <w:p>
      <w:pPr>
        <w:spacing w:after="0" w:line="162" w:lineRule="exact"/>
        <w:rPr>
          <w:sz w:val="20"/>
          <w:szCs w:val="20"/>
          <w:color w:val="auto"/>
        </w:rPr>
      </w:pPr>
    </w:p>
    <w:p>
      <w:pPr>
        <w:jc w:val="right"/>
        <w:ind w:right="580"/>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10.50   </w:t>
      </w:r>
      <w:hyperlink r:id="rId215">
        <w:r>
          <w:rPr>
            <w:rFonts w:ascii="Times New Roman" w:cs="Times New Roman" w:eastAsia="Times New Roman" w:hAnsi="Times New Roman"/>
            <w:sz w:val="18"/>
            <w:szCs w:val="18"/>
            <w:u w:val="single" w:color="auto"/>
            <w:color w:val="0000EE"/>
          </w:rPr>
          <w:t>Settlement Agreement by and between Relief Therapeutics Holding AG, Relief Therapeutics</w:t>
        </w:r>
      </w:hyperlink>
      <w:r>
        <w:rPr>
          <w:rFonts w:ascii="Times New Roman" w:cs="Times New Roman" w:eastAsia="Times New Roman" w:hAnsi="Times New Roman"/>
          <w:sz w:val="18"/>
          <w:szCs w:val="18"/>
          <w:color w:val="auto"/>
        </w:rPr>
        <w:t xml:space="preserve"> </w:t>
      </w:r>
      <w:hyperlink r:id="rId215">
        <w:r>
          <w:rPr>
            <w:rFonts w:ascii="Times New Roman" w:cs="Times New Roman" w:eastAsia="Times New Roman" w:hAnsi="Times New Roman"/>
            <w:sz w:val="18"/>
            <w:szCs w:val="18"/>
            <w:u w:val="single" w:color="auto"/>
            <w:color w:val="0000EE"/>
          </w:rPr>
          <w:t>International SA, NeuroRx, Inc. and NRX Pharmaceuticals, Inc., dated November 12, 2022.</w:t>
        </w:r>
      </w:hyperlink>
    </w:p>
    <w:p>
      <w:pPr>
        <w:spacing w:after="0" w:line="162" w:lineRule="exact"/>
        <w:rPr>
          <w:sz w:val="20"/>
          <w:szCs w:val="20"/>
          <w:color w:val="auto"/>
        </w:rPr>
      </w:pPr>
    </w:p>
    <w:p>
      <w:pPr>
        <w:ind w:left="720" w:right="260" w:hanging="701"/>
        <w:spacing w:after="0" w:line="312" w:lineRule="auto"/>
        <w:tabs>
          <w:tab w:leader="none" w:pos="7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10.51</w:t>
      </w:r>
      <w:r>
        <w:rPr>
          <w:sz w:val="20"/>
          <w:szCs w:val="20"/>
          <w:color w:val="auto"/>
        </w:rPr>
        <w:tab/>
      </w:r>
      <w:hyperlink r:id="rId216">
        <w:r>
          <w:rPr>
            <w:rFonts w:ascii="Times New Roman" w:cs="Times New Roman" w:eastAsia="Times New Roman" w:hAnsi="Times New Roman"/>
            <w:sz w:val="17"/>
            <w:szCs w:val="17"/>
            <w:u w:val="single" w:color="auto"/>
            <w:color w:val="0000EE"/>
          </w:rPr>
          <w:t>Asset Purchase Agreement by and between Relief Therapeutics Holding AG, Relief Therapeutics</w:t>
        </w:r>
      </w:hyperlink>
      <w:r>
        <w:rPr>
          <w:rFonts w:ascii="Times New Roman" w:cs="Times New Roman" w:eastAsia="Times New Roman" w:hAnsi="Times New Roman"/>
          <w:sz w:val="17"/>
          <w:szCs w:val="17"/>
          <w:u w:val="single" w:color="auto"/>
          <w:color w:val="0000EE"/>
        </w:rPr>
        <w:t xml:space="preserve"> </w:t>
      </w:r>
      <w:hyperlink r:id="rId216">
        <w:r>
          <w:rPr>
            <w:rFonts w:ascii="Times New Roman" w:cs="Times New Roman" w:eastAsia="Times New Roman" w:hAnsi="Times New Roman"/>
            <w:sz w:val="17"/>
            <w:szCs w:val="17"/>
            <w:u w:val="single" w:color="auto"/>
            <w:color w:val="0000EE"/>
          </w:rPr>
          <w:t>International SA, NeuroRx, Inc. and NRX Pharmaceuticals, Inc., dated November 12, 2022.</w:t>
        </w:r>
      </w:hyperlink>
    </w:p>
    <w:p>
      <w:pPr>
        <w:spacing w:after="0" w:line="140" w:lineRule="exact"/>
        <w:rPr>
          <w:sz w:val="20"/>
          <w:szCs w:val="20"/>
          <w:color w:val="auto"/>
        </w:rPr>
      </w:pPr>
    </w:p>
    <w:p>
      <w:pPr>
        <w:ind w:left="720" w:right="24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10.52</w:t>
      </w:r>
      <w:r>
        <w:rPr>
          <w:sz w:val="20"/>
          <w:szCs w:val="20"/>
          <w:color w:val="auto"/>
        </w:rPr>
        <w:tab/>
      </w:r>
      <w:hyperlink r:id="rId217">
        <w:r>
          <w:rPr>
            <w:rFonts w:ascii="Times New Roman" w:cs="Times New Roman" w:eastAsia="Times New Roman" w:hAnsi="Times New Roman"/>
            <w:sz w:val="18"/>
            <w:szCs w:val="18"/>
            <w:u w:val="single" w:color="auto"/>
            <w:color w:val="0000EE"/>
          </w:rPr>
          <w:t>Share Purchase Agreement, dated March 8, 2023, by and between NRx Pharmaceuticals, Inc. and</w:t>
        </w:r>
      </w:hyperlink>
      <w:r>
        <w:rPr>
          <w:rFonts w:ascii="Times New Roman" w:cs="Times New Roman" w:eastAsia="Times New Roman" w:hAnsi="Times New Roman"/>
          <w:sz w:val="18"/>
          <w:szCs w:val="18"/>
          <w:u w:val="single" w:color="auto"/>
          <w:color w:val="0000EE"/>
        </w:rPr>
        <w:t xml:space="preserve"> </w:t>
      </w:r>
      <w:hyperlink r:id="rId217">
        <w:r>
          <w:rPr>
            <w:rFonts w:ascii="Times New Roman" w:cs="Times New Roman" w:eastAsia="Times New Roman" w:hAnsi="Times New Roman"/>
            <w:sz w:val="18"/>
            <w:szCs w:val="18"/>
            <w:u w:val="single" w:color="auto"/>
            <w:color w:val="0000EE"/>
          </w:rPr>
          <w:t>Purchasers</w:t>
        </w:r>
      </w:hyperlink>
    </w:p>
    <w:p>
      <w:pPr>
        <w:spacing w:after="0" w:line="162" w:lineRule="exact"/>
        <w:rPr>
          <w:sz w:val="20"/>
          <w:szCs w:val="20"/>
          <w:color w:val="auto"/>
        </w:rPr>
      </w:pPr>
    </w:p>
    <w:p>
      <w:pPr>
        <w:spacing w:after="0"/>
        <w:tabs>
          <w:tab w:leader="none" w:pos="7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10.53+</w:t>
      </w:r>
      <w:r>
        <w:rPr>
          <w:sz w:val="20"/>
          <w:szCs w:val="20"/>
          <w:color w:val="auto"/>
        </w:rPr>
        <w:tab/>
      </w:r>
      <w:hyperlink r:id="rId218">
        <w:r>
          <w:rPr>
            <w:rFonts w:ascii="Times New Roman" w:cs="Times New Roman" w:eastAsia="Times New Roman" w:hAnsi="Times New Roman"/>
            <w:sz w:val="17"/>
            <w:szCs w:val="17"/>
            <w:u w:val="single" w:color="auto"/>
            <w:color w:val="0000EE"/>
          </w:rPr>
          <w:t>Pill Tracker Supplemental Task Order, dated November 15, 2021.</w:t>
        </w:r>
      </w:hyperlink>
    </w:p>
    <w:p>
      <w:pPr>
        <w:spacing w:after="0" w:line="225" w:lineRule="exact"/>
        <w:rPr>
          <w:sz w:val="20"/>
          <w:szCs w:val="20"/>
          <w:color w:val="auto"/>
        </w:rPr>
      </w:pPr>
    </w:p>
    <w:p>
      <w:pPr>
        <w:ind w:left="720" w:right="32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10.54</w:t>
      </w:r>
      <w:r>
        <w:rPr>
          <w:sz w:val="20"/>
          <w:szCs w:val="20"/>
          <w:color w:val="auto"/>
        </w:rPr>
        <w:tab/>
      </w:r>
      <w:hyperlink r:id="rId219">
        <w:r>
          <w:rPr>
            <w:rFonts w:ascii="Times New Roman" w:cs="Times New Roman" w:eastAsia="Times New Roman" w:hAnsi="Times New Roman"/>
            <w:sz w:val="18"/>
            <w:szCs w:val="18"/>
            <w:u w:val="single" w:color="auto"/>
            <w:color w:val="0000EE"/>
          </w:rPr>
          <w:t>Amendment to Consulting Agreement, dated March 29, 2023, by and between the Company and</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Dr. Jonathan Javitt.</w:t>
        </w:r>
      </w:hyperlink>
    </w:p>
    <w:p>
      <w:pPr>
        <w:spacing w:after="0" w:line="162" w:lineRule="exact"/>
        <w:rPr>
          <w:sz w:val="20"/>
          <w:szCs w:val="20"/>
          <w:color w:val="auto"/>
        </w:rPr>
      </w:pPr>
    </w:p>
    <w:p>
      <w:pPr>
        <w:ind w:left="720" w:right="30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10.55+</w:t>
      </w:r>
      <w:r>
        <w:rPr>
          <w:sz w:val="20"/>
          <w:szCs w:val="20"/>
          <w:color w:val="auto"/>
        </w:rPr>
        <w:tab/>
      </w:r>
      <w:hyperlink r:id="rId220">
        <w:r>
          <w:rPr>
            <w:rFonts w:ascii="Times New Roman" w:cs="Times New Roman" w:eastAsia="Times New Roman" w:hAnsi="Times New Roman"/>
            <w:sz w:val="18"/>
            <w:szCs w:val="18"/>
            <w:u w:val="single" w:color="auto"/>
            <w:color w:val="0000EE"/>
          </w:rPr>
          <w:t>Development and License Agreement, dated as of June 2, 2023, by and among the Company and</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Alvogen.*</w:t>
        </w:r>
      </w:hyperlink>
    </w:p>
    <w:p>
      <w:pPr>
        <w:spacing w:after="0" w:line="162" w:lineRule="exact"/>
        <w:rPr>
          <w:sz w:val="20"/>
          <w:szCs w:val="20"/>
          <w:color w:val="auto"/>
        </w:rPr>
      </w:pPr>
    </w:p>
    <w:p>
      <w:pPr>
        <w:spacing w:after="0"/>
        <w:tabs>
          <w:tab w:leader="none" w:pos="7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10.56</w:t>
      </w:r>
      <w:r>
        <w:rPr>
          <w:sz w:val="20"/>
          <w:szCs w:val="20"/>
          <w:color w:val="auto"/>
        </w:rPr>
        <w:tab/>
      </w:r>
      <w:hyperlink r:id="rId221">
        <w:r>
          <w:rPr>
            <w:rFonts w:ascii="Times New Roman" w:cs="Times New Roman" w:eastAsia="Times New Roman" w:hAnsi="Times New Roman"/>
            <w:sz w:val="17"/>
            <w:szCs w:val="17"/>
            <w:u w:val="single" w:color="auto"/>
            <w:color w:val="0000EE"/>
          </w:rPr>
          <w:t>Form of Securities Purchase Agreement</w:t>
        </w:r>
      </w:hyperlink>
    </w:p>
    <w:p>
      <w:pPr>
        <w:spacing w:after="0" w:line="225" w:lineRule="exact"/>
        <w:rPr>
          <w:sz w:val="20"/>
          <w:szCs w:val="20"/>
          <w:color w:val="auto"/>
        </w:rPr>
      </w:pPr>
    </w:p>
    <w:p>
      <w:pPr>
        <w:spacing w:after="0"/>
        <w:tabs>
          <w:tab w:leader="none" w:pos="7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10.57</w:t>
      </w:r>
      <w:r>
        <w:rPr>
          <w:sz w:val="20"/>
          <w:szCs w:val="20"/>
          <w:color w:val="auto"/>
        </w:rPr>
        <w:tab/>
      </w:r>
      <w:hyperlink r:id="rId222">
        <w:r>
          <w:rPr>
            <w:rFonts w:ascii="Times New Roman" w:cs="Times New Roman" w:eastAsia="Times New Roman" w:hAnsi="Times New Roman"/>
            <w:sz w:val="17"/>
            <w:szCs w:val="17"/>
            <w:u w:val="single" w:color="auto"/>
            <w:color w:val="0000EE"/>
          </w:rPr>
          <w:t>Lock-Up Agreement</w:t>
        </w:r>
      </w:hyperlink>
    </w:p>
    <w:p>
      <w:pPr>
        <w:spacing w:after="0" w:line="225" w:lineRule="exact"/>
        <w:rPr>
          <w:sz w:val="20"/>
          <w:szCs w:val="20"/>
          <w:color w:val="auto"/>
        </w:rPr>
      </w:pPr>
    </w:p>
    <w:p>
      <w:pPr>
        <w:ind w:left="720" w:right="900" w:hanging="701"/>
        <w:spacing w:after="0" w:line="282"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10.58</w:t>
      </w:r>
      <w:r>
        <w:rPr>
          <w:sz w:val="20"/>
          <w:szCs w:val="20"/>
          <w:color w:val="auto"/>
        </w:rPr>
        <w:tab/>
      </w:r>
      <w:hyperlink r:id="rId223">
        <w:r>
          <w:rPr>
            <w:rFonts w:ascii="Times New Roman" w:cs="Times New Roman" w:eastAsia="Times New Roman" w:hAnsi="Times New Roman"/>
            <w:sz w:val="18"/>
            <w:szCs w:val="18"/>
            <w:u w:val="single" w:color="auto"/>
            <w:color w:val="0000EE"/>
          </w:rPr>
          <w:t>Amendment to Convertible Promissory Note, dated June 30, 2023, by and between NRx</w:t>
        </w:r>
      </w:hyperlink>
      <w:r>
        <w:rPr>
          <w:rFonts w:ascii="Times New Roman" w:cs="Times New Roman" w:eastAsia="Times New Roman" w:hAnsi="Times New Roman"/>
          <w:sz w:val="18"/>
          <w:szCs w:val="18"/>
          <w:u w:val="single" w:color="auto"/>
          <w:color w:val="0000EE"/>
        </w:rPr>
        <w:t xml:space="preserve"> </w:t>
      </w:r>
      <w:hyperlink r:id="rId223">
        <w:r>
          <w:rPr>
            <w:rFonts w:ascii="Times New Roman" w:cs="Times New Roman" w:eastAsia="Times New Roman" w:hAnsi="Times New Roman"/>
            <w:sz w:val="18"/>
            <w:szCs w:val="18"/>
            <w:u w:val="single" w:color="auto"/>
            <w:color w:val="0000EE"/>
          </w:rPr>
          <w:t>Pharmaceuticals, Inc. and Streetervillle Capital LLC.</w:t>
        </w:r>
      </w:hyperlink>
    </w:p>
    <w:p>
      <w:pPr>
        <w:spacing w:after="0" w:line="162" w:lineRule="exact"/>
        <w:rPr>
          <w:sz w:val="20"/>
          <w:szCs w:val="20"/>
          <w:color w:val="auto"/>
        </w:rPr>
      </w:pPr>
    </w:p>
    <w:p>
      <w:pPr>
        <w:ind w:left="720" w:right="260" w:hanging="701"/>
        <w:spacing w:after="0" w:line="266" w:lineRule="auto"/>
        <w:tabs>
          <w:tab w:leader="none" w:pos="7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10.59</w:t>
      </w:r>
      <w:r>
        <w:rPr>
          <w:sz w:val="20"/>
          <w:szCs w:val="20"/>
          <w:color w:val="auto"/>
        </w:rPr>
        <w:tab/>
      </w:r>
      <w:hyperlink r:id="rId224">
        <w:r>
          <w:rPr>
            <w:rFonts w:ascii="Times New Roman" w:cs="Times New Roman" w:eastAsia="Times New Roman" w:hAnsi="Times New Roman"/>
            <w:sz w:val="18"/>
            <w:szCs w:val="18"/>
            <w:u w:val="single" w:color="auto"/>
            <w:color w:val="0000EE"/>
          </w:rPr>
          <w:t>Confidential Settlement Agreement and Release, dated July 17, 2023, by and between NRx</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Pharmaceuticals, Inc., NeuroRx, Inc., GEM Yield Bahamas Limited and GEM Global Yield LLC</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SCS</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12" w:lineRule="exact"/>
        <w:rPr>
          <w:rFonts w:ascii="Times New Roman" w:cs="Times New Roman" w:eastAsia="Times New Roman" w:hAnsi="Times New Roman"/>
          <w:sz w:val="18"/>
          <w:szCs w:val="18"/>
          <w:u w:val="single" w:color="auto"/>
          <w:color w:val="0000EE"/>
        </w:rPr>
      </w:pPr>
    </w:p>
    <w:p>
      <w:pPr>
        <w:ind w:left="100"/>
        <w:spacing w:after="0"/>
        <w:tabs>
          <w:tab w:leader="none" w:pos="880" w:val="left"/>
          <w:tab w:leader="none" w:pos="146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8/15/2022</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ind w:left="140"/>
        <w:spacing w:after="0"/>
        <w:tabs>
          <w:tab w:leader="none" w:pos="880" w:val="left"/>
          <w:tab w:leader="none" w:pos="1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11/09/2022</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ind w:left="140"/>
        <w:spacing w:after="0"/>
        <w:tabs>
          <w:tab w:leader="none" w:pos="880" w:val="left"/>
          <w:tab w:leader="none" w:pos="1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11/09/2022</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ind w:left="140"/>
        <w:spacing w:after="0"/>
        <w:tabs>
          <w:tab w:leader="none" w:pos="880" w:val="left"/>
          <w:tab w:leader="none" w:pos="14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11/09/2022</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spacing w:after="0"/>
        <w:tabs>
          <w:tab w:leader="none" w:pos="820" w:val="left"/>
          <w:tab w:leader="none" w:pos="1460" w:val="left"/>
        </w:tabs>
        <w:rPr>
          <w:sz w:val="20"/>
          <w:szCs w:val="20"/>
          <w:color w:val="auto"/>
        </w:rPr>
      </w:pPr>
      <w:r>
        <w:rPr>
          <w:rFonts w:ascii="Times New Roman" w:cs="Times New Roman" w:eastAsia="Times New Roman" w:hAnsi="Times New Roman"/>
          <w:sz w:val="18"/>
          <w:szCs w:val="18"/>
          <w:color w:val="auto"/>
        </w:rPr>
        <w:t>10-K/A</w:t>
        <w:tab/>
        <w:t>10.54</w:t>
      </w:r>
      <w:r>
        <w:rPr>
          <w:sz w:val="20"/>
          <w:szCs w:val="20"/>
          <w:color w:val="auto"/>
        </w:rPr>
        <w:tab/>
      </w:r>
      <w:r>
        <w:rPr>
          <w:rFonts w:ascii="Times New Roman" w:cs="Times New Roman" w:eastAsia="Times New Roman" w:hAnsi="Times New Roman"/>
          <w:sz w:val="17"/>
          <w:szCs w:val="17"/>
          <w:color w:val="auto"/>
        </w:rPr>
        <w:t>5/01/2023</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spacing w:after="0"/>
        <w:tabs>
          <w:tab w:leader="none" w:pos="820" w:val="left"/>
          <w:tab w:leader="none" w:pos="1460" w:val="left"/>
        </w:tabs>
        <w:rPr>
          <w:sz w:val="20"/>
          <w:szCs w:val="20"/>
          <w:color w:val="auto"/>
        </w:rPr>
      </w:pPr>
      <w:r>
        <w:rPr>
          <w:rFonts w:ascii="Times New Roman" w:cs="Times New Roman" w:eastAsia="Times New Roman" w:hAnsi="Times New Roman"/>
          <w:sz w:val="18"/>
          <w:szCs w:val="18"/>
          <w:color w:val="auto"/>
        </w:rPr>
        <w:t>10-K/A</w:t>
        <w:tab/>
        <w:t>10.55</w:t>
      </w:r>
      <w:r>
        <w:rPr>
          <w:sz w:val="20"/>
          <w:szCs w:val="20"/>
          <w:color w:val="auto"/>
        </w:rPr>
        <w:tab/>
      </w:r>
      <w:r>
        <w:rPr>
          <w:rFonts w:ascii="Times New Roman" w:cs="Times New Roman" w:eastAsia="Times New Roman" w:hAnsi="Times New Roman"/>
          <w:sz w:val="17"/>
          <w:szCs w:val="17"/>
          <w:color w:val="auto"/>
        </w:rPr>
        <w:t>5/01/2023</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ind w:left="40"/>
        <w:spacing w:after="0"/>
        <w:tabs>
          <w:tab w:leader="none" w:pos="880" w:val="left"/>
          <w:tab w:leader="none" w:pos="1460" w:val="left"/>
        </w:tabs>
        <w:rPr>
          <w:sz w:val="20"/>
          <w:szCs w:val="20"/>
          <w:color w:val="auto"/>
        </w:rPr>
      </w:pPr>
      <w:r>
        <w:rPr>
          <w:rFonts w:ascii="Times New Roman" w:cs="Times New Roman" w:eastAsia="Times New Roman" w:hAnsi="Times New Roman"/>
          <w:sz w:val="18"/>
          <w:szCs w:val="18"/>
          <w:color w:val="auto"/>
        </w:rPr>
        <w:t>8-K/A</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3/14/2023</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ind w:left="100"/>
        <w:spacing w:after="0"/>
        <w:tabs>
          <w:tab w:leader="none" w:pos="820" w:val="left"/>
          <w:tab w:leader="none" w:pos="14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10.46</w:t>
      </w:r>
      <w:r>
        <w:rPr>
          <w:sz w:val="20"/>
          <w:szCs w:val="20"/>
          <w:color w:val="auto"/>
        </w:rPr>
        <w:tab/>
      </w:r>
      <w:r>
        <w:rPr>
          <w:rFonts w:ascii="Times New Roman" w:cs="Times New Roman" w:eastAsia="Times New Roman" w:hAnsi="Times New Roman"/>
          <w:sz w:val="17"/>
          <w:szCs w:val="17"/>
          <w:color w:val="auto"/>
        </w:rPr>
        <w:t>3/31/2022</w:t>
      </w:r>
    </w:p>
    <w:p>
      <w:pPr>
        <w:spacing w:after="0" w:line="225" w:lineRule="exact"/>
        <w:rPr>
          <w:rFonts w:ascii="Times New Roman" w:cs="Times New Roman" w:eastAsia="Times New Roman" w:hAnsi="Times New Roman"/>
          <w:sz w:val="18"/>
          <w:szCs w:val="18"/>
          <w:u w:val="single" w:color="auto"/>
          <w:color w:val="0000EE"/>
        </w:rPr>
      </w:pPr>
    </w:p>
    <w:p>
      <w:pPr>
        <w:ind w:left="100"/>
        <w:spacing w:after="0"/>
        <w:tabs>
          <w:tab w:leader="none" w:pos="820" w:val="left"/>
          <w:tab w:leader="none" w:pos="14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10.55</w:t>
      </w:r>
      <w:r>
        <w:rPr>
          <w:sz w:val="20"/>
          <w:szCs w:val="20"/>
          <w:color w:val="auto"/>
        </w:rPr>
        <w:tab/>
      </w:r>
      <w:r>
        <w:rPr>
          <w:rFonts w:ascii="Times New Roman" w:cs="Times New Roman" w:eastAsia="Times New Roman" w:hAnsi="Times New Roman"/>
          <w:sz w:val="17"/>
          <w:szCs w:val="17"/>
          <w:color w:val="auto"/>
        </w:rPr>
        <w:t>3/29/2024</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ind w:left="140"/>
        <w:spacing w:after="0"/>
        <w:tabs>
          <w:tab w:leader="none" w:pos="880" w:val="left"/>
          <w:tab w:leader="none" w:pos="14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6/05/2023</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ind w:left="40"/>
        <w:spacing w:after="0"/>
        <w:tabs>
          <w:tab w:leader="none" w:pos="880" w:val="left"/>
          <w:tab w:leader="none" w:pos="1460" w:val="left"/>
        </w:tabs>
        <w:rPr>
          <w:sz w:val="20"/>
          <w:szCs w:val="20"/>
          <w:color w:val="auto"/>
        </w:rPr>
      </w:pPr>
      <w:r>
        <w:rPr>
          <w:rFonts w:ascii="Times New Roman" w:cs="Times New Roman" w:eastAsia="Times New Roman" w:hAnsi="Times New Roman"/>
          <w:sz w:val="18"/>
          <w:szCs w:val="18"/>
          <w:color w:val="auto"/>
        </w:rPr>
        <w:t>8-K/A</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6/07/2023</w:t>
      </w:r>
    </w:p>
    <w:p>
      <w:pPr>
        <w:spacing w:after="0" w:line="225" w:lineRule="exact"/>
        <w:rPr>
          <w:rFonts w:ascii="Times New Roman" w:cs="Times New Roman" w:eastAsia="Times New Roman" w:hAnsi="Times New Roman"/>
          <w:sz w:val="18"/>
          <w:szCs w:val="18"/>
          <w:u w:val="single" w:color="auto"/>
          <w:color w:val="0000EE"/>
        </w:rPr>
      </w:pPr>
    </w:p>
    <w:p>
      <w:pPr>
        <w:ind w:left="40"/>
        <w:spacing w:after="0"/>
        <w:tabs>
          <w:tab w:leader="none" w:pos="880" w:val="left"/>
          <w:tab w:leader="none" w:pos="1460" w:val="left"/>
        </w:tabs>
        <w:rPr>
          <w:sz w:val="20"/>
          <w:szCs w:val="20"/>
          <w:color w:val="auto"/>
        </w:rPr>
      </w:pPr>
      <w:r>
        <w:rPr>
          <w:rFonts w:ascii="Times New Roman" w:cs="Times New Roman" w:eastAsia="Times New Roman" w:hAnsi="Times New Roman"/>
          <w:sz w:val="18"/>
          <w:szCs w:val="18"/>
          <w:color w:val="auto"/>
        </w:rPr>
        <w:t>8-K/A</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6/07/2023</w:t>
      </w:r>
    </w:p>
    <w:p>
      <w:pPr>
        <w:spacing w:after="0" w:line="225" w:lineRule="exact"/>
        <w:rPr>
          <w:rFonts w:ascii="Times New Roman" w:cs="Times New Roman" w:eastAsia="Times New Roman" w:hAnsi="Times New Roman"/>
          <w:sz w:val="18"/>
          <w:szCs w:val="18"/>
          <w:u w:val="single" w:color="auto"/>
          <w:color w:val="0000EE"/>
        </w:rPr>
      </w:pPr>
    </w:p>
    <w:p>
      <w:pPr>
        <w:ind w:left="100"/>
        <w:spacing w:after="0"/>
        <w:tabs>
          <w:tab w:leader="none" w:pos="880" w:val="left"/>
          <w:tab w:leader="none" w:pos="146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8/14/2023</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ind w:left="100"/>
        <w:spacing w:after="0"/>
        <w:tabs>
          <w:tab w:leader="none" w:pos="820" w:val="left"/>
          <w:tab w:leader="none" w:pos="14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10.60</w:t>
      </w:r>
      <w:r>
        <w:rPr>
          <w:sz w:val="20"/>
          <w:szCs w:val="20"/>
          <w:color w:val="auto"/>
        </w:rPr>
        <w:tab/>
      </w:r>
      <w:r>
        <w:rPr>
          <w:rFonts w:ascii="Times New Roman" w:cs="Times New Roman" w:eastAsia="Times New Roman" w:hAnsi="Times New Roman"/>
          <w:sz w:val="17"/>
          <w:szCs w:val="17"/>
          <w:color w:val="auto"/>
        </w:rPr>
        <w:t>3/29/2024</w:t>
      </w:r>
    </w:p>
    <w:p>
      <w:pPr>
        <w:spacing w:after="0" w:line="657"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980" w:space="180"/>
            <w:col w:w="2260"/>
          </w:cols>
          <w:pgMar w:left="320" w:top="121" w:right="1159" w:bottom="1440" w:gutter="0" w:footer="0" w:header="0"/>
        </w:sectPr>
      </w:pPr>
    </w:p>
    <w:p>
      <w:pPr>
        <w:spacing w:after="0"/>
        <w:tabs>
          <w:tab w:leader="none" w:pos="700" w:val="left"/>
          <w:tab w:leader="none" w:pos="8280" w:val="left"/>
          <w:tab w:leader="none" w:pos="9040" w:val="left"/>
          <w:tab w:leader="none" w:pos="96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10.60</w:t>
      </w:r>
      <w:r>
        <w:rPr>
          <w:sz w:val="20"/>
          <w:szCs w:val="20"/>
          <w:color w:val="auto"/>
        </w:rPr>
        <w:tab/>
      </w:r>
      <w:hyperlink r:id="rId225">
        <w:r>
          <w:rPr>
            <w:rFonts w:ascii="Times New Roman" w:cs="Times New Roman" w:eastAsia="Times New Roman" w:hAnsi="Times New Roman"/>
            <w:sz w:val="18"/>
            <w:szCs w:val="18"/>
            <w:u w:val="single" w:color="auto"/>
            <w:color w:val="0000EE"/>
          </w:rPr>
          <w:t>Form of Securities Purchase Agreement</w:t>
        </w:r>
      </w:hyperlink>
      <w:r>
        <w:rPr>
          <w:rFonts w:ascii="Times New Roman" w:cs="Times New Roman" w:eastAsia="Times New Roman" w:hAnsi="Times New Roman"/>
          <w:sz w:val="18"/>
          <w:szCs w:val="18"/>
          <w:u w:val="single" w:color="auto"/>
          <w:color w:val="0000EE"/>
        </w:rPr>
        <w:tab/>
        <w:t>8-K</w:t>
        <w:tab/>
        <w:t>10.1</w:t>
        <w:tab/>
      </w:r>
      <w:r>
        <w:rPr>
          <w:rFonts w:ascii="Times New Roman" w:cs="Times New Roman" w:eastAsia="Times New Roman" w:hAnsi="Times New Roman"/>
          <w:sz w:val="17"/>
          <w:szCs w:val="17"/>
          <w:u w:val="single" w:color="auto"/>
          <w:color w:val="0000EE"/>
        </w:rPr>
        <w:t>9/01/2023</w:t>
      </w:r>
    </w:p>
    <w:p>
      <w:pPr>
        <w:spacing w:after="0" w:line="225" w:lineRule="exact"/>
        <w:rPr>
          <w:rFonts w:ascii="Times New Roman" w:cs="Times New Roman" w:eastAsia="Times New Roman" w:hAnsi="Times New Roman"/>
          <w:sz w:val="18"/>
          <w:szCs w:val="18"/>
          <w:u w:val="single" w:color="auto"/>
          <w:color w:val="0000EE"/>
        </w:rPr>
      </w:pPr>
    </w:p>
    <w:p>
      <w:pPr>
        <w:ind w:left="55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806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6780" w:type="dxa"/>
            <w:vAlign w:val="bottom"/>
            <w:tcBorders>
              <w:bottom w:val="single" w:sz="8" w:color="0000EE"/>
            </w:tcBorders>
            <w:gridSpan w:val="28"/>
          </w:tcPr>
          <w:p>
            <w:pPr>
              <w:ind w:left="20"/>
              <w:spacing w:after="0"/>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Client Agreement, dated August 31, 2023, by and between NRx Pharmaceuticals, Inc. and LS</w:t>
              </w:r>
            </w:hyperlink>
          </w:p>
        </w:tc>
        <w:tc>
          <w:tcPr>
            <w:tcW w:w="58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9/14/2023</w:t>
            </w:r>
          </w:p>
        </w:tc>
      </w:tr>
      <w:tr>
        <w:trPr>
          <w:trHeight w:val="196"/>
        </w:trPr>
        <w:tc>
          <w:tcPr>
            <w:tcW w:w="700" w:type="dxa"/>
            <w:vAlign w:val="bottom"/>
          </w:tcPr>
          <w:p>
            <w:pPr>
              <w:spacing w:after="0"/>
              <w:rPr>
                <w:sz w:val="17"/>
                <w:szCs w:val="17"/>
                <w:color w:val="auto"/>
              </w:rPr>
            </w:pPr>
          </w:p>
        </w:tc>
        <w:tc>
          <w:tcPr>
            <w:tcW w:w="7360" w:type="dxa"/>
            <w:vAlign w:val="bottom"/>
            <w:gridSpan w:val="42"/>
          </w:tcPr>
          <w:p>
            <w:pPr>
              <w:ind w:left="20"/>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Associates, a division of LifeSci Advisors, LLC Associates.</w:t>
              </w:r>
            </w:hyperlink>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7360" w:type="dxa"/>
            <w:vAlign w:val="bottom"/>
            <w:gridSpan w:val="42"/>
          </w:tcPr>
          <w:p>
            <w:pPr>
              <w:ind w:left="20"/>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First Amendment to NRx Pharmaceuticals, Inc. 2021 Omnibus Incentive Plan</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12/29/2023</w:t>
            </w:r>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6920" w:type="dxa"/>
            <w:vAlign w:val="bottom"/>
            <w:tcBorders>
              <w:bottom w:val="single" w:sz="8" w:color="0000EE"/>
            </w:tcBorders>
            <w:gridSpan w:val="32"/>
          </w:tcPr>
          <w:p>
            <w:pPr>
              <w:ind w:left="20"/>
              <w:spacing w:after="0"/>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First Amendment to Exclusive, Global Development, Supply, Marketing &amp; License Agreement,</w:t>
              </w:r>
            </w:hyperlink>
          </w:p>
        </w:tc>
        <w:tc>
          <w:tcPr>
            <w:tcW w:w="44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10.64</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3/29/2024</w:t>
            </w:r>
          </w:p>
        </w:tc>
      </w:tr>
      <w:tr>
        <w:trPr>
          <w:trHeight w:val="196"/>
        </w:trPr>
        <w:tc>
          <w:tcPr>
            <w:tcW w:w="700" w:type="dxa"/>
            <w:vAlign w:val="bottom"/>
          </w:tcPr>
          <w:p>
            <w:pPr>
              <w:spacing w:after="0"/>
              <w:rPr>
                <w:sz w:val="17"/>
                <w:szCs w:val="17"/>
                <w:color w:val="auto"/>
              </w:rPr>
            </w:pPr>
          </w:p>
        </w:tc>
        <w:tc>
          <w:tcPr>
            <w:tcW w:w="7360" w:type="dxa"/>
            <w:vAlign w:val="bottom"/>
            <w:gridSpan w:val="42"/>
          </w:tcPr>
          <w:p>
            <w:pPr>
              <w:ind w:left="20"/>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dated February 7, 2024, by and between NRx Pharmaceuticals, Inc., Alvogen Pharma US, Inc.,</w:t>
              </w:r>
            </w:hyperlink>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6860" w:type="dxa"/>
            <w:vAlign w:val="bottom"/>
            <w:tcBorders>
              <w:top w:val="single" w:sz="8" w:color="0000EE"/>
            </w:tcBorders>
            <w:gridSpan w:val="30"/>
          </w:tcPr>
          <w:p>
            <w:pPr>
              <w:ind w:left="20"/>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Alvogen, Inc. and Lotus Pharmaceutical Co. Ltd.</w:t>
              </w:r>
            </w:hyperlink>
          </w:p>
        </w:tc>
        <w:tc>
          <w:tcPr>
            <w:tcW w:w="50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7360" w:type="dxa"/>
            <w:vAlign w:val="bottom"/>
            <w:gridSpan w:val="42"/>
          </w:tcPr>
          <w:p>
            <w:pPr>
              <w:ind w:left="20"/>
              <w:spacing w:after="0"/>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Amendment #3 to Convertible Promissory Note, dated February 9, 2024, by and between NRx</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2/14/2024</w:t>
            </w:r>
          </w:p>
        </w:tc>
      </w:tr>
      <w:tr>
        <w:trPr>
          <w:trHeight w:val="196"/>
        </w:trPr>
        <w:tc>
          <w:tcPr>
            <w:tcW w:w="70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18"/>
          </w:tcPr>
          <w:p>
            <w:pPr>
              <w:ind w:left="20"/>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Pharmaceuticals, Inc. and Streetervillle Capital LLC.</w:t>
              </w:r>
            </w:hyperlink>
          </w:p>
        </w:tc>
        <w:tc>
          <w:tcPr>
            <w:tcW w:w="2980" w:type="dxa"/>
            <w:vAlign w:val="bottom"/>
            <w:tcBorders>
              <w:top w:val="single" w:sz="8" w:color="0000EE"/>
            </w:tcBorders>
            <w:gridSpan w:val="11"/>
          </w:tcPr>
          <w:p>
            <w:pPr>
              <w:spacing w:after="0"/>
              <w:rPr>
                <w:sz w:val="17"/>
                <w:szCs w:val="17"/>
                <w:color w:val="auto"/>
              </w:rPr>
            </w:pPr>
          </w:p>
        </w:tc>
        <w:tc>
          <w:tcPr>
            <w:tcW w:w="54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4740" w:type="dxa"/>
            <w:vAlign w:val="bottom"/>
            <w:tcBorders>
              <w:bottom w:val="single" w:sz="8" w:color="0000EE"/>
            </w:tcBorders>
            <w:gridSpan w:val="22"/>
          </w:tcPr>
          <w:p>
            <w:pPr>
              <w:ind w:left="20"/>
              <w:spacing w:after="0"/>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Form of Securities Purchase Agreement, dated February 29, 2024</w:t>
              </w:r>
            </w:hyperlink>
          </w:p>
        </w:tc>
        <w:tc>
          <w:tcPr>
            <w:tcW w:w="2620" w:type="dxa"/>
            <w:vAlign w:val="bottom"/>
            <w:gridSpan w:val="2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10.66</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3/29/2024</w:t>
            </w: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7360" w:type="dxa"/>
            <w:vAlign w:val="bottom"/>
            <w:gridSpan w:val="42"/>
          </w:tcPr>
          <w:p>
            <w:pPr>
              <w:ind w:left="20"/>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Securities Purchase Agreement, dated August 12, 2024, between NRx Pharmaceuticals, Inc. and the</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8/14/2024</w:t>
            </w:r>
          </w:p>
        </w:tc>
      </w:tr>
      <w:tr>
        <w:trPr>
          <w:trHeight w:val="196"/>
        </w:trPr>
        <w:tc>
          <w:tcPr>
            <w:tcW w:w="700" w:type="dxa"/>
            <w:vAlign w:val="bottom"/>
          </w:tcPr>
          <w:p>
            <w:pPr>
              <w:spacing w:after="0"/>
              <w:rPr>
                <w:sz w:val="17"/>
                <w:szCs w:val="17"/>
                <w:color w:val="auto"/>
              </w:rPr>
            </w:pPr>
          </w:p>
        </w:tc>
        <w:tc>
          <w:tcPr>
            <w:tcW w:w="7200" w:type="dxa"/>
            <w:vAlign w:val="bottom"/>
            <w:tcBorders>
              <w:top w:val="single" w:sz="8" w:color="0000EE"/>
            </w:tcBorders>
            <w:gridSpan w:val="38"/>
          </w:tcPr>
          <w:p>
            <w:pPr>
              <w:ind w:left="20"/>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other parties signatory thereto</w:t>
              </w:r>
            </w:hyperlink>
          </w:p>
        </w:tc>
        <w:tc>
          <w:tcPr>
            <w:tcW w:w="16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7000" w:type="dxa"/>
            <w:vAlign w:val="bottom"/>
            <w:tcBorders>
              <w:bottom w:val="single" w:sz="8" w:color="0000EE"/>
            </w:tcBorders>
            <w:gridSpan w:val="33"/>
          </w:tcPr>
          <w:p>
            <w:pPr>
              <w:ind w:left="20"/>
              <w:spacing w:after="0"/>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Form of Security Agreement to be entered into by and among NRx Pharmaceuticals, Inc. and the</w:t>
              </w:r>
            </w:hyperlink>
          </w:p>
        </w:tc>
        <w:tc>
          <w:tcPr>
            <w:tcW w:w="36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8/14/2024</w:t>
            </w:r>
          </w:p>
        </w:tc>
      </w:tr>
      <w:tr>
        <w:trPr>
          <w:trHeight w:val="196"/>
        </w:trPr>
        <w:tc>
          <w:tcPr>
            <w:tcW w:w="700" w:type="dxa"/>
            <w:vAlign w:val="bottom"/>
          </w:tcPr>
          <w:p>
            <w:pPr>
              <w:spacing w:after="0"/>
              <w:rPr>
                <w:sz w:val="17"/>
                <w:szCs w:val="17"/>
                <w:color w:val="auto"/>
              </w:rPr>
            </w:pPr>
          </w:p>
        </w:tc>
        <w:tc>
          <w:tcPr>
            <w:tcW w:w="7360" w:type="dxa"/>
            <w:vAlign w:val="bottom"/>
            <w:gridSpan w:val="42"/>
          </w:tcPr>
          <w:p>
            <w:pPr>
              <w:ind w:left="20"/>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other parties signatory thereto</w:t>
              </w:r>
            </w:hyperlink>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7360" w:type="dxa"/>
            <w:vAlign w:val="bottom"/>
            <w:gridSpan w:val="42"/>
          </w:tcPr>
          <w:p>
            <w:pPr>
              <w:ind w:left="20"/>
              <w:spacing w:after="0"/>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Form of Patent Security Agreement, to be entered into by and among NRx Pharmaceuticals, Inc. and</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8/14/2024</w:t>
            </w:r>
          </w:p>
        </w:tc>
      </w:tr>
      <w:tr>
        <w:trPr>
          <w:trHeight w:val="196"/>
        </w:trPr>
        <w:tc>
          <w:tcPr>
            <w:tcW w:w="700" w:type="dxa"/>
            <w:vAlign w:val="bottom"/>
          </w:tcPr>
          <w:p>
            <w:pPr>
              <w:spacing w:after="0"/>
              <w:rPr>
                <w:sz w:val="17"/>
                <w:szCs w:val="17"/>
                <w:color w:val="auto"/>
              </w:rPr>
            </w:pPr>
          </w:p>
        </w:tc>
        <w:tc>
          <w:tcPr>
            <w:tcW w:w="7260" w:type="dxa"/>
            <w:vAlign w:val="bottom"/>
            <w:tcBorders>
              <w:top w:val="single" w:sz="8" w:color="0000EE"/>
            </w:tcBorders>
            <w:gridSpan w:val="41"/>
          </w:tcPr>
          <w:p>
            <w:pPr>
              <w:ind w:left="20"/>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the other parties signatory 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7220" w:type="dxa"/>
            <w:vAlign w:val="bottom"/>
            <w:tcBorders>
              <w:bottom w:val="single" w:sz="8" w:color="0000EE"/>
            </w:tcBorders>
            <w:gridSpan w:val="39"/>
          </w:tcPr>
          <w:p>
            <w:pPr>
              <w:ind w:left="20"/>
              <w:spacing w:after="0"/>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Form of Registration Rights Agreement to be entered into by and among NRx Pharmaceuticals, Inc.</w:t>
              </w:r>
            </w:hyperlink>
          </w:p>
        </w:tc>
        <w:tc>
          <w:tcPr>
            <w:tcW w:w="14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8/14/2024</w:t>
            </w:r>
          </w:p>
        </w:tc>
      </w:tr>
      <w:tr>
        <w:trPr>
          <w:trHeight w:val="196"/>
        </w:trPr>
        <w:tc>
          <w:tcPr>
            <w:tcW w:w="700" w:type="dxa"/>
            <w:vAlign w:val="bottom"/>
          </w:tcPr>
          <w:p>
            <w:pPr>
              <w:spacing w:after="0"/>
              <w:rPr>
                <w:sz w:val="17"/>
                <w:szCs w:val="17"/>
                <w:color w:val="auto"/>
              </w:rPr>
            </w:pPr>
          </w:p>
        </w:tc>
        <w:tc>
          <w:tcPr>
            <w:tcW w:w="2320" w:type="dxa"/>
            <w:vAlign w:val="bottom"/>
            <w:tcBorders>
              <w:bottom w:val="single" w:sz="8" w:color="0000EE"/>
            </w:tcBorders>
            <w:gridSpan w:val="9"/>
          </w:tcPr>
          <w:p>
            <w:pPr>
              <w:ind w:left="20"/>
              <w:spacing w:after="0" w:line="196" w:lineRule="exact"/>
              <w:rPr>
                <w:rFonts w:ascii="Times New Roman" w:cs="Times New Roman" w:eastAsia="Times New Roman" w:hAnsi="Times New Roman"/>
                <w:sz w:val="18"/>
                <w:szCs w:val="18"/>
                <w:color w:val="0000EE"/>
                <w:w w:val="98"/>
              </w:rPr>
            </w:pPr>
            <w:hyperlink r:id="rId235">
              <w:r>
                <w:rPr>
                  <w:rFonts w:ascii="Times New Roman" w:cs="Times New Roman" w:eastAsia="Times New Roman" w:hAnsi="Times New Roman"/>
                  <w:sz w:val="18"/>
                  <w:szCs w:val="18"/>
                  <w:color w:val="0000EE"/>
                  <w:w w:val="98"/>
                </w:rPr>
                <w:t>and the parties signatory thereto</w:t>
              </w:r>
            </w:hyperlink>
          </w:p>
        </w:tc>
        <w:tc>
          <w:tcPr>
            <w:tcW w:w="5040" w:type="dxa"/>
            <w:vAlign w:val="bottom"/>
            <w:gridSpan w:val="33"/>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10.70</w:t>
            </w:r>
          </w:p>
        </w:tc>
        <w:tc>
          <w:tcPr>
            <w:tcW w:w="7360" w:type="dxa"/>
            <w:vAlign w:val="bottom"/>
            <w:gridSpan w:val="42"/>
          </w:tcPr>
          <w:p>
            <w:pPr>
              <w:ind w:left="20"/>
              <w:spacing w:after="0"/>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Form of Subsidiary Guarantee to be entered into by and among NRx Pharmaceuticals, Inc. and the</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8/14/2024</w:t>
            </w:r>
          </w:p>
        </w:tc>
      </w:tr>
      <w:tr>
        <w:trPr>
          <w:trHeight w:val="196"/>
        </w:trPr>
        <w:tc>
          <w:tcPr>
            <w:tcW w:w="70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8"/>
              </w:rPr>
            </w:pPr>
            <w:hyperlink r:id="rId236">
              <w:r>
                <w:rPr>
                  <w:rFonts w:ascii="Times New Roman" w:cs="Times New Roman" w:eastAsia="Times New Roman" w:hAnsi="Times New Roman"/>
                  <w:sz w:val="18"/>
                  <w:szCs w:val="18"/>
                  <w:color w:val="0000EE"/>
                  <w:w w:val="98"/>
                </w:rPr>
                <w:t>purchasers signatory thereto</w:t>
              </w:r>
            </w:hyperlink>
          </w:p>
        </w:tc>
        <w:tc>
          <w:tcPr>
            <w:tcW w:w="5060" w:type="dxa"/>
            <w:vAlign w:val="bottom"/>
            <w:tcBorders>
              <w:top w:val="single" w:sz="8" w:color="0000EE"/>
            </w:tcBorders>
            <w:gridSpan w:val="29"/>
          </w:tcPr>
          <w:p>
            <w:pPr>
              <w:spacing w:after="0"/>
              <w:rPr>
                <w:sz w:val="17"/>
                <w:szCs w:val="17"/>
                <w:color w:val="auto"/>
              </w:rPr>
            </w:pPr>
          </w:p>
        </w:tc>
        <w:tc>
          <w:tcPr>
            <w:tcW w:w="26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7360" w:type="dxa"/>
            <w:vAlign w:val="bottom"/>
            <w:gridSpan w:val="42"/>
          </w:tcPr>
          <w:p>
            <w:pPr>
              <w:ind w:left="20"/>
              <w:spacing w:after="0"/>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Settlement Agreement and Release of Claims, dated August 12, 2024, between the Company and</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8/14/2024</w:t>
            </w:r>
          </w:p>
        </w:tc>
      </w:tr>
      <w:tr>
        <w:trPr>
          <w:trHeight w:val="196"/>
        </w:trPr>
        <w:tc>
          <w:tcPr>
            <w:tcW w:w="700" w:type="dxa"/>
            <w:vAlign w:val="bottom"/>
          </w:tcPr>
          <w:p>
            <w:pPr>
              <w:spacing w:after="0"/>
              <w:rPr>
                <w:sz w:val="17"/>
                <w:szCs w:val="17"/>
                <w:color w:val="auto"/>
              </w:rPr>
            </w:pPr>
          </w:p>
        </w:tc>
        <w:tc>
          <w:tcPr>
            <w:tcW w:w="7000" w:type="dxa"/>
            <w:vAlign w:val="bottom"/>
            <w:tcBorders>
              <w:top w:val="single" w:sz="8" w:color="0000EE"/>
            </w:tcBorders>
            <w:gridSpan w:val="33"/>
          </w:tcPr>
          <w:p>
            <w:pPr>
              <w:ind w:left="20"/>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Streeterville Capital, LLC.</w:t>
              </w:r>
            </w:hyperlink>
          </w:p>
        </w:tc>
        <w:tc>
          <w:tcPr>
            <w:tcW w:w="36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7360" w:type="dxa"/>
            <w:vAlign w:val="bottom"/>
            <w:gridSpan w:val="42"/>
          </w:tcPr>
          <w:p>
            <w:pPr>
              <w:ind w:left="20"/>
              <w:spacing w:after="0"/>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Employment Agreement between Michael Abrams and NRx Pharmaceuticals, Inc., dated November</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11/20/2024</w:t>
            </w:r>
          </w:p>
        </w:tc>
      </w:tr>
      <w:tr>
        <w:trPr>
          <w:trHeight w:val="196"/>
        </w:trPr>
        <w:tc>
          <w:tcPr>
            <w:tcW w:w="700" w:type="dxa"/>
            <w:vAlign w:val="bottom"/>
          </w:tcPr>
          <w:p>
            <w:pPr>
              <w:spacing w:after="0"/>
              <w:rPr>
                <w:sz w:val="17"/>
                <w:szCs w:val="17"/>
                <w:color w:val="auto"/>
              </w:rPr>
            </w:pPr>
          </w:p>
        </w:tc>
        <w:tc>
          <w:tcPr>
            <w:tcW w:w="640" w:type="dxa"/>
            <w:vAlign w:val="bottom"/>
            <w:tcBorders>
              <w:top w:val="single" w:sz="8" w:color="0000EE"/>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5"/>
              </w:rPr>
            </w:pPr>
            <w:hyperlink r:id="rId238">
              <w:r>
                <w:rPr>
                  <w:rFonts w:ascii="Times New Roman" w:cs="Times New Roman" w:eastAsia="Times New Roman" w:hAnsi="Times New Roman"/>
                  <w:sz w:val="18"/>
                  <w:szCs w:val="18"/>
                  <w:color w:val="0000EE"/>
                  <w:w w:val="95"/>
                </w:rPr>
                <w:t>18, 2024</w:t>
              </w:r>
            </w:hyperlink>
          </w:p>
        </w:tc>
        <w:tc>
          <w:tcPr>
            <w:tcW w:w="7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7360" w:type="dxa"/>
            <w:vAlign w:val="bottom"/>
            <w:gridSpan w:val="42"/>
          </w:tcPr>
          <w:p>
            <w:pPr>
              <w:ind w:left="20"/>
              <w:spacing w:after="0"/>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Term Sheet, dated as of January 5, 2025, between the Company and JGS Holdings LLC</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1/10/2025</w:t>
            </w:r>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7360" w:type="dxa"/>
            <w:vAlign w:val="bottom"/>
            <w:gridSpan w:val="42"/>
          </w:tcPr>
          <w:p>
            <w:pPr>
              <w:ind w:left="20"/>
              <w:spacing w:after="0"/>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Securities Purchase Agreement, dated January 27, 2025, by and among the Company and the</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1/29/2025</w:t>
            </w:r>
          </w:p>
        </w:tc>
      </w:tr>
      <w:tr>
        <w:trPr>
          <w:trHeight w:val="196"/>
        </w:trPr>
        <w:tc>
          <w:tcPr>
            <w:tcW w:w="700" w:type="dxa"/>
            <w:vAlign w:val="bottom"/>
          </w:tcPr>
          <w:p>
            <w:pPr>
              <w:spacing w:after="0"/>
              <w:rPr>
                <w:sz w:val="17"/>
                <w:szCs w:val="17"/>
                <w:color w:val="auto"/>
              </w:rPr>
            </w:pPr>
          </w:p>
        </w:tc>
        <w:tc>
          <w:tcPr>
            <w:tcW w:w="6700" w:type="dxa"/>
            <w:vAlign w:val="bottom"/>
            <w:tcBorders>
              <w:top w:val="single" w:sz="8" w:color="0000EE"/>
            </w:tcBorders>
            <w:gridSpan w:val="26"/>
          </w:tcPr>
          <w:p>
            <w:pPr>
              <w:ind w:left="20"/>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purchaser signatories thereto.</w:t>
              </w:r>
            </w:hyperlink>
          </w:p>
        </w:tc>
        <w:tc>
          <w:tcPr>
            <w:tcW w:w="660" w:type="dxa"/>
            <w:vAlign w:val="bottom"/>
            <w:gridSpan w:val="16"/>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10.75</w:t>
            </w:r>
          </w:p>
        </w:tc>
        <w:tc>
          <w:tcPr>
            <w:tcW w:w="6760" w:type="dxa"/>
            <w:vAlign w:val="bottom"/>
            <w:tcBorders>
              <w:bottom w:val="single" w:sz="8" w:color="0000EE"/>
            </w:tcBorders>
            <w:gridSpan w:val="27"/>
          </w:tcPr>
          <w:p>
            <w:pPr>
              <w:ind w:left="20"/>
              <w:spacing w:after="0"/>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Consent and Waiver Agreement, dated January 27, 2025, by and among the Company and the</w:t>
              </w:r>
            </w:hyperlink>
          </w:p>
        </w:tc>
        <w:tc>
          <w:tcPr>
            <w:tcW w:w="60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1/29/2025</w:t>
            </w:r>
          </w:p>
        </w:tc>
      </w:tr>
      <w:tr>
        <w:trPr>
          <w:trHeight w:val="196"/>
        </w:trPr>
        <w:tc>
          <w:tcPr>
            <w:tcW w:w="700" w:type="dxa"/>
            <w:vAlign w:val="bottom"/>
          </w:tcPr>
          <w:p>
            <w:pPr>
              <w:spacing w:after="0"/>
              <w:rPr>
                <w:sz w:val="17"/>
                <w:szCs w:val="17"/>
                <w:color w:val="auto"/>
              </w:rPr>
            </w:pPr>
          </w:p>
        </w:tc>
        <w:tc>
          <w:tcPr>
            <w:tcW w:w="138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7"/>
              </w:rPr>
            </w:pPr>
            <w:hyperlink r:id="rId241">
              <w:r>
                <w:rPr>
                  <w:rFonts w:ascii="Times New Roman" w:cs="Times New Roman" w:eastAsia="Times New Roman" w:hAnsi="Times New Roman"/>
                  <w:sz w:val="18"/>
                  <w:szCs w:val="18"/>
                  <w:color w:val="0000EE"/>
                  <w:w w:val="97"/>
                </w:rPr>
                <w:t>signatories thereto.</w:t>
              </w:r>
            </w:hyperlink>
          </w:p>
        </w:tc>
        <w:tc>
          <w:tcPr>
            <w:tcW w:w="5980" w:type="dxa"/>
            <w:vAlign w:val="bottom"/>
            <w:gridSpan w:val="37"/>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7360" w:type="dxa"/>
            <w:vAlign w:val="bottom"/>
            <w:gridSpan w:val="42"/>
          </w:tcPr>
          <w:p>
            <w:pPr>
              <w:ind w:left="20"/>
              <w:spacing w:after="0"/>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Form of Amended and Restated Securities Purchase Agreement, dated as of January 28, 2025, by</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2/3/2025</w:t>
            </w:r>
          </w:p>
        </w:tc>
      </w:tr>
      <w:tr>
        <w:trPr>
          <w:trHeight w:val="196"/>
        </w:trPr>
        <w:tc>
          <w:tcPr>
            <w:tcW w:w="70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11"/>
          </w:tcPr>
          <w:p>
            <w:pPr>
              <w:ind w:left="20"/>
              <w:spacing w:after="0" w:line="196" w:lineRule="exact"/>
              <w:rPr>
                <w:rFonts w:ascii="Times New Roman" w:cs="Times New Roman" w:eastAsia="Times New Roman" w:hAnsi="Times New Roman"/>
                <w:sz w:val="18"/>
                <w:szCs w:val="18"/>
                <w:color w:val="0000EE"/>
                <w:w w:val="98"/>
              </w:rPr>
            </w:pPr>
            <w:hyperlink r:id="rId242">
              <w:r>
                <w:rPr>
                  <w:rFonts w:ascii="Times New Roman" w:cs="Times New Roman" w:eastAsia="Times New Roman" w:hAnsi="Times New Roman"/>
                  <w:sz w:val="18"/>
                  <w:szCs w:val="18"/>
                  <w:color w:val="0000EE"/>
                  <w:w w:val="98"/>
                </w:rPr>
                <w:t>and among the Company and the Investor.</w:t>
              </w:r>
            </w:hyperlink>
          </w:p>
        </w:tc>
        <w:tc>
          <w:tcPr>
            <w:tcW w:w="3960" w:type="dxa"/>
            <w:vAlign w:val="bottom"/>
            <w:tcBorders>
              <w:top w:val="single" w:sz="8" w:color="0000EE"/>
            </w:tcBorders>
            <w:gridSpan w:val="23"/>
          </w:tcPr>
          <w:p>
            <w:pPr>
              <w:spacing w:after="0"/>
              <w:rPr>
                <w:sz w:val="17"/>
                <w:szCs w:val="17"/>
                <w:color w:val="auto"/>
              </w:rPr>
            </w:pPr>
          </w:p>
        </w:tc>
        <w:tc>
          <w:tcPr>
            <w:tcW w:w="34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10.77</w:t>
            </w:r>
          </w:p>
        </w:tc>
        <w:tc>
          <w:tcPr>
            <w:tcW w:w="7360" w:type="dxa"/>
            <w:vAlign w:val="bottom"/>
            <w:gridSpan w:val="42"/>
          </w:tcPr>
          <w:p>
            <w:pPr>
              <w:ind w:left="20"/>
              <w:spacing w:after="0"/>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Form of Second Amended and Restated Securities Purchase Agreement, dated as of February 3,</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2/3/2025</w:t>
            </w:r>
          </w:p>
        </w:tc>
      </w:tr>
      <w:tr>
        <w:trPr>
          <w:trHeight w:val="196"/>
        </w:trPr>
        <w:tc>
          <w:tcPr>
            <w:tcW w:w="700" w:type="dxa"/>
            <w:vAlign w:val="bottom"/>
          </w:tcPr>
          <w:p>
            <w:pPr>
              <w:spacing w:after="0"/>
              <w:rPr>
                <w:sz w:val="17"/>
                <w:szCs w:val="17"/>
                <w:color w:val="auto"/>
              </w:rPr>
            </w:pPr>
          </w:p>
        </w:tc>
        <w:tc>
          <w:tcPr>
            <w:tcW w:w="6920" w:type="dxa"/>
            <w:vAlign w:val="bottom"/>
            <w:tcBorders>
              <w:top w:val="single" w:sz="8" w:color="0000EE"/>
            </w:tcBorders>
            <w:gridSpan w:val="32"/>
          </w:tcPr>
          <w:p>
            <w:pPr>
              <w:ind w:left="20"/>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2025, by and among the Company and the Investor.</w:t>
              </w:r>
            </w:hyperlink>
          </w:p>
        </w:tc>
        <w:tc>
          <w:tcPr>
            <w:tcW w:w="44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10.78</w:t>
            </w:r>
          </w:p>
        </w:tc>
        <w:tc>
          <w:tcPr>
            <w:tcW w:w="7360" w:type="dxa"/>
            <w:vAlign w:val="bottom"/>
            <w:gridSpan w:val="42"/>
          </w:tcPr>
          <w:p>
            <w:pPr>
              <w:ind w:left="20"/>
              <w:spacing w:after="0"/>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Form of Securities Purchase Agreement, dated August 18, 2025</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08/18/2025</w:t>
            </w: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10.79</w:t>
            </w:r>
          </w:p>
        </w:tc>
        <w:tc>
          <w:tcPr>
            <w:tcW w:w="3860" w:type="dxa"/>
            <w:vAlign w:val="bottom"/>
            <w:tcBorders>
              <w:top w:val="single" w:sz="8" w:color="0000EE"/>
              <w:bottom w:val="single" w:sz="8" w:color="0000EE"/>
            </w:tcBorders>
            <w:gridSpan w:val="19"/>
          </w:tcPr>
          <w:p>
            <w:pPr>
              <w:ind w:left="20"/>
              <w:spacing w:after="0"/>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Form of Lock-Up Agreement, dated August 18, 2025</w:t>
              </w:r>
            </w:hyperlink>
          </w:p>
        </w:tc>
        <w:tc>
          <w:tcPr>
            <w:tcW w:w="740" w:type="dxa"/>
            <w:vAlign w:val="bottom"/>
            <w:tcBorders>
              <w:top w:val="single" w:sz="8" w:color="0000EE"/>
            </w:tcBorders>
            <w:gridSpan w:val="2"/>
          </w:tcPr>
          <w:p>
            <w:pPr>
              <w:spacing w:after="0"/>
              <w:rPr>
                <w:sz w:val="24"/>
                <w:szCs w:val="24"/>
                <w:color w:val="auto"/>
              </w:rPr>
            </w:pPr>
          </w:p>
        </w:tc>
        <w:tc>
          <w:tcPr>
            <w:tcW w:w="2760" w:type="dxa"/>
            <w:vAlign w:val="bottom"/>
            <w:gridSpan w:val="2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08/18/2025</w:t>
            </w: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10.80</w:t>
            </w:r>
          </w:p>
        </w:tc>
        <w:tc>
          <w:tcPr>
            <w:tcW w:w="3240" w:type="dxa"/>
            <w:vAlign w:val="bottom"/>
            <w:tcBorders>
              <w:bottom w:val="single" w:sz="8" w:color="0000EE"/>
            </w:tcBorders>
            <w:gridSpan w:val="13"/>
          </w:tcPr>
          <w:p>
            <w:pPr>
              <w:ind w:left="20"/>
              <w:spacing w:after="0"/>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Asset Purchase and Contribution Agreement</w:t>
              </w:r>
            </w:hyperlink>
          </w:p>
        </w:tc>
        <w:tc>
          <w:tcPr>
            <w:tcW w:w="4120" w:type="dxa"/>
            <w:vAlign w:val="bottom"/>
            <w:gridSpan w:val="2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05/15/2025</w:t>
            </w: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10.81</w:t>
            </w:r>
          </w:p>
        </w:tc>
        <w:tc>
          <w:tcPr>
            <w:tcW w:w="7360" w:type="dxa"/>
            <w:vAlign w:val="bottom"/>
            <w:gridSpan w:val="42"/>
          </w:tcPr>
          <w:p>
            <w:pPr>
              <w:ind w:left="20"/>
              <w:spacing w:after="0"/>
              <w:rPr>
                <w:sz w:val="20"/>
                <w:szCs w:val="20"/>
                <w:color w:val="auto"/>
              </w:rPr>
            </w:pPr>
            <w:r>
              <w:rPr>
                <w:rFonts w:ascii="Times New Roman" w:cs="Times New Roman" w:eastAsia="Times New Roman" w:hAnsi="Times New Roman"/>
                <w:sz w:val="18"/>
                <w:szCs w:val="18"/>
                <w:color w:val="0000EE"/>
              </w:rPr>
              <w:t>Employment Agreement between Joseph Casper and NRx Pharmaceuticals, Inc. dated December 1,</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7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88"/>
              </w:rPr>
              <w:t>2026</w:t>
            </w: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3220" w:type="dxa"/>
            <w:vAlign w:val="bottom"/>
            <w:tcBorders>
              <w:bottom w:val="single" w:sz="8" w:color="0000EE"/>
            </w:tcBorders>
            <w:gridSpan w:val="12"/>
          </w:tcPr>
          <w:p>
            <w:pPr>
              <w:ind w:left="20"/>
              <w:spacing w:after="0"/>
              <w:rPr>
                <w:rFonts w:ascii="Times New Roman" w:cs="Times New Roman" w:eastAsia="Times New Roman" w:hAnsi="Times New Roman"/>
                <w:sz w:val="18"/>
                <w:szCs w:val="18"/>
                <w:color w:val="0000EE"/>
                <w:w w:val="99"/>
              </w:rPr>
            </w:pPr>
            <w:hyperlink r:id="rId247">
              <w:r>
                <w:rPr>
                  <w:rFonts w:ascii="Times New Roman" w:cs="Times New Roman" w:eastAsia="Times New Roman" w:hAnsi="Times New Roman"/>
                  <w:sz w:val="18"/>
                  <w:szCs w:val="18"/>
                  <w:color w:val="0000EE"/>
                  <w:w w:val="99"/>
                </w:rPr>
                <w:t>NRx Pharmaceuticals, Inc. Code of Conduct</w:t>
              </w:r>
            </w:hyperlink>
          </w:p>
        </w:tc>
        <w:tc>
          <w:tcPr>
            <w:tcW w:w="4140" w:type="dxa"/>
            <w:vAlign w:val="bottom"/>
            <w:gridSpan w:val="3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10-K/A</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4/29/2024</w:t>
            </w: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6900" w:type="dxa"/>
            <w:vAlign w:val="bottom"/>
            <w:tcBorders>
              <w:bottom w:val="single" w:sz="8" w:color="0000EE"/>
            </w:tcBorders>
            <w:gridSpan w:val="31"/>
          </w:tcPr>
          <w:p>
            <w:pPr>
              <w:ind w:left="20"/>
              <w:spacing w:after="0"/>
              <w:rPr>
                <w:rFonts w:ascii="Times New Roman" w:cs="Times New Roman" w:eastAsia="Times New Roman" w:hAnsi="Times New Roman"/>
                <w:sz w:val="18"/>
                <w:szCs w:val="18"/>
                <w:color w:val="0000EE"/>
                <w:w w:val="99"/>
              </w:rPr>
            </w:pPr>
            <w:hyperlink r:id="rId248">
              <w:r>
                <w:rPr>
                  <w:rFonts w:ascii="Times New Roman" w:cs="Times New Roman" w:eastAsia="Times New Roman" w:hAnsi="Times New Roman"/>
                  <w:sz w:val="18"/>
                  <w:szCs w:val="18"/>
                  <w:color w:val="0000EE"/>
                  <w:w w:val="99"/>
                </w:rPr>
                <w:t>Letter from KPMG LLP to the Securities and Exchange Commission dated November 21, 2023</w:t>
              </w:r>
            </w:hyperlink>
          </w:p>
        </w:tc>
        <w:tc>
          <w:tcPr>
            <w:tcW w:w="46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w:t>
            </w:r>
          </w:p>
        </w:tc>
        <w:tc>
          <w:tcPr>
            <w:tcW w:w="14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11/22/2023</w:t>
            </w: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7360" w:type="dxa"/>
            <w:vAlign w:val="bottom"/>
            <w:gridSpan w:val="42"/>
          </w:tcPr>
          <w:p>
            <w:pPr>
              <w:ind w:left="20"/>
              <w:spacing w:after="0"/>
              <w:rPr>
                <w:sz w:val="20"/>
                <w:szCs w:val="20"/>
                <w:color w:val="auto"/>
              </w:rPr>
            </w:pPr>
            <w:r>
              <w:rPr>
                <w:rFonts w:ascii="Times New Roman" w:cs="Times New Roman" w:eastAsia="Times New Roman" w:hAnsi="Times New Roman"/>
                <w:sz w:val="18"/>
                <w:szCs w:val="18"/>
                <w:color w:val="0000EE"/>
              </w:rPr>
              <w:t>NRx Pharmaceuticals, Inc. Securities Trading Policy</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7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38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360" w:type="dxa"/>
            <w:vAlign w:val="bottom"/>
            <w:gridSpan w:val="42"/>
          </w:tcPr>
          <w:p>
            <w:pPr>
              <w:ind w:left="20"/>
              <w:spacing w:after="0"/>
              <w:rPr>
                <w:sz w:val="20"/>
                <w:szCs w:val="20"/>
                <w:color w:val="auto"/>
              </w:rPr>
            </w:pPr>
            <w:r>
              <w:rPr>
                <w:rFonts w:ascii="Times New Roman" w:cs="Times New Roman" w:eastAsia="Times New Roman" w:hAnsi="Times New Roman"/>
                <w:sz w:val="18"/>
                <w:szCs w:val="18"/>
                <w:color w:val="0000EE"/>
              </w:rPr>
              <w:t>Consent of Independent Registered Accounting Firm</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7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0" w:type="dxa"/>
            <w:vAlign w:val="bottom"/>
            <w:gridSpan w:val="15"/>
            <w:shd w:val="clear" w:color="auto" w:fill="0000EE"/>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360" w:type="dxa"/>
            <w:vAlign w:val="bottom"/>
            <w:gridSpan w:val="42"/>
          </w:tcPr>
          <w:p>
            <w:pPr>
              <w:ind w:left="20"/>
              <w:spacing w:after="0"/>
              <w:rPr>
                <w:sz w:val="20"/>
                <w:szCs w:val="20"/>
                <w:color w:val="auto"/>
              </w:rPr>
            </w:pPr>
            <w:r>
              <w:rPr>
                <w:rFonts w:ascii="Times New Roman" w:cs="Times New Roman" w:eastAsia="Times New Roman" w:hAnsi="Times New Roman"/>
                <w:sz w:val="18"/>
                <w:szCs w:val="18"/>
                <w:color w:val="0000EE"/>
              </w:rPr>
              <w:t>Consent of Independent Registered Accounting Firm</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7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0" w:type="dxa"/>
            <w:vAlign w:val="bottom"/>
            <w:gridSpan w:val="15"/>
            <w:shd w:val="clear" w:color="auto" w:fill="0000EE"/>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7360" w:type="dxa"/>
            <w:vAlign w:val="bottom"/>
            <w:gridSpan w:val="42"/>
          </w:tcPr>
          <w:p>
            <w:pPr>
              <w:ind w:left="20"/>
              <w:spacing w:after="0"/>
              <w:rPr>
                <w:sz w:val="20"/>
                <w:szCs w:val="20"/>
                <w:color w:val="auto"/>
              </w:rPr>
            </w:pPr>
            <w:r>
              <w:rPr>
                <w:rFonts w:ascii="Times New Roman" w:cs="Times New Roman" w:eastAsia="Times New Roman" w:hAnsi="Times New Roman"/>
                <w:sz w:val="18"/>
                <w:szCs w:val="18"/>
                <w:color w:val="0000EE"/>
              </w:rPr>
              <w:t>Power of Attorney (included on the Signatures page of this Annual Report on Form 10-K).</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7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120" w:type="dxa"/>
            <w:vAlign w:val="bottom"/>
            <w:gridSpan w:val="23"/>
            <w:shd w:val="clear" w:color="auto" w:fill="0000EE"/>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360" w:type="dxa"/>
            <w:vAlign w:val="bottom"/>
            <w:gridSpan w:val="42"/>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of</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7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-6454140</wp:posOffset>
            </wp:positionV>
            <wp:extent cx="285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-6042660</wp:posOffset>
            </wp:positionV>
            <wp:extent cx="285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0920"/>
          </w:cols>
          <w:pgMar w:left="320" w:top="108" w:right="659" w:bottom="0" w:gutter="0" w:footer="0" w:header="0"/>
        </w:sectPr>
      </w:pP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08" w:right="659"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81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Section 302 of the Sarbanes-Oxley Act of</w:t>
            </w:r>
          </w:p>
        </w:tc>
        <w:tc>
          <w:tcPr>
            <w:tcW w:w="700" w:type="dxa"/>
            <w:vAlign w:val="bottom"/>
          </w:tcPr>
          <w:p>
            <w:pPr>
              <w:spacing w:after="0"/>
              <w:rPr>
                <w:sz w:val="24"/>
                <w:szCs w:val="24"/>
                <w:color w:val="auto"/>
              </w:rPr>
            </w:pPr>
          </w:p>
        </w:tc>
        <w:tc>
          <w:tcPr>
            <w:tcW w:w="20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7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160" w:type="dxa"/>
            <w:vAlign w:val="bottom"/>
            <w:tcBorders>
              <w:top w:val="single" w:sz="8" w:color="0000EE"/>
            </w:tcBorders>
          </w:tcPr>
          <w:p>
            <w:pPr>
              <w:spacing w:after="0"/>
              <w:rPr>
                <w:sz w:val="17"/>
                <w:szCs w:val="17"/>
                <w:color w:val="auto"/>
              </w:rPr>
            </w:pPr>
          </w:p>
        </w:tc>
        <w:tc>
          <w:tcPr>
            <w:tcW w:w="368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906 of the Sarbanes-Oxley Act of</w:t>
            </w:r>
          </w:p>
        </w:tc>
        <w:tc>
          <w:tcPr>
            <w:tcW w:w="700" w:type="dxa"/>
            <w:vAlign w:val="bottom"/>
          </w:tcPr>
          <w:p>
            <w:pPr>
              <w:spacing w:after="0"/>
              <w:rPr>
                <w:sz w:val="24"/>
                <w:szCs w:val="24"/>
                <w:color w:val="auto"/>
              </w:rPr>
            </w:pPr>
          </w:p>
        </w:tc>
        <w:tc>
          <w:tcPr>
            <w:tcW w:w="20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7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160" w:type="dxa"/>
            <w:vAlign w:val="bottom"/>
            <w:tcBorders>
              <w:top w:val="single" w:sz="8" w:color="0000EE"/>
            </w:tcBorders>
          </w:tcPr>
          <w:p>
            <w:pPr>
              <w:spacing w:after="0"/>
              <w:rPr>
                <w:sz w:val="17"/>
                <w:szCs w:val="17"/>
                <w:color w:val="auto"/>
              </w:rPr>
            </w:pPr>
          </w:p>
        </w:tc>
        <w:tc>
          <w:tcPr>
            <w:tcW w:w="368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Section 906 of the Sarbanes-Oxley Act of</w:t>
            </w:r>
          </w:p>
        </w:tc>
        <w:tc>
          <w:tcPr>
            <w:tcW w:w="700" w:type="dxa"/>
            <w:vAlign w:val="bottom"/>
          </w:tcPr>
          <w:p>
            <w:pPr>
              <w:spacing w:after="0"/>
              <w:rPr>
                <w:sz w:val="24"/>
                <w:szCs w:val="24"/>
                <w:color w:val="auto"/>
              </w:rPr>
            </w:pPr>
          </w:p>
        </w:tc>
        <w:tc>
          <w:tcPr>
            <w:tcW w:w="206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7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160" w:type="dxa"/>
            <w:vAlign w:val="bottom"/>
            <w:tcBorders>
              <w:top w:val="single" w:sz="8" w:color="0000EE"/>
            </w:tcBorders>
          </w:tcPr>
          <w:p>
            <w:pPr>
              <w:spacing w:after="0"/>
              <w:rPr>
                <w:sz w:val="17"/>
                <w:szCs w:val="17"/>
                <w:color w:val="auto"/>
              </w:rPr>
            </w:pPr>
          </w:p>
        </w:tc>
        <w:tc>
          <w:tcPr>
            <w:tcW w:w="368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7460" w:type="dxa"/>
            <w:vAlign w:val="bottom"/>
            <w:gridSpan w:val="6"/>
          </w:tcPr>
          <w:p>
            <w:pPr>
              <w:ind w:left="20"/>
              <w:spacing w:after="0"/>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NRx Pharmaceuticals, Inc. Compensation Recovery Policy</w:t>
              </w:r>
            </w:hyperlink>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10-K</w:t>
            </w:r>
          </w:p>
        </w:tc>
        <w:tc>
          <w:tcPr>
            <w:tcW w:w="20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97.1   3/29/2024</w:t>
            </w:r>
          </w:p>
        </w:tc>
      </w:tr>
      <w:tr>
        <w:trPr>
          <w:trHeight w:val="20"/>
        </w:trPr>
        <w:tc>
          <w:tcPr>
            <w:tcW w:w="700" w:type="dxa"/>
            <w:vAlign w:val="bottom"/>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Document Set for the consolidated financial statements and accompanying notes in Part</w:t>
            </w: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7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II, Item 8, “Financial Statements and Supplementary Data” of this Annual Report on Form 10-K.</w:t>
            </w:r>
          </w:p>
        </w:tc>
        <w:tc>
          <w:tcPr>
            <w:tcW w:w="7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in iXBRL and contained in Exhibit 101)</w:t>
            </w:r>
          </w:p>
        </w:tc>
        <w:tc>
          <w:tcPr>
            <w:tcW w:w="70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firstLine="8"/>
        <w:spacing w:after="0" w:line="261" w:lineRule="auto"/>
        <w:tabs>
          <w:tab w:leader="none" w:pos="1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Regulations S-K. The Company will furnish supplementally an unredacted copy of such exhibit to the Securities and Exchange Commission or its staff upon request.</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is being furnished solely to accompany this annual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NRX PHARMACEUTICALS,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Jonathan Javitt</w:t>
            </w:r>
          </w:p>
        </w:tc>
      </w:tr>
      <w:tr>
        <w:trPr>
          <w:trHeight w:val="189"/>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6"/>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Jonathan Javitt and Michael Abrams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6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Jonathan Javitt</w:t>
            </w:r>
          </w:p>
        </w:tc>
        <w:tc>
          <w:tcPr>
            <w:tcW w:w="120" w:type="dxa"/>
            <w:vAlign w:val="bottom"/>
          </w:tcPr>
          <w:p>
            <w:pPr>
              <w:spacing w:after="0"/>
              <w:rPr>
                <w:sz w:val="24"/>
                <w:szCs w:val="24"/>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23, 2026</w:t>
            </w:r>
          </w:p>
        </w:tc>
      </w:tr>
      <w:tr>
        <w:trPr>
          <w:trHeight w:val="425"/>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Jonathan Javitt</w:t>
            </w:r>
          </w:p>
        </w:tc>
        <w:tc>
          <w:tcPr>
            <w:tcW w:w="120" w:type="dxa"/>
            <w:vAlign w:val="bottom"/>
          </w:tcPr>
          <w:p>
            <w:pPr>
              <w:spacing w:after="0"/>
              <w:rPr>
                <w:sz w:val="24"/>
                <w:szCs w:val="24"/>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Abrams</w:t>
            </w:r>
          </w:p>
        </w:tc>
        <w:tc>
          <w:tcPr>
            <w:tcW w:w="120" w:type="dxa"/>
            <w:vAlign w:val="bottom"/>
          </w:tcPr>
          <w:p>
            <w:pPr>
              <w:spacing w:after="0"/>
              <w:rPr>
                <w:sz w:val="24"/>
                <w:szCs w:val="24"/>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23, 2026</w:t>
            </w:r>
          </w:p>
        </w:tc>
      </w:tr>
      <w:tr>
        <w:trPr>
          <w:trHeight w:val="425"/>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Abrams</w:t>
            </w:r>
          </w:p>
        </w:tc>
        <w:tc>
          <w:tcPr>
            <w:tcW w:w="120" w:type="dxa"/>
            <w:vAlign w:val="bottom"/>
          </w:tcPr>
          <w:p>
            <w:pPr>
              <w:spacing w:after="0"/>
              <w:rPr>
                <w:sz w:val="24"/>
                <w:szCs w:val="24"/>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Patrick J. Flynn</w:t>
            </w:r>
          </w:p>
        </w:tc>
        <w:tc>
          <w:tcPr>
            <w:tcW w:w="120" w:type="dxa"/>
            <w:vAlign w:val="bottom"/>
          </w:tcPr>
          <w:p>
            <w:pPr>
              <w:spacing w:after="0"/>
              <w:rPr>
                <w:sz w:val="24"/>
                <w:szCs w:val="24"/>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23, 2026</w:t>
            </w:r>
          </w:p>
        </w:tc>
      </w:tr>
      <w:tr>
        <w:trPr>
          <w:trHeight w:val="42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Patrick J. Flynn</w:t>
            </w:r>
          </w:p>
        </w:tc>
        <w:tc>
          <w:tcPr>
            <w:tcW w:w="1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Chaim Hurvitz</w:t>
            </w:r>
          </w:p>
        </w:tc>
        <w:tc>
          <w:tcPr>
            <w:tcW w:w="120" w:type="dxa"/>
            <w:vAlign w:val="bottom"/>
          </w:tcPr>
          <w:p>
            <w:pPr>
              <w:spacing w:after="0"/>
              <w:rPr>
                <w:sz w:val="24"/>
                <w:szCs w:val="24"/>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23, 2026</w:t>
            </w:r>
          </w:p>
        </w:tc>
      </w:tr>
      <w:tr>
        <w:trPr>
          <w:trHeight w:val="42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Chaim Hurvitz</w:t>
            </w:r>
          </w:p>
        </w:tc>
        <w:tc>
          <w:tcPr>
            <w:tcW w:w="1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Dennis McBride</w:t>
            </w:r>
          </w:p>
        </w:tc>
        <w:tc>
          <w:tcPr>
            <w:tcW w:w="120" w:type="dxa"/>
            <w:vAlign w:val="bottom"/>
          </w:tcPr>
          <w:p>
            <w:pPr>
              <w:spacing w:after="0"/>
              <w:rPr>
                <w:sz w:val="24"/>
                <w:szCs w:val="24"/>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23, 2026</w:t>
            </w:r>
          </w:p>
        </w:tc>
      </w:tr>
      <w:tr>
        <w:trPr>
          <w:trHeight w:val="42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Dennis McBride</w:t>
            </w:r>
          </w:p>
        </w:tc>
        <w:tc>
          <w:tcPr>
            <w:tcW w:w="1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Taylor</w:t>
            </w:r>
          </w:p>
        </w:tc>
        <w:tc>
          <w:tcPr>
            <w:tcW w:w="120" w:type="dxa"/>
            <w:vAlign w:val="bottom"/>
          </w:tcPr>
          <w:p>
            <w:pPr>
              <w:spacing w:after="0"/>
              <w:rPr>
                <w:sz w:val="24"/>
                <w:szCs w:val="24"/>
                <w:color w:val="auto"/>
              </w:rPr>
            </w:pPr>
          </w:p>
        </w:tc>
        <w:tc>
          <w:tcPr>
            <w:tcW w:w="6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23, 2026</w:t>
            </w:r>
          </w:p>
        </w:tc>
      </w:tr>
      <w:tr>
        <w:trPr>
          <w:trHeight w:val="42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Taylor</w:t>
            </w:r>
          </w:p>
        </w:tc>
        <w:tc>
          <w:tcPr>
            <w:tcW w:w="1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2260" w:type="dxa"/>
            <w:vAlign w:val="bottom"/>
          </w:tcPr>
          <w:p>
            <w:pPr>
              <w:spacing w:after="0"/>
              <w:rPr>
                <w:sz w:val="24"/>
                <w:szCs w:val="24"/>
                <w:color w:val="auto"/>
              </w:rPr>
            </w:pPr>
          </w:p>
        </w:tc>
        <w:tc>
          <w:tcPr>
            <w:tcW w:w="6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82650" cy="4883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55">
                      <a:extLst>
                        <a:ext uri="{28A0092B-C50C-407E-A947-70E740481C1C}"/>
                      </a:extLst>
                    </a:blip>
                    <a:srcRect/>
                    <a:stretch>
                      <a:fillRect/>
                    </a:stretch>
                  </pic:blipFill>
                  <pic:spPr bwMode="auto">
                    <a:xfrm>
                      <a:off x="0" y="0"/>
                      <a:ext cx="8826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Employment Agreement (this “Agreement”) is made and entered into by and between NRx Pharmaceuticals, Inc., a Delaware corporation, (“Company”) and Joseph M Casper (“Casper” or the “Executive”) effective as of December 1, 2025 (the “Effective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hereinafter set forth, the Company wishes to employ Executive as Chief Operations Officer and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 such employment pursuant to the terms of this Agreement.</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and the mutual promises, terms, provisions and conditions set forth in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hereby agree:</w:t>
      </w:r>
    </w:p>
    <w:p>
      <w:pPr>
        <w:spacing w:after="0" w:line="155" w:lineRule="exact"/>
        <w:rPr>
          <w:sz w:val="20"/>
          <w:szCs w:val="20"/>
          <w:color w:val="auto"/>
        </w:rPr>
      </w:pPr>
    </w:p>
    <w:p>
      <w:pPr>
        <w:jc w:val="both"/>
        <w:ind w:firstLine="8"/>
        <w:spacing w:after="0" w:line="273" w:lineRule="auto"/>
        <w:tabs>
          <w:tab w:leader="none" w:pos="82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Employment</w:t>
      </w:r>
      <w:r>
        <w:rPr>
          <w:rFonts w:ascii="Times New Roman" w:cs="Times New Roman" w:eastAsia="Times New Roman" w:hAnsi="Times New Roman"/>
          <w:sz w:val="17"/>
          <w:szCs w:val="17"/>
          <w:color w:val="auto"/>
        </w:rPr>
        <w:t>. Subject to the terms and conditions set forth in this Agreement, the Company hereby offers, and Executive hereby accepts,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by the Company in the role set forth above on the terms and conditions set forth in this Agreement. Executive’s primary workplace, as his “Home Office” in the state of Nevada. The Executive is expected to travel as needed in the performance of his duties nationwide. Executive may conduct business from his home office, including confidential tele/videoconferences for safekeeping of confidential documents. The Executive confirms that he is able to do so, and that Company is not liable for any expenses for the maintenance of such home office. In addition, the company offers, and the employee agrees that Casper shall serve as a consultant and be paid as a 1099 employee unless and until this Agreement is approved by the Board of Directors (the “Board”). During the period from the Effective Date and the date of Board approval, Casper shall not be deemed to be an executive officer of the Company.</w:t>
      </w:r>
    </w:p>
    <w:p>
      <w:pPr>
        <w:spacing w:after="0" w:line="175" w:lineRule="exact"/>
        <w:rPr>
          <w:rFonts w:ascii="Times New Roman" w:cs="Times New Roman" w:eastAsia="Times New Roman" w:hAnsi="Times New Roman"/>
          <w:sz w:val="17"/>
          <w:szCs w:val="17"/>
          <w:color w:val="auto"/>
        </w:rPr>
      </w:pPr>
    </w:p>
    <w:p>
      <w:pPr>
        <w:ind w:right="20" w:firstLine="8"/>
        <w:spacing w:after="0" w:line="282" w:lineRule="auto"/>
        <w:tabs>
          <w:tab w:leader="none" w:pos="70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1, 2026, the employee will be considered as a W2 employee. For any vesting, or any other measurement of time, the Effective Date shall govern.</w:t>
      </w:r>
    </w:p>
    <w:p>
      <w:pPr>
        <w:spacing w:after="0" w:line="157" w:lineRule="exact"/>
        <w:rPr>
          <w:rFonts w:ascii="Times New Roman" w:cs="Times New Roman" w:eastAsia="Times New Roman" w:hAnsi="Times New Roman"/>
          <w:sz w:val="18"/>
          <w:szCs w:val="18"/>
          <w:color w:val="auto"/>
        </w:rPr>
      </w:pPr>
    </w:p>
    <w:p>
      <w:pPr>
        <w:jc w:val="both"/>
        <w:ind w:firstLine="8"/>
        <w:spacing w:after="0" w:line="259" w:lineRule="auto"/>
        <w:tabs>
          <w:tab w:leader="none" w:pos="88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Subject to earlier termination as hereafter provided, this Agreement shall have an initial term of one (1) years commencing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and shall be automatically extended thereafter for successive terms of one (1) year on the anniversary of the Effective Date, and each subsequent anniversary thereafter, unless either party provides written notice of non-renewal at least sixty (60) days prior to the expiration of such term or unless Executive’s employment with the Company is terminated in accordance with the provisions of Section 5 hereof. The term of this Agreement, as may be extended or renewed, is hereafter referred to as “the Term”.”</w:t>
      </w:r>
    </w:p>
    <w:p>
      <w:pPr>
        <w:spacing w:after="0" w:line="179"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Capacity and Performance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11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Executive (once approved by the Board) shall serve the Company as the Company’s Chief Operating Officer, initially reporting directly to the Company’s Chief Executive Officer (“CEO”) or the highest-ranking executive officer of the Company as may be designated by the Board of Directors (“Board”) of the Company. The Executive shall assume his duties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7" w:name="page138"/>
    <w:bookmarkEnd w:id="137"/>
    <w:p>
      <w:pPr>
        <w:jc w:val="both"/>
        <w:ind w:left="652" w:hanging="4"/>
        <w:spacing w:after="0" w:line="266" w:lineRule="auto"/>
        <w:tabs>
          <w:tab w:leader="none" w:pos="106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4883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882650" cy="488315"/>
                    </a:xfrm>
                    <a:prstGeom prst="rect">
                      <a:avLst/>
                    </a:prstGeom>
                    <a:noFill/>
                  </pic:spPr>
                </pic:pic>
              </a:graphicData>
            </a:graphic>
          </wp:anchor>
        </w:drawing>
        <w:t>During the Term, Executive shall be employed by the Company on a full-time basis Including the 1099 period, and shall perform the duties of his position, and such other duties as are consistent and commensurate with such position as may be designated from time to time by the Company’s Chief Executive Officer.</w:t>
      </w:r>
    </w:p>
    <w:p>
      <w:pPr>
        <w:spacing w:after="0" w:line="175" w:lineRule="exact"/>
        <w:rPr>
          <w:rFonts w:ascii="Times New Roman" w:cs="Times New Roman" w:eastAsia="Times New Roman" w:hAnsi="Times New Roman"/>
          <w:sz w:val="18"/>
          <w:szCs w:val="18"/>
          <w:color w:val="auto"/>
        </w:rPr>
      </w:pPr>
    </w:p>
    <w:p>
      <w:pPr>
        <w:jc w:val="both"/>
        <w:ind w:left="652" w:hanging="4"/>
        <w:spacing w:after="0" w:line="258" w:lineRule="auto"/>
        <w:tabs>
          <w:tab w:leader="none" w:pos="110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(i) Executive shall devote his commercially reasonable full-time efforts, business judgment, skill and knowledge to the advancement of the business and interests of the Company and to the discharge of his duties and responsibilities hereunder, (ii) shall have a duty of loyalty to the Company, and (iii) shall not engage in any other business activity without the written consent of the Company. Notwithstanding, that the employee has disclosed Board Membership with Healthcare related entities, none of which are in conflict with the company, and total efforts are less than 2 hours a week or less.</w:t>
      </w:r>
    </w:p>
    <w:p>
      <w:pPr>
        <w:spacing w:after="0" w:line="183" w:lineRule="exact"/>
        <w:rPr>
          <w:rFonts w:ascii="Times New Roman" w:cs="Times New Roman" w:eastAsia="Times New Roman" w:hAnsi="Times New Roman"/>
          <w:sz w:val="18"/>
          <w:szCs w:val="18"/>
          <w:color w:val="auto"/>
        </w:rPr>
      </w:pPr>
    </w:p>
    <w:p>
      <w:pPr>
        <w:ind w:left="652" w:hanging="4"/>
        <w:spacing w:after="0" w:line="282" w:lineRule="auto"/>
        <w:tabs>
          <w:tab w:leader="none" w:pos="109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Executive with the same employment benefits, insurance coverage, and travel policy that it provides to other Executives of the Company.</w:t>
      </w:r>
    </w:p>
    <w:p>
      <w:pPr>
        <w:spacing w:after="0" w:line="157" w:lineRule="exact"/>
        <w:rPr>
          <w:rFonts w:ascii="Times New Roman" w:cs="Times New Roman" w:eastAsia="Times New Roman" w:hAnsi="Times New Roman"/>
          <w:sz w:val="18"/>
          <w:szCs w:val="18"/>
          <w:color w:val="auto"/>
        </w:rPr>
      </w:pPr>
    </w:p>
    <w:p>
      <w:pPr>
        <w:ind w:left="-8" w:firstLine="8"/>
        <w:spacing w:after="0" w:line="286" w:lineRule="auto"/>
        <w:tabs>
          <w:tab w:leader="none" w:pos="97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and Benefits</w:t>
      </w:r>
      <w:r>
        <w:rPr>
          <w:rFonts w:ascii="Times New Roman" w:cs="Times New Roman" w:eastAsia="Times New Roman" w:hAnsi="Times New Roman"/>
          <w:sz w:val="18"/>
          <w:szCs w:val="18"/>
          <w:color w:val="auto"/>
        </w:rPr>
        <w:t>. As compensation for all services performed by Executive during the Term, and subject to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duties and of the obligations of Executive to the Company pursuant to this Agreement:</w:t>
      </w:r>
    </w:p>
    <w:p>
      <w:pPr>
        <w:spacing w:after="0" w:line="154" w:lineRule="exact"/>
        <w:rPr>
          <w:rFonts w:ascii="Times New Roman" w:cs="Times New Roman" w:eastAsia="Times New Roman" w:hAnsi="Times New Roman"/>
          <w:sz w:val="18"/>
          <w:szCs w:val="18"/>
          <w:color w:val="auto"/>
        </w:rPr>
      </w:pPr>
    </w:p>
    <w:p>
      <w:pPr>
        <w:jc w:val="both"/>
        <w:ind w:left="652" w:hanging="4"/>
        <w:spacing w:after="0" w:line="262" w:lineRule="auto"/>
        <w:tabs>
          <w:tab w:leader="none" w:pos="104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The Company shall pay Executive a base salary of two hundred fifty thousand dollars ($250,000) per annum, payable monthly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payroll practices of the Company for its Executives and subject to increase from time to time by the executive management of the Company. Executives shall be entitled to receive a bonus of 25%, subject to milestones to be agreed between Executive and the Company’s CEO.</w:t>
      </w:r>
    </w:p>
    <w:p>
      <w:pPr>
        <w:spacing w:after="0" w:line="176" w:lineRule="exact"/>
        <w:rPr>
          <w:rFonts w:ascii="Times New Roman" w:cs="Times New Roman" w:eastAsia="Times New Roman" w:hAnsi="Times New Roman"/>
          <w:sz w:val="18"/>
          <w:szCs w:val="18"/>
          <w:color w:val="auto"/>
        </w:rPr>
      </w:pPr>
    </w:p>
    <w:p>
      <w:pPr>
        <w:jc w:val="both"/>
        <w:ind w:left="652" w:hanging="4"/>
        <w:spacing w:after="0" w:line="268" w:lineRule="auto"/>
        <w:tabs>
          <w:tab w:leader="none" w:pos="104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Compensation. The company's compensation committee has granted </w:t>
      </w:r>
      <w:r>
        <w:rPr>
          <w:rFonts w:ascii="Times New Roman" w:cs="Times New Roman" w:eastAsia="Times New Roman" w:hAnsi="Times New Roman"/>
          <w:sz w:val="18"/>
          <w:szCs w:val="18"/>
          <w:color w:val="auto"/>
        </w:rPr>
        <w:t>Executive 100,000 options at the strike price of $2.39/share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Said options shall be granted under the terms of the Company’s 2021 Omnibus Incentive (the “NRx Equity”). The NRx Equity shall vest as follows:</w:t>
      </w:r>
    </w:p>
    <w:p>
      <w:pPr>
        <w:spacing w:after="0" w:line="174" w:lineRule="exact"/>
        <w:rPr>
          <w:rFonts w:ascii="Times New Roman" w:cs="Times New Roman" w:eastAsia="Times New Roman" w:hAnsi="Times New Roman"/>
          <w:sz w:val="18"/>
          <w:szCs w:val="18"/>
          <w:color w:val="auto"/>
        </w:rPr>
      </w:pPr>
    </w:p>
    <w:p>
      <w:pPr>
        <w:ind w:left="1612" w:hanging="550"/>
        <w:spacing w:after="0"/>
        <w:tabs>
          <w:tab w:leader="none" w:pos="161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shall vest in 6 months starting 12-01.2025</w:t>
      </w:r>
    </w:p>
    <w:p>
      <w:pPr>
        <w:spacing w:after="0" w:line="252" w:lineRule="exact"/>
        <w:rPr>
          <w:rFonts w:ascii="Times New Roman" w:cs="Times New Roman" w:eastAsia="Times New Roman" w:hAnsi="Times New Roman"/>
          <w:sz w:val="18"/>
          <w:szCs w:val="18"/>
          <w:color w:val="auto"/>
        </w:rPr>
      </w:pPr>
    </w:p>
    <w:p>
      <w:pPr>
        <w:ind w:left="1612" w:hanging="550"/>
        <w:spacing w:after="0"/>
        <w:tabs>
          <w:tab w:leader="none" w:pos="161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shall vest on 12-01-2026</w:t>
      </w:r>
    </w:p>
    <w:p>
      <w:pPr>
        <w:spacing w:after="0" w:line="252" w:lineRule="exact"/>
        <w:rPr>
          <w:rFonts w:ascii="Times New Roman" w:cs="Times New Roman" w:eastAsia="Times New Roman" w:hAnsi="Times New Roman"/>
          <w:sz w:val="18"/>
          <w:szCs w:val="18"/>
          <w:color w:val="auto"/>
        </w:rPr>
      </w:pPr>
    </w:p>
    <w:p>
      <w:pPr>
        <w:ind w:left="1612" w:hanging="550"/>
        <w:spacing w:after="0"/>
        <w:tabs>
          <w:tab w:leader="none" w:pos="161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shall vest on 12-01-2027</w:t>
      </w:r>
    </w:p>
    <w:p>
      <w:pPr>
        <w:spacing w:after="0" w:line="252" w:lineRule="exact"/>
        <w:rPr>
          <w:rFonts w:ascii="Times New Roman" w:cs="Times New Roman" w:eastAsia="Times New Roman" w:hAnsi="Times New Roman"/>
          <w:sz w:val="18"/>
          <w:szCs w:val="18"/>
          <w:color w:val="auto"/>
        </w:rPr>
      </w:pPr>
    </w:p>
    <w:p>
      <w:pPr>
        <w:ind w:left="1612" w:hanging="550"/>
        <w:spacing w:after="0"/>
        <w:tabs>
          <w:tab w:leader="none" w:pos="161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shall be accelerated in the event of a corporate change in control.</w:t>
      </w:r>
    </w:p>
    <w:p>
      <w:pPr>
        <w:spacing w:after="0" w:line="248" w:lineRule="exact"/>
        <w:rPr>
          <w:rFonts w:ascii="Times New Roman" w:cs="Times New Roman" w:eastAsia="Times New Roman" w:hAnsi="Times New Roman"/>
          <w:sz w:val="18"/>
          <w:szCs w:val="18"/>
          <w:color w:val="auto"/>
        </w:rPr>
      </w:pPr>
    </w:p>
    <w:p>
      <w:pPr>
        <w:jc w:val="both"/>
        <w:ind w:left="652" w:hanging="4"/>
        <w:spacing w:after="0" w:line="268" w:lineRule="auto"/>
        <w:tabs>
          <w:tab w:leader="none" w:pos="104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Vacations</w:t>
      </w:r>
      <w:r>
        <w:rPr>
          <w:rFonts w:ascii="Times New Roman" w:cs="Times New Roman" w:eastAsia="Times New Roman" w:hAnsi="Times New Roman"/>
          <w:sz w:val="18"/>
          <w:szCs w:val="18"/>
          <w:color w:val="auto"/>
        </w:rPr>
        <w:t>. Executive shall be entitled to three (3) weeks of vacation a year, to be taken at such times and intervals as shall be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subject to the reasonable business needs of the Company and with the approval of his immediate supervisor. Vacation shall otherwise be governed by the policies of the Company, as in effect from time to time.</w:t>
      </w:r>
    </w:p>
    <w:p>
      <w:pPr>
        <w:spacing w:after="0" w:line="170" w:lineRule="exact"/>
        <w:rPr>
          <w:rFonts w:ascii="Times New Roman" w:cs="Times New Roman" w:eastAsia="Times New Roman" w:hAnsi="Times New Roman"/>
          <w:sz w:val="18"/>
          <w:szCs w:val="18"/>
          <w:color w:val="auto"/>
        </w:rPr>
      </w:pPr>
    </w:p>
    <w:p>
      <w:pPr>
        <w:ind w:left="1032" w:hanging="384"/>
        <w:spacing w:after="0"/>
        <w:tabs>
          <w:tab w:leader="none" w:pos="103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Benefits</w:t>
      </w:r>
      <w:r>
        <w:rPr>
          <w:rFonts w:ascii="Times New Roman" w:cs="Times New Roman" w:eastAsia="Times New Roman" w:hAnsi="Times New Roman"/>
          <w:sz w:val="18"/>
          <w:szCs w:val="18"/>
          <w:color w:val="auto"/>
        </w:rPr>
        <w:t>. As above, Executive shall be entitled to all health and related benefits afforded to other Executives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379730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50" w:right="339" w:bottom="1440" w:gutter="0" w:footer="0" w:header="0"/>
        </w:sectPr>
      </w:pPr>
    </w:p>
    <w:bookmarkStart w:id="138" w:name="page139"/>
    <w:bookmarkEnd w:id="138"/>
    <w:p>
      <w:pPr>
        <w:jc w:val="both"/>
        <w:ind w:left="652" w:hanging="4"/>
        <w:spacing w:after="0" w:line="262" w:lineRule="auto"/>
        <w:tabs>
          <w:tab w:leader="none" w:pos="109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4883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882650" cy="488315"/>
                    </a:xfrm>
                    <a:prstGeom prst="rect">
                      <a:avLst/>
                    </a:prstGeom>
                    <a:noFill/>
                  </pic:spPr>
                </pic:pic>
              </a:graphicData>
            </a:graphic>
          </wp:anchor>
        </w:drawing>
        <w:t>Business Expenses</w:t>
      </w:r>
      <w:r>
        <w:rPr>
          <w:rFonts w:ascii="Times New Roman" w:cs="Times New Roman" w:eastAsia="Times New Roman" w:hAnsi="Times New Roman"/>
          <w:sz w:val="18"/>
          <w:szCs w:val="18"/>
          <w:color w:val="auto"/>
        </w:rPr>
        <w:t>. The Company shall pay or reimburse Executive for all reasonable customary business expenses incurred or paid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in the performance of his duties and responsibilities hereunder in accordance with the Company’s Travel Expense Policy as set forth in the Company’s Executive Handbook subject to any restrictions and to reasonable substantiation and documentation requirements as may be specified by the Company from time to time.</w:t>
      </w:r>
    </w:p>
    <w:p>
      <w:pPr>
        <w:spacing w:after="0" w:line="176" w:lineRule="exact"/>
        <w:rPr>
          <w:rFonts w:ascii="Times New Roman" w:cs="Times New Roman" w:eastAsia="Times New Roman" w:hAnsi="Times New Roman"/>
          <w:sz w:val="18"/>
          <w:szCs w:val="18"/>
          <w:color w:val="auto"/>
        </w:rPr>
      </w:pPr>
    </w:p>
    <w:p>
      <w:pPr>
        <w:ind w:left="-8" w:firstLine="8"/>
        <w:spacing w:after="0" w:line="286" w:lineRule="auto"/>
        <w:tabs>
          <w:tab w:leader="none" w:pos="6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color w:val="auto"/>
        </w:rPr>
        <w:t>. Notwithstanding the provisions of Section 2 hereof, Executive’s employment hereunder shall terminate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the term hereof under the following circumstances:</w:t>
      </w:r>
    </w:p>
    <w:p>
      <w:pPr>
        <w:spacing w:after="0" w:line="154" w:lineRule="exact"/>
        <w:rPr>
          <w:rFonts w:ascii="Times New Roman" w:cs="Times New Roman" w:eastAsia="Times New Roman" w:hAnsi="Times New Roman"/>
          <w:sz w:val="18"/>
          <w:szCs w:val="18"/>
          <w:color w:val="auto"/>
        </w:rPr>
      </w:pPr>
    </w:p>
    <w:p>
      <w:pPr>
        <w:jc w:val="both"/>
        <w:ind w:left="652" w:hanging="4"/>
        <w:spacing w:after="0" w:line="255" w:lineRule="auto"/>
        <w:tabs>
          <w:tab w:leader="none" w:pos="103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Death</w:t>
      </w:r>
      <w:r>
        <w:rPr>
          <w:rFonts w:ascii="Times New Roman" w:cs="Times New Roman" w:eastAsia="Times New Roman" w:hAnsi="Times New Roman"/>
          <w:sz w:val="18"/>
          <w:szCs w:val="18"/>
          <w:color w:val="auto"/>
        </w:rPr>
        <w:t>. In the event of Executive’s death during the Term, Executive’s employment hereunder shall immediately and automatically terminate.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such event, the Company shall pay to Executive’s designated beneficiary or, if no beneficiary has been designated by Executive, to his estate, (i) the Base Salary earned but not paid through the date of termination, (ii) pay for any vacation time earned but not used through the date of termination, (iii) any earned, but unpaid, Target Bonus for the year preceding the year in which such termination occurs, and (iv) any business expenses incurred by Executive but not reimbursed on the date of termination, provided that such expenses and required substantiation and documentation are submitted within ninety (90) days of termination and that such expenses are reimbursable under Company policy (collectively, “Final Compensation”). Apart from any rights and obligations related to the Options, the Company shall have no further obligation to the Executive.</w:t>
      </w:r>
    </w:p>
    <w:p>
      <w:pPr>
        <w:spacing w:after="0" w:line="184" w:lineRule="exact"/>
        <w:rPr>
          <w:rFonts w:ascii="Times New Roman" w:cs="Times New Roman" w:eastAsia="Times New Roman" w:hAnsi="Times New Roman"/>
          <w:sz w:val="18"/>
          <w:szCs w:val="18"/>
          <w:color w:val="auto"/>
        </w:rPr>
      </w:pPr>
    </w:p>
    <w:p>
      <w:pPr>
        <w:ind w:left="1032" w:hanging="384"/>
        <w:spacing w:after="0"/>
        <w:tabs>
          <w:tab w:leader="none" w:pos="103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812" w:hanging="2"/>
        <w:spacing w:after="0" w:line="258" w:lineRule="auto"/>
        <w:tabs>
          <w:tab w:leader="none" w:pos="1189"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hereunder, upon notice to Executive, in the event that Executive becomes disabled during his employment hereunder through any illness, injury, accident or condition of either a physical or psychological nature and, as a result, is unable to perform substantially all of his essential job duties and responsibilities hereunder for ninety (90) consecutive days during any period of three hundred and sixty-five (365) consecutive calendar days. In the event of such termination, and apart from any rights and obligations related to the Options, the Company shall have no further obligation to Executive, other than payment of Final Compensation.</w:t>
      </w:r>
    </w:p>
    <w:p>
      <w:pPr>
        <w:spacing w:after="0" w:line="183" w:lineRule="exact"/>
        <w:rPr>
          <w:rFonts w:ascii="Times New Roman" w:cs="Times New Roman" w:eastAsia="Times New Roman" w:hAnsi="Times New Roman"/>
          <w:sz w:val="18"/>
          <w:szCs w:val="18"/>
          <w:color w:val="auto"/>
        </w:rPr>
      </w:pPr>
    </w:p>
    <w:p>
      <w:pPr>
        <w:jc w:val="both"/>
        <w:ind w:left="812" w:hanging="2"/>
        <w:spacing w:after="0" w:line="266" w:lineRule="auto"/>
        <w:tabs>
          <w:tab w:leader="none" w:pos="1255"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designate another Executive to act in Executive’s place during any period of Executive’s disability. Notwithstanding any such designation, Executive shall continue to receive the Base Salary in accordance with Section 4(a) and benefits in accordance with Section 4(d), to the extent permitted by the then-current terms of the applicable benefit plans until the termination of his employment.</w:t>
      </w:r>
    </w:p>
    <w:p>
      <w:pPr>
        <w:spacing w:after="0" w:line="175" w:lineRule="exact"/>
        <w:rPr>
          <w:rFonts w:ascii="Times New Roman" w:cs="Times New Roman" w:eastAsia="Times New Roman" w:hAnsi="Times New Roman"/>
          <w:sz w:val="18"/>
          <w:szCs w:val="18"/>
          <w:color w:val="auto"/>
        </w:rPr>
      </w:pPr>
    </w:p>
    <w:p>
      <w:pPr>
        <w:jc w:val="both"/>
        <w:ind w:left="812" w:hanging="2"/>
        <w:spacing w:after="0" w:line="256" w:lineRule="auto"/>
        <w:tabs>
          <w:tab w:leader="none" w:pos="1377"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Company implement a disability income plan for all Executives, while receiving disability income payments under the Company’s disability income plan, Executive shall not be entitled to receive any Base Salary under Section 4(a) hereof but shall continue to participate in Company benefit plans in accordance with Section 4(d) and the terms of such plans, until the termination of his employment. In the event the disability income payments under the Company’s disability income plan during the term hereof are less than Executive’s Base Salary, the Company shall pay to Executive, in accordance with Company’s standard payroll practices, an amount equal to Executive’s Base Salary less the disability income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46" w:right="339" w:bottom="1440" w:gutter="0" w:footer="0" w:header="0"/>
        </w:sectPr>
      </w:pPr>
    </w:p>
    <w:bookmarkStart w:id="139" w:name="page140"/>
    <w:bookmarkEnd w:id="139"/>
    <w:p>
      <w:pPr>
        <w:jc w:val="both"/>
        <w:ind w:left="164" w:hanging="2"/>
        <w:spacing w:after="0" w:line="256" w:lineRule="auto"/>
        <w:tabs>
          <w:tab w:leader="none" w:pos="61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4883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882650" cy="488315"/>
                    </a:xfrm>
                    <a:prstGeom prst="rect">
                      <a:avLst/>
                    </a:prstGeom>
                    <a:noFill/>
                  </pic:spPr>
                </pic:pic>
              </a:graphicData>
            </a:graphic>
          </wp:anchor>
        </w:drawing>
        <w:t>If any question shall arise as to whether during any period Executive is disabled through any illness, injury, accident or condition of either a physical or psychological nature so as to be unable to perform substantially all of his duties and responsibilities hereunder, Executive may, and at the request of the Company shall, submit to a medical examination by a physician selected by the Company to whom Executive or his duly appointed guardian, if any, has no reasonable objection to determine whether Executive is so disabled and such determination shall for the purposes of this Agreement be conclusive of the issue. If such question shall arise and Executive shall fail to submit to such medical examination, the Company’s determination of the issue shall be binding on Executive.</w:t>
      </w:r>
    </w:p>
    <w:p>
      <w:pPr>
        <w:spacing w:after="0" w:line="183" w:lineRule="exact"/>
        <w:rPr>
          <w:rFonts w:ascii="Times New Roman" w:cs="Times New Roman" w:eastAsia="Times New Roman" w:hAnsi="Times New Roman"/>
          <w:sz w:val="18"/>
          <w:szCs w:val="18"/>
          <w:color w:val="auto"/>
        </w:rPr>
      </w:pPr>
    </w:p>
    <w:p>
      <w:pPr>
        <w:jc w:val="both"/>
        <w:ind w:left="4" w:right="20" w:hanging="4"/>
        <w:spacing w:after="0" w:line="268" w:lineRule="auto"/>
        <w:tabs>
          <w:tab w:leader="none" w:pos="39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the Company for Cause</w:t>
      </w:r>
      <w:r>
        <w:rPr>
          <w:rFonts w:ascii="Times New Roman" w:cs="Times New Roman" w:eastAsia="Times New Roman" w:hAnsi="Times New Roman"/>
          <w:sz w:val="18"/>
          <w:szCs w:val="18"/>
          <w:color w:val="auto"/>
        </w:rPr>
        <w:t>. The Company may terminate Executive’s employment hereunder for Cause at any time upon providing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Executive setting forth in reasonable detail the acts or omissions giving rise to such Cause, and in the case of (i), (ii), (v) or (vii) below, providing Executive not less than thirty (30) days to cure or correct such conduct. The following shall constitute Cause for termination:</w:t>
      </w:r>
    </w:p>
    <w:p>
      <w:pPr>
        <w:spacing w:after="0" w:line="174" w:lineRule="exact"/>
        <w:rPr>
          <w:rFonts w:ascii="Times New Roman" w:cs="Times New Roman" w:eastAsia="Times New Roman" w:hAnsi="Times New Roman"/>
          <w:sz w:val="18"/>
          <w:szCs w:val="18"/>
          <w:color w:val="auto"/>
        </w:rPr>
      </w:pPr>
    </w:p>
    <w:p>
      <w:pPr>
        <w:jc w:val="both"/>
        <w:ind w:left="164" w:hanging="2"/>
        <w:spacing w:after="0" w:line="266" w:lineRule="auto"/>
        <w:tabs>
          <w:tab w:leader="none" w:pos="60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willful failure to perform (other than by reason of disability) his material job duties and responsibilities to the Company. Unauthorized absence of Executive for a period of five consecutive business days shall be considered willful failure to perform as defined above;</w:t>
      </w:r>
    </w:p>
    <w:p>
      <w:pPr>
        <w:spacing w:after="0" w:line="175" w:lineRule="exact"/>
        <w:rPr>
          <w:rFonts w:ascii="Times New Roman" w:cs="Times New Roman" w:eastAsia="Times New Roman" w:hAnsi="Times New Roman"/>
          <w:sz w:val="18"/>
          <w:szCs w:val="18"/>
          <w:color w:val="auto"/>
        </w:rPr>
      </w:pPr>
    </w:p>
    <w:p>
      <w:pPr>
        <w:ind w:left="564" w:hanging="402"/>
        <w:spacing w:after="0"/>
        <w:tabs>
          <w:tab w:leader="none" w:pos="56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Section 7 or 8 hereof of this Agreement;</w:t>
      </w:r>
    </w:p>
    <w:p>
      <w:pPr>
        <w:spacing w:after="0" w:line="225" w:lineRule="exact"/>
        <w:rPr>
          <w:rFonts w:ascii="Times New Roman" w:cs="Times New Roman" w:eastAsia="Times New Roman" w:hAnsi="Times New Roman"/>
          <w:sz w:val="18"/>
          <w:szCs w:val="18"/>
          <w:color w:val="auto"/>
        </w:rPr>
      </w:pPr>
    </w:p>
    <w:p>
      <w:pPr>
        <w:ind w:left="604" w:hanging="442"/>
        <w:spacing w:after="0"/>
        <w:tabs>
          <w:tab w:leader="none" w:pos="60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embezzlement, or other acts of dishonesty which is material (monetarily or otherwise) with respect to the Company;</w:t>
      </w:r>
    </w:p>
    <w:p>
      <w:pPr>
        <w:spacing w:after="0" w:line="225" w:lineRule="exact"/>
        <w:rPr>
          <w:rFonts w:ascii="Times New Roman" w:cs="Times New Roman" w:eastAsia="Times New Roman" w:hAnsi="Times New Roman"/>
          <w:sz w:val="18"/>
          <w:szCs w:val="18"/>
          <w:color w:val="auto"/>
        </w:rPr>
      </w:pPr>
    </w:p>
    <w:p>
      <w:pPr>
        <w:ind w:left="164" w:hanging="2"/>
        <w:spacing w:after="0" w:line="282" w:lineRule="auto"/>
        <w:tabs>
          <w:tab w:leader="none" w:pos="64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or plea of nolo contendere to a felony or other crime involving moral turpitude that is material to the Company; which shall not include any conviction of, or a plea of guilty to, a non-criminal traffic violation</w:t>
      </w:r>
    </w:p>
    <w:p>
      <w:pPr>
        <w:spacing w:after="0" w:line="161" w:lineRule="exact"/>
        <w:rPr>
          <w:rFonts w:ascii="Times New Roman" w:cs="Times New Roman" w:eastAsia="Times New Roman" w:hAnsi="Times New Roman"/>
          <w:sz w:val="18"/>
          <w:szCs w:val="18"/>
          <w:color w:val="auto"/>
        </w:rPr>
      </w:pPr>
    </w:p>
    <w:p>
      <w:pPr>
        <w:ind w:left="164" w:hanging="2"/>
        <w:spacing w:after="0" w:line="282" w:lineRule="auto"/>
        <w:tabs>
          <w:tab w:leader="none" w:pos="62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unlawful drugs which impairs the ability of Executive to perform Executive's essential job duties and obligations under this Agreement;</w:t>
      </w:r>
    </w:p>
    <w:p>
      <w:pPr>
        <w:spacing w:after="0" w:line="161" w:lineRule="exact"/>
        <w:rPr>
          <w:rFonts w:ascii="Times New Roman" w:cs="Times New Roman" w:eastAsia="Times New Roman" w:hAnsi="Times New Roman"/>
          <w:sz w:val="18"/>
          <w:szCs w:val="18"/>
          <w:color w:val="auto"/>
        </w:rPr>
      </w:pPr>
    </w:p>
    <w:p>
      <w:pPr>
        <w:ind w:left="164" w:hanging="2"/>
        <w:spacing w:after="0" w:line="282" w:lineRule="auto"/>
        <w:tabs>
          <w:tab w:leader="none" w:pos="60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 act of fraud or dishonesty or willful misconduct which jeopardizes the health, safety or welfare of any patient treated by Executive;</w:t>
      </w:r>
    </w:p>
    <w:p>
      <w:pPr>
        <w:spacing w:after="0" w:line="161" w:lineRule="exact"/>
        <w:rPr>
          <w:rFonts w:ascii="Times New Roman" w:cs="Times New Roman" w:eastAsia="Times New Roman" w:hAnsi="Times New Roman"/>
          <w:sz w:val="18"/>
          <w:szCs w:val="18"/>
          <w:color w:val="auto"/>
        </w:rPr>
      </w:pPr>
    </w:p>
    <w:p>
      <w:pPr>
        <w:jc w:val="both"/>
        <w:ind w:left="164" w:hanging="2"/>
        <w:spacing w:after="0" w:line="266" w:lineRule="auto"/>
        <w:tabs>
          <w:tab w:leader="none" w:pos="70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formal complaint or initiation of a formal investigation, and the finding of probable cause, by any state, local or federal government entity or agency alleging Executive has violated any state or federal law punishable as a felony which shall include, without limitation, any laws or regulations governing the Medicare or Medicaid programs.</w:t>
      </w:r>
    </w:p>
    <w:p>
      <w:pPr>
        <w:spacing w:after="0" w:line="176" w:lineRule="exact"/>
        <w:rPr>
          <w:sz w:val="20"/>
          <w:szCs w:val="20"/>
          <w:color w:val="auto"/>
        </w:rPr>
      </w:pPr>
    </w:p>
    <w:p>
      <w:pPr>
        <w:ind w:left="164"/>
        <w:spacing w:after="0" w:line="282" w:lineRule="auto"/>
        <w:rPr>
          <w:sz w:val="20"/>
          <w:szCs w:val="20"/>
          <w:color w:val="auto"/>
        </w:rPr>
      </w:pPr>
      <w:r>
        <w:rPr>
          <w:rFonts w:ascii="Times New Roman" w:cs="Times New Roman" w:eastAsia="Times New Roman" w:hAnsi="Times New Roman"/>
          <w:sz w:val="18"/>
          <w:szCs w:val="18"/>
          <w:color w:val="auto"/>
        </w:rPr>
        <w:t>Upon termination of Executive’s employment hereunder for Cause, and apart from any rights and obligations related to the Option, the Company shall have no further obligation to Executive, other than for Final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337185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50" w:right="339" w:bottom="1440" w:gutter="0" w:footer="0" w:header="0"/>
        </w:sectPr>
      </w:pPr>
    </w:p>
    <w:bookmarkStart w:id="140" w:name="page141"/>
    <w:bookmarkEnd w:id="140"/>
    <w:p>
      <w:pPr>
        <w:jc w:val="both"/>
        <w:ind w:left="652" w:hanging="4"/>
        <w:spacing w:after="0" w:line="254" w:lineRule="auto"/>
        <w:tabs>
          <w:tab w:leader="none" w:pos="108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4883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882650" cy="488315"/>
                    </a:xfrm>
                    <a:prstGeom prst="rect">
                      <a:avLst/>
                    </a:prstGeom>
                    <a:noFill/>
                  </pic:spPr>
                </pic:pic>
              </a:graphicData>
            </a:graphic>
          </wp:anchor>
        </w:drawing>
        <w:t xml:space="preserve">By the Company Without Cause or by Non-Renewal of the </w:t>
      </w:r>
      <w:r>
        <w:rPr>
          <w:rFonts w:ascii="Times New Roman" w:cs="Times New Roman" w:eastAsia="Times New Roman" w:hAnsi="Times New Roman"/>
          <w:sz w:val="18"/>
          <w:szCs w:val="18"/>
          <w:color w:val="auto"/>
        </w:rPr>
        <w:t>Agreement. The Company may terminate Executive’s employment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at any time upon sixty (60) days’ notice to Executive or may elect not to renew or extend the Term as described in Section 2 above. Should such termination occur after the three-month anniversary of this contract, the Company shall pay Executive two (2) months of his then-existing Base Salary as severance (“Severance”). The severance amount shall increase by ½ month for every additional month of employment up to a ceiling of six months of severance. The Company shall also pay Executive all accrued compensation. Any obligation of the Company to Executive hereunder is conditioned, however, on Executive signing a timely and effective release of claims (“Executive Release”). The first installment of the severance pay shall be due and payable at the Company’s next regular payday which is at least five (5) business days following the later of the effective date of the Executive Release or the date the Executive Release, signed by Executive, is received by the Company, but shall be retroactive to the next business day following the date of termination.</w:t>
      </w:r>
    </w:p>
    <w:p>
      <w:pPr>
        <w:spacing w:after="0" w:line="188" w:lineRule="exact"/>
        <w:rPr>
          <w:rFonts w:ascii="Times New Roman" w:cs="Times New Roman" w:eastAsia="Times New Roman" w:hAnsi="Times New Roman"/>
          <w:sz w:val="18"/>
          <w:szCs w:val="18"/>
          <w:color w:val="auto"/>
        </w:rPr>
      </w:pPr>
    </w:p>
    <w:p>
      <w:pPr>
        <w:jc w:val="both"/>
        <w:ind w:left="652" w:firstLine="158"/>
        <w:spacing w:after="0" w:line="268" w:lineRule="auto"/>
        <w:tabs>
          <w:tab w:leader="none" w:pos="1206"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by Executive. </w:t>
      </w:r>
      <w:r>
        <w:rPr>
          <w:rFonts w:ascii="Times New Roman" w:cs="Times New Roman" w:eastAsia="Times New Roman" w:hAnsi="Times New Roman"/>
          <w:sz w:val="18"/>
          <w:szCs w:val="18"/>
          <w:color w:val="auto"/>
        </w:rPr>
        <w:t>Executive may voluntarily resign or terminate his employment at any time upon sixty (60) days’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Upon voluntary termination of Executive’s employment, and apart from any rights and obligations related to the Option, the Company shall have no further obligation to Executive, other than Final Compensation.</w:t>
      </w:r>
    </w:p>
    <w:p>
      <w:pPr>
        <w:spacing w:after="0" w:line="170" w:lineRule="exact"/>
        <w:rPr>
          <w:rFonts w:ascii="Times New Roman" w:cs="Times New Roman" w:eastAsia="Times New Roman" w:hAnsi="Times New Roman"/>
          <w:sz w:val="18"/>
          <w:szCs w:val="18"/>
          <w:color w:val="auto"/>
        </w:rPr>
      </w:pPr>
    </w:p>
    <w:p>
      <w:pPr>
        <w:ind w:left="-8" w:right="20" w:firstLine="8"/>
        <w:spacing w:after="0" w:line="286" w:lineRule="auto"/>
        <w:tabs>
          <w:tab w:leader="none" w:pos="69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The provisions of this Section 6 shall apply to any termination, whether due to the expiration of the term hereof,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Section 5 or otherwise.</w:t>
      </w:r>
    </w:p>
    <w:p>
      <w:pPr>
        <w:spacing w:after="0" w:line="158" w:lineRule="exact"/>
        <w:rPr>
          <w:rFonts w:ascii="Times New Roman" w:cs="Times New Roman" w:eastAsia="Times New Roman" w:hAnsi="Times New Roman"/>
          <w:sz w:val="18"/>
          <w:szCs w:val="18"/>
          <w:color w:val="auto"/>
        </w:rPr>
      </w:pPr>
    </w:p>
    <w:p>
      <w:pPr>
        <w:ind w:left="652" w:hanging="4"/>
        <w:spacing w:after="0" w:line="282" w:lineRule="auto"/>
        <w:tabs>
          <w:tab w:leader="none" w:pos="10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the Company of any amounts that may be due to Executive in each case under the applicable termination provision of Section 5 shall constitute the entire obligation of the Company to Executive, except as otherwise provided above.</w:t>
      </w:r>
    </w:p>
    <w:p>
      <w:pPr>
        <w:spacing w:after="0" w:line="161" w:lineRule="exact"/>
        <w:rPr>
          <w:rFonts w:ascii="Times New Roman" w:cs="Times New Roman" w:eastAsia="Times New Roman" w:hAnsi="Times New Roman"/>
          <w:sz w:val="18"/>
          <w:szCs w:val="18"/>
          <w:color w:val="auto"/>
        </w:rPr>
      </w:pPr>
    </w:p>
    <w:p>
      <w:pPr>
        <w:jc w:val="both"/>
        <w:ind w:left="652" w:hanging="4"/>
        <w:spacing w:after="0" w:line="261" w:lineRule="auto"/>
        <w:tabs>
          <w:tab w:leader="none" w:pos="106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right to continue participation in any employer-sponsored health plan, at Executive’s cost under COBRA or other applicable law, Executive’s participation in other Company benefits shall terminate pursuant to the terms of the applicable benefit plans based on the date of termination of Executive’s employment, without regard to any continuation of Base Salary or other payment to Executive following such date of termination.</w:t>
      </w:r>
    </w:p>
    <w:p>
      <w:pPr>
        <w:spacing w:after="0" w:line="179" w:lineRule="exact"/>
        <w:rPr>
          <w:rFonts w:ascii="Times New Roman" w:cs="Times New Roman" w:eastAsia="Times New Roman" w:hAnsi="Times New Roman"/>
          <w:sz w:val="18"/>
          <w:szCs w:val="18"/>
          <w:color w:val="auto"/>
        </w:rPr>
      </w:pPr>
    </w:p>
    <w:p>
      <w:pPr>
        <w:ind w:left="652" w:hanging="4"/>
        <w:spacing w:after="0" w:line="282" w:lineRule="auto"/>
        <w:tabs>
          <w:tab w:leader="none" w:pos="111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this Agreement shall survive any termination, if so, provided herein, including the obligations of Executive under Sections 7, 8 and 9 hereof.</w:t>
      </w:r>
    </w:p>
    <w:p>
      <w:pPr>
        <w:spacing w:after="0" w:line="157" w:lineRule="exact"/>
        <w:rPr>
          <w:rFonts w:ascii="Times New Roman" w:cs="Times New Roman" w:eastAsia="Times New Roman" w:hAnsi="Times New Roman"/>
          <w:sz w:val="18"/>
          <w:szCs w:val="18"/>
          <w:color w:val="auto"/>
        </w:rPr>
      </w:pPr>
    </w:p>
    <w:p>
      <w:pPr>
        <w:ind w:left="672" w:hanging="672"/>
        <w:spacing w:after="0"/>
        <w:tabs>
          <w:tab w:leader="none" w:pos="67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8" w:firstLine="8"/>
        <w:spacing w:after="0" w:line="253" w:lineRule="auto"/>
        <w:tabs>
          <w:tab w:leader="none" w:pos="6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the Company continually develops Confidential Information; that Executive may develop Confidential Information for the Company; and that Executive may learn of Confidential Information during employment. Executive will comply with the policies and procedures of the Company for protecting Confidential Information and shall not disclose to any Person or use, other than as required by applicable law or for the proper performance of his duties and responsibilities to the Company, any Confidential Information obtained by Executive incident to his employment or other association with the Company. The Executive understands that this restriction shall continue to apply after his employment terminates, regardless of the reason for such termination, for a period of three (3) years. Further, Executive agrees to provide prompt notice to the Company of any required disclosure of Confidential Information sought pursuant to subpoena, court order or any other legal requirement and to provide the Company a reasonable opportunity to seek protection of the Confidential Information prior to any such disclosure. For purposes of this Agreement, “Confidential Information” shall not include: (i) any information known by Executive or in his possession prior to the Effective Date, (ii) any information or documents that are publicly available, and (iii) any information that is provided to Executive by a third-party which is not subject to any restrictions on its use or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46" w:right="339" w:bottom="1440" w:gutter="0" w:footer="0" w:header="0"/>
        </w:sectPr>
      </w:pPr>
    </w:p>
    <w:bookmarkStart w:id="141" w:name="page142"/>
    <w:bookmarkEnd w:id="141"/>
    <w:p>
      <w:pPr>
        <w:jc w:val="both"/>
        <w:ind w:left="-8" w:firstLine="8"/>
        <w:spacing w:after="0" w:line="261" w:lineRule="auto"/>
        <w:tabs>
          <w:tab w:leader="none" w:pos="6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4883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882650" cy="488315"/>
                    </a:xfrm>
                    <a:prstGeom prst="rect">
                      <a:avLst/>
                    </a:prstGeom>
                    <a:noFill/>
                  </pic:spPr>
                </pic:pic>
              </a:graphicData>
            </a:graphic>
          </wp:anchor>
        </w:drawing>
        <w:t>All confidential documents, records, tapes and other media of every kind and description relating to the business of the Company and any copies, in whole or in part, thereof (the “Documents”), whether or not prepared by Executive, shall be the sole and exclusive property of the Company. Executive shall safeguard all Documents and, if requested by the Company, shall surrender to the Company at the time his employment terminates, or at such earlier time or times as the Board may specify, all Documents then in Executive’s possession or control.</w:t>
      </w:r>
    </w:p>
    <w:p>
      <w:pPr>
        <w:spacing w:after="0" w:line="176" w:lineRule="exact"/>
        <w:rPr>
          <w:sz w:val="20"/>
          <w:szCs w:val="20"/>
          <w:color w:val="auto"/>
        </w:rPr>
      </w:pPr>
    </w:p>
    <w:p>
      <w:pPr>
        <w:jc w:val="both"/>
        <w:ind w:left="-8" w:firstLine="8"/>
        <w:spacing w:after="0" w:line="255" w:lineRule="auto"/>
        <w:tabs>
          <w:tab w:leader="none" w:pos="85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of Rights to Intellectual Property</w:t>
      </w:r>
      <w:r>
        <w:rPr>
          <w:rFonts w:ascii="Times New Roman" w:cs="Times New Roman" w:eastAsia="Times New Roman" w:hAnsi="Times New Roman"/>
          <w:sz w:val="18"/>
          <w:szCs w:val="18"/>
          <w:color w:val="auto"/>
        </w:rPr>
        <w:t>. Executive agrees to maintain accurate and complete contemporaneous records of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and fully disclose and deliver to the Company, all Intellectual Property, as defined below. Executive hereby assigns and agrees to assign to the Company (or as otherwise directed by the Company) his full right, title, and interest in and to all Intellectual Property. Executive agrees to execute any and all applications for domestic and foreign patents, copyrights and other proprietary rights and do such other acts (including, among others, the execution and delivery of instruments of further assurance or confirmation) requested by the Company to assign the Intellectual Property to the Company and to permit the Company to enforce any patents, copyrights and other proprietary rights in the Intellectual Property. Executives will not charge the Company for time spent complying with these obligations. All copyrightable works that Executive creates shall be considered “work made for hire” and shall, upon creation, be owned exclusively by the Company.</w:t>
      </w:r>
    </w:p>
    <w:p>
      <w:pPr>
        <w:spacing w:after="0" w:line="184" w:lineRule="exact"/>
        <w:rPr>
          <w:rFonts w:ascii="Times New Roman" w:cs="Times New Roman" w:eastAsia="Times New Roman" w:hAnsi="Times New Roman"/>
          <w:sz w:val="18"/>
          <w:szCs w:val="18"/>
          <w:color w:val="auto"/>
        </w:rPr>
      </w:pPr>
    </w:p>
    <w:p>
      <w:pPr>
        <w:ind w:left="-8" w:right="20" w:firstLine="8"/>
        <w:spacing w:after="0" w:line="286" w:lineRule="auto"/>
        <w:tabs>
          <w:tab w:leader="none" w:pos="7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Activities</w:t>
      </w:r>
      <w:r>
        <w:rPr>
          <w:rFonts w:ascii="Times New Roman" w:cs="Times New Roman" w:eastAsia="Times New Roman" w:hAnsi="Times New Roman"/>
          <w:sz w:val="18"/>
          <w:szCs w:val="18"/>
          <w:color w:val="auto"/>
        </w:rPr>
        <w:t>. Executive agrees that some restrictions on their activities during and after their employment are necessary to protect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goodwill, Confidential Information and other legitimate interested of the Company:</w:t>
      </w:r>
    </w:p>
    <w:p>
      <w:pPr>
        <w:spacing w:after="0" w:line="159" w:lineRule="exact"/>
        <w:rPr>
          <w:sz w:val="20"/>
          <w:szCs w:val="20"/>
          <w:color w:val="auto"/>
        </w:rPr>
      </w:pPr>
    </w:p>
    <w:p>
      <w:pPr>
        <w:jc w:val="both"/>
        <w:ind w:left="-8" w:firstLine="8"/>
        <w:spacing w:after="0" w:line="261" w:lineRule="auto"/>
        <w:tabs>
          <w:tab w:leader="none" w:pos="73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Executive is employed by the Company and for twenty-four (24) months thereafter (“Non-Competition Period”), Executive shall not, directly or indirectly, whether as owner, partner, investor, consultant, agent, Executive, joint ventures or otherwise, engage in any activity that directly competes with the Business of the Company as conducted at the time of Executive’s departure from the Company. For the purposes of this Agreement, Business shall include:</w:t>
      </w:r>
    </w:p>
    <w:p>
      <w:pPr>
        <w:spacing w:after="0" w:line="179"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implementation of Medical Services Organization (MSO) operations to treat CNS”) disorders</w:t>
      </w:r>
    </w:p>
    <w:p>
      <w:pPr>
        <w:spacing w:after="0" w:line="252"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NMDA, Glutamine/Glutamate, and GABA-targeted drugs to treat psychiatric conditions, and/or an indication or a claim involving the treatment of depression, PTSD, or reduction of suicidal ideation; and development of any drug involving suicidal ideation or in which amelioration of suicidal ideation is a substantial part of the 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50" w:right="339" w:bottom="1440" w:gutter="0" w:footer="0" w:header="0"/>
        </w:sectPr>
      </w:pPr>
    </w:p>
    <w:bookmarkStart w:id="142" w:name="page143"/>
    <w:bookmarkEnd w:id="142"/>
    <w:p>
      <w:pPr>
        <w:jc w:val="both"/>
        <w:ind w:left="324" w:hanging="324"/>
        <w:spacing w:after="0" w:line="266" w:lineRule="auto"/>
        <w:tabs>
          <w:tab w:leader="none" w:pos="3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4883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882650" cy="488315"/>
                    </a:xfrm>
                    <a:prstGeom prst="rect">
                      <a:avLst/>
                    </a:prstGeom>
                    <a:noFill/>
                  </pic:spPr>
                </pic:pic>
              </a:graphicData>
            </a:graphic>
          </wp:anchor>
        </w:drawing>
        <w:t>participation in the development or operation of new clinical facilities focused on the treatment of CNS disorders with ketamine and related drugs, transcranial magnetic stimulation, and related technologies. This clause shall not limit Executive’s ability to participate in the operations of RSC LLC.</w:t>
      </w:r>
    </w:p>
    <w:p>
      <w:pPr>
        <w:spacing w:after="0" w:line="175" w:lineRule="exact"/>
        <w:rPr>
          <w:rFonts w:ascii="Times New Roman" w:cs="Times New Roman" w:eastAsia="Times New Roman" w:hAnsi="Times New Roman"/>
          <w:sz w:val="18"/>
          <w:szCs w:val="18"/>
          <w:color w:val="auto"/>
        </w:rPr>
      </w:pPr>
    </w:p>
    <w:p>
      <w:pPr>
        <w:jc w:val="both"/>
        <w:ind w:left="-656" w:firstLine="980"/>
        <w:spacing w:after="0" w:line="266" w:lineRule="auto"/>
        <w:tabs>
          <w:tab w:leader="none" w:pos="58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during his employment with the Company, he will not undertake any outside activity, whether or not competitive with the business of the Company, that could reasonably give rise to a conflict of interest or otherwise interfere with his duties and obligations to the Company.</w:t>
      </w:r>
    </w:p>
    <w:p>
      <w:pPr>
        <w:spacing w:after="0" w:line="175" w:lineRule="exact"/>
        <w:rPr>
          <w:rFonts w:ascii="Times New Roman" w:cs="Times New Roman" w:eastAsia="Times New Roman" w:hAnsi="Times New Roman"/>
          <w:sz w:val="18"/>
          <w:szCs w:val="18"/>
          <w:color w:val="auto"/>
        </w:rPr>
      </w:pPr>
    </w:p>
    <w:p>
      <w:pPr>
        <w:jc w:val="both"/>
        <w:ind w:left="-656" w:firstLine="980"/>
        <w:spacing w:after="0" w:line="258" w:lineRule="auto"/>
        <w:tabs>
          <w:tab w:leader="none" w:pos="56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further agrees that during the Non-Competition Period, Executive will not hire or attempt to hire any Executive or contractor of the Company, assist in such hiring by any person, or encourage any such Executive to terminate his or his relationship with the Company; provided, however, that the foregoing will not apply to any Executives that have terminated their employment relationship with the Company at least six (6) months prior to the date on which Executive’s employment relationship with the Company is terminated. This clause shall not limit Executive’s interactions with Executives of RSC LLC</w:t>
      </w:r>
    </w:p>
    <w:p>
      <w:pPr>
        <w:spacing w:after="0" w:line="183" w:lineRule="exact"/>
        <w:rPr>
          <w:rFonts w:ascii="Times New Roman" w:cs="Times New Roman" w:eastAsia="Times New Roman" w:hAnsi="Times New Roman"/>
          <w:sz w:val="18"/>
          <w:szCs w:val="18"/>
          <w:color w:val="auto"/>
        </w:rPr>
      </w:pPr>
    </w:p>
    <w:p>
      <w:pPr>
        <w:jc w:val="both"/>
        <w:ind w:left="-656" w:firstLine="980"/>
        <w:spacing w:after="0" w:line="266" w:lineRule="auto"/>
        <w:tabs>
          <w:tab w:leader="none" w:pos="58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further agrees that during the Non-Competition Period, Executive will not solicit any customer or vendor of the Company to terminate or diminish its relationship with them, or, in the case of a customer, to conduct with any Person any business or activity which such customer conducts immediately prior to Executive’s departure with the Company.</w:t>
      </w:r>
    </w:p>
    <w:p>
      <w:pPr>
        <w:spacing w:after="0" w:line="175" w:lineRule="exact"/>
        <w:rPr>
          <w:rFonts w:ascii="Times New Roman" w:cs="Times New Roman" w:eastAsia="Times New Roman" w:hAnsi="Times New Roman"/>
          <w:sz w:val="18"/>
          <w:szCs w:val="18"/>
          <w:color w:val="auto"/>
        </w:rPr>
      </w:pPr>
    </w:p>
    <w:p>
      <w:pPr>
        <w:ind w:left="-656" w:firstLine="980"/>
        <w:spacing w:after="0" w:line="282" w:lineRule="auto"/>
        <w:tabs>
          <w:tab w:leader="none" w:pos="58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(i) the restrictive covenants contained in this Section are reasonable with respect to duration, scope, time, and their effects on Executive and public health, safety, and welfare;</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Confidential Information is of unique and special character that gives this information a special and proprietary value to Company; and</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56" w:lineRule="auto"/>
        <w:tabs>
          <w:tab w:leader="none" w:pos="964"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restrictive covenants contained in this Section are necessary to protect the legitimate business interests of Company, including, but not limited to, trade secrets and/or valuable confidential business/professional information that otherwise does not qualify as trade secrets, know-how, methodologies substantial relationships with specific prospective or existing patients or clients, patient or client goodwill associated with an ongoing professional practice by way of trade name and/or trademark and/or service mark and/or "trade dress" and/or specific geographic location, marketing or trade area, along with extraordinary or specialized training to Executive, and a violation by Executive of these restrictive covenants would cause irreparable injury and loss to Company.</w:t>
      </w:r>
    </w:p>
    <w:p>
      <w:pPr>
        <w:spacing w:after="0" w:line="187" w:lineRule="exact"/>
        <w:rPr>
          <w:rFonts w:ascii="Times New Roman" w:cs="Times New Roman" w:eastAsia="Times New Roman" w:hAnsi="Times New Roman"/>
          <w:sz w:val="18"/>
          <w:szCs w:val="18"/>
          <w:color w:val="auto"/>
        </w:rPr>
      </w:pPr>
    </w:p>
    <w:p>
      <w:pPr>
        <w:jc w:val="both"/>
        <w:ind w:left="-656" w:firstLine="980"/>
        <w:spacing w:after="0" w:line="274" w:lineRule="auto"/>
        <w:tabs>
          <w:tab w:leader="none" w:pos="544"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acknowledges that (i) in the event Executive's retention with Company terminates for any reason, Executive will be able to earn a livelihood without violating the foregoing restrictions, (ii) Executive's ability to earn a livelihood without violating such restrictions is a material condition to Executive's retention with the Company, (iii) this non-­solicitation and non-competition covenant is necessary to protect the legitimate business interests of Company which Company has spent considerable time, effort and money to establish, is reasonable and necessary to protect those business interests and (iv) in the event of an actual or threatened violation by Executive of any of the restrictions of this Section, Company may suffer irreparable harm and may be without adequate remedy at law. Company may seek injunctive relief, including a temporary restraining order and preliminary injunction.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344170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350" w:right="339" w:bottom="1440" w:gutter="0" w:footer="0" w:header="0"/>
        </w:sectPr>
      </w:pPr>
    </w:p>
    <w:bookmarkStart w:id="143" w:name="page144"/>
    <w:bookmarkEnd w:id="143"/>
    <w:p>
      <w:pPr>
        <w:jc w:val="both"/>
        <w:ind w:left="-8" w:firstLine="8"/>
        <w:spacing w:after="0" w:line="266" w:lineRule="auto"/>
        <w:tabs>
          <w:tab w:leader="none" w:pos="58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4883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882650" cy="488315"/>
                    </a:xfrm>
                    <a:prstGeom prst="rect">
                      <a:avLst/>
                    </a:prstGeom>
                    <a:noFill/>
                  </pic:spPr>
                </pic:pic>
              </a:graphicData>
            </a:graphic>
          </wp:anchor>
        </w:drawing>
        <w:t>If a court of law should alter the duration and scope of the non-solicitation or non-competition period set forth in this Section, or the confidentiality period set forth in Section 15 above, the altered terms shall continue in effect for said period. The covenants contained in this subsection shall survive termination or expiration of this Agreement.</w:t>
      </w:r>
    </w:p>
    <w:p>
      <w:pPr>
        <w:spacing w:after="0" w:line="171" w:lineRule="exact"/>
        <w:rPr>
          <w:rFonts w:ascii="Times New Roman" w:cs="Times New Roman" w:eastAsia="Times New Roman" w:hAnsi="Times New Roman"/>
          <w:sz w:val="18"/>
          <w:szCs w:val="18"/>
          <w:color w:val="auto"/>
        </w:rPr>
      </w:pPr>
    </w:p>
    <w:p>
      <w:pPr>
        <w:jc w:val="both"/>
        <w:ind w:left="-8" w:firstLine="8"/>
        <w:spacing w:after="0" w:line="268" w:lineRule="auto"/>
        <w:tabs>
          <w:tab w:leader="none" w:pos="80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and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amendment or variation of the terms of this Agreement shall be valid unless made in writing and signed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and a duly authorized representative of Company. A waiver of any of the terms and conditions hereof shall not be construed as a general waiver by either Party, and either Party shall be free to reinstate any such term or condition without notice to the other Party.</w:t>
      </w:r>
    </w:p>
    <w:p>
      <w:pPr>
        <w:spacing w:after="0" w:line="170"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64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of the Code</w:t>
      </w:r>
      <w:r>
        <w:rPr>
          <w:rFonts w:ascii="Times New Roman" w:cs="Times New Roman" w:eastAsia="Times New Roman" w:hAnsi="Times New Roman"/>
          <w:sz w:val="18"/>
          <w:szCs w:val="18"/>
          <w:color w:val="auto"/>
        </w:rPr>
        <w:t>. Anything to the contrary herein notwithstanding, all benefits or payments provided by the Company to Executive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would be deemed to constitute “nonqualified deferred compensation” within the meaning of Section 409A of the Internal Revenue Code (“Section 409A”) are intended to comply with Section 409A and, in the event that any such benefit or payment is deemed to not comply with Section 409A, the Company and Executive agree to renegotiate in good faith any such benefit or payment so that either (i) Section 409A will not apply or (ii) compliance with Section 409A will be achieved,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resulting renegotiated terms shall provide to Executive, to the extent reasonably practicable, the after-tax economic equivalent based on what otherwise would have been provided to Executive pursuant to the terms of this Agreement. Notwithstanding the above, if Executive qualifies as a “specified Executive,” as defined in Section 409A, incurs a separation from service for any reason other than death and becomes entitled to a distribution under this Agreement, then to the extent required by Section 409A, no distribution otherwise payable to such specified Executive during the first six (6) months after the date of such separation from service, shall be paid to such specified Executive until the date which is one day after the date which is six (6) months after the date of such separation from service (or, if earlier, the date of death of the specified Executive).</w:t>
      </w:r>
    </w:p>
    <w:p>
      <w:pPr>
        <w:spacing w:after="0" w:line="185"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6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of Covenants</w:t>
      </w:r>
      <w:r>
        <w:rPr>
          <w:rFonts w:ascii="Times New Roman" w:cs="Times New Roman" w:eastAsia="Times New Roman" w:hAnsi="Times New Roman"/>
          <w:sz w:val="18"/>
          <w:szCs w:val="18"/>
          <w:color w:val="auto"/>
        </w:rPr>
        <w:t>. Executive acknowledges that he has carefully read and considered all the terms and conditions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restraints imposed upon him pursuant to Sections 7, 8 and 9 hereof. Executive agrees that those restraints are necessary for the reasonable and proper protection of the Company and that each and every one of the restraints is reasonable in respect to subject matter, length of time and geographic area. Executive further acknowledges that if he is found to have breached any of the covenants contained in Sections 7, 8 or 9 hereof by a duly appointed arbitrator, the damage to the Company may be irreparable. Executive therefore agrees that the Company, in addition to any other remedies available to it, shall be entitled to seek preliminary and permanent injunctive relief against any breach or threatened breach by Executive of any of said covenants. The parties further agree that, in the event that any provision of Section 7, 8 or 9 hereof shall be determined by a court of competent jurisdiction or duly appointed arbitrator to be unenforceable by reason of its being extended over too great a time, too large a geographic area or too great a range of activities, such provision shall be deemed to be modified to permit its enforcement to the maximum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356870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50" w:right="339" w:bottom="1440" w:gutter="0" w:footer="0" w:header="0"/>
        </w:sectPr>
      </w:pPr>
    </w:p>
    <w:bookmarkStart w:id="144" w:name="page145"/>
    <w:bookmarkEnd w:id="144"/>
    <w:p>
      <w:pPr>
        <w:jc w:val="both"/>
        <w:ind w:left="-8" w:firstLine="8"/>
        <w:spacing w:after="0" w:line="262" w:lineRule="auto"/>
        <w:tabs>
          <w:tab w:leader="none" w:pos="68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4883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882650" cy="488315"/>
                    </a:xfrm>
                    <a:prstGeom prst="rect">
                      <a:avLst/>
                    </a:prstGeom>
                    <a:noFill/>
                  </pic:spPr>
                </pic:pic>
              </a:graphicData>
            </a:graphic>
          </wp:anchor>
        </w:drawing>
        <w:t>Conflicting Agreements</w:t>
      </w:r>
      <w:r>
        <w:rPr>
          <w:rFonts w:ascii="Times New Roman" w:cs="Times New Roman" w:eastAsia="Times New Roman" w:hAnsi="Times New Roman"/>
          <w:sz w:val="18"/>
          <w:szCs w:val="18"/>
          <w:color w:val="auto"/>
        </w:rPr>
        <w:t>. Executive hereby represents and warrants that the execution of this Agreement and the performance of his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will not breach or be in conflict with any other agreement to which Executive is a party or is bound and that Executive is not now subject to any covenants against competition or similar covenants or any court order or other legal obligation that would affect the performance of his obligations hereunder. Executive will not disclose to or use on behalf of the Company any proprietary information of a third party without such party’s consent.</w:t>
      </w:r>
    </w:p>
    <w:p>
      <w:pPr>
        <w:spacing w:after="0" w:line="176" w:lineRule="exact"/>
        <w:rPr>
          <w:rFonts w:ascii="Times New Roman" w:cs="Times New Roman" w:eastAsia="Times New Roman" w:hAnsi="Times New Roman"/>
          <w:sz w:val="18"/>
          <w:szCs w:val="18"/>
          <w:color w:val="auto"/>
        </w:rPr>
      </w:pPr>
    </w:p>
    <w:p>
      <w:pPr>
        <w:ind w:left="-8" w:firstLine="8"/>
        <w:spacing w:after="0" w:line="286" w:lineRule="auto"/>
        <w:tabs>
          <w:tab w:leader="none" w:pos="66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Words or phrases which are initially capitalized or are within quotation marks shall have the meanings provided in this Section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elsewhere herein. For purposes of this Agreement, the following definitions apply:</w:t>
      </w:r>
    </w:p>
    <w:p>
      <w:pPr>
        <w:spacing w:after="0" w:line="159" w:lineRule="exact"/>
        <w:rPr>
          <w:sz w:val="20"/>
          <w:szCs w:val="20"/>
          <w:color w:val="auto"/>
        </w:rPr>
      </w:pPr>
    </w:p>
    <w:p>
      <w:pPr>
        <w:jc w:val="both"/>
        <w:ind w:left="-8" w:firstLine="8"/>
        <w:spacing w:after="0" w:line="258" w:lineRule="auto"/>
        <w:tabs>
          <w:tab w:leader="none" w:pos="7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(i) any change in the Company’s ownership occurring when any person or company, directly or indirectly, becomes the beneficial owner of voting equity shares of the entity (to the extent of more than 50 percent of the voting shares or the rights to acquire such shares; (ii) any direct or indirect sale or transfer of substantially all of the assets of the Company; (iii) a plan of Company liquidation or an agreement for the sale on liquidation is legally approved and completed; or (iv) the board or empowered managing committee determines and declares that a change of control has occurred, irrespective of any occurrences described above.</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75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means any and all information of the Company that is not generally known by Persons with whom the Company competes or does business, or with whom the Company plans to compete or do business and any and all information, publicly known in whole or in part or not, which, if disclosed by the Company would assist in competition against the Company. Confidential Information includes without limitation such information relating to (i) the development, research, testing, manufacturing, marketing and financial activities of the Company, (ii) the Company’s products and services, (iii) the costs, sources of supply, financial performance and strategic plans of the Company, (iv) the identity and special needs of the customers of the Company and (v) the people and organizations with whom the Company has a business relationship and the nature and substance of those relationships. Confidential Information also includes any information that the Company has received, or may receive hereafter, belonging to customers or others with any understanding, express or implied, that the information would not be disclosed. Notwithstanding anything to the contrary, Confidential Information will not include (i) any information that has been published in a form generally available to the public or within the trade or industry prior to the date the Executive proposes to disclose or use such information, (ii) any information that the Executive is legally required to disclose, (iii) any information that is or becomes available to the Executive on a non-confidential basis from a source other than the Executive or an Executive or a contractor of the Company; provided that such source is not known by the Executive to be bound by a confidentiality agreement with, or other contractual legal or fiduciary obligation to the Company, or (iv) any information that was in the possession of, or was known by, Executive prior to the Effective Date.</w:t>
      </w:r>
    </w:p>
    <w:p>
      <w:pPr>
        <w:spacing w:after="0" w:line="187" w:lineRule="exact"/>
        <w:rPr>
          <w:sz w:val="20"/>
          <w:szCs w:val="20"/>
          <w:color w:val="auto"/>
        </w:rPr>
      </w:pPr>
    </w:p>
    <w:p>
      <w:pPr>
        <w:jc w:val="both"/>
        <w:ind w:left="-8" w:firstLine="8"/>
        <w:spacing w:after="0" w:line="266" w:lineRule="auto"/>
        <w:tabs>
          <w:tab w:leader="none" w:pos="8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means any invention, formula, process, discovery, development, design, innovation or improvement (whether or not patentable or registrable under copyright statutes) made, conceived, or first actually reduced to practice by Executive, solely or jointly with others, during his employment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46" w:right="339" w:bottom="1440" w:gutter="0" w:footer="0" w:header="0"/>
        </w:sectPr>
      </w:pPr>
    </w:p>
    <w:bookmarkStart w:id="145" w:name="page146"/>
    <w:bookmarkEnd w:id="145"/>
    <w:p>
      <w:pPr>
        <w:ind w:left="-8" w:firstLine="8"/>
        <w:spacing w:after="0" w:line="282" w:lineRule="auto"/>
        <w:tabs>
          <w:tab w:leader="none" w:pos="74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4883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882650" cy="488315"/>
                    </a:xfrm>
                    <a:prstGeom prst="rect">
                      <a:avLst/>
                    </a:prstGeom>
                    <a:noFill/>
                  </pic:spPr>
                </pic:pic>
              </a:graphicData>
            </a:graphic>
          </wp:anchor>
        </w:drawing>
        <w:t>“Person” means an individual, a corporation, a limited liability company, an association, a partnership, an estate, a trust and any other entity or organization, other than the Company.</w:t>
      </w:r>
    </w:p>
    <w:p>
      <w:pPr>
        <w:spacing w:after="0" w:line="158" w:lineRule="exact"/>
        <w:rPr>
          <w:sz w:val="20"/>
          <w:szCs w:val="20"/>
          <w:color w:val="auto"/>
        </w:rPr>
      </w:pPr>
    </w:p>
    <w:p>
      <w:pPr>
        <w:ind w:left="-8" w:firstLine="8"/>
        <w:spacing w:after="0" w:line="286" w:lineRule="auto"/>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All payments made by the Company under this Agreement shall be reduced by any tax or other amounts required to be withheld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under applicable law.</w:t>
      </w:r>
    </w:p>
    <w:p>
      <w:pPr>
        <w:spacing w:after="0" w:line="154" w:lineRule="exact"/>
        <w:rPr>
          <w:rFonts w:ascii="Times New Roman" w:cs="Times New Roman" w:eastAsia="Times New Roman" w:hAnsi="Times New Roman"/>
          <w:sz w:val="18"/>
          <w:szCs w:val="18"/>
          <w:color w:val="auto"/>
        </w:rPr>
      </w:pPr>
    </w:p>
    <w:p>
      <w:pPr>
        <w:jc w:val="both"/>
        <w:ind w:left="-8" w:firstLine="8"/>
        <w:spacing w:after="0" w:line="259" w:lineRule="auto"/>
        <w:tabs>
          <w:tab w:leader="none" w:pos="80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Neither the Company nor Executive may make any assignment of this Agreement or any interest herein, by operation of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without the prior written consent of the other; provided, however, that the Company shall assign its rights and obligations under this Agreement without the consent of Executive in the event that the Company shall hereafter affect a reorganization, consolidate with, or merge into, any Person or transfer all or substantially all of its properties or assets to any Person. This Agreement shall inure to the benefit of and be binding upon the Company and Executive, their respective successors, executors, administrators, heirs and permitted assigns.</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62" w:lineRule="auto"/>
        <w:tabs>
          <w:tab w:leader="none" w:pos="79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portion or provision of this Agreement shall to any extent be declared illegal or unenforceable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Times New Roman" w:cs="Times New Roman" w:eastAsia="Times New Roman" w:hAnsi="Times New Roman"/>
          <w:sz w:val="18"/>
          <w:szCs w:val="18"/>
          <w:color w:val="auto"/>
        </w:rPr>
      </w:pPr>
    </w:p>
    <w:p>
      <w:pPr>
        <w:jc w:val="both"/>
        <w:ind w:left="-8" w:firstLine="8"/>
        <w:spacing w:after="0" w:line="268" w:lineRule="auto"/>
        <w:tabs>
          <w:tab w:leader="none" w:pos="66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either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the performance of any term or obligation of this Agreement, or the waiver by either party of any breach of this Agreement, shall not prevent any subsequent enforcement of such term or obligation or be deemed a waiver of any subsequent breach.</w:t>
      </w:r>
    </w:p>
    <w:p>
      <w:pPr>
        <w:spacing w:after="0" w:line="170" w:lineRule="exact"/>
        <w:rPr>
          <w:rFonts w:ascii="Times New Roman" w:cs="Times New Roman" w:eastAsia="Times New Roman" w:hAnsi="Times New Roman"/>
          <w:sz w:val="18"/>
          <w:szCs w:val="18"/>
          <w:color w:val="auto"/>
        </w:rPr>
      </w:pPr>
    </w:p>
    <w:p>
      <w:pPr>
        <w:jc w:val="both"/>
        <w:ind w:left="-8" w:firstLine="8"/>
        <w:spacing w:after="0" w:line="262" w:lineRule="auto"/>
        <w:tabs>
          <w:tab w:leader="none" w:pos="57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and all notices, requests, demands and other communications provided for by this Agreement shall be in writing and shall be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delivered in person, consigned to a reputable national delivery service or deposited in the United States mail, postage prepaid, registered or certified, and addressed to Executive at his last known address on the books of the Company or, in the case of the Company, at its principal place of business, attention of the Chief Executive Officer, or to such other address as either party may specify by notice to the other actually received.</w:t>
      </w:r>
    </w:p>
    <w:p>
      <w:pPr>
        <w:spacing w:after="0" w:line="176" w:lineRule="exact"/>
        <w:rPr>
          <w:rFonts w:ascii="Times New Roman" w:cs="Times New Roman" w:eastAsia="Times New Roman" w:hAnsi="Times New Roman"/>
          <w:sz w:val="18"/>
          <w:szCs w:val="18"/>
          <w:color w:val="auto"/>
        </w:rPr>
      </w:pPr>
    </w:p>
    <w:p>
      <w:pPr>
        <w:ind w:left="-8" w:firstLine="8"/>
        <w:spacing w:after="0" w:line="286" w:lineRule="auto"/>
        <w:tabs>
          <w:tab w:leader="none" w:pos="7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entire agreement between the parties and supersedes all prior communications,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understandings, written or oral, with respect to the terms and conditions of Executive’s employment.</w:t>
      </w:r>
    </w:p>
    <w:p>
      <w:pPr>
        <w:spacing w:after="0" w:line="154" w:lineRule="exact"/>
        <w:rPr>
          <w:rFonts w:ascii="Times New Roman" w:cs="Times New Roman" w:eastAsia="Times New Roman" w:hAnsi="Times New Roman"/>
          <w:sz w:val="18"/>
          <w:szCs w:val="18"/>
          <w:color w:val="auto"/>
        </w:rPr>
      </w:pPr>
    </w:p>
    <w:p>
      <w:pPr>
        <w:ind w:left="-8" w:firstLine="8"/>
        <w:spacing w:after="0" w:line="286" w:lineRule="auto"/>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This Agreement may be amended or modified only by a written instrument signed by the Executive and by an expressly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335280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50" w:right="339" w:bottom="1440" w:gutter="0" w:footer="0" w:header="0"/>
        </w:sectPr>
      </w:pPr>
    </w:p>
    <w:bookmarkStart w:id="146" w:name="page147"/>
    <w:bookmarkEnd w:id="146"/>
    <w:p>
      <w:pPr>
        <w:ind w:left="-8" w:firstLine="8"/>
        <w:spacing w:after="0" w:line="286" w:lineRule="auto"/>
        <w:tabs>
          <w:tab w:leader="none" w:pos="74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4883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882650" cy="488315"/>
                    </a:xfrm>
                    <a:prstGeom prst="rect">
                      <a:avLst/>
                    </a:prstGeom>
                    <a:noFill/>
                  </pic:spPr>
                </pic:pic>
              </a:graphicData>
            </a:graphic>
          </wp:anchor>
        </w:drawing>
        <w:t>Headings</w:t>
      </w:r>
      <w:r>
        <w:rPr>
          <w:rFonts w:ascii="Times New Roman" w:cs="Times New Roman" w:eastAsia="Times New Roman" w:hAnsi="Times New Roman"/>
          <w:sz w:val="18"/>
          <w:szCs w:val="18"/>
          <w:color w:val="auto"/>
        </w:rPr>
        <w:t>. The headings and captions in this Agreement are for convenience only and in no way define or describe the scope or content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w:t>
      </w:r>
    </w:p>
    <w:p>
      <w:pPr>
        <w:spacing w:after="0" w:line="154" w:lineRule="exact"/>
        <w:rPr>
          <w:rFonts w:ascii="Times New Roman" w:cs="Times New Roman" w:eastAsia="Times New Roman" w:hAnsi="Times New Roman"/>
          <w:sz w:val="18"/>
          <w:szCs w:val="18"/>
          <w:color w:val="auto"/>
        </w:rPr>
      </w:pPr>
    </w:p>
    <w:p>
      <w:pPr>
        <w:ind w:left="-8" w:firstLine="8"/>
        <w:spacing w:after="0" w:line="286" w:lineRule="auto"/>
        <w:tabs>
          <w:tab w:leader="none" w:pos="72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two or more counterparts, each of which shall be an original and all of which together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and the same instrument.</w:t>
      </w:r>
    </w:p>
    <w:p>
      <w:pPr>
        <w:spacing w:after="0" w:line="154" w:lineRule="exact"/>
        <w:rPr>
          <w:rFonts w:ascii="Times New Roman" w:cs="Times New Roman" w:eastAsia="Times New Roman" w:hAnsi="Times New Roman"/>
          <w:sz w:val="18"/>
          <w:szCs w:val="18"/>
          <w:color w:val="auto"/>
        </w:rPr>
      </w:pPr>
    </w:p>
    <w:p>
      <w:pPr>
        <w:jc w:val="both"/>
        <w:ind w:left="-8" w:firstLine="8"/>
        <w:spacing w:after="0" w:line="268" w:lineRule="auto"/>
        <w:tabs>
          <w:tab w:leader="none" w:pos="63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is a Delaware contract and shall be construed and enforced under and be governed in all respects by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without regard to the conflict of laws principles thereof. Executive represents that he has sought advice of counsel and agreed to choice of law and venue.</w:t>
      </w:r>
    </w:p>
    <w:p>
      <w:pPr>
        <w:spacing w:after="0" w:line="170"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77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 to Arbitration</w:t>
      </w:r>
      <w:r>
        <w:rPr>
          <w:rFonts w:ascii="Times New Roman" w:cs="Times New Roman" w:eastAsia="Times New Roman" w:hAnsi="Times New Roman"/>
          <w:sz w:val="18"/>
          <w:szCs w:val="18"/>
          <w:color w:val="auto"/>
        </w:rPr>
        <w:t>. In consideration of Executive's employment with the Company, the Company and Executive agree that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controversies, claims, or disputes with anyone (including the Company, Executive and any executive, officer, director or shareholder in their capacity as such or otherwise) arising out of, relating to, or resulting from Executive's employment with the Company or the termination of Executive's employment with the Company, including any relating to this Agreement, will be subject to binding arbitration. Disputes which Executive and Company hereby agree to arbitrate, </w:t>
      </w:r>
      <w:r>
        <w:rPr>
          <w:rFonts w:ascii="Times New Roman" w:cs="Times New Roman" w:eastAsia="Times New Roman" w:hAnsi="Times New Roman"/>
          <w:sz w:val="18"/>
          <w:szCs w:val="18"/>
          <w:b w:val="1"/>
          <w:bCs w:val="1"/>
          <w:color w:val="auto"/>
        </w:rPr>
        <w:t>AND THEREBY AGREE TO WAIVE ANY RIGHT TO A TRIAL BY JURY,</w:t>
      </w:r>
      <w:r>
        <w:rPr>
          <w:rFonts w:ascii="Times New Roman" w:cs="Times New Roman" w:eastAsia="Times New Roman" w:hAnsi="Times New Roman"/>
          <w:sz w:val="18"/>
          <w:szCs w:val="18"/>
          <w:color w:val="auto"/>
        </w:rPr>
        <w:t xml:space="preserve"> include, but are not limited to, any statutory claims under state or federal law, including, but not limited to, claims under Title VII of the Civil Rights Act of 1964, the Americans with Disabilities Act of 1990, the Age Discrimination in Employment Act of 1967, the Older Workers Benefit Protection Act, the Worker Adjustment and Retraining Notification Act, the Family and Medical Leave Act, and any other federal, state or local discrimination, retaliation or wrongful termination claims or other statutory or common law claims. The parties further understand that this agreement to arbitrate also applies to any disputes that the Company may have with Executive. Executive and Company agree that any arbitration will be administered by the American Health Law Association ("AHLA") and that a single neutral arbitrator will be selected in a manner consistent with its National Rules for the Resolution of Employment Disputes (the "Rules"). All arbitration fees and costs shall be paid by the Company, but the parties shall be responsible for payment of their own attorneys' and professional fees. Executive and Company agree that the arbitrator will administer and conduct any arbitration in a manner consistent with the Rules. The parties agree the final arbitration hearing shall commence within ninety (90) days after the arbitrator is appointed by AHLA. Notwithstanding the foregoing, nothing herein shall limit or alter the Company's right to seek injunctive or other equitable relief.</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59" w:lineRule="auto"/>
        <w:tabs>
          <w:tab w:leader="none" w:pos="5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Voluntary Nature of Agreement</w:t>
      </w:r>
      <w:r>
        <w:rPr>
          <w:rFonts w:ascii="Times New Roman" w:cs="Times New Roman" w:eastAsia="Times New Roman" w:hAnsi="Times New Roman"/>
          <w:sz w:val="18"/>
          <w:szCs w:val="18"/>
          <w:color w:val="auto"/>
        </w:rPr>
        <w:t>. Executive acknowledges and agrees that the Executive is executing this Agreement voluntarily and without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Executive is </w:t>
      </w:r>
      <w:r>
        <w:rPr>
          <w:rFonts w:ascii="Times New Roman" w:cs="Times New Roman" w:eastAsia="Times New Roman" w:hAnsi="Times New Roman"/>
          <w:sz w:val="18"/>
          <w:szCs w:val="18"/>
          <w:b w:val="1"/>
          <w:bCs w:val="1"/>
          <w:color w:val="auto"/>
        </w:rPr>
        <w:t>WAIVING EXECUTIVE'S RIGHT TO A JURY TRIAL.</w:t>
      </w:r>
      <w:r>
        <w:rPr>
          <w:rFonts w:ascii="Times New Roman" w:cs="Times New Roman" w:eastAsia="Times New Roman" w:hAnsi="Times New Roman"/>
          <w:sz w:val="18"/>
          <w:szCs w:val="18"/>
          <w:color w:val="auto"/>
        </w:rPr>
        <w:t xml:space="preserve"> Finally, Executive agrees that Executive has been provided an opportunity to seek the advice of an attorney of Executive's choice before signing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350520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46" w:right="339" w:bottom="1440" w:gutter="0" w:footer="0" w:header="0"/>
        </w:sectPr>
      </w:pPr>
    </w:p>
    <w:bookmarkStart w:id="147" w:name="page148"/>
    <w:bookmarkEnd w:id="147"/>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2650" cy="4883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882650" cy="48831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Agreement has been executed by the Company, by its duly authorized representative, and by Executive,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ectPr>
          <w:pgSz w:w="11900" w:h="16838" w:orient="portrait"/>
          <w:cols w:equalWidth="0" w:num="1">
            <w:col w:w="11240"/>
          </w:cols>
          <w:pgMar w:left="320" w:top="1346" w:right="33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w:t>
      </w:r>
    </w:p>
    <w:p>
      <w:pPr>
        <w:spacing w:after="0" w:line="200" w:lineRule="exact"/>
        <w:rPr>
          <w:sz w:val="20"/>
          <w:szCs w:val="20"/>
          <w:color w:val="auto"/>
        </w:rPr>
      </w:pPr>
    </w:p>
    <w:p>
      <w:pPr>
        <w:sectPr>
          <w:pgSz w:w="11900" w:h="16838" w:orient="portrait"/>
          <w:cols w:equalWidth="0" w:num="2">
            <w:col w:w="6040" w:space="720"/>
            <w:col w:w="4480"/>
          </w:cols>
          <w:pgMar w:left="320" w:top="1346" w:right="339"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Jonathan Javitt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Joseph M Casper</w:t>
      </w:r>
    </w:p>
    <w:p>
      <w:pPr>
        <w:spacing w:after="0" w:line="200" w:lineRule="exact"/>
        <w:rPr>
          <w:sz w:val="20"/>
          <w:szCs w:val="20"/>
          <w:color w:val="auto"/>
        </w:rPr>
      </w:pPr>
    </w:p>
    <w:p>
      <w:pPr>
        <w:sectPr>
          <w:pgSz w:w="11900" w:h="16838" w:orient="portrait"/>
          <w:cols w:equalWidth="0" w:num="4">
            <w:col w:w="260" w:space="320"/>
            <w:col w:w="5460" w:space="720"/>
            <w:col w:w="260" w:space="300"/>
            <w:col w:w="3920"/>
          </w:cols>
          <w:pgMar w:left="320" w:top="1346" w:right="339" w:bottom="1440" w:gutter="0" w:footer="0" w:header="0"/>
          <w:type w:val="continuous"/>
        </w:sectPr>
      </w:pPr>
    </w:p>
    <w:p>
      <w:pPr>
        <w:spacing w:after="0" w:line="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Jonathan C. Javitt, MD, MPH.</w:t>
      </w:r>
    </w:p>
    <w:p>
      <w:pPr>
        <w:spacing w:after="0" w:line="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Joseph M Casper</w:t>
      </w:r>
    </w:p>
    <w:p>
      <w:pPr>
        <w:sectPr>
          <w:pgSz w:w="11900" w:h="16838" w:orient="portrait"/>
          <w:cols w:equalWidth="0" w:num="2">
            <w:col w:w="6600" w:space="720"/>
            <w:col w:w="3920"/>
          </w:cols>
          <w:pgMar w:left="320" w:top="1346" w:right="339" w:bottom="1440" w:gutter="0" w:footer="0" w:header="0"/>
          <w:type w:val="continuous"/>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Purpose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describe the standards concerning the handling of non-public information relating to NRx Pharmaceuticals, Inc. and its subsidiaries, including NeuroRx, Inc. (collectively, the “Company”) and the buying and selling of securities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Persons Affected and Prohibited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general prohibitions of this Policy apply to all directors, officers and employees of the Company, while the restrictions regarding blackout periods and pre- clearance apply only to directors, executive officers1 and certain designated officers and employees. If you are unsure whether you are subject to any particular restrictions, please contact the Company’s General Counsel or his or her designee.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same restrictions described in this Policy also apply to your spouse, minor children and anyone else living in your household, partnerships in which you are a general partner, trusts of which you are a trustee, estates of which you are an executor and investment funds or other similar vehicles with which you are affiliated (collectively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You will be responsible for compliance with this Policy by your Related Parties</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Policy, references to “</w:t>
      </w:r>
      <w:r>
        <w:rPr>
          <w:rFonts w:ascii="Times New Roman" w:cs="Times New Roman" w:eastAsia="Times New Roman" w:hAnsi="Times New Roman"/>
          <w:sz w:val="18"/>
          <w:szCs w:val="18"/>
          <w:u w:val="single" w:color="auto"/>
          <w:color w:val="auto"/>
        </w:rPr>
        <w:t>trading</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u w:val="single" w:color="auto"/>
          <w:color w:val="auto"/>
        </w:rPr>
        <w:t>transactions in securities of the Company</w:t>
      </w:r>
      <w:r>
        <w:rPr>
          <w:rFonts w:ascii="Times New Roman" w:cs="Times New Roman" w:eastAsia="Times New Roman" w:hAnsi="Times New Roman"/>
          <w:sz w:val="18"/>
          <w:szCs w:val="18"/>
          <w:color w:val="auto"/>
        </w:rPr>
        <w:t>” include purchases or sales of Company stock, options, puts and calls or other derivative securities based on securities of the Company, gifts of Company securities, loans of Company securities, hedging transactions involving or referencing Company securities, contributions of Company securities to a trust, sales of Company stock acquired upon the exercise of stock options, broker-assisted cashless exercises of stock options, market sales to raise cash to fund the exercise of stock options and trades in Company stock made under an employee benefit plan, such as a 401(k)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Policy Statement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you possess material nonpublic information (as further discussed below) relating to the Company, neither you nor any Related Party:</w:t>
      </w:r>
    </w:p>
    <w:p>
      <w:pPr>
        <w:spacing w:after="0" w:line="225" w:lineRule="exact"/>
        <w:rPr>
          <w:sz w:val="20"/>
          <w:szCs w:val="20"/>
          <w:color w:val="auto"/>
        </w:rPr>
      </w:pPr>
    </w:p>
    <w:p>
      <w:pPr>
        <w:jc w:val="both"/>
        <w:ind w:left="180" w:hanging="172"/>
        <w:spacing w:after="0" w:line="268" w:lineRule="auto"/>
        <w:tabs>
          <w:tab w:leader="none" w:pos="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may effect transactions in securities of the Company (other than pursuant to a pre-arranged trading plan that complies with Rule 10b5-1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10b5-1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under the Securities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as described below) or engage in any other action that take advantage of that information;</w:t>
      </w:r>
    </w:p>
    <w:p>
      <w:pPr>
        <w:spacing w:after="0" w:line="17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may pass that information on to any person outside the Company, except as permitted under applicable Company policies and procedures;</w:t>
      </w:r>
    </w:p>
    <w:p>
      <w:pPr>
        <w:spacing w:after="0" w:line="225" w:lineRule="exact"/>
        <w:rPr>
          <w:rFonts w:ascii="Times New Roman" w:cs="Times New Roman" w:eastAsia="Times New Roman" w:hAnsi="Times New Roman"/>
          <w:sz w:val="18"/>
          <w:szCs w:val="18"/>
          <w:color w:val="auto"/>
        </w:rPr>
      </w:pPr>
    </w:p>
    <w:p>
      <w:pPr>
        <w:ind w:left="180" w:hanging="172"/>
        <w:spacing w:after="0" w:line="286" w:lineRule="auto"/>
        <w:tabs>
          <w:tab w:leader="none" w:pos="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suggest or otherwise recommend that any person effect a transaction in securities of the Company or engage in any other action that takes advantage of that information; or</w:t>
      </w:r>
    </w:p>
    <w:p>
      <w:pPr>
        <w:spacing w:after="0" w:line="15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assist anyone engaged in any of the foregoing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12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 Executive officers for purposes of this Policy are all executive officers of the Company identified in its public filings and any other officer of the Company or any subsidiary that is subject to Section 16(b)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will continue to apply after termination of employment to the extent that you are in possession of material nonpublic information at the time of termination. In such case, no transaction in securities of the Company may take place until the information becomes public or ceases to be material.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Policy also applies to information, obtained in the course of employment with, or by serving as a director of, the Company, relating to any other company, including any entity with which we may be negotiating a major transaction or business combination.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you nor any Related Party may effect transactions in the securities of any such other company while in possession of material nonpublic information concerning such company that was obtained in the course of employment with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Material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information</w:t>
      </w:r>
      <w:r>
        <w:rPr>
          <w:rFonts w:ascii="Times New Roman" w:cs="Times New Roman" w:eastAsia="Times New Roman" w:hAnsi="Times New Roman"/>
          <w:sz w:val="18"/>
          <w:szCs w:val="18"/>
          <w:color w:val="auto"/>
        </w:rPr>
        <w:t>” is any information that a reasonable investor would consider important in a decision to effect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in securities of the Company. In short, any information that could reasonably affect the price of such securities. Either positive or negative information may be material. Common examples of information that will frequently be regarded as material are:</w:t>
      </w:r>
    </w:p>
    <w:p>
      <w:pPr>
        <w:spacing w:after="0" w:line="175" w:lineRule="exact"/>
        <w:rPr>
          <w:sz w:val="20"/>
          <w:szCs w:val="20"/>
          <w:color w:val="auto"/>
        </w:rPr>
      </w:pPr>
    </w:p>
    <w:p>
      <w:pPr>
        <w:ind w:left="180" w:hanging="172"/>
        <w:spacing w:after="0"/>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joint venture, acquisition or tender offer;</w:t>
      </w:r>
    </w:p>
    <w:p>
      <w:pPr>
        <w:spacing w:after="0" w:line="2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of additional securities;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other key employees;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or regulatory exposure due to a pending or threatened lawsuit or investigation;</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other financial liquidity problems; and</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affecting our business.</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20-20 Hindsight</w:t>
      </w:r>
      <w:r>
        <w:rPr>
          <w:rFonts w:ascii="Times New Roman" w:cs="Times New Roman" w:eastAsia="Times New Roman" w:hAnsi="Times New Roman"/>
          <w:sz w:val="18"/>
          <w:szCs w:val="18"/>
          <w:color w:val="auto"/>
        </w:rPr>
        <w:t>. Remember, if your transaction in securities of the Company becomes the subject of scrutiny, it will be viewed after-the-fact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benefit of hindsight. As a result, before engaging in any transaction you should carefully consider how regulators and others might view your transaction in hindsight.</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Tipping Information to Others</w:t>
      </w:r>
      <w:r>
        <w:rPr>
          <w:rFonts w:ascii="Times New Roman" w:cs="Times New Roman" w:eastAsia="Times New Roman" w:hAnsi="Times New Roman"/>
          <w:sz w:val="18"/>
          <w:szCs w:val="18"/>
          <w:color w:val="auto"/>
        </w:rPr>
        <w:t>. Whether the information is proprietary information about the Company or other information that could have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on the price of the Company’s securities, you must not pass the information on to others.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Penalties will apply whether or not you derive, or even intend to derive, any profit or other benefit from another’s actions.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When Information is Public</w:t>
      </w:r>
      <w:r>
        <w:rPr>
          <w:rFonts w:ascii="Times New Roman" w:cs="Times New Roman" w:eastAsia="Times New Roman" w:hAnsi="Times New Roman"/>
          <w:sz w:val="18"/>
          <w:szCs w:val="18"/>
          <w:color w:val="auto"/>
        </w:rPr>
        <w:t>. You may not trade on the basis of material information that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broadly disclosed to the marketplace,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through a press release or a filing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the marketplace has had time to absorb the information.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Confidentiality Obligations</w:t>
      </w:r>
      <w:r>
        <w:rPr>
          <w:rFonts w:ascii="Times New Roman" w:cs="Times New Roman" w:eastAsia="Times New Roman" w:hAnsi="Times New Roman"/>
          <w:sz w:val="18"/>
          <w:szCs w:val="18"/>
          <w:color w:val="auto"/>
        </w:rPr>
        <w:t>. The restrictions set forth in this Policy are designed to avoid misuse of material nonpublic information in violation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laws. These restrictions are in addition to, and in no way alter, the general obligations that each director, officer and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0" w:name="page151"/>
    <w:bookmarkEnd w:id="15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take precautions to prevent the unauthorized disclosure or other misuse of such information by maintaining files securely, avoiding discussions of such information in public and taking extra care when distributing such information electronically.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Prohibited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we believe it is improper and inappropriate for any person to engage in short-term or speculative transactions involving the Company’s securities, directors, officers and employees of the Company, and their Related Parties, are prohibited from engaging in any of the following activities with respect to securities of the Company:</w:t>
      </w:r>
    </w:p>
    <w:p>
      <w:pPr>
        <w:spacing w:after="0" w:line="172"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securities of the Company on margin</w:t>
      </w:r>
      <w:r>
        <w:rPr>
          <w:rFonts w:ascii="Times New Roman" w:cs="Times New Roman" w:eastAsia="Times New Roman" w:hAnsi="Times New Roman"/>
          <w:sz w:val="18"/>
          <w:szCs w:val="18"/>
          <w:color w:val="auto"/>
        </w:rPr>
        <w:t>. You may not purchase securities of the Company on margin or pledge, or otherwise grant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interest in, securities of the Company in margin accounts</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Short sales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selling stock you do not own and borrowing the shares to make delivery). The SEC effectively prohibits directors and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selling Company securities short. This Policy is simply expanding this prohibition to cover all employees.</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Buying or selling puts, calls, options or other derivatives in respect of securities of the Company</w:t>
      </w:r>
      <w:r>
        <w:rPr>
          <w:rFonts w:ascii="Times New Roman" w:cs="Times New Roman" w:eastAsia="Times New Roman" w:hAnsi="Times New Roman"/>
          <w:sz w:val="18"/>
          <w:szCs w:val="18"/>
          <w:color w:val="auto"/>
        </w:rPr>
        <w:t>. This prohibition extends to any instrument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whose value is derived from the value of any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common stock) of the Company.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prohibition does not apply to the Company’s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Directors, executive officers and other employees, and their designees, are prohibited from purchasing any financial instruments (including prepaid variable forward contracts, equity swaps, collars and exchange funds) or otherwise engaging in transactions that are designed to or have the effect of hedging or offsetting any decrease in the market value of the Company’s equity securities whether they are (1) granted to you by the Company as part of your compensation; or (2) otherwise held, directly or indirectly, by you.</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 Company is not prohibiting standing or limit orders, you should use extreme caution if you engage in standing or limit orders (other than as established in connection with a Rule 10b5-1 plan as described below) since you might become aware of material non-public information after establishing an order. This could lead to inadvertent trading while in possession of material non-public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Blackout Periods - For Directors, Executive Officers and Certain Other Personnel with Access to Material Nonpublic Information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time that the Company is seeking a target for its initial business combination, the Company will not institute blackout periods in connection with the Company’s announcement of quarterly financial results.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Nevertheless, the Company may from time to time establish blackout periods, during which the following persons and their Related Parties are </w:t>
      </w:r>
      <w:r>
        <w:rPr>
          <w:rFonts w:ascii="Times New Roman" w:cs="Times New Roman" w:eastAsia="Times New Roman" w:hAnsi="Times New Roman"/>
          <w:sz w:val="18"/>
          <w:szCs w:val="18"/>
          <w:b w:val="1"/>
          <w:bCs w:val="1"/>
          <w:u w:val="single" w:color="auto"/>
          <w:color w:val="auto"/>
        </w:rPr>
        <w:t>prohibited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effecting transactions in securities of the Company (except as otherwise expressly provided below):</w:t>
      </w:r>
    </w:p>
    <w:p>
      <w:pPr>
        <w:spacing w:after="0" w:line="162" w:lineRule="exact"/>
        <w:rPr>
          <w:sz w:val="20"/>
          <w:szCs w:val="20"/>
          <w:color w:val="auto"/>
        </w:rPr>
      </w:pPr>
    </w:p>
    <w:p>
      <w:pPr>
        <w:ind w:left="180" w:hanging="172"/>
        <w:spacing w:after="0"/>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their secretaries and other assistants;</w:t>
      </w:r>
    </w:p>
    <w:p>
      <w:pPr>
        <w:spacing w:after="0" w:line="2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and their secretaries and other assistants; and</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 the accounting, finance and legal departments; and</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designated by the General Counsel or his or her designee.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be aware that the blackout periods described above may be imposed, modified or terminated by the Company at any time. Those subject to blackout period requirements will receive notice of any prohibition on trading prior to the start of such blackout period. Persons subject to the blackout period restrictions who terminate their employment with the Company during a blackout period will remain subject to the restrictions until the end of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1" w:name="page152"/>
    <w:bookmarkEnd w:id="15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prohibition described in this Policy shall not apply to gifts of Company securities and contributions of Company securities to a trust so long as the requirements of this Policy below are complied with. We do, however, recommend that gifts and contributions be made, whenever possible, outside of a blackout period. The prohibition shall also not apply with respect to a public offering of Company securities specifically authorized by the Company’s board of directors or duly authorized board committee. In addition, the General Counsel or his or her designee may, on a case-by- case basis, authorize effecting a transaction in Company securities during a blackout period if the person who wishes to effect such a transaction (i) has, at least two business days prior to the anticipated transaction date, notified the Company in writing of the circumstances and the amount and nature of the proposed transaction and (ii) has certified to the Company that he or she is not in possession of material nonpublic information concerning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Pre-Clearance of Securities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provide assistance in preventing inadvertent violations of the law (which could result for example, from failure by directors and officers subject to reporting obligations under Section 16 of the Exchange Act) and avoiding even the appearance of an improper transaction (which could result, for example, where an officer engages in a trade while unaware of a pending major development), we are implementing the following procedure: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All transactions in securities of the Company by the following persons and their Related Parties must be pre-cleared with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Counsel or his or her designee:</w:t>
      </w:r>
    </w:p>
    <w:p>
      <w:pPr>
        <w:spacing w:after="0" w:line="203" w:lineRule="exact"/>
        <w:rPr>
          <w:sz w:val="20"/>
          <w:szCs w:val="20"/>
          <w:color w:val="auto"/>
        </w:rPr>
      </w:pPr>
    </w:p>
    <w:p>
      <w:pPr>
        <w:ind w:left="180" w:hanging="172"/>
        <w:spacing w:after="0"/>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 and their secretaries and other assistants;</w:t>
      </w:r>
    </w:p>
    <w:p>
      <w:pPr>
        <w:spacing w:after="0" w:line="225" w:lineRule="exact"/>
        <w:rPr>
          <w:rFonts w:ascii="Times New Roman" w:cs="Times New Roman" w:eastAsia="Times New Roman" w:hAnsi="Times New Roman"/>
          <w:sz w:val="18"/>
          <w:szCs w:val="18"/>
          <w:color w:val="auto"/>
        </w:rPr>
      </w:pPr>
    </w:p>
    <w:p>
      <w:pPr>
        <w:ind w:left="180" w:hanging="172"/>
        <w:spacing w:after="0" w:line="286"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officers, any other officer who has an obligation to file reports under Section 16 of the Exchange Act, and their secretaries and other assistants;</w:t>
      </w:r>
    </w:p>
    <w:p>
      <w:pPr>
        <w:spacing w:after="0" w:line="15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 in the accounting, finance and legal departments; and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any other person designated by the General Counsel or his or her designee.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Persons subject to these restrictions should contact the General Counsel or his or her designee </w:t>
      </w:r>
      <w:r>
        <w:rPr>
          <w:rFonts w:ascii="Times New Roman" w:cs="Times New Roman" w:eastAsia="Times New Roman" w:hAnsi="Times New Roman"/>
          <w:sz w:val="18"/>
          <w:szCs w:val="18"/>
          <w:b w:val="1"/>
          <w:bCs w:val="1"/>
          <w:u w:val="single" w:color="auto"/>
          <w:color w:val="auto"/>
        </w:rPr>
        <w:t>at least two business days (or such shorter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period as the General Counsel or his or her designee may determine) in advance</w:t>
      </w:r>
      <w:r>
        <w:rPr>
          <w:rFonts w:ascii="Times New Roman" w:cs="Times New Roman" w:eastAsia="Times New Roman" w:hAnsi="Times New Roman"/>
          <w:sz w:val="18"/>
          <w:szCs w:val="18"/>
          <w:b w:val="1"/>
          <w:bCs w:val="1"/>
          <w:color w:val="auto"/>
        </w:rPr>
        <w:t xml:space="preserve"> and may not effect any transaction subject to the pre-clearance request unless given clearance to do so, which clearance, if granted, will be valid only for three business days following the approval date. If a transaction for which clearance has been granted is not effected (i.e., the trade is not placed) within such three business day period, the transaction must again be pre-cleared.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a material event or development affecting the Company remains nonpublic, persons subject to pre-clearance will not be given permission to effect transactions in securities of the Company. Such persons may not be informed of the reason why they may not trade. Any person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that the pre-clearance procedures may delay the disposition of any security after it is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auto"/>
        </w:rPr>
        <w:t>10b5-1 Plans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 has adopted a safe harbor rule, Rule 10b5-1, which provides a defense against insider trading liability for trades that are effected pursuant to a pre- arranged trading plan that meets specified conditions. The trading plan must be properly documented and all of the procedural conditions of the Rule must be satisfied to avoid liability.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Rule 10b5-1 plans allow transactions for the account of an insider to occur during blackout periods or while the insider has material nonpublic information provided the insider has previously given instructions or other control to effect pre-planned transactions in securities of the Company to a third party. The insider must establish the plan at a time when he or she is not in possession of material nonpublic information and the insider may not exercise any subsequent influence over how, when or whether to effect transactions. In addition to other specified conditions, a Rule 10b5-1 plan would specify in writing in advance the amount and price of the securities to be sold and the date for the sale (or a formula for determining the amount, price and date) or would otherwise not permit the insider to exercise any subsequent influence over how, when or whether to effect the sales. After adopting a valid Rule 10b5-1 plan, the insider will have an affirmative defense that a sale under the plan was not made “on the basis of” material nonpublic information.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treat the creation, modification or termination of a pre- planned trading program or arrangement established to meet the requirements of Rule 10b5-1 as a transaction subject to the blackout period rules set forth in this Policy.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Transactions effected pursuant to a properly established Rule 10b5-1 plan however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 subject to the blackout periods under this Policy.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treat the creation, modification or termination of a pre- planned trading program or arrangement established to meet the requirements of Rule 10b5-1 as a transaction subject to pre-clearance under this Policy at the time the plan is established, modified or terminated. Persons subject to the pre-clearance policy should coordinate any such plans or arrangements with the Company’s General Counsel or his or her designee. Even though each transaction effected under a Rule 10b5-1 plan does not need to be pre-cleared, it nonetheless must be made in accordance with Rule 144 and must be reported on a Form 4 under Section 16 of the Exchange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Assistance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person who has any questions about this Policy or about specific transactions may contact the Company’s General Counsel or his or her designee.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Remember, however, that the ultimate responsibility for adhering to this Policy and avoiding improper transactions rests with you. In this regard, it is imperative that you use your best judgment and to ask before acting if you are unsure.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Confirmation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Please sign the attached confirmation page, indicating that you have received, have read and understand this policy, and return the signed confirmation page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Corporate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3" w:name="page154"/>
    <w:bookmarkEnd w:id="153"/>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CONFIRMATION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signed by all employees, directors, officers, agents and contractors of NeuroRx]</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HEREBY ACKNOWLEDGE THAT I HAVE RECEIVED, HAVE READ AND UNDERSTAND THE FOREGOING SECURITIES TRADING POLICY OF NRX PHARMACEUTICALS, INC.</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17145</wp:posOffset>
            </wp:positionV>
            <wp:extent cx="4286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8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17145</wp:posOffset>
            </wp:positionV>
            <wp:extent cx="4286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85">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17145</wp:posOffset>
            </wp:positionV>
            <wp:extent cx="4286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6">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Return signed confirmation to: [****]@nrxpharma.com</w:t>
      </w:r>
    </w:p>
    <w:p>
      <w:pPr>
        <w:sectPr>
          <w:pgSz w:w="11900" w:h="16838" w:orient="portrait"/>
          <w:cols w:equalWidth="0" w:num="1">
            <w:col w:w="11240"/>
          </w:cols>
          <w:pgMar w:left="320" w:top="57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S-3 (File No. 333-288205) and the Registration Statement on Form S-8 (File No. 333-258262) of our report dated March 23, 2026, relating to the consolidated financial statements of NRx Pharmaceuticals, Inc. for the year ended December 31, 2025 (which report includes an explanatory paragraph relating to substantial doubt about NRx Pharmaceuticals, Inc.’s ability to continue as a going concern) appearing in this Annual Report on Form 10-K for the year ended December 31, 2025.</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Weinberg &amp; Company 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ectPr>
          <w:pgSz w:w="11900" w:h="16838" w:orient="portrait"/>
          <w:cols w:equalWidth="0" w:num="1">
            <w:col w:w="11240"/>
          </w:cols>
          <w:pgMar w:left="320" w:top="11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(File No. 333-288205) and Form S-8 (File No. 333-258262) of our report dated March 14, 2025 on the consolidated financial statements of NRX Pharmaceuticals, Inc. as of December 31, 2024 and for the year then ended, which report is included in the Annual Report on Form 10-K of NRX Pharmaceuticals, Inc.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Salberg &amp; Company, P.A.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SALBERG &amp; COMPANY,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ectPr>
          <w:pgSz w:w="11900" w:h="16838" w:orient="portrait"/>
          <w:cols w:equalWidth="0" w:num="1">
            <w:col w:w="11240"/>
          </w:cols>
          <w:pgMar w:left="320" w:top="11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Javitt, Chief Executive Officer of NRx Pharmaceuticals, Inc., certify that:</w:t>
      </w:r>
    </w:p>
    <w:p>
      <w:pPr>
        <w:spacing w:after="0" w:line="225"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NRx Pharmaceuticals, Inc. (the “Registrant”);</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Javitt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Javitt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ACTING CHIEF FINANCIAL OFFICER PURSUANT TO RULE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Abrams, Chief Financial Officer of NRx Pharmaceuticals, Inc., certify that:</w:t>
      </w:r>
    </w:p>
    <w:p>
      <w:pPr>
        <w:spacing w:after="0" w:line="225"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NRx Pharmaceuticals, Inc. (the “Registrant”);</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Abrams</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Abrams</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11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for the period ended December 31, 2025 (the “Report”) by NRx Pharmaceuticals, Inc. (the “Registrant”), I, Jonathan Javitt, as Chief Executive Officer of the Registrant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Javitt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Javitt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ACTING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for the period ended December 31, 2025 (the “Report”) by NRx Pharmaceuticals, Inc. (the “Registrant”), I, Michael Abrams, as Chief Financial Officer of the Registrant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Abrams</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Abrams</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lvl w:ilvl="1">
      <w:lvlJc w:val="left"/>
      <w:lvlText w:val="☒"/>
      <w:numFmt w:val="bullet"/>
      <w:start w:val="1"/>
    </w:lvl>
  </w:abstractNum>
  <w:abstractNum w:abstractNumId="1">
    <w:nsid w:val="3DC240FB"/>
    <w:multiLevelType w:val="hybridMultilevel"/>
    <w:lvl w:ilvl="0">
      <w:lvlJc w:val="left"/>
      <w:lvlText w:val="%1."/>
      <w:numFmt w:val="decimal"/>
      <w:start w:val="1"/>
    </w:lvl>
  </w:abstractNum>
  <w:abstractNum w:abstractNumId="2">
    <w:nsid w:val="1BA026FA"/>
    <w:multiLevelType w:val="hybridMultilevel"/>
    <w:lvl w:ilvl="0">
      <w:lvlJc w:val="left"/>
      <w:lvlText w:val="%1)"/>
      <w:numFmt w:val="decimal"/>
      <w:start w:val="3"/>
    </w:lvl>
  </w:abstractNum>
  <w:abstractNum w:abstractNumId="3">
    <w:nsid w:val="79A1DEAA"/>
    <w:multiLevelType w:val="hybridMultilevel"/>
    <w:lvl w:ilvl="0">
      <w:lvlJc w:val="left"/>
      <w:lvlText w:val="&amp;"/>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1"/>
      <w:numFmt w:val="bullet"/>
      <w:start w:val="1"/>
    </w:lvl>
  </w:abstractNum>
  <w:abstractNum w:abstractNumId="6">
    <w:nsid w:val="70C6A529"/>
    <w:multiLevelType w:val="hybridMultilevel"/>
    <w:lvl w:ilvl="0">
      <w:lvlJc w:val="left"/>
      <w:lvlText w:val="2"/>
      <w:numFmt w:val="bullet"/>
      <w:start w:val="1"/>
    </w:lvl>
  </w:abstractNum>
  <w:abstractNum w:abstractNumId="7">
    <w:nsid w:val="520EEDD1"/>
    <w:multiLevelType w:val="hybridMultilevel"/>
    <w:lvl w:ilvl="0">
      <w:lvlJc w:val="left"/>
      <w:lvlText w:val="3"/>
      <w:numFmt w:val="bullet"/>
      <w:start w:val="1"/>
    </w:lvl>
  </w:abstractNum>
  <w:abstractNum w:abstractNumId="8">
    <w:nsid w:val="374A3FE6"/>
    <w:multiLevelType w:val="hybridMultilevel"/>
    <w:lvl w:ilvl="0">
      <w:lvlJc w:val="left"/>
      <w:lvlText w:val="%1."/>
      <w:numFmt w:val="upperLetter"/>
      <w:start w:val="9"/>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1."/>
      <w:numFmt w:val="decimal"/>
      <w:start w:val="101"/>
    </w:lvl>
  </w:abstractNum>
  <w:abstractNum w:abstractNumId="24">
    <w:nsid w:val="61574095"/>
    <w:multiLevelType w:val="hybridMultilevel"/>
    <w:lvl w:ilvl="0">
      <w:lvlJc w:val="left"/>
      <w:lvlText w:val="(%1)"/>
      <w:numFmt w:val="lowerRoman"/>
      <w:start w:val="2"/>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1"/>
      <w:numFmt w:val="upperLetter"/>
      <w:start w:val="6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1)"/>
      <w:numFmt w:val="lowerRoman"/>
      <w:start w:val="3"/>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amp;"/>
      <w:numFmt w:val="bullet"/>
      <w:start w:val="1"/>
    </w:lvl>
  </w:abstractNum>
  <w:abstractNum w:abstractNumId="58">
    <w:nsid w:val="1A32234B"/>
    <w:multiLevelType w:val="hybridMultilevel"/>
    <w:lvl w:ilvl="0">
      <w:lvlJc w:val="left"/>
      <w:lvlText w:val="%1."/>
      <w:numFmt w:val="decimal"/>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1)"/>
      <w:numFmt w:val="decimal"/>
      <w:start w:val="4"/>
    </w:lvl>
  </w:abstractNum>
  <w:abstractNum w:abstractNumId="65">
    <w:nsid w:val="7FFFCA11"/>
    <w:multiLevelType w:val="hybridMultilevel"/>
    <w:lvl w:ilvl="0">
      <w:lvlJc w:val="left"/>
      <w:lvlText w:val="(%1)"/>
      <w:numFmt w:val="decimal"/>
      <w:start w:val="2"/>
    </w:lvl>
  </w:abstractNum>
  <w:abstractNum w:abstractNumId="66">
    <w:nsid w:val="1A27709E"/>
    <w:multiLevelType w:val="hybridMultilevel"/>
    <w:lvl w:ilvl="0">
      <w:lvlJc w:val="left"/>
      <w:lvlText w:val="(%1)"/>
      <w:numFmt w:val="decimal"/>
      <w:start w:val="1"/>
    </w:lvl>
  </w:abstractNum>
  <w:abstractNum w:abstractNumId="67">
    <w:nsid w:val="71EA1109"/>
    <w:multiLevelType w:val="hybridMultilevel"/>
    <w:lvl w:ilvl="0">
      <w:lvlJc w:val="left"/>
      <w:lvlText w:val="(%1)"/>
      <w:numFmt w:val="decimal"/>
      <w:start w:val="8"/>
    </w:lvl>
  </w:abstractNum>
  <w:abstractNum w:abstractNumId="68">
    <w:nsid w:val="100F59DC"/>
    <w:multiLevelType w:val="hybridMultilevel"/>
    <w:lvl w:ilvl="0">
      <w:lvlJc w:val="left"/>
      <w:lvlText w:val="(%1)"/>
      <w:numFmt w:val="decimal"/>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decimal"/>
      <w:start w:val="1"/>
    </w:lvl>
    <w:lvl w:ilvl="1">
      <w:lvlJc w:val="left"/>
      <w:lvlText w:val="(%2)"/>
      <w:numFmt w:val="lowerLetter"/>
      <w:start w:val="1"/>
    </w:lvl>
  </w:abstractNum>
  <w:abstractNum w:abstractNumId="71">
    <w:nsid w:val="6F6DD9A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72">
    <w:nsid w:val="94211F2"/>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73">
    <w:nsid w:val="885E1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4">
    <w:nsid w:val="7627211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5">
    <w:nsid w:val="4C04A8AF"/>
    <w:multiLevelType w:val="hybridMultilevel"/>
    <w:lvl w:ilvl="0">
      <w:lvlJc w:val="left"/>
      <w:lvlText w:val="%1"/>
      <w:numFmt w:val="lowerLetter"/>
      <w:start w:val="1"/>
    </w:lvl>
    <w:lvl w:ilvl="1">
      <w:lvlJc w:val="left"/>
      <w:lvlText w:val="(%2)"/>
      <w:numFmt w:val="lowerRoman"/>
      <w:start w:val="4"/>
    </w:lvl>
  </w:abstractNum>
  <w:abstractNum w:abstractNumId="76">
    <w:nsid w:val="1716703B"/>
    <w:multiLevelType w:val="hybridMultilevel"/>
    <w:lvl w:ilvl="0">
      <w:lvlJc w:val="left"/>
      <w:lvlText w:val="(%1)"/>
      <w:numFmt w:val="lowerLetter"/>
      <w:start w:val="3"/>
    </w:lvl>
    <w:lvl w:ilvl="1">
      <w:lvlJc w:val="left"/>
      <w:lvlText w:val="(%2)"/>
      <w:numFmt w:val="lowerRoman"/>
      <w:start w:val="1"/>
    </w:lvl>
  </w:abstractNum>
  <w:abstractNum w:abstractNumId="77">
    <w:nsid w:val="14E17E3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5"/>
    </w:lvl>
  </w:abstractNum>
  <w:abstractNum w:abstractNumId="78">
    <w:nsid w:val="3222E7CD"/>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79">
    <w:nsid w:val="74DE0EE3"/>
    <w:multiLevelType w:val="hybridMultilevel"/>
    <w:lvl w:ilvl="0">
      <w:lvlJc w:val="left"/>
      <w:lvlText w:val="(%1)"/>
      <w:numFmt w:val="lowerLetter"/>
      <w:start w:val="1"/>
    </w:lvl>
  </w:abstractNum>
  <w:abstractNum w:abstractNumId="80">
    <w:nsid w:val="68EBC550"/>
    <w:multiLevelType w:val="hybridMultilevel"/>
    <w:lvl w:ilvl="0">
      <w:lvlJc w:val="left"/>
      <w:lvlText w:val="(%1)"/>
      <w:numFmt w:val="lowerLetter"/>
      <w:start w:val="2"/>
    </w:lvl>
  </w:abstractNum>
  <w:abstractNum w:abstractNumId="81">
    <w:nsid w:val="2DF6D648"/>
    <w:multiLevelType w:val="hybridMultilevel"/>
    <w:lvl w:ilvl="0">
      <w:lvlJc w:val="left"/>
      <w:lvlText w:val="%1."/>
      <w:numFmt w:val="decimal"/>
      <w:start w:val="9"/>
    </w:lvl>
  </w:abstractNum>
  <w:abstractNum w:abstractNumId="82">
    <w:nsid w:val="46B7D447"/>
    <w:multiLevelType w:val="hybridMultilevel"/>
    <w:lvl w:ilvl="0">
      <w:lvlJc w:val="left"/>
      <w:lvlText w:val="(%1)"/>
      <w:numFmt w:val="lowerLetter"/>
      <w:start w:val="1"/>
    </w:lvl>
    <w:lvl w:ilvl="1">
      <w:lvlJc w:val="left"/>
      <w:lvlText w:val="(%2)"/>
      <w:numFmt w:val="lowerRoman"/>
      <w:start w:val="1"/>
    </w:lvl>
  </w:abstractNum>
  <w:abstractNum w:abstractNumId="83">
    <w:nsid w:val="4A2AC315"/>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84">
    <w:nsid w:val="39EE015C"/>
    <w:multiLevelType w:val="hybridMultilevel"/>
    <w:lvl w:ilvl="0">
      <w:lvlJc w:val="left"/>
      <w:lvlText w:val="%1."/>
      <w:numFmt w:val="decimal"/>
      <w:start w:val="10"/>
    </w:lvl>
  </w:abstractNum>
  <w:abstractNum w:abstractNumId="85">
    <w:nsid w:val="57FC4FBB"/>
    <w:multiLevelType w:val="hybridMultilevel"/>
    <w:lvl w:ilvl="0">
      <w:lvlJc w:val="left"/>
      <w:lvlText w:val="%1."/>
      <w:numFmt w:val="decimal"/>
      <w:start w:val="14"/>
    </w:lvl>
  </w:abstractNum>
  <w:abstractNum w:abstractNumId="86">
    <w:nsid w:val="CC1016F"/>
    <w:multiLevelType w:val="hybridMultilevel"/>
    <w:lvl w:ilvl="0">
      <w:lvlJc w:val="left"/>
      <w:lvlText w:val="%1."/>
      <w:numFmt w:val="lowerLetter"/>
      <w:start w:val="1"/>
    </w:lvl>
  </w:abstractNum>
  <w:abstractNum w:abstractNumId="87">
    <w:nsid w:val="43F18422"/>
    <w:multiLevelType w:val="hybridMultilevel"/>
    <w:lvl w:ilvl="0">
      <w:lvlJc w:val="left"/>
      <w:lvlText w:val="(%1)"/>
      <w:numFmt w:val="lowerLetter"/>
      <w:start w:val="3"/>
    </w:lvl>
  </w:abstractNum>
  <w:abstractNum w:abstractNumId="88">
    <w:nsid w:val="60EF0119"/>
    <w:multiLevelType w:val="hybridMultilevel"/>
    <w:lvl w:ilvl="0">
      <w:lvlJc w:val="left"/>
      <w:lvlText w:val="(%1)"/>
      <w:numFmt w:val="lowerLetter"/>
      <w:start w:val="4"/>
    </w:lvl>
  </w:abstractNum>
  <w:abstractNum w:abstractNumId="89">
    <w:nsid w:val="26F324BA"/>
    <w:multiLevelType w:val="hybridMultilevel"/>
    <w:lvl w:ilvl="0">
      <w:lvlJc w:val="left"/>
      <w:lvlText w:val="%1."/>
      <w:numFmt w:val="decimal"/>
      <w:start w:val="16"/>
    </w:lvl>
  </w:abstractNum>
  <w:abstractNum w:abstractNumId="90">
    <w:nsid w:val="7F01579B"/>
    <w:multiLevelType w:val="hybridMultilevel"/>
    <w:lvl w:ilvl="0">
      <w:lvlJc w:val="left"/>
      <w:lvlText w:val="%1."/>
      <w:numFmt w:val="decimal"/>
      <w:start w:val="23"/>
    </w:lvl>
  </w:abstractNum>
  <w:abstractNum w:abstractNumId="91">
    <w:nsid w:val="49DA307D"/>
    <w:multiLevelType w:val="hybridMultilevel"/>
    <w:lvl w:ilvl="0">
      <w:lvlJc w:val="left"/>
      <w:lvlText w:val="●"/>
      <w:numFmt w:val="bullet"/>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90" Type="http://schemas.openxmlformats.org/officeDocument/2006/relationships/image" Target="media/image144.png"/><Relationship Id="rId226" Type="http://schemas.openxmlformats.org/officeDocument/2006/relationships/image" Target="media/image145.png"/><Relationship Id="rId249" Type="http://schemas.openxmlformats.org/officeDocument/2006/relationships/image" Target="media/image146.png"/><Relationship Id="rId250" Type="http://schemas.openxmlformats.org/officeDocument/2006/relationships/image" Target="media/image147.png"/><Relationship Id="rId251" Type="http://schemas.openxmlformats.org/officeDocument/2006/relationships/image" Target="media/image148.png"/><Relationship Id="rId253" Type="http://schemas.openxmlformats.org/officeDocument/2006/relationships/image" Target="media/image149.png"/><Relationship Id="rId254" Type="http://schemas.openxmlformats.org/officeDocument/2006/relationships/image" Target="media/image150.png"/><Relationship Id="rId255" Type="http://schemas.openxmlformats.org/officeDocument/2006/relationships/image" Target="media/image151.jpeg"/><Relationship Id="rId256" Type="http://schemas.openxmlformats.org/officeDocument/2006/relationships/image" Target="media/image152.png"/><Relationship Id="rId257" Type="http://schemas.openxmlformats.org/officeDocument/2006/relationships/image" Target="media/image153.jpeg"/><Relationship Id="rId258" Type="http://schemas.openxmlformats.org/officeDocument/2006/relationships/image" Target="media/image154.png"/><Relationship Id="rId259" Type="http://schemas.openxmlformats.org/officeDocument/2006/relationships/image" Target="media/image155.jpeg"/><Relationship Id="rId260" Type="http://schemas.openxmlformats.org/officeDocument/2006/relationships/image" Target="media/image156.png"/><Relationship Id="rId261" Type="http://schemas.openxmlformats.org/officeDocument/2006/relationships/image" Target="media/image157.jpeg"/><Relationship Id="rId262" Type="http://schemas.openxmlformats.org/officeDocument/2006/relationships/image" Target="media/image158.png"/><Relationship Id="rId263" Type="http://schemas.openxmlformats.org/officeDocument/2006/relationships/image" Target="media/image159.jpeg"/><Relationship Id="rId264" Type="http://schemas.openxmlformats.org/officeDocument/2006/relationships/image" Target="media/image160.png"/><Relationship Id="rId265" Type="http://schemas.openxmlformats.org/officeDocument/2006/relationships/image" Target="media/image161.jpeg"/><Relationship Id="rId266" Type="http://schemas.openxmlformats.org/officeDocument/2006/relationships/image" Target="media/image162.png"/><Relationship Id="rId267" Type="http://schemas.openxmlformats.org/officeDocument/2006/relationships/image" Target="media/image163.jpeg"/><Relationship Id="rId268" Type="http://schemas.openxmlformats.org/officeDocument/2006/relationships/image" Target="media/image164.png"/><Relationship Id="rId269" Type="http://schemas.openxmlformats.org/officeDocument/2006/relationships/image" Target="media/image165.jpeg"/><Relationship Id="rId270" Type="http://schemas.openxmlformats.org/officeDocument/2006/relationships/image" Target="media/image166.png"/><Relationship Id="rId271" Type="http://schemas.openxmlformats.org/officeDocument/2006/relationships/image" Target="media/image167.jpeg"/><Relationship Id="rId272" Type="http://schemas.openxmlformats.org/officeDocument/2006/relationships/image" Target="media/image168.png"/><Relationship Id="rId273" Type="http://schemas.openxmlformats.org/officeDocument/2006/relationships/image" Target="media/image169.jpeg"/><Relationship Id="rId274" Type="http://schemas.openxmlformats.org/officeDocument/2006/relationships/image" Target="media/image170.png"/><Relationship Id="rId275" Type="http://schemas.openxmlformats.org/officeDocument/2006/relationships/image" Target="media/image171.jpeg"/><Relationship Id="rId276" Type="http://schemas.openxmlformats.org/officeDocument/2006/relationships/image" Target="media/image172.png"/><Relationship Id="rId277" Type="http://schemas.openxmlformats.org/officeDocument/2006/relationships/image" Target="media/image173.jpeg"/><Relationship Id="rId278" Type="http://schemas.openxmlformats.org/officeDocument/2006/relationships/image" Target="media/image174.png"/><Relationship Id="rId279" Type="http://schemas.openxmlformats.org/officeDocument/2006/relationships/image" Target="media/image175.png"/><Relationship Id="rId280" Type="http://schemas.openxmlformats.org/officeDocument/2006/relationships/image" Target="media/image176.png"/><Relationship Id="rId281" Type="http://schemas.openxmlformats.org/officeDocument/2006/relationships/image" Target="media/image177.png"/><Relationship Id="rId282" Type="http://schemas.openxmlformats.org/officeDocument/2006/relationships/image" Target="media/image178.png"/><Relationship Id="rId283" Type="http://schemas.openxmlformats.org/officeDocument/2006/relationships/image" Target="media/image179.png"/><Relationship Id="rId284" Type="http://schemas.openxmlformats.org/officeDocument/2006/relationships/image" Target="media/image180.png"/><Relationship Id="rId285" Type="http://schemas.openxmlformats.org/officeDocument/2006/relationships/image" Target="media/image181.png"/><Relationship Id="rId286" Type="http://schemas.openxmlformats.org/officeDocument/2006/relationships/image" Target="media/image182.png"/><Relationship Id="rId151" Type="http://schemas.openxmlformats.org/officeDocument/2006/relationships/hyperlink" Target="http://www.sec.gov/Archives/edgar/data/1719406/000110465923091494/tm2323641d2_ex1-1.htm" TargetMode="External"/><Relationship Id="rId152" Type="http://schemas.openxmlformats.org/officeDocument/2006/relationships/hyperlink" Target="http://www.sec.gov/Archives/edgar/data/1719406/000110465924028788/tm247473d1_ex1-1.htm" TargetMode="External"/><Relationship Id="rId153" Type="http://schemas.openxmlformats.org/officeDocument/2006/relationships/hyperlink" Target="http://www.sec.gov/Archives/edgar/data/1719406/000119312521177240/d57577dex31.htm" TargetMode="External"/><Relationship Id="rId154" Type="http://schemas.openxmlformats.org/officeDocument/2006/relationships/hyperlink" Target="http://www.sec.gov/Archives/edgar/data/1719406/000119312521177240/d57577dex32.htm" TargetMode="External"/><Relationship Id="rId155" Type="http://schemas.openxmlformats.org/officeDocument/2006/relationships/hyperlink" Target="http://www.sec.gov/Archives/edgar/data/1719406/000110465923097804/tm2317653d12_ex3-1.htm" TargetMode="External"/><Relationship Id="rId156" Type="http://schemas.openxmlformats.org/officeDocument/2006/relationships/hyperlink" Target="http://www.sec.gov/Archives/edgar/data/1719406/000165495417011010/brpa_ex4-2.htm" TargetMode="External"/><Relationship Id="rId157" Type="http://schemas.openxmlformats.org/officeDocument/2006/relationships/hyperlink" Target="http://www.sec.gov/Archives/edgar/data/1719406/000165495417011010/brpa_ex4-3.htm" TargetMode="External"/><Relationship Id="rId158" Type="http://schemas.openxmlformats.org/officeDocument/2006/relationships/hyperlink" Target="http://www.sec.gov/Archives/edgar/data/1719406/000110465923032019/tm239495d1_ex4-1.htm" TargetMode="External"/><Relationship Id="rId159" Type="http://schemas.openxmlformats.org/officeDocument/2006/relationships/hyperlink" Target="http://www.sec.gov/Archives/edgar/data/1719406/000110465923068973/tm2317653d6_ex4-1.htm" TargetMode="External"/><Relationship Id="rId160" Type="http://schemas.openxmlformats.org/officeDocument/2006/relationships/hyperlink" Target="http://www.sec.gov/Archives/edgar/data/1719406/000110465923068973/tm2317653d6_ex4-2.htm" TargetMode="External"/><Relationship Id="rId161" Type="http://schemas.openxmlformats.org/officeDocument/2006/relationships/hyperlink" Target="http://www.sec.gov/Archives/edgar/data/1719406/000110465923097804/tm2317653d12_ex4-1.htm" TargetMode="External"/><Relationship Id="rId162" Type="http://schemas.openxmlformats.org/officeDocument/2006/relationships/hyperlink" Target="http://www.sec.gov/Archives/edgar/data/1719406/000110465924028788/tm247473d1_ex4-1.htm" TargetMode="External"/><Relationship Id="rId163" Type="http://schemas.openxmlformats.org/officeDocument/2006/relationships/hyperlink" Target="http://www.sec.gov/Archives/edgar/data/1719406/000155837024004396/nrxp-20231231xex4d8.htm" TargetMode="External"/><Relationship Id="rId164" Type="http://schemas.openxmlformats.org/officeDocument/2006/relationships/hyperlink" Target="http://www.sec.gov/Archives/edgar/data/1719406/000155837024004396/nrxp-20231231xex4d9.htm" TargetMode="External"/><Relationship Id="rId165" Type="http://schemas.openxmlformats.org/officeDocument/2006/relationships/hyperlink" Target="http://www.sec.gov/Archives/edgar/data/1719406/000143774924026888/ex_713629.htm" TargetMode="External"/><Relationship Id="rId166" Type="http://schemas.openxmlformats.org/officeDocument/2006/relationships/hyperlink" Target="http://www.sec.gov/Archives/edgar/data/1719406/000143774924026888/ex_713630.htm" TargetMode="External"/><Relationship Id="rId167" Type="http://schemas.openxmlformats.org/officeDocument/2006/relationships/hyperlink" Target="http://www.sec.gov/Archives/edgar/data/1719406/000143774925002160/ex_771257.htm" TargetMode="External"/><Relationship Id="rId168" Type="http://schemas.openxmlformats.org/officeDocument/2006/relationships/hyperlink" Target="http://www.sec.gov/Archives/edgar/data/1719406/000143774925002160/ex_771258.htm" TargetMode="External"/><Relationship Id="rId169" Type="http://schemas.openxmlformats.org/officeDocument/2006/relationships/hyperlink" Target="http://www.sec.gov/Archives/edgar/data/1719406/000095014221002728/eh210179827_ex1001.htm" TargetMode="External"/><Relationship Id="rId170" Type="http://schemas.openxmlformats.org/officeDocument/2006/relationships/hyperlink" Target="http://www.sec.gov/Archives/edgar/data/1719406/000095014221002728/eh210179827_ex1002.htm" TargetMode="External"/><Relationship Id="rId171" Type="http://schemas.openxmlformats.org/officeDocument/2006/relationships/hyperlink" Target="http://www.sec.gov/Archives/edgar/data/1719406/000095014221002728/eh210179827_ex1003.htm" TargetMode="External"/><Relationship Id="rId172" Type="http://schemas.openxmlformats.org/officeDocument/2006/relationships/hyperlink" Target="http://www.sec.gov/Archives/edgar/data/1719406/000095014221002728/eh210179827_ex1004.htm" TargetMode="External"/><Relationship Id="rId173" Type="http://schemas.openxmlformats.org/officeDocument/2006/relationships/hyperlink" Target="http://www.sec.gov/Archives/edgar/data/1719406/000165495417011010/brpa_ex10-2.htm" TargetMode="External"/><Relationship Id="rId174" Type="http://schemas.openxmlformats.org/officeDocument/2006/relationships/hyperlink" Target="http://www.sec.gov/Archives/edgar/data/1719406/000165495417011010/brpa_ex10-3.htm" TargetMode="External"/><Relationship Id="rId175" Type="http://schemas.openxmlformats.org/officeDocument/2006/relationships/hyperlink" Target="http://www.sec.gov/Archives/edgar/data/1719406/000165495418013053/brpa_ex101.htm" TargetMode="External"/><Relationship Id="rId176" Type="http://schemas.openxmlformats.org/officeDocument/2006/relationships/hyperlink" Target="http://www.sec.gov/Archives/edgar/data/1719406/000165495418013053/brpa_ex102.htm" TargetMode="External"/><Relationship Id="rId177" Type="http://schemas.openxmlformats.org/officeDocument/2006/relationships/hyperlink" Target="http://www.sec.gov/Archives/edgar/data/1719406/000165495418013053/brpa_ex103.htm" TargetMode="External"/><Relationship Id="rId178" Type="http://schemas.openxmlformats.org/officeDocument/2006/relationships/hyperlink" Target="http://www.sec.gov/Archives/edgar/data/1719406/000119312521177240/d57577dex106.htm" TargetMode="External"/><Relationship Id="rId179" Type="http://schemas.openxmlformats.org/officeDocument/2006/relationships/hyperlink" Target="http://www.sec.gov/Archives/edgar/data/1719406/000119312521177240/d57577dex107.htm" TargetMode="External"/><Relationship Id="rId180" Type="http://schemas.openxmlformats.org/officeDocument/2006/relationships/hyperlink" Target="http://www.sec.gov/Archives/edgar/data/1719406/000119312521177240/d57577dex108.htm" TargetMode="External"/><Relationship Id="rId181" Type="http://schemas.openxmlformats.org/officeDocument/2006/relationships/hyperlink" Target="http://www.sec.gov/Archives/edgar/data/1719406/000119312521177240/d57577dex109.htm" TargetMode="External"/><Relationship Id="rId182" Type="http://schemas.openxmlformats.org/officeDocument/2006/relationships/hyperlink" Target="http://www.sec.gov/Archives/edgar/data/1719406/000119312521168481/d56937ds4a.htm#rom56937_103" TargetMode="External"/><Relationship Id="rId183" Type="http://schemas.openxmlformats.org/officeDocument/2006/relationships/hyperlink" Target="http://www.sec.gov/Archives/edgar/data/1719406/000165495421002748/brpa_ex101.htm" TargetMode="External"/><Relationship Id="rId184" Type="http://schemas.openxmlformats.org/officeDocument/2006/relationships/hyperlink" Target="http://www.sec.gov/Archives/edgar/data/1719406/000119312521118931/d56937dex1024.htm" TargetMode="External"/><Relationship Id="rId185" Type="http://schemas.openxmlformats.org/officeDocument/2006/relationships/hyperlink" Target="http://www.sec.gov/Archives/edgar/data/1719406/000119312521118931/d56937dex1025.htm" TargetMode="External"/><Relationship Id="rId186" Type="http://schemas.openxmlformats.org/officeDocument/2006/relationships/hyperlink" Target="http://www.sec.gov/Archives/edgar/data/1719406/000119312521118931/d56937dex1026.htm" TargetMode="External"/><Relationship Id="rId187" Type="http://schemas.openxmlformats.org/officeDocument/2006/relationships/hyperlink" Target="http://www.sec.gov/Archives/edgar/data/1719406/000119312521118931/d56937dex1027.htm" TargetMode="External"/><Relationship Id="rId188" Type="http://schemas.openxmlformats.org/officeDocument/2006/relationships/hyperlink" Target="http://www.sec.gov/Archives/edgar/data/1719406/000119312521118931/d56937dex1028.htm" TargetMode="External"/><Relationship Id="rId189" Type="http://schemas.openxmlformats.org/officeDocument/2006/relationships/hyperlink" Target="http://www.sec.gov/Archives/edgar/data/1719406/000119312521118931/d56937dex1029.htm" TargetMode="External"/><Relationship Id="rId191" Type="http://schemas.openxmlformats.org/officeDocument/2006/relationships/hyperlink" Target="http://www.sec.gov/Archives/edgar/data/1719406/000119312521118931/d56937dex1030.htm" TargetMode="External"/><Relationship Id="rId192" Type="http://schemas.openxmlformats.org/officeDocument/2006/relationships/hyperlink" Target="http://www.sec.gov/Archives/edgar/data/1719406/000119312521118931/d56937dex1031.htm" TargetMode="External"/><Relationship Id="rId193" Type="http://schemas.openxmlformats.org/officeDocument/2006/relationships/hyperlink" Target="http://www.sec.gov/Archives/edgar/data/1719406/000119312521118931/d56937dex1032.htm" TargetMode="External"/><Relationship Id="rId194" Type="http://schemas.openxmlformats.org/officeDocument/2006/relationships/hyperlink" Target="http://www.sec.gov/Archives/edgar/data/1719406/000119312521118931/d56937dex1033.htm" TargetMode="External"/><Relationship Id="rId195" Type="http://schemas.openxmlformats.org/officeDocument/2006/relationships/hyperlink" Target="http://www.sec.gov/Archives/edgar/data/1719406/000119312521118931/d56937dex1035.htm" TargetMode="External"/><Relationship Id="rId196" Type="http://schemas.openxmlformats.org/officeDocument/2006/relationships/hyperlink" Target="http://www.sec.gov/Archives/edgar/data/1719406/000119312521118931/d56937dex1037.htm" TargetMode="External"/><Relationship Id="rId197" Type="http://schemas.openxmlformats.org/officeDocument/2006/relationships/hyperlink" Target="http://www.sec.gov/Archives/edgar/data/1719406/000119312521118931/d56937dex1038.htm" TargetMode="External"/><Relationship Id="rId198" Type="http://schemas.openxmlformats.org/officeDocument/2006/relationships/hyperlink" Target="http://www.sec.gov/Archives/edgar/data/1719406/000119312521118931/d56937dex1039.htm" TargetMode="External"/><Relationship Id="rId199" Type="http://schemas.openxmlformats.org/officeDocument/2006/relationships/hyperlink" Target="http://www.sec.gov/Archives/edgar/data/1719406/000119312521118931/d56937dex1040.htm" TargetMode="External"/><Relationship Id="rId200" Type="http://schemas.openxmlformats.org/officeDocument/2006/relationships/hyperlink" Target="http://www.sec.gov/Archives/edgar/data/1719406/000119312521118931/d56937dex1041.htm" TargetMode="External"/><Relationship Id="rId201" Type="http://schemas.openxmlformats.org/officeDocument/2006/relationships/hyperlink" Target="http://www.sec.gov/Archives/edgar/data/1719406/000119312521118931/d56937dex1042.htm" TargetMode="External"/><Relationship Id="rId202" Type="http://schemas.openxmlformats.org/officeDocument/2006/relationships/hyperlink" Target="http://www.sec.gov/Archives/edgar/data/1719406/000119312521118931/d56937dex1043.htm" TargetMode="External"/><Relationship Id="rId203" Type="http://schemas.openxmlformats.org/officeDocument/2006/relationships/hyperlink" Target="http://www.sec.gov/Archives/edgar/data/1719406/000119312521157866/d56937dex1044.htm" TargetMode="External"/><Relationship Id="rId204" Type="http://schemas.openxmlformats.org/officeDocument/2006/relationships/hyperlink" Target="http://www.sec.gov/Archives/edgar/data/1719406/000119312521177240/d57577dex1034.htm" TargetMode="External"/><Relationship Id="rId205" Type="http://schemas.openxmlformats.org/officeDocument/2006/relationships/hyperlink" Target="http://www.sec.gov/Archives/edgar/data/1719406/000155837021015962/nrxp-20210930xex10d1.htm" TargetMode="External"/><Relationship Id="rId206" Type="http://schemas.openxmlformats.org/officeDocument/2006/relationships/hyperlink" Target="http://www.sec.gov/Archives/edgar/data/1719406/000155837022000738/nrxp-20220202xex10d1.htm" TargetMode="External"/><Relationship Id="rId207" Type="http://schemas.openxmlformats.org/officeDocument/2006/relationships/hyperlink" Target="http://www.sec.gov/Archives/edgar/data/1719406/000155837022000738/nrxp-20220202xex10d2.htm" TargetMode="External"/><Relationship Id="rId208" Type="http://schemas.openxmlformats.org/officeDocument/2006/relationships/hyperlink" Target="http://www.sec.gov/Archives/edgar/data/1719406/000155837022000738/nrxp-20220202xex10d3.htm" TargetMode="External"/><Relationship Id="rId209" Type="http://schemas.openxmlformats.org/officeDocument/2006/relationships/hyperlink" Target="http://www.sec.gov/Archives/edgar/data/1719406/000155837022000738/nrxp-20220202xex10d4.htm" TargetMode="External"/><Relationship Id="rId210" Type="http://schemas.openxmlformats.org/officeDocument/2006/relationships/hyperlink" Target="http://www.sec.gov/Archives/edgar/data/1719406/000095014222000983/eh220233089_ex1001.htm" TargetMode="External"/><Relationship Id="rId211" Type="http://schemas.openxmlformats.org/officeDocument/2006/relationships/hyperlink" Target="http://www.sec.gov/Archives/edgar/data/1719406/000155837022013673/nrxp-20220630xex10d1.htm" TargetMode="External"/><Relationship Id="rId212" Type="http://schemas.openxmlformats.org/officeDocument/2006/relationships/hyperlink" Target="http://www.sec.gov/Archives/edgar/data/1719406/000110465922116578/tm2230161d1_ex10-1.htm" TargetMode="External"/><Relationship Id="rId213" Type="http://schemas.openxmlformats.org/officeDocument/2006/relationships/hyperlink" Target="http://www.sec.gov/Archives/edgar/data/1719406/000110465922116578/tm2230161d1_ex10-2.htm" TargetMode="External"/><Relationship Id="rId214" Type="http://schemas.openxmlformats.org/officeDocument/2006/relationships/hyperlink" Target="http://www.sec.gov/Archives/edgar/data/1719406/000110465922116578/tm2230161d1_ex10-3.htm" TargetMode="External"/><Relationship Id="rId215" Type="http://schemas.openxmlformats.org/officeDocument/2006/relationships/hyperlink" Target="http://www.sec.gov/Archives/edgar/data/1719406/000110465923054557/tm2314196d1_ex10-54.htm" TargetMode="External"/><Relationship Id="rId216" Type="http://schemas.openxmlformats.org/officeDocument/2006/relationships/hyperlink" Target="http://www.sec.gov/Archives/edgar/data/1719406/000110465923054557/tm2314196d1_ex10-55.htm" TargetMode="External"/><Relationship Id="rId217" Type="http://schemas.openxmlformats.org/officeDocument/2006/relationships/hyperlink" Target="http://www.sec.gov/Archives/edgar/data/1719406/000110465923032019/tm239495d1_ex10-1.htm" TargetMode="External"/><Relationship Id="rId218" Type="http://schemas.openxmlformats.org/officeDocument/2006/relationships/hyperlink" Target="http://www.sec.gov/Archives/edgar/data/1719406/000155837022004899/nrxp-20211231xex10d46.htm" TargetMode="External"/><Relationship Id="rId219" Type="http://schemas.openxmlformats.org/officeDocument/2006/relationships/hyperlink" Target="http://www.sec.gov/Archives/edgar/data/1719406/000155837024004396/nrxp-20231231xex10d55.htm" TargetMode="External"/><Relationship Id="rId220" Type="http://schemas.openxmlformats.org/officeDocument/2006/relationships/hyperlink" Target="http://www.sec.gov/Archives/edgar/data/1719406/000110465923067850/tm2317653d4_ex10-1.htm" TargetMode="External"/><Relationship Id="rId221" Type="http://schemas.openxmlformats.org/officeDocument/2006/relationships/hyperlink" Target="http://www.sec.gov/Archives/edgar/data/1719406/000110465923068973/tm2317653d6_ex10-1.htm" TargetMode="External"/><Relationship Id="rId222" Type="http://schemas.openxmlformats.org/officeDocument/2006/relationships/hyperlink" Target="http://www.sec.gov/Archives/edgar/data/1719406/000110465923068973/tm2317653d6_ex10-2.htm" TargetMode="External"/><Relationship Id="rId223" Type="http://schemas.openxmlformats.org/officeDocument/2006/relationships/hyperlink" Target="http://www.sec.gov/Archives/edgar/data/1719406/000155837023014873/nrxp-20230630xex10d1.htm" TargetMode="External"/><Relationship Id="rId224" Type="http://schemas.openxmlformats.org/officeDocument/2006/relationships/hyperlink" Target="http://www.sec.gov/Archives/edgar/data/1719406/000155837024004396/nrxp-20231231xex10d60.htm" TargetMode="External"/><Relationship Id="rId225" Type="http://schemas.openxmlformats.org/officeDocument/2006/relationships/hyperlink" Target="http://www.sec.gov/Archives/edgar/data/1719406/000110465923097804/tm2317653d12_ex10-1.htm" TargetMode="External"/><Relationship Id="rId227" Type="http://schemas.openxmlformats.org/officeDocument/2006/relationships/hyperlink" Target="http://www.sec.gov/Archives/edgar/data/1719406/000110465923100780/tm2317653d13_ex10-1.htm" TargetMode="External"/><Relationship Id="rId228" Type="http://schemas.openxmlformats.org/officeDocument/2006/relationships/hyperlink" Target="http://www.sec.gov/Archives/edgar/data/1719406/000110465923130482/tm2333890d1_ex10-1.htm" TargetMode="External"/><Relationship Id="rId229" Type="http://schemas.openxmlformats.org/officeDocument/2006/relationships/hyperlink" Target="http://www.sec.gov/Archives/edgar/data/1719406/000155837024004396/nrxp-20231231xex10d64.htm" TargetMode="External"/><Relationship Id="rId230" Type="http://schemas.openxmlformats.org/officeDocument/2006/relationships/hyperlink" Target="http://www.sec.gov/Archives/edgar/data/1719406/000110465924023806/tm246184d2_ex10-1.htm" TargetMode="External"/><Relationship Id="rId231" Type="http://schemas.openxmlformats.org/officeDocument/2006/relationships/hyperlink" Target="http://www.sec.gov/Archives/edgar/data/1719406/000155837024004396/nrxp-20231231xex10d66.htm" TargetMode="External"/><Relationship Id="rId232" Type="http://schemas.openxmlformats.org/officeDocument/2006/relationships/hyperlink" Target="http://www.sec.gov/Archives/edgar/data/1719406/000143774924026888/ex_713631.htm" TargetMode="External"/><Relationship Id="rId233" Type="http://schemas.openxmlformats.org/officeDocument/2006/relationships/hyperlink" Target="http://www.sec.gov/Archives/edgar/data/1719406/000143774924026888/ex_713632.htm" TargetMode="External"/><Relationship Id="rId234" Type="http://schemas.openxmlformats.org/officeDocument/2006/relationships/hyperlink" Target="http://www.sec.gov/Archives/edgar/data/1719406/000143774924026888/ex_713633.htm" TargetMode="External"/><Relationship Id="rId235" Type="http://schemas.openxmlformats.org/officeDocument/2006/relationships/hyperlink" Target="http://www.sec.gov/Archives/edgar/data/1719406/000143774924026888/ex_713634.htm" TargetMode="External"/><Relationship Id="rId236" Type="http://schemas.openxmlformats.org/officeDocument/2006/relationships/hyperlink" Target="http://www.sec.gov/Archives/edgar/data/1719406/000143774924026888/ex_713635.htm" TargetMode="External"/><Relationship Id="rId237" Type="http://schemas.openxmlformats.org/officeDocument/2006/relationships/hyperlink" Target="http://www.sec.gov/Archives/edgar/data/1719406/000143774924026888/ex_714090.htm" TargetMode="External"/><Relationship Id="rId238" Type="http://schemas.openxmlformats.org/officeDocument/2006/relationships/hyperlink" Target="http://www.sec.gov/Archives/edgar/data/1719406/000143774924035806/ex_750345.htm" TargetMode="External"/><Relationship Id="rId239" Type="http://schemas.openxmlformats.org/officeDocument/2006/relationships/hyperlink" Target="http://www.sec.gov/Archives/edgar/data/1719406/000143774925000801/ex_764005.htm" TargetMode="External"/><Relationship Id="rId240" Type="http://schemas.openxmlformats.org/officeDocument/2006/relationships/hyperlink" Target="http://www.sec.gov/Archives/edgar/data/1719406/000143774925002160/ex_771259.htm" TargetMode="External"/><Relationship Id="rId241" Type="http://schemas.openxmlformats.org/officeDocument/2006/relationships/hyperlink" Target="http://www.sec.gov/Archives/edgar/data/1719406/000143774925002160/ex_771260.htm" TargetMode="External"/><Relationship Id="rId242" Type="http://schemas.openxmlformats.org/officeDocument/2006/relationships/hyperlink" Target="http://www.sec.gov/Archives/edgar/data/1719406/000143774925002610/ex_773641.htm" TargetMode="External"/><Relationship Id="rId243" Type="http://schemas.openxmlformats.org/officeDocument/2006/relationships/hyperlink" Target="http://www.sec.gov/Archives/edgar/data/1719406/000143774925002610/ex_773940.htm" TargetMode="External"/><Relationship Id="rId244" Type="http://schemas.openxmlformats.org/officeDocument/2006/relationships/hyperlink" Target="http://www.sec.gov/Archives/edgar/data/1719406/000143774925027256/ex_854271.htm" TargetMode="External"/><Relationship Id="rId245" Type="http://schemas.openxmlformats.org/officeDocument/2006/relationships/hyperlink" Target="http://www.sec.gov/Archives/edgar/data/1719406/000143774925027256/ex_854272.htm" TargetMode="External"/><Relationship Id="rId246" Type="http://schemas.openxmlformats.org/officeDocument/2006/relationships/hyperlink" Target="http://www.sec.gov/Archives/edgar/data/1719406/000143774925017252/ex_818322.htm" TargetMode="External"/><Relationship Id="rId247" Type="http://schemas.openxmlformats.org/officeDocument/2006/relationships/hyperlink" Target="http://www.sec.gov/Archives/edgar/data/1719406/000110465924054115/tm2412573d1_ex14-1.htm" TargetMode="External"/><Relationship Id="rId248" Type="http://schemas.openxmlformats.org/officeDocument/2006/relationships/hyperlink" Target="http://www.sec.gov/Archives/edgar/data/1719406/000110465923120777/tm2331382d1_ex16-1.htm" TargetMode="External"/><Relationship Id="rId252" Type="http://schemas.openxmlformats.org/officeDocument/2006/relationships/hyperlink" Target="http://www.sec.gov/Archives/edgar/data/1719406/000155837024004396/nrxp-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2026-03-23T15:41:37Z</dcterms:created>
  <dcterms:modified xsi:type="dcterms:W3CDTF">2026-03-23T15:41:37Z</dcterms:modified>
</cp:coreProperties>
</file>