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001-38302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BIG ROCK PARTNERS ACQUISITION CORP.</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460" w:type="dxa"/>
            <w:vAlign w:val="bottom"/>
          </w:tcPr>
          <w:p>
            <w:pPr>
              <w:jc w:val="center"/>
              <w:ind w:right="1659"/>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201"/>
              <w:spacing w:after="0"/>
              <w:rPr>
                <w:sz w:val="20"/>
                <w:szCs w:val="20"/>
                <w:color w:val="auto"/>
              </w:rPr>
            </w:pPr>
            <w:r>
              <w:rPr>
                <w:rFonts w:ascii="Arial" w:cs="Arial" w:eastAsia="Arial" w:hAnsi="Arial"/>
                <w:sz w:val="18"/>
                <w:szCs w:val="18"/>
                <w:b w:val="1"/>
                <w:bCs w:val="1"/>
                <w:color w:val="auto"/>
              </w:rPr>
              <w:t>82-2844431</w:t>
            </w:r>
          </w:p>
        </w:tc>
      </w:tr>
      <w:tr>
        <w:trPr>
          <w:trHeight w:val="148"/>
        </w:trPr>
        <w:tc>
          <w:tcPr>
            <w:tcW w:w="4460" w:type="dxa"/>
            <w:vAlign w:val="bottom"/>
          </w:tcPr>
          <w:p>
            <w:pPr>
              <w:jc w:val="center"/>
              <w:ind w:right="16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6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60" w:type="dxa"/>
            <w:vAlign w:val="bottom"/>
          </w:tcPr>
          <w:p>
            <w:pPr>
              <w:jc w:val="center"/>
              <w:ind w:right="1659"/>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661"/>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4460" w:type="dxa"/>
            <w:vAlign w:val="bottom"/>
          </w:tcPr>
          <w:p>
            <w:pPr>
              <w:jc w:val="center"/>
              <w:ind w:right="1659"/>
              <w:spacing w:after="0"/>
              <w:rPr>
                <w:sz w:val="20"/>
                <w:szCs w:val="20"/>
                <w:color w:val="auto"/>
              </w:rPr>
            </w:pPr>
            <w:r>
              <w:rPr>
                <w:rFonts w:ascii="Arial" w:cs="Arial" w:eastAsia="Arial" w:hAnsi="Arial"/>
                <w:sz w:val="18"/>
                <w:szCs w:val="18"/>
                <w:b w:val="1"/>
                <w:bCs w:val="1"/>
                <w:color w:val="auto"/>
                <w:w w:val="90"/>
              </w:rPr>
              <w:t>2645 N. Federal Highway, Suite 230</w:t>
            </w:r>
          </w:p>
        </w:tc>
        <w:tc>
          <w:tcPr>
            <w:tcW w:w="3180" w:type="dxa"/>
            <w:vAlign w:val="bottom"/>
          </w:tcPr>
          <w:p>
            <w:pPr>
              <w:spacing w:after="0"/>
              <w:rPr>
                <w:sz w:val="24"/>
                <w:szCs w:val="24"/>
                <w:color w:val="auto"/>
              </w:rPr>
            </w:pPr>
          </w:p>
        </w:tc>
      </w:tr>
      <w:tr>
        <w:trPr>
          <w:trHeight w:val="225"/>
        </w:trPr>
        <w:tc>
          <w:tcPr>
            <w:tcW w:w="4460" w:type="dxa"/>
            <w:vAlign w:val="bottom"/>
          </w:tcPr>
          <w:p>
            <w:pPr>
              <w:jc w:val="center"/>
              <w:ind w:right="1659"/>
              <w:spacing w:after="0"/>
              <w:rPr>
                <w:sz w:val="20"/>
                <w:szCs w:val="20"/>
                <w:color w:val="auto"/>
              </w:rPr>
            </w:pPr>
            <w:r>
              <w:rPr>
                <w:rFonts w:ascii="Arial" w:cs="Arial" w:eastAsia="Arial" w:hAnsi="Arial"/>
                <w:sz w:val="18"/>
                <w:szCs w:val="18"/>
                <w:b w:val="1"/>
                <w:bCs w:val="1"/>
                <w:color w:val="auto"/>
                <w:w w:val="93"/>
              </w:rPr>
              <w:t>Delray Beach, FL</w:t>
            </w:r>
          </w:p>
        </w:tc>
        <w:tc>
          <w:tcPr>
            <w:tcW w:w="3180" w:type="dxa"/>
            <w:vAlign w:val="bottom"/>
          </w:tcPr>
          <w:p>
            <w:pPr>
              <w:jc w:val="right"/>
              <w:ind w:right="421"/>
              <w:spacing w:after="0"/>
              <w:rPr>
                <w:sz w:val="20"/>
                <w:szCs w:val="20"/>
                <w:color w:val="auto"/>
              </w:rPr>
            </w:pPr>
            <w:r>
              <w:rPr>
                <w:rFonts w:ascii="Arial" w:cs="Arial" w:eastAsia="Arial" w:hAnsi="Arial"/>
                <w:sz w:val="18"/>
                <w:szCs w:val="18"/>
                <w:b w:val="1"/>
                <w:bCs w:val="1"/>
                <w:color w:val="auto"/>
              </w:rPr>
              <w:t>33483</w:t>
            </w:r>
          </w:p>
        </w:tc>
      </w:tr>
      <w:tr>
        <w:trPr>
          <w:trHeight w:val="186"/>
        </w:trPr>
        <w:tc>
          <w:tcPr>
            <w:tcW w:w="4460" w:type="dxa"/>
            <w:vAlign w:val="bottom"/>
          </w:tcPr>
          <w:p>
            <w:pPr>
              <w:jc w:val="center"/>
              <w:ind w:right="16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80" w:type="dxa"/>
            <w:vAlign w:val="bottom"/>
          </w:tcPr>
          <w:p>
            <w:pPr>
              <w:jc w:val="center"/>
              <w:ind w:left="16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(310) 734-2300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share of Common</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BRPAU</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Stock, one Right and one-half of one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BRPA</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Rights, exchangeable into one-tenth of one share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BRPAR</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of Common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each whole warrant exercisable for one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BRPAW</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7"/>
              </w:rPr>
              <w:t>$11.50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4"/>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196" w:lineRule="exact"/>
        <w:tabs>
          <w:tab w:leader="none" w:pos="88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As of May 17, 2021, there were 2,688,242 shares of the Company’s common stock, par value $0.001,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0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7"/>
          </w:tcPr>
          <w:p>
            <w:pPr>
              <w:ind w:left="18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22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FINANCIAL INFORMATION</w:t>
              </w:r>
            </w:hyperlink>
          </w:p>
        </w:tc>
        <w:tc>
          <w:tcPr>
            <w:tcW w:w="66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21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FINANCIAL STATEMENTS</w:t>
              </w:r>
            </w:hyperlink>
          </w:p>
        </w:tc>
        <w:tc>
          <w:tcPr>
            <w:tcW w:w="676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62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Stockholders’ Equity</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1520" w:type="dxa"/>
            <w:vAlign w:val="bottom"/>
            <w:tcBorders>
              <w:top w:val="single" w:sz="8" w:color="0000EE"/>
            </w:tcBorders>
            <w:gridSpan w:val="2"/>
          </w:tcPr>
          <w:p>
            <w:pPr>
              <w:spacing w:after="0"/>
              <w:rPr>
                <w:sz w:val="24"/>
                <w:szCs w:val="24"/>
                <w:color w:val="auto"/>
              </w:rPr>
            </w:pPr>
          </w:p>
        </w:tc>
        <w:tc>
          <w:tcPr>
            <w:tcW w:w="332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56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8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6100" w:type="dxa"/>
            <w:vAlign w:val="bottom"/>
            <w:tcBorders>
              <w:top w:val="single" w:sz="8" w:color="0000EE"/>
            </w:tcBorders>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27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OTHER INFORMATION</w:t>
              </w:r>
            </w:hyperlink>
          </w:p>
        </w:tc>
        <w:tc>
          <w:tcPr>
            <w:tcW w:w="700" w:type="dxa"/>
            <w:vAlign w:val="bottom"/>
            <w:tcBorders>
              <w:top w:val="single" w:sz="8" w:color="0000EE"/>
            </w:tcBorders>
            <w:gridSpan w:val="4"/>
          </w:tcPr>
          <w:p>
            <w:pPr>
              <w:spacing w:after="0"/>
              <w:rPr>
                <w:sz w:val="24"/>
                <w:szCs w:val="24"/>
                <w:color w:val="auto"/>
              </w:rPr>
            </w:pPr>
          </w:p>
        </w:tc>
        <w:tc>
          <w:tcPr>
            <w:tcW w:w="632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LEGAL PROCEEDINGS</w:t>
              </w:r>
            </w:hyperlink>
          </w:p>
        </w:tc>
        <w:tc>
          <w:tcPr>
            <w:tcW w:w="704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12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RISK FACTORS</w:t>
              </w:r>
            </w:hyperlink>
          </w:p>
        </w:tc>
        <w:tc>
          <w:tcPr>
            <w:tcW w:w="766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04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UNREGISTERED SALES OF EQUITY SECURITIES AND USE OF PROCEEDS</w:t>
              </w:r>
            </w:hyperlink>
          </w:p>
        </w:tc>
        <w:tc>
          <w:tcPr>
            <w:tcW w:w="284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3140" w:type="dxa"/>
            <w:vAlign w:val="bottom"/>
            <w:tcBorders>
              <w:top w:val="single" w:sz="8" w:color="0000EE"/>
            </w:tcBorders>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574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OTHER INFORMATION</w:t>
              </w:r>
            </w:hyperlink>
          </w:p>
        </w:tc>
        <w:tc>
          <w:tcPr>
            <w:tcW w:w="540" w:type="dxa"/>
            <w:vAlign w:val="bottom"/>
            <w:tcBorders>
              <w:top w:val="single" w:sz="8" w:color="0000EE"/>
            </w:tcBorders>
            <w:gridSpan w:val="3"/>
          </w:tcPr>
          <w:p>
            <w:pPr>
              <w:spacing w:after="0"/>
              <w:rPr>
                <w:sz w:val="24"/>
                <w:szCs w:val="24"/>
                <w:color w:val="auto"/>
              </w:rPr>
            </w:pPr>
          </w:p>
        </w:tc>
        <w:tc>
          <w:tcPr>
            <w:tcW w:w="648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88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10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SIGNATURES</w:t>
              </w:r>
            </w:hyperlink>
          </w:p>
        </w:tc>
        <w:tc>
          <w:tcPr>
            <w:tcW w:w="8880" w:type="dxa"/>
            <w:vAlign w:val="bottom"/>
            <w:gridSpan w:val="1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bl>
    <w:p>
      <w:pPr>
        <w:jc w:val="right"/>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8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March 31,</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9"/>
              </w:rPr>
              <w:t>December 31,</w:t>
            </w:r>
          </w:p>
        </w:tc>
      </w:tr>
      <w:tr>
        <w:trPr>
          <w:trHeight w:val="17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12"/>
              <w:spacing w:after="0" w:line="142" w:lineRule="exact"/>
              <w:rPr>
                <w:sz w:val="20"/>
                <w:szCs w:val="20"/>
                <w:color w:val="auto"/>
              </w:rPr>
            </w:pPr>
            <w:r>
              <w:rPr>
                <w:rFonts w:ascii="Arial" w:cs="Arial" w:eastAsia="Arial" w:hAnsi="Arial"/>
                <w:sz w:val="14"/>
                <w:szCs w:val="14"/>
                <w:color w:val="auto"/>
                <w:w w:val="92"/>
              </w:rPr>
              <w:t>(Unaudited)</w:t>
            </w:r>
          </w:p>
        </w:tc>
        <w:tc>
          <w:tcPr>
            <w:tcW w:w="3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7,850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30,350</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51,642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51,642</w:t>
            </w:r>
          </w:p>
        </w:tc>
      </w:tr>
      <w:tr>
        <w:trPr>
          <w:trHeight w:val="223"/>
        </w:trPr>
        <w:tc>
          <w:tcPr>
            <w:tcW w:w="876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82,458</w:t>
            </w: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5,968,035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5,967,947</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6,027,759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6,050,405</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643,693</w:t>
            </w: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609,509</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885,604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862,148</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Promissory notes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1,965,095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1,809,889</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1,313,324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655,098</w:t>
            </w:r>
          </w:p>
        </w:tc>
      </w:tr>
      <w:tr>
        <w:trPr>
          <w:trHeight w:val="230"/>
        </w:trPr>
        <w:tc>
          <w:tcPr>
            <w:tcW w:w="87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4,807,716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3,936,644</w:t>
            </w:r>
          </w:p>
        </w:tc>
        <w:tc>
          <w:tcPr>
            <w:tcW w:w="12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Common stock, $0.001 par value; 100,000,000 shares authorized; 2,688,242 shares issued and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2,688</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2,831,088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2,831,088</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(1,613,733)</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(720,015)</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1,220,043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2,113,761</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6,027,759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6,050,405</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jc w:val="center"/>
        <w:ind w:left="88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3"/>
              </w:rPr>
              <w:t>(235,580)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0"/>
              </w:rPr>
              <w:t>(119,300)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Forgiveness of debt</w:t>
            </w:r>
          </w:p>
        </w:tc>
        <w:tc>
          <w:tcPr>
            <w:tcW w:w="8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352,071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(658,226)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113,077</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(658,138)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465,148</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(893,718)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(72,628)</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(893,718</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2,688,242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2,844,414</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5940" w:type="dxa"/>
            <w:vAlign w:val="bottom"/>
          </w:tcPr>
          <w:p>
            <w:pPr>
              <w:spacing w:after="0"/>
              <w:rPr>
                <w:sz w:val="16"/>
                <w:szCs w:val="16"/>
                <w:color w:val="auto"/>
              </w:rPr>
            </w:pPr>
          </w:p>
        </w:tc>
        <w:tc>
          <w:tcPr>
            <w:tcW w:w="18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r>
      <w:tr>
        <w:trPr>
          <w:trHeight w:val="142"/>
        </w:trPr>
        <w:tc>
          <w:tcPr>
            <w:tcW w:w="5940" w:type="dxa"/>
            <w:vAlign w:val="bottom"/>
          </w:tcPr>
          <w:p>
            <w:pPr>
              <w:spacing w:after="0"/>
              <w:rPr>
                <w:sz w:val="12"/>
                <w:szCs w:val="12"/>
                <w:color w:val="auto"/>
              </w:rPr>
            </w:pPr>
          </w:p>
        </w:tc>
        <w:tc>
          <w:tcPr>
            <w:tcW w:w="10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9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0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2,688,242</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$2,688</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$2,831,088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(720,015)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$ 2,113,761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(893,718)</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(893,718)</w:t>
            </w:r>
          </w:p>
        </w:tc>
      </w:tr>
      <w:tr>
        <w:trPr>
          <w:trHeight w:val="27"/>
        </w:trPr>
        <w:tc>
          <w:tcPr>
            <w:tcW w:w="5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2,688,242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2,688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2,831,088</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(1,613,733)</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1,220,043</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MARCH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6360" w:type="dxa"/>
            <w:vAlign w:val="bottom"/>
          </w:tcPr>
          <w:p>
            <w:pPr>
              <w:spacing w:after="0"/>
              <w:rPr>
                <w:sz w:val="16"/>
                <w:szCs w:val="16"/>
                <w:color w:val="auto"/>
              </w:rPr>
            </w:pPr>
          </w:p>
        </w:tc>
        <w:tc>
          <w:tcPr>
            <w:tcW w:w="1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r>
      <w:tr>
        <w:trPr>
          <w:trHeight w:val="142"/>
        </w:trPr>
        <w:tc>
          <w:tcPr>
            <w:tcW w:w="636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Capital</w:t>
            </w: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2,844,414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$ 4,627,662</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$369,495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$ 5,000,001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(128,386)</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(1,497,349)</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(1,497,477)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273,220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273,220</w:t>
            </w:r>
          </w:p>
        </w:tc>
      </w:tr>
      <w:tr>
        <w:trPr>
          <w:trHeight w:val="228"/>
        </w:trPr>
        <w:tc>
          <w:tcPr>
            <w:tcW w:w="6360" w:type="dxa"/>
            <w:vAlign w:val="bottom"/>
          </w:tcPr>
          <w:p>
            <w:pPr>
              <w:spacing w:after="0"/>
              <w:rPr>
                <w:sz w:val="20"/>
                <w:szCs w:val="20"/>
                <w:color w:val="auto"/>
              </w:rPr>
            </w:pPr>
            <w:r>
              <w:rPr>
                <w:rFonts w:ascii="Arial" w:cs="Arial" w:eastAsia="Arial" w:hAnsi="Arial"/>
                <w:sz w:val="18"/>
                <w:szCs w:val="18"/>
                <w:b w:val="1"/>
                <w:bCs w:val="1"/>
                <w:color w:val="auto"/>
              </w:rPr>
              <w:t>Balance – March 31, 2020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2,716,028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3,130,313</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642,715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3,775,744</w:t>
            </w:r>
          </w:p>
        </w:tc>
        <w:tc>
          <w:tcPr>
            <w:tcW w:w="120" w:type="dxa"/>
            <w:vAlign w:val="bottom"/>
          </w:tcPr>
          <w:p>
            <w:pPr>
              <w:spacing w:after="0"/>
              <w:rPr>
                <w:sz w:val="19"/>
                <w:szCs w:val="19"/>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4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 income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w w:val="88"/>
              </w:rPr>
              <w:t>(893,718)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273,220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(113,077)</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5"/>
              </w:rPr>
              <w:t>658,226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Forgiveness of debt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(352,071)</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00" w:type="dxa"/>
            <w:vAlign w:val="bottom"/>
          </w:tcPr>
          <w:p>
            <w:pPr>
              <w:ind w:left="720"/>
              <w:spacing w:after="0"/>
              <w:rPr>
                <w:sz w:val="20"/>
                <w:szCs w:val="20"/>
                <w:color w:val="auto"/>
              </w:rPr>
            </w:pPr>
            <w:r>
              <w:rPr>
                <w:rFonts w:ascii="Arial" w:cs="Arial" w:eastAsia="Arial" w:hAnsi="Arial"/>
                <w:sz w:val="18"/>
                <w:szCs w:val="18"/>
                <w:color w:val="auto"/>
              </w:rPr>
              <w:t>Prepaid expenses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8"/>
                <w:szCs w:val="18"/>
                <w:color w:val="auto"/>
              </w:rPr>
              <w:t>22,500</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incomes taxes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69,483</w:t>
            </w:r>
          </w:p>
        </w:tc>
      </w:tr>
      <w:tr>
        <w:trPr>
          <w:trHeight w:val="216"/>
        </w:trPr>
        <w:tc>
          <w:tcPr>
            <w:tcW w:w="74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8"/>
                <w:szCs w:val="18"/>
                <w:color w:val="auto"/>
              </w:rPr>
              <w:t>34,184</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42,866</w:t>
            </w: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3,145</w:t>
            </w:r>
          </w:p>
        </w:tc>
      </w:tr>
      <w:tr>
        <w:trPr>
          <w:trHeight w:val="230"/>
        </w:trPr>
        <w:tc>
          <w:tcPr>
            <w:tcW w:w="7400" w:type="dxa"/>
            <w:vAlign w:val="bottom"/>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(178,896</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(76,434)</w:t>
            </w:r>
          </w:p>
        </w:tc>
        <w:tc>
          <w:tcPr>
            <w:tcW w:w="120" w:type="dxa"/>
            <w:vAlign w:val="bottom"/>
          </w:tcPr>
          <w:p>
            <w:pPr>
              <w:spacing w:after="0"/>
              <w:rPr>
                <w:sz w:val="20"/>
                <w:szCs w:val="20"/>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Cash withdrawn from Trust Account to pay redeeming stockholders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25,997,965</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franchise taxes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120,830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(192,520)</w:t>
            </w:r>
          </w:p>
        </w:tc>
      </w:tr>
      <w:tr>
        <w:trPr>
          <w:trHeight w:val="27"/>
        </w:trPr>
        <w:tc>
          <w:tcPr>
            <w:tcW w:w="7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provided by investing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5"/>
              </w:rPr>
              <w:t>25,926,275</w:t>
            </w:r>
          </w:p>
        </w:tc>
      </w:tr>
      <w:tr>
        <w:trPr>
          <w:trHeight w:val="223"/>
        </w:trPr>
        <w:tc>
          <w:tcPr>
            <w:tcW w:w="74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5"/>
              </w:rPr>
              <w:t>155,206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96,246</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8"/>
                <w:szCs w:val="18"/>
                <w:color w:val="auto"/>
              </w:rPr>
              <w:t>23,456</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132,646</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(25,997,965)</w:t>
            </w:r>
          </w:p>
        </w:tc>
      </w:tr>
      <w:tr>
        <w:trPr>
          <w:trHeight w:val="230"/>
        </w:trPr>
        <w:tc>
          <w:tcPr>
            <w:tcW w:w="7400" w:type="dxa"/>
            <w:vAlign w:val="bottom"/>
          </w:tcPr>
          <w:p>
            <w:pPr>
              <w:ind w:left="10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178,662</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(25,769,073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(234)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80,768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Cash – Beginning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6</w:t>
            </w:r>
          </w:p>
        </w:tc>
      </w:tr>
      <w:tr>
        <w:trPr>
          <w:trHeight w:val="27"/>
        </w:trPr>
        <w:tc>
          <w:tcPr>
            <w:tcW w:w="7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232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80,774</w:t>
            </w:r>
          </w:p>
        </w:tc>
      </w:tr>
      <w:tr>
        <w:trPr>
          <w:trHeight w:val="223"/>
        </w:trPr>
        <w:tc>
          <w:tcPr>
            <w:tcW w:w="74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1,497,477</w:t>
            </w:r>
          </w:p>
        </w:tc>
      </w:tr>
      <w:tr>
        <w:trPr>
          <w:trHeight w:val="20"/>
        </w:trPr>
        <w:tc>
          <w:tcPr>
            <w:tcW w:w="7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The Company is not limited to a particular industry or geographic region for purposes of consummating a Business Combination.</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 has one subsidiary, Big Rock Merger Corp., a wholly-owned subsidiary of the Company incorporated in Delaware on January 22, 2019 (“Merger Sub”).</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All activity through March 31, 2021 relates to the Company’s formation, its initial public offering (“Initial Public Offering”), which is described below, identifying a target company for a Business Combination, and activities in connection with the proposed acquisition of NeuroRx, Inc., a Delaware corporation (“NeuroRx”) (see Note 8).</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20, 2017. On November 22, 2017, the Company consummated the Initial Public Offering of 6,000,000 units (the “Units” and, with respect to the common stock included in the Units being offered, the “Public Shares”), generating gross proceeds of $60,000,000, which is described in Note 3.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Simultaneously with the Initial Public Offering, the Company consummated the sale of 250,000 units (the “Private Placement Units”) at a price of</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$10.00 per Unit in a private placement to Big Rock Partners Sponsor, LLC (the “Sponsor”), generating gross proceeds of $2,500,000, which is described in Note 4.</w:t>
      </w:r>
    </w:p>
    <w:p>
      <w:pPr>
        <w:spacing w:after="0" w:line="18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Following the closing of the Initial Public Offering, $60,000,000 ($10.00 per Unit) from the net proceeds of the sale of the Units in the Initial Public Offering and the Private Placement Units was placed in a trust account (the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7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187"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At the closing of the Initial Public Offering, the Company issued EarlyBirdCapital, Inc. (“EarlyBirdCapital”) and its designees 120,000 shares of common stock (the “Representative Shares”). On November 29, 2017, the Company issued an additional 18,000 Representative Shares for no consideration (see Note 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costs amounted to $2,172,419, consisting of $1,725,000 of underwriting fees and $447,419 of Initial Public Offering costs.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177"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(the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5), Placement Shares (as defined in Note 4) and any Public Shares held by them in favor of approving a Business Combination and (b) 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Company initially had until November 22, 2018 to complete a Business Combination. However, if the Company anticipated that it would not be able to consummate a Business Combination by November 22, 2018, the Company could extend the period of time to consummate a Business Combination up to two times, each by an additional three months.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w:t>
      </w:r>
    </w:p>
    <w:p>
      <w:pPr>
        <w:spacing w:after="0" w:line="17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On November 20, 2018, the period of time for the Company to consummate a Business Combination was extended for an additional three-month period ending on February 22, 2019, and, accordingly, $690,000 was deposited into the Trust Account. On February 21, 2019, the Company further extended the time required to consummate a Business Combination to May 22, 2019 and deposited an additional $690,000 into the Trust Account. The deposits were funded by non-interest bearing unsecured promissory notes from BRAC Lending Group LLC, an affiliate of the underwriter (the “BRAC”) (see Note 6). The notes are repayable upon the consummation of a Business Combination (see Note 6).</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 May 21, 2019, the Company’s stockholders approved an amendment to its Amended and Restated Certificate of Incorporation to extend the period of time for which the Company was required to consummate a Business Combination to August 22, 2019. The number of shares of common stock presented for redemption in connection with the extension was 2,119,772. The Company paid cash in the aggregate amount of $22,099,233, or approximately $10.43 per share, to redeeming stockholders. The Company agreed to deposit, or cause to be deposited on its behalf, into the Trust Account $0.02 for each public share outstanding for each 30-day extension period utilized through August 22, 2019. In connection with this extension, the Company deposited an aggregate of $286,814 into the Trust Account, of which $280,000 was contributed to the Trust Account by a third party and is not required to be repaid by the Company. Accordingly, the Company has recorded this amount as a credit to additional paid in capital in the accompanying statements of stockholders’ equity. In order to pay for part of the third extension payment, the Company issued an unsecured promissory note (the “Second Note”) in favor of BRAC, in the original principal amount of $6,814 (see Note 6).</w:t>
      </w:r>
    </w:p>
    <w:p>
      <w:pPr>
        <w:spacing w:after="0" w:line="18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On August 21, 2019, the Company stockholders approved an amendment to the Company’s Amended and Restated Certificate of Incorporation to extend the period of time for which the Company is required to consummate a Business Combination (the “Extension”) from August 22, 2019 to November 22, 2019. The number of shares of common stock presented for redemption in connection with the Extension was 846,888. The Company paid cash in the aggregate amount of $8,891,378, or approximately $10.50 per share, to redeeming stockholders. The Company agreed to deposit, or cause to be deposited on its behalf, into the Trust Account $0.02 for each public share outstanding for each 30-day extension period utilized through the Extension. In connection with this extension, the Company deposited an aggregate of $236,000 into the Trust Account to fund this extension payment, which amount was loaned to the Company by AZ Property Partners, LLC (“AZ Property Partners”), an entity majority owned and controlled by Richard Ackerman, the Company’s Chairman, President and Chief Executive Officer, and BRAC (see Note 6).</w:t>
      </w:r>
    </w:p>
    <w:p>
      <w:pPr>
        <w:spacing w:after="0" w:line="165"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On November 21, 2019, the Company’s stockholders approved an amendment to the Company’s Amended and Restated Certificate of Incorporation to extend the period of time for which the Company is required to consummate a Business Combination (the “Second Extension”) from November 22, 2019 to March 23, 2020. The number of shares of common stock presented for redemption in connection with the Second Extension was 919,091. The Company paid cash in the aggregate amount of $9,736,077, or approximately $10.59 per share, to redeeming stockholders. The Company agreed to deposit, or cause to be deposited on its behalf, into the Trust Account $0.02 for each public share outstanding for each 30-day extension period utilized through the Second Extension. In connection with this extension, the Company deposited an aggregate of $60,285 into the Trust Account to fund the first thirty-day extension through December 22, 2019, which amount was loaned to the Company by AZ Property Partners and BRAC (see Note 6). In January and February 2020, AZ Property Partners and BRAC loaned the Company an additional aggregate amount of $90,427 each to pay for the extension through March 23, 2020, which was deposited into the Trust Account.</w:t>
      </w:r>
    </w:p>
    <w:p>
      <w:pPr>
        <w:spacing w:after="0" w:line="166"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On March 23, 2020, the Company’s stockholders approved an amendment to the Amended and Restated Certificate of Incorporation to extend the period of time for which the Company is required to consummate a Business Combination (the “Third Extension”) from March 23, 2020 to July 23, 2020. The number of shares of common stock presented for redemption in connection with the Third Extension was 2,433,721. The Company paid cash in the aggregate amount of $25,997,965, or approximately $10.68 per share, to redeeming stockholders. The Company agreed to deposit, or cause to be deposited on its behalf, into the Trust Account $0.02 for each public share outstanding for each 30-day extension period utilized through the Third Extension. Notwithstanding the foregoing, if the volume weighted average price of the Company’s common stock during the 10-day trading period ending on the 3rd day prior to the end of any applicable monthly period was equal to or greater than $11.00 and the trading volume during the 10-day trading period exceeded 100,000 shares, the obligation to make any particular deposit would terminate with respect to the immediately following monthly period (but not with respect to any other future monthly period). In connection with this extension, the Company deposited an aggregate of $34,858 into the Trust Account to fund the extension through July 23, 2020, of which $17,429 was loaned to the Company by each of AZ Property Partners and BRAC.</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On July 23, 2020, the Company’s stockholders approved an amendment to the Amended and Restated Certificate of Incorporation to extend the period of time for which the Company is required to consummate a Business Combination (the “Fourth Extension”) from July 23, 2020 to December 23, 2020. The number of shares of common stock presented for redemption in connection with the Fourth Extension was 27,786. The Company paid cash in amount of $299,253, or approximately $10.77 per share, to redeeming stockholders. The Company agreed to deposit, or cause to be deposited on its behalf, into the Trust Account $0.02 for each public share outstanding for each 30-day extension period utilized through the Fourth Extension. In connection with this extension, as of December 31, 2020, the Company deposited an aggregate of $55,274 into the Trust Account to fund the extension through December 23, 2020, which amounts were loaned to the Company by AZ Property Partners and BRAC. Notwithstanding the foregoing, if the volume weighted average price of the Company’s common stock during the 10-day trading period ending on the 3rd 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w:t>
      </w:r>
    </w:p>
    <w:p>
      <w:pPr>
        <w:spacing w:after="0" w:line="182"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On December 18, 2020, the Company held a special meeting pursuant to which the Company’s stockholders approved an amendment to the Amended and Restated Certificate of Incorporation to extend the period of time for which the Company is required to consummate a Business Combination (the “Fifth Extension”) from December 23, 2020 to April 23, 2021 (the “Extended Date”). In connection with this extension, no stockholders elected to redeem their shares of common stock.</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April 21, 2021, the Company held a special meeting pursuant to which the Company’s stockholders approved an amendment to the Amended and Restated Certificate of Incorporation to extend the period of time for which the Company is required to consummate a Business Combination (the “Sixth Extension”) from April 23, 2021 to May 24, 2021 (the “Extended Date”). The number of shares of common stock presented for redemption in connection with the Fourth Extension was 330. The Company paid cash in amount of $299,253, or approximately $10.77 per share, to redeeming stockholders.</w:t>
      </w:r>
    </w:p>
    <w:p>
      <w:pPr>
        <w:spacing w:after="0" w:line="18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If the Company is unable to complete a Business Combination by the Extended Date,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181"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by the Extended Date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by Extended Date.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order to protect the amounts held in the Trust Account, A/Z Property Partners,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Notifications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January 4, 2021, the Company received a notice from the Staff stating that the Company’s failure to hold an annual stockholder meeting for the fiscal year ended December 31, 2019 by December 31, 2020, as required by Nasdaq Listing Rule 5820, could serve as an additional basis for delisting the Company’s securities from Nasdaq. The Company requested a hearing before the Panel to appeal the Staff’s determination with respect to both notices and the hearing was held on January 14, 2021. The Panel’s decision is subject to certain conditions, including that the Company will have completed its proposed business combination (the “Business Combination”) with NeuroRx on or before the Extended Date and that the combined company will have demonstrated compliance with all requirements for initial listing on Nasdaq. While the Company expects to complete the Business Combination by the Extended Date, the Company cannot assure you that it will be able to do so.</w:t>
      </w:r>
    </w:p>
    <w:p>
      <w:pPr>
        <w:spacing w:after="0" w:line="17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On January 15, 2021, the Company received notice from the Nasdaq that a Nasdaq Hearings Panel (“Panel”) had granted the Company’s request to continue its listing on Nasdaq through May 24, 2021 (“Extended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March 31, 2021, the Company had $232 in its operating bank account, $5,968,035 in cash and marketable securities held in the Trust Account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used for a Business Combination or to repurchase or convert stock in connection therewith and an adjusted working capital deficit of $643,461,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which excludes prepaid income taxes of $59,492, which have been paid from amounts in the Trust Account. As of March 31, 2021,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$120,000 of the amount on deposit in the Trust Account represented interest income, which is available to pay the Company’s tax obligations. To 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has withdrawn $716,788 of interest from the Trust Account in order to pay the Company’s franchise and income taxes, of which no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were withdrawn during the three months ended March 31, 2021.</w:t>
      </w:r>
    </w:p>
    <w:p>
      <w:pPr>
        <w:spacing w:after="0" w:line="21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On November 17, 2018, the Company entered into an agreement (the “Agreement”) with the Sponsor and BRAC,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6). In addition, BRAC agreed to loan the Company all funds necessary to pay expenses incurred in connection with and in order to consummate a business combination (the “Business Combination Expenses”) and such loans will be added to the Initial Notes (as defined in Note 6).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6).</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4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May 24, 2021 (or as may be extended) to consummate a Business Combination. There is no assurance that the Company will be able to do so prior to May 24, 2021, or as may be extended by shareholder vote.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91" w:lineRule="exact"/>
        <w:rPr>
          <w:sz w:val="20"/>
          <w:szCs w:val="20"/>
          <w:color w:val="auto"/>
        </w:rPr>
      </w:pPr>
    </w:p>
    <w:p>
      <w:pPr>
        <w:ind w:left="120" w:right="6140" w:hanging="4"/>
        <w:spacing w:after="0" w:line="378"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left="120" w:right="80"/>
        <w:spacing w:after="0" w:line="254"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as amended on Form 10-K/A for the year ended December 31, 2020 as filed with the SEC on May 14, 2021, which contains the audited financial statements and notes thereto. The interim results for the three months ended March 31, 2021 are not necessarily indicative of the results to be expected for the year ending December 31, 2021 or for any future interim periods.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120" w:right="100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All significant intercompany balances and transactions have been eliminated in consolidation.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Marketable Securities Held in Trust Account</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At March 31, 2021 and December 31, 2020, the assets held in the Trust Account were held in money market funds, which are invested in U.S. Treasury securities. Through March 31, 2021, the Company has withdrawn $716,788 of interest from the Trust Account in order to pay its franchise and income taxes, of which no amounts were withdrawn during the three months ended March 31, 2021.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 Liability</w:t>
      </w:r>
    </w:p>
    <w:p>
      <w:pPr>
        <w:spacing w:after="0" w:line="12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Placement Warrants was estimated using a Black Scholes valuation approach (see Note 10).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March 31, 2021 and December 31, 2020, there were no unrecognized tax benefits and no amounts accrued for interest and penalties. The Company is currently not aware of any issues under review that could result in significant payments, accruals or material deviation from its</w:t>
      </w:r>
    </w:p>
    <w:p>
      <w:pPr>
        <w:spacing w:after="0" w:line="2" w:lineRule="exact"/>
        <w:rPr>
          <w:sz w:val="20"/>
          <w:szCs w:val="20"/>
          <w:color w:val="auto"/>
        </w:rPr>
      </w:pPr>
    </w:p>
    <w:p>
      <w:pPr>
        <w:ind w:left="120" w:right="720"/>
        <w:spacing w:after="0" w:line="260" w:lineRule="auto"/>
        <w:rPr>
          <w:sz w:val="20"/>
          <w:szCs w:val="20"/>
          <w:color w:val="auto"/>
        </w:rPr>
      </w:pPr>
      <w:r>
        <w:rPr>
          <w:rFonts w:ascii="Arial" w:cs="Arial" w:eastAsia="Arial" w:hAnsi="Arial"/>
          <w:sz w:val="18"/>
          <w:szCs w:val="18"/>
          <w:color w:val="auto"/>
        </w:rPr>
        <w:t>position. The effective tax rate differs from the statutory tax rate of 25% for the three months ended March 31, 2021 and 2020 primarily due to permanent differences.</w:t>
      </w:r>
    </w:p>
    <w:p>
      <w:pPr>
        <w:spacing w:after="0" w:line="18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(Loss) Income Per Common Share</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Net income (loss) per share is computed by dividing net income by the weighted-average number of shares of common stock outstanding during the period.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income per share, since the exercise of the warrants are contingent upon the occurrence of future events and the inclusion of such warrants would be anti-dilutive.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applies ASC 820, Fair Value Measurement (“ASC 820”), which establishes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7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valuation hierarchy is composed of three levels. The classification within the valuation hierarchy is based on the lowest level of input that is significant to the fair value measurement. The levels within the valuation hierarchy are described below:</w:t>
      </w:r>
    </w:p>
    <w:p>
      <w:pPr>
        <w:spacing w:after="0" w:line="6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62"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Level 3—Inputs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sheets, primarily due to their short-term nature.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10 for additional information on assets and liabilities measured at fair value.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2020-06, Debt — Debt with Conversion and Other Options (Subtopic 470-20) and Derivatives and Hedging — Contracts in Entity’s Own Equity (Subtopic 815-40) (“ASU</w:t>
      </w:r>
    </w:p>
    <w:p>
      <w:pPr>
        <w:ind w:left="120" w:right="60"/>
        <w:spacing w:after="0" w:line="269" w:lineRule="auto"/>
        <w:rPr>
          <w:sz w:val="20"/>
          <w:szCs w:val="20"/>
          <w:color w:val="auto"/>
        </w:rPr>
      </w:pPr>
      <w:r>
        <w:rPr>
          <w:rFonts w:ascii="Arial" w:cs="Arial" w:eastAsia="Arial" w:hAnsi="Arial"/>
          <w:sz w:val="17"/>
          <w:szCs w:val="17"/>
          <w:color w:val="auto"/>
        </w:rPr>
        <w:t>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on January 1, 2021.The adoption of ASU 2020-06 did not have an impact on the Company’s financial statements.</w:t>
      </w:r>
    </w:p>
    <w:p>
      <w:pPr>
        <w:spacing w:after="0" w:line="18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INITIAL PUBLIC OFFERING</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 Public Warrant. Each Public Right will convert into one-tenth (1/10) of one share of common stock upon consummation of a Business Combination (see Note 8). Each whole Public Warrant entitles the holder to purchase one share of common stock at an exercise price of $11.50 per whole share (see Note 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PRIVATE PLACEMENT</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16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right="7820" w:hanging="4"/>
        <w:spacing w:after="0" w:line="378"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Founder Shares</w:t>
      </w:r>
    </w:p>
    <w:p>
      <w:pPr>
        <w:ind w:left="120"/>
        <w:spacing w:after="0" w:line="293" w:lineRule="auto"/>
        <w:rPr>
          <w:sz w:val="20"/>
          <w:szCs w:val="20"/>
          <w:color w:val="auto"/>
        </w:rPr>
      </w:pPr>
      <w:r>
        <w:rPr>
          <w:rFonts w:ascii="Arial" w:cs="Arial" w:eastAsia="Arial" w:hAnsi="Arial"/>
          <w:sz w:val="16"/>
          <w:szCs w:val="16"/>
          <w:color w:val="auto"/>
        </w:rPr>
        <w:t>In September 2017, the Company issued an aggregate of 1,437,500 shares of common stock to the Sponsor (the “Founder Shares”) for an aggregate purchase price of $25,000. On November 20, 2017, the Company effectuated a 1.2-for-1 stock dividend of its common stock resulting in an aggregate of 1,725,000 Founder Shares outstanding. The Founder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(excluding the Private Placement Units and the Representative Shares (as defined in Note 8)). As a result of the underwriters’ election to fully exercise their over-allotment option, 225,000 Founder Shares are no longer subject to forfeiture.</w:t>
      </w:r>
    </w:p>
    <w:p>
      <w:pPr>
        <w:spacing w:after="0" w:line="16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subsequent to a Business Combination, the Company consummates a subsequent liquidation, merger, stock exchange, reorganization or other similar transaction which results in all of the Company’s stockholders having the right to exchange their common stock for cash, securities or other property.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March 31, 2021 and December 31, 2020.</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EXTENSION FUNDING AGREEMENT AND PROMISSORY NOTES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November 17, 2018, the Company entered into an Extension Funding Agreement with the Sponsor and BRAC. Pursuant to the Extension Funding Agreement, the Sponsor transferred an aggregate of 1,500,000 Founders Shares to BRAC in exchange for the agreements set forth below and aggregate cash consideration of $1.00.</w:t>
      </w:r>
    </w:p>
    <w:p>
      <w:pPr>
        <w:spacing w:after="0" w:line="184"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Pursuant to the Extension Funding Agreement, the Sponsor agreed to extend the period of time the Company has to consummate a Business Combination up to two times for an aggregate of up to six months and BRAC agreed to loan the Company the funds necessary to obtain the extensions (the “Extensions”). On November 20, 2018 and February 21, 2019, the Company issued unsecured promissory notes (the “Initial Notes”) in favor of BRAC, in the original principal amount of $690,000 each (or an aggregate of $1,380,000), to provide the Company the funds necessary to obtain an aggregate of six-months of Extensions. Pursuant to the Extension Funding Agreement, BRAC has also agreed to loan the Company all funds necessary to pay expenses incurred in connection with and in order to consummate a Business Combination (the “Business Combination Expenses”) and such loans will be added to the Initial Notes.</w:t>
      </w:r>
    </w:p>
    <w:p>
      <w:pPr>
        <w:spacing w:after="0" w:line="195"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In connection with the stockholders’ approval of the extended date of August 22, 2019, the Company issued another unsecured promissory note (the “Second Note”) in favor of BRAC in order to pay for part of the third extension payment in the original principal amount of $6,814.</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On December 31, 2019, the Company issued an unsecured promissory note, as amended (the “Third Note” and, together with the Initial Notes and the Second Note, the “Extension Notes”), in favor of BRAC in the aggregate principal amount of $323,075 in order to pay for part of the extension payments. Through March 31, 2021, BRAC loaned the Company an aggregate of $578,281, of which $155,206 was loaned during the three months ended March 31, 2021 for working capital purposes.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the Company does not consummate a Business Combination, all outstanding loans under the Extension Notes will be forgiven, except to the extent of any funds held outside of the Trust Account after paying all other fees and expenses of the Company incurred prior to the date of such failure to consummate a Business Combination.</w:t>
      </w:r>
    </w:p>
    <w:p>
      <w:pPr>
        <w:spacing w:after="0" w:line="18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March 31, 2021 and December 31, 2020, the outstanding balance under the Extension Notes amounted to an aggregate of $1,965,095 and 1,809,889, respectively.</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Extension Notes, and any funds necessary for the working capital requirements of the Company following closing of the Business Combination. Any remaining amounts in excess of the Cap will be forgiven. On December 31, 2019, the Company issued an unsecured promissory note to the Sponsor, as amended, in the principal amount of $837,057 to pay for Non-Business Combination Related Expenses. If the Company does not consummate a Business Combination, all outstanding loans made by the Sponsor to cover the Non-Business Combination Related Expenses will be forgiven, except as set forth above.</w:t>
      </w:r>
    </w:p>
    <w:p>
      <w:pPr>
        <w:spacing w:after="0" w:line="17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Through March 31,2021, AZ Property Partners loaned the Company an aggregate of $885,604, of which $23,456 was loaned during the three months ended March 31, 2021 to pay for Non-Business Combination Related Expenses</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of March 31, 2021 and December 31, 2020, the outstanding balance under promissory note with AZ Property Partners amounted to $885,604 and $862,148, respectively.</w:t>
      </w:r>
    </w:p>
    <w:p>
      <w:pPr>
        <w:spacing w:after="0" w:line="274" w:lineRule="exact"/>
        <w:rPr>
          <w:sz w:val="20"/>
          <w:szCs w:val="20"/>
          <w:color w:val="auto"/>
        </w:rPr>
      </w:pPr>
    </w:p>
    <w:p>
      <w:pPr>
        <w:ind w:left="120" w:right="7320" w:hanging="4"/>
        <w:spacing w:after="0" w:line="378" w:lineRule="auto"/>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Forgiveness of Debt</w:t>
      </w:r>
    </w:p>
    <w:p>
      <w:pPr>
        <w:ind w:left="120" w:right="520"/>
        <w:spacing w:after="0" w:line="277" w:lineRule="auto"/>
        <w:rPr>
          <w:sz w:val="20"/>
          <w:szCs w:val="20"/>
          <w:color w:val="auto"/>
        </w:rPr>
      </w:pPr>
      <w:r>
        <w:rPr>
          <w:rFonts w:ascii="Arial" w:cs="Arial" w:eastAsia="Arial" w:hAnsi="Arial"/>
          <w:sz w:val="18"/>
          <w:szCs w:val="18"/>
          <w:color w:val="auto"/>
        </w:rPr>
        <w:t>During the three months ended March 31, 2020, one of the Company’s service providers forgave certain amounts due to them in connection with previously provided services. As a result, the Company recorded a forgiveness of debt in the amount of $352,071.</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Agreement</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On December 13, 2020, the Company, NeuroRx and Merger Sub, entered into an Agreement and Plan of Merger (“Merger Agreement”). Pursuant to the Merger Agreement, Merger Sub will merge with and into NeuroRx, with NeuroRx surviving the merger (“Merger”). As a result of the Merger, and upon consummation of the Merger and the other transactions contemplated by the Merger Agreement (“Transactions”), NeuroRx will become a wholly-owned subsidiary of the Company, with the stockholders of NeuroRx becoming stockholders of the Company.</w:t>
      </w:r>
    </w:p>
    <w:p>
      <w:pPr>
        <w:spacing w:after="0" w:line="171" w:lineRule="exact"/>
        <w:rPr>
          <w:sz w:val="20"/>
          <w:szCs w:val="20"/>
          <w:color w:val="auto"/>
        </w:rPr>
      </w:pPr>
    </w:p>
    <w:p>
      <w:pPr>
        <w:ind w:left="120" w:right="180"/>
        <w:spacing w:after="0" w:line="290" w:lineRule="auto"/>
        <w:rPr>
          <w:sz w:val="20"/>
          <w:szCs w:val="20"/>
          <w:color w:val="auto"/>
        </w:rPr>
      </w:pPr>
      <w:r>
        <w:rPr>
          <w:rFonts w:ascii="Arial" w:cs="Arial" w:eastAsia="Arial" w:hAnsi="Arial"/>
          <w:sz w:val="16"/>
          <w:szCs w:val="16"/>
          <w:color w:val="auto"/>
        </w:rPr>
        <w:t>Pursuant to the Merger Agreement, the aggregate consideration payable to the stockholders of NeuroRx at the effective time of the Merger (the “Effective Time”) will equal 50,000,000 shares (“Closing Consideration”) of the Company’s common stock, par value $0.001 per share (“Company Common Stock”), plus the additional contingent right to receive the Earnout Shares and Earnout Cash (each as defined below). At the Effective Time, each outstanding share of NeuroRx common stock (including shares of NeuroRx common stock resulting from the conversion of NeuroRx preferred stock immediately prior to the Effective Time) will be converted into the right to receive a pro rata portion of the Closing Consideration and the contingent right to receive a pro rata portion of the Earnout Shares and Earnout Cash. Each option and warrant of NeuroRx that is outstanding and unexercised immediately prior to the Effective Time will be assumed by the Company and will represent the right to acquire an adjusted number of shares of the Company Common Stock at an adjusted exercise price, in each case, pursuant to the terms of the Merger Agreement.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As part of the aggregate consideration payable to NeuroRx’s securityholders pursuant to the terms of the Merger Agreement, NeuroRx’s securityholders (including option holders and warrant holders) who own NeuroRx securities immediately prior to the closing of the Transactions will have the contingent right to receive their pro rata portion of (i) an aggregate of 25,000,000 shares of the Company Common Stock (“Earnout Shares”) if, prior to December 31, 2022, the NeuroRx COVID-19 Drug receives emergency use authorization by the Food and Drug Administration (“FDA”) and NeuroRx submits and the FDA files for review a new drug application for the NeuroRx COVID-19 Drug (the occurrence of the foregoing, the “Earnout Shares Milestone”), and (ii) an aggregate of $100,000,000 in cash (“Earnout Cash”) upon the earlier to occur of (x) FDA approval of the NeuroRx COVID-19 Drug and the listing of the NeuroRx COVID-19 Drug in the FDA’s “Orange Book” and (y) FDA approval of the NeuroRx Antidepressant Drug Regimen and the listing of the NeuroRx Antidepressant Drug Regimen in the FDA’s “Orange Book,” in each case prior to December 31, 2022 (the occurrence of either of clauses (x) or (y), the “Earnout Cash Milestone”).</w:t>
      </w:r>
    </w:p>
    <w:p>
      <w:pPr>
        <w:spacing w:after="0" w:line="18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On March 19, 2021, the Company entered into a second amendment (“Amendment”) to the Merger Agreement with NeuroRx and Merger Sub. The Amendment extends the outside date by which the parties must consummate the Merger from April 23, 2021 to May 24, 2021.</w:t>
      </w:r>
    </w:p>
    <w:p>
      <w:pPr>
        <w:spacing w:after="0" w:line="14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Subscription Agreement</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March 12, 2021, the Company entered into subscription agreements (“Subscription Agreements”) with certain qualified institutional buyers and institutional accredited investors (collectively, the “PIPE Investors”), pursuant to which the Company will, substantially concurrently with, and contingent upon, the consummation of the Merger, issue an aggregate of 1,000,000 shares of the Company Common Stock, par value $0.001 per share, to the PIPE Investors at a price of $10.00 per share, for aggregate gross proceeds to the Company of $10,000,000 (the “PIPE”). The closing of the PIPE is conditioned upon, among other things, (i) the substantially concurrent consummation of the Merger, (ii) the accuracy of all representations and warranties of the Company and the PIPE Investors in the Subscription Agreements, and the performance of all covenants of the Company and the PIPE Investors under the Subscription Agreements, (iii) the shares of the Company Common Stock shall have been approved for listing on the Nasdaq Capital Market, subject to official notice of issuance, and (iv) the Merger Agreement shall not have been terminated or rescinded, and no amendment, waiver or modification shall have occurred thereunder that would materially adversely affect the economic benefits that the PIPE Investor would reasonably expect to receive under the Subscription Agreement without having received the PIPE Investor’s prior written consent (not to be unreasonably withheld, conditioned, or delayed).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connection with the proposed Merger with NeuroRx, a purported stockholder of the Company has filed a lawsuit and other purported stockholders have threatened to file lawsuits alleging breaches of fiduciary duty and violations of the disclosure requirements of the Exchange Act. The Company intends to defend the matters vigorously. These matters are in the early stages and the Company is currently unable to reasonably determine the outcome or estimate any potential losses, and, as such, has not recorded a loss contingency.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STOCKHOLDERS’ EQUITY</w:t>
      </w:r>
    </w:p>
    <w:p>
      <w:pPr>
        <w:spacing w:after="0" w:line="117"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preferences as may be determined from time to time by the Company’s Board of Directors. At March 31, 2021 and December 31, 2020, there were no shares of preferred stock issued or outstanding.</w:t>
      </w:r>
    </w:p>
    <w:p>
      <w:pPr>
        <w:spacing w:after="0" w:line="176"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 The Company is authorized to issue 100,000,000 shares of common stock with a par value of $0.001 per share.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are entitled to one vote for each share. At March 31, 2021 and December 31, 2020, there were 2,688,242 shares of common stock issued and outstanding.</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b w:val="1"/>
          <w:bCs w:val="1"/>
          <w:color w:val="auto"/>
        </w:rPr>
        <w:t xml:space="preserve">Rights </w:t>
      </w:r>
      <w:r>
        <w:rPr>
          <w:rFonts w:ascii="Arial" w:cs="Arial" w:eastAsia="Arial" w:hAnsi="Arial"/>
          <w:sz w:val="17"/>
          <w:szCs w:val="17"/>
          <w:color w:val="auto"/>
        </w:rPr>
        <w:t>— Each holder of a right will receive one-tenth (1/10) of one share of common stock upon consummation of a Business Combination, even if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 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178"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Representative Shares</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Purchase Option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On November 22, 2017, the Company sold to EarlyBirdCapital, for $100, an option to purchase up to 600,000 Units exercisable at $10.00 per Unit (or an aggregate exercise price of $6,000,000) commencing on the later of November 20, 2018 or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$2,042,889 (or $3.40 per Unit) using the Black-Scholes option-pricing model. The fair value of the unit purchase option granted to the underwriters was estimated as of the date of grant using the following assumptions: (1) expected volatility of 35%, (2) risk-free interest rate of 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WARRANT LIABIILITY</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Public Warrants may only be exercised for a whole number of shares. No fractional shares will be issued upon exercise of the Public Warrants. 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redeem the Public Warrants:</w:t>
      </w:r>
    </w:p>
    <w:p>
      <w:pPr>
        <w:spacing w:after="0" w:line="131"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ind w:left="540" w:right="140" w:hanging="316"/>
        <w:spacing w:after="0" w:line="342"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March 31, 2021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40" w:type="dxa"/>
            <w:vAlign w:val="bottom"/>
            <w:vMerge w:val="restart"/>
          </w:tcPr>
          <w:p>
            <w:pPr>
              <w:spacing w:after="0"/>
              <w:rPr>
                <w:sz w:val="14"/>
                <w:szCs w:val="14"/>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w:t>
            </w:r>
          </w:p>
        </w:tc>
        <w:tc>
          <w:tcPr>
            <w:tcW w:w="42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280" w:type="dxa"/>
            <w:vAlign w:val="bottom"/>
            <w:gridSpan w:val="2"/>
          </w:tcPr>
          <w:p>
            <w:pPr>
              <w:jc w:val="center"/>
              <w:ind w:left="316"/>
              <w:spacing w:after="0" w:line="158" w:lineRule="exact"/>
              <w:rPr>
                <w:sz w:val="20"/>
                <w:szCs w:val="20"/>
                <w:color w:val="auto"/>
              </w:rPr>
            </w:pPr>
            <w:r>
              <w:rPr>
                <w:rFonts w:ascii="Arial" w:cs="Arial" w:eastAsia="Arial" w:hAnsi="Arial"/>
                <w:sz w:val="14"/>
                <w:szCs w:val="14"/>
                <w:b w:val="1"/>
                <w:bCs w:val="1"/>
                <w:color w:val="auto"/>
                <w:w w:val="89"/>
              </w:rPr>
              <w:t>2021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6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center"/>
              <w:ind w:left="316"/>
              <w:spacing w:after="0"/>
              <w:rPr>
                <w:sz w:val="20"/>
                <w:szCs w:val="20"/>
                <w:color w:val="auto"/>
              </w:rPr>
            </w:pPr>
            <w:r>
              <w:rPr>
                <w:rFonts w:ascii="Arial" w:cs="Arial" w:eastAsia="Arial" w:hAnsi="Arial"/>
                <w:sz w:val="18"/>
                <w:szCs w:val="18"/>
                <w:color w:val="auto"/>
                <w:w w:val="92"/>
              </w:rPr>
              <w:t>$ 5,968,035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5,967,947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Warrant liability –Placement Warrants</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center"/>
              <w:ind w:left="316"/>
              <w:spacing w:after="0"/>
              <w:rPr>
                <w:sz w:val="20"/>
                <w:szCs w:val="20"/>
                <w:color w:val="auto"/>
              </w:rPr>
            </w:pPr>
            <w:r>
              <w:rPr>
                <w:rFonts w:ascii="Arial" w:cs="Arial" w:eastAsia="Arial" w:hAnsi="Arial"/>
                <w:sz w:val="18"/>
                <w:szCs w:val="18"/>
                <w:color w:val="auto"/>
                <w:w w:val="92"/>
              </w:rPr>
              <w:t>$ 1,313,324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655,098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utilizes a Black-Scholes model approach to value the Placement Warrants at each reporting period, with changes in fair value recognized in the Statements of Operations. The estimated fair value of the warrant liability is determined using Level 3 inputs. Inherent in a binomial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9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 liabilities that are categorized within Level 3 of the fair value hierarchy are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980" w:type="dxa"/>
            <w:vAlign w:val="bottom"/>
            <w:gridSpan w:val="2"/>
          </w:tcPr>
          <w:p>
            <w:pPr>
              <w:ind w:left="1900"/>
              <w:spacing w:after="0"/>
              <w:rPr>
                <w:sz w:val="20"/>
                <w:szCs w:val="20"/>
                <w:color w:val="auto"/>
              </w:rPr>
            </w:pPr>
            <w:r>
              <w:rPr>
                <w:rFonts w:ascii="Arial" w:cs="Arial" w:eastAsia="Arial" w:hAnsi="Arial"/>
                <w:sz w:val="14"/>
                <w:szCs w:val="14"/>
                <w:b w:val="1"/>
                <w:bCs w:val="1"/>
                <w:color w:val="auto"/>
              </w:rPr>
              <w:t>March 31,</w:t>
            </w: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jc w:val="right"/>
              <w:ind w:right="532"/>
              <w:spacing w:after="0"/>
              <w:rPr>
                <w:sz w:val="20"/>
                <w:szCs w:val="20"/>
                <w:color w:val="auto"/>
              </w:rPr>
            </w:pPr>
            <w:r>
              <w:rPr>
                <w:rFonts w:ascii="Arial" w:cs="Arial" w:eastAsia="Arial" w:hAnsi="Arial"/>
                <w:sz w:val="14"/>
                <w:szCs w:val="14"/>
                <w:b w:val="1"/>
                <w:bCs w:val="1"/>
                <w:color w:val="auto"/>
                <w:w w:val="96"/>
              </w:rPr>
              <w:t>2021</w:t>
            </w:r>
          </w:p>
        </w:tc>
        <w:tc>
          <w:tcPr>
            <w:tcW w:w="500" w:type="dxa"/>
            <w:vAlign w:val="bottom"/>
          </w:tcPr>
          <w:p>
            <w:pPr>
              <w:spacing w:after="0"/>
              <w:rPr>
                <w:sz w:val="14"/>
                <w:szCs w:val="14"/>
                <w:color w:val="auto"/>
              </w:rPr>
            </w:pPr>
          </w:p>
        </w:tc>
        <w:tc>
          <w:tcPr>
            <w:tcW w:w="84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04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35.42</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24.50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Strike price</w:t>
            </w:r>
          </w:p>
        </w:tc>
        <w:tc>
          <w:tcPr>
            <w:tcW w:w="2040" w:type="dxa"/>
            <w:vAlign w:val="bottom"/>
          </w:tcPr>
          <w:p>
            <w:pPr>
              <w:ind w:left="19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2"/>
              <w:spacing w:after="0"/>
              <w:rPr>
                <w:sz w:val="20"/>
                <w:szCs w:val="20"/>
                <w:color w:val="auto"/>
              </w:rPr>
            </w:pPr>
            <w:r>
              <w:rPr>
                <w:rFonts w:ascii="Arial" w:cs="Arial" w:eastAsia="Arial" w:hAnsi="Arial"/>
                <w:sz w:val="18"/>
                <w:szCs w:val="18"/>
                <w:color w:val="auto"/>
              </w:rPr>
              <w:t>11.50</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11.50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Volatility</w:t>
            </w:r>
          </w:p>
        </w:tc>
        <w:tc>
          <w:tcPr>
            <w:tcW w:w="204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0.9%</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Dividend yield</w:t>
            </w:r>
          </w:p>
        </w:tc>
        <w:tc>
          <w:tcPr>
            <w:tcW w:w="204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private warrants</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9.64</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4.81</w:t>
            </w:r>
          </w:p>
        </w:tc>
      </w:tr>
    </w:tbl>
    <w:p>
      <w:pPr>
        <w:spacing w:after="0" w:line="20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provides a summary of the changes in fair value of the Company’s Level 3 financial instruments that are measured at fair value on a recurring basis: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Placement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1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655,098</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658,226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u w:val="single" w:color="auto"/>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85"/>
              </w:rPr>
              <w:t>1,313,324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BIG ROCK PARTNERS ACQUISITION CORP.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i w:val="1"/>
          <w:iCs w:val="1"/>
          <w:color w:val="auto"/>
        </w:rPr>
        <w:t>References in this report to “we,” “us” or the “Company” refer to Big Rock Partners Acquisition Corp. References to our “management” or our “management team” refer to our officers and directors, and references to the “Sponsor” refer to Big Rock Partners Sponsor, LLC, a company affiliated with our Chairman, President and Chief Executive Officer.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the extent to which the COVID-19 pandemic impacts our search for a business combination and our ability to complete a business combination. For information identifying important factors that could cause actual results to differ materially from those anticipated in the forward-looking statements, please refer to the Risk Factors section of the Company’s Annual Report on Form 10-K/A for the year ended December 31, 2020 filed with the SEC on May 14,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Our efforts in identifying a prospective target business for our initial Business Combination are not limited to a particular industry or geographic region.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Extensions to Complete Business Combination</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On April 21, 2021, our stockholders approved an amendment to the charter to extend the date by which we must complete a business combination from April 23, 2021 to May 24, 2021 (the “Seventh Extension”). Stockholders holding an aggregate of 330 public shares exercised their right to convert such shares of the Company’s common stock into cash in connection with the Seventh Extension.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Compliance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January 4, 2021, the Company received a notice from the Staff stating that the Company’s failure to hold an annual stockholder meeting for the fiscal year ended December 31, 2019 by December 31, 2020, as required by Nasdaq Listing Rule 5820, could serve as an additional basis for delisting the Company’s securities from Nasdaq. The Company requested a hearing before the Panel to appeal the Staff’s determination with respect to both notices and the hearing was held on January 14, 2021. The Panel’s decision is subject to certain conditions, including that the Company will have completed its proposed business combination (the “Business Combination”) with NeuroRx on or before the Extended Date and that the combined company will have demonstrated compliance with all requirements for initial listing on Nasdaq. While the Company expects to complete the Business Combination by the Extended Date, the Company cannot assure you that it will be able to do so.</w:t>
      </w:r>
    </w:p>
    <w:p>
      <w:pPr>
        <w:spacing w:after="0" w:line="17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On January 14, 2021, the Company attended a hearing before the Nasdaq Hearings Panel with respect to the November 23, 2020 and January 2, 2021 delisting notices. During the hearing, the Company requested an extension through May 24, 2021 to regain compliance with the Nasdaq listing rules. On January 15, 2021, the Company received notice from Nasdaq that Nasdaq had granted the Company’s request to continue its listing on Nasdaq through May 24, 2021. Nasdaq’s decision is subject to certain conditions, including that the Company will have completed the Merger with NeuroRx on or before the Extended Date and that NRX Pharmaceuticals will have demonstrated compliance with all requirements for initial listing on Nasdaq.</w:t>
      </w:r>
    </w:p>
    <w:p>
      <w:pPr>
        <w:spacing w:after="0" w:line="16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On January 15, 2021, the Company received notice from the Nasdaq that a Nasdaq Hearings Panel (“Panel”) had granted the Company’s request to continue its listing on Nasdaq through May 24, 2021 (“Extended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Subscription Agreement</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On March 12, 2021, the Company entered into subscription agreements (“Subscription Agreements”) with certain qualified institutional buyers and institutional accredited investors (collectively, the “PIPE Investors”), pursuant to which the Company will, substantially concurrently with, and contingent upon, the consummation of the Merger, issue an aggregate of 1,000,000 shares of the Company Common Stock, par value $0.001 per share, to the PIPE Investors at a price of $10.00 per share, for aggregate gross proceeds to the Company of $10,000,000 (the “PIPE”). The closing of the PIPE is conditioned upon, among other things, (i) the substantially concurrent consummation of the Merger, (ii) the accuracy of all representations and warranties of the Company and the PIPE Investors in the Subscription Agreements, and the performance of all covenants of the Company and the PIPE Investors under the Subscription Agreements, (iii) the shares of the Company Common Stock shall have been approved for listing on the Nasdaq Capital Market, subject to official notice of issuance, and (iv) the Merger Agreement shall not have been terminated or rescinded, and no amendment, waiver or modification shall have occurred thereunder that would materially adversely affect the economic benefits that the PIPE Investor would reasonably expect to receive under the Subscription Agreement without having received the PIPE Investor’s prior written consent (not to be unreasonably withheld, conditioned, or delayed).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to the Merger Agreement</w:t>
      </w:r>
    </w:p>
    <w:p>
      <w:pPr>
        <w:spacing w:after="0" w:line="117"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On March 19, 2021, the Company entered into a second amendment (“Amendment”) to the Merger Agreement with NeuroRx and Merger Sub. The Amendment extends the outside date by which the parties must consummate the Merger from April 23, 2021 to May 24, 2021.</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We have neither engaged in any operations nor generated any revenues to date.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the three months ended March 31, 2021, we had a net loss of $893,718, which consists of operating expenses of $235,580 and a change in fair value of warrant liability of $658,226, offset by interest income on securities held in the trust account established for the benefit of our public stockholders (the “Trust Account”) of $88.</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For the three months ended March 31, 2020, we had net income of $273,220, which consists of forgiveness of debt of $352,071, interest income on securities held in the Trust Account of $113,077 offset by operating expenses of $119,300 and a provision for income taxes of $72,628.</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March 31, 2021, we had cash and marketable securities held in the Trust Account of $5,968,035 (including approximately $120,000 of interest income) consisting of money market funds. Interest income earned on the balance in the Trust Account may be used by us to pay taxes. To date, we have withdrawn $716,788 of interest from the Trust Account in order to pay our income and franchise taxes, of which no amounts were withdrawn during the three months ended March 31, 2021.</w:t>
      </w:r>
    </w:p>
    <w:p>
      <w:pPr>
        <w:spacing w:after="0" w:line="18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For the three months ended March 31, 2021, cash used in operating activities amounted to $178,896 which included a net loss of $893,718, a non-cash charge derived from the change in fair value of warrant liability of $658,226, interest earned on securities held in the Trust Account of $88 and changes in operating assets and liabilities, which provided $56,684 of cash for operating activities.</w:t>
      </w:r>
    </w:p>
    <w:p>
      <w:pPr>
        <w:spacing w:after="0" w:line="184"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For the three months ended March 31, 2020, cash used in operating activities amounted to $76,434 which included net income of $273,220 interest earned on securities held in the Trust Account of $113,007, the forgiveness of debt of $352,071 and changes in operating assets and liabilities.</w:t>
      </w:r>
    </w:p>
    <w:p>
      <w:pPr>
        <w:spacing w:after="0" w:line="12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66"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As of March 31, 2021, A/Z Property has loaned us an aggregate of $885,604 in order to pay our Non-Business Combination Related Expenses and extension payments. Upon consummation of a Business Combination, up to $200,000 of the Non-Business Combination Related Expenses may be repaid by us to the Sponsor provided that we have funds available to us sufficient to repay such expenses (the “Cap”) as well as to pay for all stockholder redemptions, all Business Combination Expenses, repayment of the Notes,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spacing w:after="0" w:line="16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 of March 31, 2021, BRAC has loaned us an aggregate of $1,965,095 in order to fund a portion of the extension payments and for working capital purposes.</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did not have any off-balance sheet arrangements as of March 31,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pacing w:after="0" w:line="22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have engaged EarlyBirdCapital as an advisor in connection with a Business Combination to assist us in holding meetings with its stockholders to discuss a potential Business Combination and the target business’ attributes, introduce us to potential investors that are interested in purchasing securities, assist us in obtaining stockholder approval for the Business Combination and assist us with our press releases and public filings in connection with a Business Combination. We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preparation of condensed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account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Placement Warrants was estimated using a Black Scholes valuation approach.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Common Share</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apply the two-class method in calculating earnings per share. Net loss per common share, basic and diluted for common shares subject to possible redemption is calculated by dividing the interest income earned on the Trust Account, net of applicable taxes, if any, by the weighted average number of shares of common subject to possible redemption outstanding for the period. Net loss per common share, basic and diluted for and non-redeemable common stock is calculated by dividing net loss less income attributable to common shares subject to possible redemption, by the weighted average number of shares of non-redeemable shares common stock outstanding for the period presented.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2020-06, Debt — Debt with Conversion and Other Options (Subtopic 470-20) and Derivatives and Hedging — Contracts in Entity’s Own Equity (Subtopic 815-40) (“ASU</w:t>
      </w:r>
    </w:p>
    <w:p>
      <w:pPr>
        <w:ind w:left="120" w:right="100"/>
        <w:spacing w:after="0" w:line="269" w:lineRule="auto"/>
        <w:rPr>
          <w:sz w:val="20"/>
          <w:szCs w:val="20"/>
          <w:color w:val="auto"/>
        </w:rPr>
      </w:pPr>
      <w:r>
        <w:rPr>
          <w:rFonts w:ascii="Arial" w:cs="Arial" w:eastAsia="Arial" w:hAnsi="Arial"/>
          <w:sz w:val="17"/>
          <w:szCs w:val="17"/>
          <w:color w:val="auto"/>
        </w:rPr>
        <w:t>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adopted ASU 2020-06 on January 1, 2021. The adoption of ASU 2020-06 did not have an impact on our consolidated financial statements.</w:t>
      </w:r>
    </w:p>
    <w:p>
      <w:pPr>
        <w:spacing w:after="0" w:line="18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condensed financial statements.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item is not applicable as we are currently considered a smaller reporting company.</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As required by Rules 13a-15 and 15d-15 under the Exchange Act, our management, with the participation of our Chief Executive Officer and Chief Financial Officer (together, the “Certifying Officers”), carried out an evaluation of the effectiveness of the design and operation of our disclosure controls and procedures as of March 31, 2021. In light of the restatement of our financial statements for the year ended December 31, 2020 to reclassify our Private Warrants as derivative liabilities, our Certifying Officers concluded that our disclosure controls and procedures were not effective as of March 31, 2021.</w:t>
      </w:r>
    </w:p>
    <w:p>
      <w:pPr>
        <w:spacing w:after="0" w:line="18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Certifying Officers, or persons performing similar functions, as appropriate, to allow timely decisions regarding required disclosure.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as the circumstances that led to the restatement of our year-end financial statements on May 4, 2021 had not yet been identified. Due solely to the events that led to our restatement of our financial statements, management has identified a material weakness in internal controls related to the accounting for our Private Warrants. While we have processes to identify and appropriately apply applicable accounting requirements, we plan to enhance our system of evaluating and implementing the accounting standards that apply to our financial statements, including through enhanced analyses by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ectPr>
          <w:pgSz w:w="11900" w:h="16838" w:orient="portrait"/>
          <w:cols w:equalWidth="0" w:num="1">
            <w:col w:w="11120"/>
          </w:cols>
          <w:pgMar w:left="320" w:top="459" w:right="459" w:bottom="144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59"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10-K/A for the year ended December 31, 2020 filed with the SEC on May 14, 2021. As of the date of this Report, there have been no material changes to the risk factors disclosed in our Annual Report filed with the SEC.</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320" w:top="459" w:right="5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960" w:type="dxa"/>
            <w:vAlign w:val="bottom"/>
          </w:tcPr>
          <w:p>
            <w:pPr>
              <w:spacing w:after="0"/>
              <w:rPr>
                <w:sz w:val="14"/>
                <w:szCs w:val="14"/>
                <w:color w:val="auto"/>
              </w:rPr>
            </w:pPr>
          </w:p>
        </w:tc>
        <w:tc>
          <w:tcPr>
            <w:tcW w:w="9700" w:type="dxa"/>
            <w:vAlign w:val="bottom"/>
            <w:gridSpan w:val="6"/>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60" w:type="dxa"/>
            <w:vAlign w:val="bottom"/>
            <w:tcBorders>
              <w:left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180" w:type="dxa"/>
            <w:vAlign w:val="bottom"/>
            <w:gridSpan w:val="2"/>
          </w:tcPr>
          <w:p>
            <w:pPr>
              <w:spacing w:after="0"/>
              <w:rPr>
                <w:sz w:val="20"/>
                <w:szCs w:val="20"/>
                <w:color w:val="auto"/>
              </w:rPr>
            </w:pPr>
            <w:r>
              <w:rPr>
                <w:rFonts w:ascii="Arial" w:cs="Arial" w:eastAsia="Arial" w:hAnsi="Arial"/>
                <w:sz w:val="18"/>
                <w:szCs w:val="18"/>
                <w:color w:val="auto"/>
              </w:rPr>
              <w:t>31.1*</w:t>
            </w:r>
          </w:p>
        </w:tc>
        <w:tc>
          <w:tcPr>
            <w:tcW w:w="97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Principal Executive Officer Pursuant to Securities Exchange Act Rules 13a-14(a) and 15(d)-14(a), as adopted Pursuant</w:t>
              </w:r>
            </w:hyperlink>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to Section 302 of the Sarbanes-Oxley Act of 2002</w:t>
              </w:r>
            </w:hyperlink>
          </w:p>
        </w:tc>
      </w:tr>
      <w:tr>
        <w:trPr>
          <w:trHeight w:val="20"/>
        </w:trPr>
        <w:tc>
          <w:tcPr>
            <w:tcW w:w="118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60" w:type="dxa"/>
            <w:vAlign w:val="bottom"/>
            <w:tcBorders>
              <w:left w:val="single" w:sz="8" w:color="0000EE"/>
            </w:tcBorders>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31.2*</w:t>
            </w:r>
          </w:p>
        </w:tc>
        <w:tc>
          <w:tcPr>
            <w:tcW w:w="96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Certification of Principal Financial Officer Pursuant to Securities Exchange Act Rules 13a-14(a) and 15(d)-14(a), as adopted Pursuant</w:t>
              </w:r>
            </w:hyperlink>
          </w:p>
        </w:tc>
        <w:tc>
          <w:tcPr>
            <w:tcW w:w="4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to Section 302 of the Sarbanes-Oxley Act of 2002</w:t>
              </w:r>
            </w:hyperlink>
          </w:p>
        </w:tc>
      </w:tr>
      <w:tr>
        <w:trPr>
          <w:trHeight w:val="20"/>
        </w:trPr>
        <w:tc>
          <w:tcPr>
            <w:tcW w:w="118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60" w:type="dxa"/>
            <w:vAlign w:val="bottom"/>
            <w:tcBorders>
              <w:left w:val="single" w:sz="8" w:color="0000EE"/>
            </w:tcBorders>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32.1**</w:t>
            </w:r>
          </w:p>
        </w:tc>
        <w:tc>
          <w:tcPr>
            <w:tcW w:w="9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140" w:type="dxa"/>
            <w:vAlign w:val="bottom"/>
            <w:gridSpan w:val="2"/>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Oxley Act of 2002</w:t>
              </w:r>
            </w:hyperlink>
          </w:p>
        </w:tc>
      </w:tr>
      <w:tr>
        <w:trPr>
          <w:trHeight w:val="20"/>
        </w:trPr>
        <w:tc>
          <w:tcPr>
            <w:tcW w:w="118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32.2**</w:t>
            </w:r>
          </w:p>
        </w:tc>
        <w:tc>
          <w:tcPr>
            <w:tcW w:w="9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180" w:type="dxa"/>
            <w:vAlign w:val="bottom"/>
            <w:gridSpan w:val="3"/>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Oxley Act of 2002</w:t>
              </w:r>
            </w:hyperlink>
          </w:p>
        </w:tc>
      </w:tr>
      <w:tr>
        <w:trPr>
          <w:trHeight w:val="20"/>
        </w:trPr>
        <w:tc>
          <w:tcPr>
            <w:tcW w:w="118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360" w:type="dxa"/>
            <w:vAlign w:val="bottom"/>
            <w:gridSpan w:val="5"/>
          </w:tcPr>
          <w:p>
            <w:pPr>
              <w:spacing w:after="0" w:line="20" w:lineRule="exact"/>
              <w:rPr>
                <w:sz w:val="1"/>
                <w:szCs w:val="1"/>
                <w:color w:val="auto"/>
              </w:rPr>
            </w:pPr>
          </w:p>
        </w:tc>
      </w:tr>
      <w:tr>
        <w:trPr>
          <w:trHeight w:val="344"/>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320" w:top="459" w:right="5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BIG ROCK PARTNERS ACQUISITION CORP.</w:t>
      </w:r>
    </w:p>
    <w:p>
      <w:pPr>
        <w:spacing w:after="0" w:line="229"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May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Richard Ackerman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May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Bennett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Chief Financial Officer, Chief Investment Officer and Director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Richard Ackerman, certify that:</w:t>
      </w:r>
    </w:p>
    <w:p>
      <w:pPr>
        <w:spacing w:after="0" w:line="252"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sz w:val="20"/>
          <w:szCs w:val="20"/>
          <w:color w:val="auto"/>
        </w:rPr>
      </w:pPr>
    </w:p>
    <w:p>
      <w:pPr>
        <w:ind w:left="424" w:right="38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424" w:right="860" w:hanging="424"/>
        <w:spacing w:after="0" w:line="342"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424" w:right="10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424" w:right="20" w:hanging="424"/>
        <w:spacing w:after="0" w:line="308"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2" w:lineRule="exact"/>
        <w:rPr>
          <w:sz w:val="20"/>
          <w:szCs w:val="20"/>
          <w:color w:val="auto"/>
        </w:rPr>
      </w:pPr>
    </w:p>
    <w:p>
      <w:pPr>
        <w:ind w:left="424" w:right="28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May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Name: Richard Ackerman</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Bennett Kim, certify that:</w:t>
      </w:r>
    </w:p>
    <w:p>
      <w:pPr>
        <w:spacing w:after="0" w:line="225" w:lineRule="exact"/>
        <w:rPr>
          <w:sz w:val="20"/>
          <w:szCs w:val="20"/>
          <w:color w:val="auto"/>
        </w:rPr>
      </w:pPr>
    </w:p>
    <w:p>
      <w:pPr>
        <w:ind w:left="184" w:hanging="184"/>
        <w:spacing w:after="0"/>
        <w:tabs>
          <w:tab w:leader="none" w:pos="1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sz w:val="20"/>
          <w:szCs w:val="20"/>
          <w:color w:val="auto"/>
        </w:rPr>
      </w:pPr>
    </w:p>
    <w:p>
      <w:pPr>
        <w:ind w:left="424" w:right="38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424" w:right="860" w:hanging="424"/>
        <w:spacing w:after="0" w:line="342"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424" w:right="10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424" w:right="20" w:hanging="424"/>
        <w:spacing w:after="0" w:line="308"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2" w:lineRule="exact"/>
        <w:rPr>
          <w:sz w:val="20"/>
          <w:szCs w:val="20"/>
          <w:color w:val="auto"/>
        </w:rPr>
      </w:pPr>
    </w:p>
    <w:p>
      <w:pPr>
        <w:ind w:left="424" w:right="28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May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Name: Bennett Kim</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6"/>
          <w:szCs w:val="16"/>
          <w:color w:val="auto"/>
        </w:rPr>
        <w:t>Title: Chief Financial Officer, Chief Investment Officer and Director</w:t>
      </w:r>
    </w:p>
    <w:p>
      <w:pPr>
        <w:spacing w:after="0" w:line="32"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Big Rock Partners Acquisition Corp. (the “Company”) on Form 10-Q for the quarterly period ended March 31,2021, as filed with the Securities and Exchange Commission (the “Report”), I, Richard Ackerman, Chairman, President and Chief Executive Officer of the Company, certify, pursuant to 18 U.S.C. §1350, as adopted pursuant to §906 of the Sarbanes-Oxley Act of 2002, that, to the best of my knowledge:</w:t>
      </w:r>
    </w:p>
    <w:p>
      <w:pPr>
        <w:spacing w:after="0" w:line="92"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May 20,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Richard Ackerman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Quarterly Report of Big Rock Partners Acquisition Corp. (the “Company”) on Form 10-Q for the quarterly period ended</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March 31, 2021, as filed with the Securities and Exchange Commission (the “Report”), I, Bennett Kim, Chief Financial Offer, Chief Investment Officer and Director of the Company, certify, pursuant to 18 U.S.C. §1350, as adopted pursuant to §906 of the Sarbanes-Oxley Act of 2002, that, to the best of my knowledge:</w:t>
      </w:r>
    </w:p>
    <w:p>
      <w:pPr>
        <w:spacing w:after="0" w:line="95"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May 20,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Bennett Kim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Chief Financial Offer, Chief Investment Officer and Director</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1."/>
      <w:numFmt w:val="decimal"/>
      <w:start w:val="7"/>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2021-05-21T05:28:22Z</dcterms:created>
  <dcterms:modified xsi:type="dcterms:W3CDTF">2021-05-21T05:28:22Z</dcterms:modified>
</cp:coreProperties>
</file>