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nrxp20250630_10q.htm"/>
      <w:bookmarkStart w:id="1" w:name="ksnrxp20250630_10q"/>
      <w:bookmarkEnd w:id="0"/>
      <w:bookmarkEnd w:id="1"/>
      <w:r>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UNITED STATES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AND EXCHANGE COMMISSION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(Mark 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 w:hAnsi="Times New Roman"/>
          <w:b/>
          <w:caps w:val="false"/>
          <w:smallCaps w:val="false"/>
          <w:sz w:val="20"/>
        </w:rPr>
        <w:t>QUARTERLY REPORT PURSUANT TO SECTION</w:t>
      </w:r>
      <w:r>
        <w:rPr>
          <w:rFonts w:ascii="Times New Roman" w:hAnsi="Times New Roman"/>
          <w:caps w:val="false"/>
          <w:smallCaps w:val="false"/>
          <w:sz w:val="20"/>
        </w:rPr>
        <w:t> </w:t>
      </w:r>
      <w:r>
        <w:rPr>
          <w:rFonts w:ascii="Times New Roman" w:hAnsi="Times New Roman"/>
          <w:b/>
          <w:caps w:val="false"/>
          <w:smallCaps w:val="false"/>
          <w:sz w:val="20"/>
        </w:rPr>
        <w:t>13 OR 15(d)</w:t>
      </w:r>
      <w:r>
        <w:rPr>
          <w:rFonts w:ascii="Times New Roman" w:hAnsi="Times New Roman"/>
          <w:caps w:val="false"/>
          <w:smallCaps w:val="false"/>
          <w:sz w:val="20"/>
        </w:rPr>
        <w:t> </w:t>
      </w:r>
      <w:r>
        <w:rPr>
          <w:rFonts w:ascii="Times New Roman" w:hAnsi="Times New Roman"/>
          <w:b/>
          <w:caps w:val="false"/>
          <w:smallCaps w:val="false"/>
          <w:sz w:val="20"/>
        </w:rPr>
        <w:t>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Quarterly Period Ended: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 w:hAnsi="Times New Roman"/>
          <w:b/>
          <w:caps w:val="false"/>
          <w:smallCaps w:val="false"/>
          <w:sz w:val="20"/>
        </w:rPr>
        <w:t>TRANSITION REPORT PURSUANT TO SECTION</w:t>
      </w:r>
      <w:r>
        <w:rPr>
          <w:rFonts w:ascii="Times New Roman" w:hAnsi="Times New Roman"/>
          <w:caps w:val="false"/>
          <w:smallCaps w:val="false"/>
          <w:sz w:val="20"/>
        </w:rPr>
        <w:t> </w:t>
      </w:r>
      <w:r>
        <w:rPr>
          <w:rFonts w:ascii="Times New Roman" w:hAnsi="Times New Roman"/>
          <w:b/>
          <w:caps w:val="false"/>
          <w:smallCaps w:val="false"/>
          <w:sz w:val="20"/>
        </w:rPr>
        <w:t>13 OR 15(d)</w:t>
      </w:r>
      <w:r>
        <w:rPr>
          <w:rFonts w:ascii="Times New Roman" w:hAnsi="Times New Roman"/>
          <w:caps w:val="false"/>
          <w:smallCaps w:val="false"/>
          <w:sz w:val="20"/>
        </w:rPr>
        <w:t> </w:t>
      </w:r>
      <w:r>
        <w:rPr>
          <w:rFonts w:ascii="Times New Roman" w:hAnsi="Times New Roman"/>
          <w:b/>
          <w:caps w:val="false"/>
          <w:smallCaps w:val="false"/>
          <w:sz w:val="20"/>
        </w:rPr>
        <w:t>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transition period from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Commission File Number: 001-38302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NRX PHARMACEUTICALS,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4000" w:type="dxa"/>
        <w:jc w:val="left"/>
        <w:tblInd w:w="0" w:type="dxa"/>
        <w:tblLayout w:type="fixed"/>
        <w:tblCellMar>
          <w:top w:w="0" w:type="dxa"/>
          <w:left w:w="0" w:type="dxa"/>
          <w:bottom w:w="0" w:type="dxa"/>
          <w:right w:w="0" w:type="dxa"/>
        </w:tblCellMar>
      </w:tblPr>
      <w:tblGrid>
        <w:gridCol w:w="2480"/>
        <w:gridCol w:w="1520"/>
      </w:tblGrid>
      <w:tr>
        <w:trPr/>
        <w:tc>
          <w:tcPr>
            <w:tcW w:w="248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152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82-2844431</w:t>
            </w:r>
          </w:p>
        </w:tc>
      </w:tr>
      <w:tr>
        <w:trPr/>
        <w:tc>
          <w:tcPr>
            <w:tcW w:w="248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 of</w:t>
            </w:r>
          </w:p>
        </w:tc>
        <w:tc>
          <w:tcPr>
            <w:tcW w:w="152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w:t>
            </w:r>
          </w:p>
        </w:tc>
      </w:tr>
      <w:tr>
        <w:trPr/>
        <w:tc>
          <w:tcPr>
            <w:tcW w:w="248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incorporation or organization)</w:t>
            </w:r>
          </w:p>
        </w:tc>
        <w:tc>
          <w:tcPr>
            <w:tcW w:w="152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1201 Orange Street, Suite 600</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Wilmington, DE 19801</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(484) 254-6134</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235" w:type="dxa"/>
        <w:jc w:val="left"/>
        <w:tblInd w:w="0" w:type="dxa"/>
        <w:tblLayout w:type="fixed"/>
        <w:tblCellMar>
          <w:top w:w="0" w:type="dxa"/>
          <w:left w:w="0" w:type="dxa"/>
          <w:bottom w:w="28" w:type="dxa"/>
          <w:right w:w="0" w:type="dxa"/>
        </w:tblCellMar>
      </w:tblPr>
      <w:tblGrid>
        <w:gridCol w:w="3500"/>
        <w:gridCol w:w="60"/>
        <w:gridCol w:w="860"/>
        <w:gridCol w:w="60"/>
        <w:gridCol w:w="3755"/>
      </w:tblGrid>
      <w:tr>
        <w:trPr/>
        <w:tc>
          <w:tcPr>
            <w:tcW w:w="350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86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Trading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Symbol(s)</w:t>
            </w:r>
          </w:p>
        </w:tc>
        <w:tc>
          <w:tcPr>
            <w:tcW w:w="60" w:type="dxa"/>
            <w:tcBorders/>
            <w:tcMar>
              <w:bottom w:w="0" w:type="dxa"/>
            </w:tcMar>
            <w:vAlign w:val="center"/>
          </w:tcPr>
          <w:p>
            <w:pPr>
              <w:pStyle w:val="TableContents"/>
              <w:bidi w:val="0"/>
              <w:spacing w:before="0" w:after="283"/>
              <w:jc w:val="left"/>
              <w:rPr/>
            </w:pPr>
            <w:r>
              <w:rPr/>
              <w:t> </w:t>
            </w:r>
          </w:p>
        </w:tc>
        <w:tc>
          <w:tcPr>
            <w:tcW w:w="375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 of each exchange on which registered:</w:t>
            </w:r>
          </w:p>
        </w:tc>
      </w:tr>
      <w:tr>
        <w:trPr/>
        <w:tc>
          <w:tcPr>
            <w:tcW w:w="350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par value $0.001 per share</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NRXP</w:t>
            </w:r>
          </w:p>
        </w:tc>
        <w:tc>
          <w:tcPr>
            <w:tcW w:w="60" w:type="dxa"/>
            <w:tcBorders/>
            <w:tcMar>
              <w:bottom w:w="0" w:type="dxa"/>
            </w:tcMar>
            <w:vAlign w:val="center"/>
          </w:tcPr>
          <w:p>
            <w:pPr>
              <w:pStyle w:val="TableContents"/>
              <w:bidi w:val="0"/>
              <w:spacing w:before="0" w:after="283"/>
              <w:jc w:val="left"/>
              <w:rPr/>
            </w:pPr>
            <w:r>
              <w:rPr/>
              <w:t> </w:t>
            </w:r>
          </w:p>
        </w:tc>
        <w:tc>
          <w:tcPr>
            <w:tcW w:w="375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Nasdaq Stock Market LLC</w:t>
            </w:r>
          </w:p>
        </w:tc>
      </w:tr>
      <w:tr>
        <w:trPr/>
        <w:tc>
          <w:tcPr>
            <w:tcW w:w="350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Warrants to purchase Common Stock</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NRXPW</w:t>
            </w:r>
          </w:p>
        </w:tc>
        <w:tc>
          <w:tcPr>
            <w:tcW w:w="60" w:type="dxa"/>
            <w:tcBorders/>
            <w:tcMar>
              <w:bottom w:w="0" w:type="dxa"/>
            </w:tcMar>
            <w:vAlign w:val="center"/>
          </w:tcPr>
          <w:p>
            <w:pPr>
              <w:pStyle w:val="TableContents"/>
              <w:bidi w:val="0"/>
              <w:spacing w:before="0" w:after="283"/>
              <w:jc w:val="left"/>
              <w:rPr/>
            </w:pPr>
            <w:r>
              <w:rPr/>
              <w:t> </w:t>
            </w:r>
          </w:p>
        </w:tc>
        <w:tc>
          <w:tcPr>
            <w:tcW w:w="375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Securities registered pursuant to Section 12(g) of the Act: 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495" w:type="dxa"/>
        <w:jc w:val="left"/>
        <w:tblInd w:w="0" w:type="dxa"/>
        <w:tblLayout w:type="fixed"/>
        <w:tblCellMar>
          <w:top w:w="0" w:type="dxa"/>
          <w:left w:w="0" w:type="dxa"/>
          <w:bottom w:w="0" w:type="dxa"/>
          <w:right w:w="0" w:type="dxa"/>
        </w:tblCellMar>
      </w:tblPr>
      <w:tblGrid>
        <w:gridCol w:w="2045"/>
        <w:gridCol w:w="2450"/>
      </w:tblGrid>
      <w:tr>
        <w:trPr/>
        <w:tc>
          <w:tcPr>
            <w:tcW w:w="204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Large accelerated filer ☐</w:t>
            </w:r>
          </w:p>
        </w:tc>
        <w:tc>
          <w:tcPr>
            <w:tcW w:w="24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Accelerated filer ☐</w:t>
            </w:r>
          </w:p>
        </w:tc>
      </w:tr>
      <w:tr>
        <w:trPr/>
        <w:tc>
          <w:tcPr>
            <w:tcW w:w="204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Non-accelerated filer ☒</w:t>
            </w:r>
          </w:p>
        </w:tc>
        <w:tc>
          <w:tcPr>
            <w:tcW w:w="24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Smaller reporting company ☒</w:t>
            </w:r>
          </w:p>
        </w:tc>
      </w:tr>
      <w:tr>
        <w:trPr/>
        <w:tc>
          <w:tcPr>
            <w:tcW w:w="2045"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Emerging growth company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shell company (as defined in Rule 12b-2 of the Exchange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of August 14, 2025, the registrant had 19,705,077 shares of Common Stock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64"/>
        <w:gridCol w:w="8985"/>
        <w:gridCol w:w="456"/>
      </w:tblGrid>
      <w:tr>
        <w:trPr/>
        <w:tc>
          <w:tcPr>
            <w:tcW w:w="9749" w:type="dxa"/>
            <w:gridSpan w:val="2"/>
            <w:tcBorders/>
            <w:vAlign w:val="center"/>
          </w:tcPr>
          <w:p>
            <w:pPr>
              <w:pStyle w:val="TableContents"/>
              <w:bidi w:val="0"/>
              <w:spacing w:before="0" w:after="283"/>
              <w:jc w:val="left"/>
              <w:rPr/>
            </w:pPr>
            <w:r>
              <w:rPr/>
              <w:t> </w:t>
            </w:r>
          </w:p>
        </w:tc>
        <w:tc>
          <w:tcPr>
            <w:tcW w:w="4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Page</w:t>
            </w:r>
          </w:p>
        </w:tc>
      </w:tr>
      <w:tr>
        <w:trPr/>
        <w:tc>
          <w:tcPr>
            <w:tcW w:w="9749" w:type="dxa"/>
            <w:gridSpan w:val="2"/>
            <w:tcBorders/>
            <w:shd w:fill="CCEEFF" w:val="clear"/>
            <w:vAlign w:val="center"/>
          </w:tcPr>
          <w:p>
            <w:pPr>
              <w:pStyle w:val="TableContents"/>
              <w:bidi w:val="0"/>
              <w:spacing w:before="0" w:after="0"/>
              <w:ind w:left="160" w:right="0" w:hanging="16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PART I - FINANCIAL INFORMATION</w:t>
            </w:r>
          </w:p>
        </w:tc>
        <w:tc>
          <w:tcPr>
            <w:tcW w:w="456" w:type="dxa"/>
            <w:tcBorders/>
            <w:shd w:fill="CCEEFF" w:val="clear"/>
            <w:vAlign w:val="center"/>
          </w:tcPr>
          <w:p>
            <w:pPr>
              <w:pStyle w:val="TableContents"/>
              <w:bidi w:val="0"/>
              <w:spacing w:before="0" w:after="283"/>
              <w:jc w:val="left"/>
              <w:rPr/>
            </w:pPr>
            <w:r>
              <w:rPr/>
              <w:t> </w:t>
            </w:r>
          </w:p>
        </w:tc>
      </w:tr>
      <w:tr>
        <w:trPr/>
        <w:tc>
          <w:tcPr>
            <w:tcW w:w="9749" w:type="dxa"/>
            <w:gridSpan w:val="2"/>
            <w:tcBorders/>
            <w:shd w:fill="FFFFFF" w:val="clear"/>
            <w:vAlign w:val="center"/>
          </w:tcPr>
          <w:p>
            <w:pPr>
              <w:pStyle w:val="TableContents"/>
              <w:bidi w:val="0"/>
              <w:spacing w:before="0" w:after="283"/>
              <w:jc w:val="left"/>
              <w:rPr/>
            </w:pPr>
            <w:r>
              <w:rPr/>
              <w:t> </w:t>
            </w:r>
          </w:p>
        </w:tc>
        <w:tc>
          <w:tcPr>
            <w:tcW w:w="456" w:type="dxa"/>
            <w:tcBorders/>
            <w:shd w:fill="FFFFFF" w:val="clear"/>
            <w:vAlign w:val="center"/>
          </w:tcPr>
          <w:p>
            <w:pPr>
              <w:pStyle w:val="TableContents"/>
              <w:bidi w:val="0"/>
              <w:spacing w:before="0" w:after="283"/>
              <w:jc w:val="left"/>
              <w:rPr/>
            </w:pPr>
            <w:r>
              <w:rPr/>
              <w:t> </w:t>
            </w:r>
          </w:p>
        </w:tc>
      </w:tr>
      <w:tr>
        <w:trPr/>
        <w:tc>
          <w:tcPr>
            <w:tcW w:w="764" w:type="dxa"/>
            <w:tcBorders/>
            <w:shd w:fill="CCEEFF" w:val="clear"/>
            <w:vAlign w:val="center"/>
          </w:tcPr>
          <w:p>
            <w:pPr>
              <w:pStyle w:val="TableContents"/>
              <w:bidi w:val="0"/>
              <w:spacing w:before="0" w:after="0"/>
              <w:ind w:left="160" w:right="0" w:hanging="16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ITEM 1.</w:t>
            </w:r>
          </w:p>
        </w:tc>
        <w:tc>
          <w:tcPr>
            <w:tcW w:w="89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Financial Statements</w:t>
            </w:r>
          </w:p>
        </w:tc>
        <w:tc>
          <w:tcPr>
            <w:tcW w:w="456" w:type="dxa"/>
            <w:tcBorders/>
            <w:shd w:fill="CCEEFF" w:val="clear"/>
            <w:vAlign w:val="center"/>
          </w:tcPr>
          <w:p>
            <w:pPr>
              <w:pStyle w:val="TableContents"/>
              <w:bidi w:val="0"/>
              <w:spacing w:before="0" w:after="283"/>
              <w:jc w:val="left"/>
              <w:rPr/>
            </w:pPr>
            <w:r>
              <w:rPr/>
              <w:t> </w:t>
            </w:r>
          </w:p>
        </w:tc>
      </w:tr>
      <w:tr>
        <w:trPr/>
        <w:tc>
          <w:tcPr>
            <w:tcW w:w="764" w:type="dxa"/>
            <w:tcBorders/>
            <w:shd w:fill="FFFFFF" w:val="clear"/>
            <w:vAlign w:val="center"/>
          </w:tcPr>
          <w:p>
            <w:pPr>
              <w:pStyle w:val="TableContents"/>
              <w:bidi w:val="0"/>
              <w:spacing w:before="0" w:after="283"/>
              <w:jc w:val="left"/>
              <w:rPr/>
            </w:pPr>
            <w:r>
              <w:rPr/>
              <w:t> </w:t>
            </w:r>
          </w:p>
        </w:tc>
        <w:tc>
          <w:tcPr>
            <w:tcW w:w="89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Condensed Consolidated Balance Sheets as of June 30, 2025 (Unaudited) and December 31, 2024</w:t>
            </w:r>
          </w:p>
        </w:tc>
        <w:tc>
          <w:tcPr>
            <w:tcW w:w="45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w:t>
            </w:r>
          </w:p>
        </w:tc>
      </w:tr>
      <w:tr>
        <w:trPr/>
        <w:tc>
          <w:tcPr>
            <w:tcW w:w="764" w:type="dxa"/>
            <w:tcBorders/>
            <w:shd w:fill="CCEEFF" w:val="clear"/>
            <w:vAlign w:val="center"/>
          </w:tcPr>
          <w:p>
            <w:pPr>
              <w:pStyle w:val="TableContents"/>
              <w:bidi w:val="0"/>
              <w:spacing w:before="0" w:after="283"/>
              <w:jc w:val="left"/>
              <w:rPr/>
            </w:pPr>
            <w:r>
              <w:rPr/>
              <w:t> </w:t>
            </w:r>
          </w:p>
        </w:tc>
        <w:tc>
          <w:tcPr>
            <w:tcW w:w="89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Unaudited Condensed Consolidated Statements of Operations for the three and six months ended June 30, 2025 and 2024</w:t>
            </w:r>
          </w:p>
        </w:tc>
        <w:tc>
          <w:tcPr>
            <w:tcW w:w="45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w:t>
            </w:r>
          </w:p>
        </w:tc>
      </w:tr>
      <w:tr>
        <w:trPr/>
        <w:tc>
          <w:tcPr>
            <w:tcW w:w="764" w:type="dxa"/>
            <w:tcBorders/>
            <w:shd w:fill="FFFFFF" w:val="clear"/>
            <w:vAlign w:val="center"/>
          </w:tcPr>
          <w:p>
            <w:pPr>
              <w:pStyle w:val="TableContents"/>
              <w:bidi w:val="0"/>
              <w:spacing w:before="0" w:after="283"/>
              <w:jc w:val="left"/>
              <w:rPr/>
            </w:pPr>
            <w:r>
              <w:rPr/>
              <w:t> </w:t>
            </w:r>
          </w:p>
        </w:tc>
        <w:tc>
          <w:tcPr>
            <w:tcW w:w="89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Unaudited Condensed Consolidated Statements of Changes in Stockholders' Deficit for the three and six months ended June 30, 2025 and 2024</w:t>
            </w:r>
          </w:p>
        </w:tc>
        <w:tc>
          <w:tcPr>
            <w:tcW w:w="45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w:t>
            </w:r>
          </w:p>
        </w:tc>
      </w:tr>
      <w:tr>
        <w:trPr/>
        <w:tc>
          <w:tcPr>
            <w:tcW w:w="764" w:type="dxa"/>
            <w:tcBorders/>
            <w:shd w:fill="CCEEFF" w:val="clear"/>
            <w:vAlign w:val="center"/>
          </w:tcPr>
          <w:p>
            <w:pPr>
              <w:pStyle w:val="TableContents"/>
              <w:bidi w:val="0"/>
              <w:spacing w:before="0" w:after="283"/>
              <w:jc w:val="left"/>
              <w:rPr/>
            </w:pPr>
            <w:r>
              <w:rPr/>
              <w:t> </w:t>
            </w:r>
          </w:p>
        </w:tc>
        <w:tc>
          <w:tcPr>
            <w:tcW w:w="89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Unaudited Condensed Consolidated Statements of Cash Flows for the six months ended June 30, 2025 and 2024</w:t>
            </w:r>
          </w:p>
        </w:tc>
        <w:tc>
          <w:tcPr>
            <w:tcW w:w="45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w:t>
            </w:r>
          </w:p>
        </w:tc>
      </w:tr>
      <w:tr>
        <w:trPr/>
        <w:tc>
          <w:tcPr>
            <w:tcW w:w="764" w:type="dxa"/>
            <w:tcBorders/>
            <w:shd w:fill="FFFFFF" w:val="clear"/>
            <w:vAlign w:val="center"/>
          </w:tcPr>
          <w:p>
            <w:pPr>
              <w:pStyle w:val="TableContents"/>
              <w:bidi w:val="0"/>
              <w:spacing w:before="0" w:after="283"/>
              <w:jc w:val="left"/>
              <w:rPr/>
            </w:pPr>
            <w:r>
              <w:rPr/>
              <w:t> </w:t>
            </w:r>
          </w:p>
        </w:tc>
        <w:tc>
          <w:tcPr>
            <w:tcW w:w="89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Notes to Unaudited Condensed Consolidated Financial Statements</w:t>
            </w:r>
          </w:p>
        </w:tc>
        <w:tc>
          <w:tcPr>
            <w:tcW w:w="45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r>
      <w:tr>
        <w:trPr/>
        <w:tc>
          <w:tcPr>
            <w:tcW w:w="764" w:type="dxa"/>
            <w:tcBorders/>
            <w:shd w:fill="CCEEFF" w:val="clear"/>
            <w:vAlign w:val="center"/>
          </w:tcPr>
          <w:p>
            <w:pPr>
              <w:pStyle w:val="TableContents"/>
              <w:bidi w:val="0"/>
              <w:spacing w:before="0" w:after="0"/>
              <w:ind w:left="160" w:right="0" w:hanging="16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ITEM 2.</w:t>
            </w:r>
          </w:p>
        </w:tc>
        <w:tc>
          <w:tcPr>
            <w:tcW w:w="89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Management’s Discussion and Analysis of Financial Condition and Results of Operations</w:t>
            </w:r>
          </w:p>
        </w:tc>
        <w:tc>
          <w:tcPr>
            <w:tcW w:w="45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w:t>
            </w:r>
          </w:p>
        </w:tc>
      </w:tr>
      <w:tr>
        <w:trPr/>
        <w:tc>
          <w:tcPr>
            <w:tcW w:w="764" w:type="dxa"/>
            <w:tcBorders/>
            <w:shd w:fill="FFFFFF" w:val="clear"/>
            <w:vAlign w:val="center"/>
          </w:tcPr>
          <w:p>
            <w:pPr>
              <w:pStyle w:val="TableContents"/>
              <w:bidi w:val="0"/>
              <w:spacing w:before="0" w:after="0"/>
              <w:ind w:left="160" w:right="0" w:hanging="16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ITEM 3.</w:t>
            </w:r>
          </w:p>
        </w:tc>
        <w:tc>
          <w:tcPr>
            <w:tcW w:w="89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Quantitative and Qualitative Disclosures About Market Risk</w:t>
            </w:r>
          </w:p>
        </w:tc>
        <w:tc>
          <w:tcPr>
            <w:tcW w:w="45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w:t>
            </w:r>
          </w:p>
        </w:tc>
      </w:tr>
      <w:tr>
        <w:trPr/>
        <w:tc>
          <w:tcPr>
            <w:tcW w:w="764" w:type="dxa"/>
            <w:tcBorders/>
            <w:shd w:fill="CCEEFF" w:val="clear"/>
            <w:vAlign w:val="center"/>
          </w:tcPr>
          <w:p>
            <w:pPr>
              <w:pStyle w:val="TableContents"/>
              <w:bidi w:val="0"/>
              <w:spacing w:before="0" w:after="0"/>
              <w:ind w:left="160" w:right="0" w:hanging="16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ITEM 4.</w:t>
            </w:r>
          </w:p>
        </w:tc>
        <w:tc>
          <w:tcPr>
            <w:tcW w:w="89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Controls and Procedures</w:t>
            </w:r>
          </w:p>
        </w:tc>
        <w:tc>
          <w:tcPr>
            <w:tcW w:w="45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w:t>
            </w:r>
          </w:p>
        </w:tc>
      </w:tr>
      <w:tr>
        <w:trPr/>
        <w:tc>
          <w:tcPr>
            <w:tcW w:w="764" w:type="dxa"/>
            <w:tcBorders/>
            <w:shd w:fill="FFFFFF" w:val="clear"/>
            <w:vAlign w:val="center"/>
          </w:tcPr>
          <w:p>
            <w:pPr>
              <w:pStyle w:val="TableContents"/>
              <w:bidi w:val="0"/>
              <w:spacing w:before="0" w:after="283"/>
              <w:jc w:val="left"/>
              <w:rPr/>
            </w:pPr>
            <w:r>
              <w:rPr/>
              <w:t> </w:t>
            </w:r>
          </w:p>
        </w:tc>
        <w:tc>
          <w:tcPr>
            <w:tcW w:w="8985" w:type="dxa"/>
            <w:tcBorders/>
            <w:shd w:fill="FFFFFF" w:val="clear"/>
            <w:vAlign w:val="center"/>
          </w:tcPr>
          <w:p>
            <w:pPr>
              <w:pStyle w:val="TableContents"/>
              <w:bidi w:val="0"/>
              <w:spacing w:before="0" w:after="283"/>
              <w:jc w:val="left"/>
              <w:rPr/>
            </w:pPr>
            <w:r>
              <w:rPr/>
              <w:t> </w:t>
            </w:r>
          </w:p>
        </w:tc>
        <w:tc>
          <w:tcPr>
            <w:tcW w:w="456" w:type="dxa"/>
            <w:tcBorders/>
            <w:shd w:fill="FFFFFF" w:val="clear"/>
            <w:vAlign w:val="center"/>
          </w:tcPr>
          <w:p>
            <w:pPr>
              <w:pStyle w:val="TableContents"/>
              <w:bidi w:val="0"/>
              <w:spacing w:before="0" w:after="283"/>
              <w:jc w:val="left"/>
              <w:rPr/>
            </w:pPr>
            <w:r>
              <w:rPr/>
              <w:t> </w:t>
            </w:r>
          </w:p>
        </w:tc>
      </w:tr>
      <w:tr>
        <w:trPr/>
        <w:tc>
          <w:tcPr>
            <w:tcW w:w="9749" w:type="dxa"/>
            <w:gridSpan w:val="2"/>
            <w:tcBorders/>
            <w:shd w:fill="CCEEFF" w:val="clear"/>
            <w:vAlign w:val="center"/>
          </w:tcPr>
          <w:p>
            <w:pPr>
              <w:pStyle w:val="TableContents"/>
              <w:bidi w:val="0"/>
              <w:spacing w:before="0" w:after="0"/>
              <w:ind w:left="160" w:right="0" w:hanging="16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PART II - OTHER INFORMATION</w:t>
            </w:r>
          </w:p>
        </w:tc>
        <w:tc>
          <w:tcPr>
            <w:tcW w:w="456" w:type="dxa"/>
            <w:tcBorders/>
            <w:shd w:fill="CCEEFF" w:val="clear"/>
            <w:vAlign w:val="center"/>
          </w:tcPr>
          <w:p>
            <w:pPr>
              <w:pStyle w:val="TableContents"/>
              <w:bidi w:val="0"/>
              <w:spacing w:before="0" w:after="283"/>
              <w:jc w:val="right"/>
              <w:rPr/>
            </w:pPr>
            <w:r>
              <w:rPr/>
              <w:t> </w:t>
            </w:r>
          </w:p>
        </w:tc>
      </w:tr>
      <w:tr>
        <w:trPr/>
        <w:tc>
          <w:tcPr>
            <w:tcW w:w="764" w:type="dxa"/>
            <w:tcBorders/>
            <w:shd w:fill="FFFFFF" w:val="clear"/>
            <w:vAlign w:val="center"/>
          </w:tcPr>
          <w:p>
            <w:pPr>
              <w:pStyle w:val="TableContents"/>
              <w:bidi w:val="0"/>
              <w:spacing w:before="0" w:after="283"/>
              <w:jc w:val="left"/>
              <w:rPr/>
            </w:pPr>
            <w:r>
              <w:rPr/>
              <w:t> </w:t>
            </w:r>
          </w:p>
        </w:tc>
        <w:tc>
          <w:tcPr>
            <w:tcW w:w="8985" w:type="dxa"/>
            <w:tcBorders/>
            <w:shd w:fill="FFFFFF" w:val="clear"/>
            <w:vAlign w:val="center"/>
          </w:tcPr>
          <w:p>
            <w:pPr>
              <w:pStyle w:val="TableContents"/>
              <w:bidi w:val="0"/>
              <w:spacing w:before="0" w:after="283"/>
              <w:jc w:val="left"/>
              <w:rPr/>
            </w:pPr>
            <w:r>
              <w:rPr/>
              <w:t> </w:t>
            </w:r>
          </w:p>
        </w:tc>
        <w:tc>
          <w:tcPr>
            <w:tcW w:w="456" w:type="dxa"/>
            <w:tcBorders/>
            <w:shd w:fill="FFFFFF" w:val="clear"/>
            <w:vAlign w:val="center"/>
          </w:tcPr>
          <w:p>
            <w:pPr>
              <w:pStyle w:val="TableContents"/>
              <w:bidi w:val="0"/>
              <w:spacing w:before="0" w:after="283"/>
              <w:jc w:val="left"/>
              <w:rPr/>
            </w:pPr>
            <w:r>
              <w:rPr/>
              <w:t> </w:t>
            </w:r>
          </w:p>
        </w:tc>
      </w:tr>
      <w:tr>
        <w:trPr/>
        <w:tc>
          <w:tcPr>
            <w:tcW w:w="764" w:type="dxa"/>
            <w:tcBorders/>
            <w:shd w:fill="CCEEFF" w:val="clear"/>
            <w:vAlign w:val="center"/>
          </w:tcPr>
          <w:p>
            <w:pPr>
              <w:pStyle w:val="TableContents"/>
              <w:bidi w:val="0"/>
              <w:spacing w:before="0" w:after="0"/>
              <w:ind w:left="160" w:right="0" w:hanging="16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ITEM 1.</w:t>
            </w:r>
          </w:p>
        </w:tc>
        <w:tc>
          <w:tcPr>
            <w:tcW w:w="89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Legal Proceedings</w:t>
            </w:r>
          </w:p>
        </w:tc>
        <w:tc>
          <w:tcPr>
            <w:tcW w:w="45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w:t>
            </w:r>
          </w:p>
        </w:tc>
      </w:tr>
      <w:tr>
        <w:trPr/>
        <w:tc>
          <w:tcPr>
            <w:tcW w:w="764" w:type="dxa"/>
            <w:tcBorders/>
            <w:shd w:fill="FFFFFF" w:val="clear"/>
            <w:vAlign w:val="center"/>
          </w:tcPr>
          <w:p>
            <w:pPr>
              <w:pStyle w:val="TableContents"/>
              <w:bidi w:val="0"/>
              <w:spacing w:before="0" w:after="0"/>
              <w:ind w:left="160" w:right="0" w:hanging="16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ITEM 1A.</w:t>
            </w:r>
          </w:p>
        </w:tc>
        <w:tc>
          <w:tcPr>
            <w:tcW w:w="89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Risk Factors</w:t>
            </w:r>
          </w:p>
        </w:tc>
        <w:tc>
          <w:tcPr>
            <w:tcW w:w="45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w:t>
            </w:r>
          </w:p>
        </w:tc>
      </w:tr>
      <w:tr>
        <w:trPr/>
        <w:tc>
          <w:tcPr>
            <w:tcW w:w="764" w:type="dxa"/>
            <w:tcBorders/>
            <w:shd w:fill="CCEEFF" w:val="clear"/>
            <w:vAlign w:val="center"/>
          </w:tcPr>
          <w:p>
            <w:pPr>
              <w:pStyle w:val="TableContents"/>
              <w:bidi w:val="0"/>
              <w:spacing w:before="0" w:after="0"/>
              <w:ind w:left="160" w:right="0" w:hanging="16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ITEM 2.</w:t>
            </w:r>
          </w:p>
        </w:tc>
        <w:tc>
          <w:tcPr>
            <w:tcW w:w="89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Unregistered Sales of Equity Securities and Use of Proceeds</w:t>
            </w:r>
          </w:p>
        </w:tc>
        <w:tc>
          <w:tcPr>
            <w:tcW w:w="45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w:t>
            </w:r>
          </w:p>
        </w:tc>
      </w:tr>
      <w:tr>
        <w:trPr/>
        <w:tc>
          <w:tcPr>
            <w:tcW w:w="764" w:type="dxa"/>
            <w:tcBorders/>
            <w:shd w:fill="FFFFFF" w:val="clear"/>
            <w:vAlign w:val="center"/>
          </w:tcPr>
          <w:p>
            <w:pPr>
              <w:pStyle w:val="TableContents"/>
              <w:bidi w:val="0"/>
              <w:spacing w:before="0" w:after="0"/>
              <w:ind w:left="160" w:right="0" w:hanging="16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ITEM 3.</w:t>
            </w:r>
          </w:p>
        </w:tc>
        <w:tc>
          <w:tcPr>
            <w:tcW w:w="89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Defaults Upon Senior Securities</w:t>
            </w:r>
          </w:p>
        </w:tc>
        <w:tc>
          <w:tcPr>
            <w:tcW w:w="45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w:t>
            </w:r>
          </w:p>
        </w:tc>
      </w:tr>
      <w:tr>
        <w:trPr/>
        <w:tc>
          <w:tcPr>
            <w:tcW w:w="764" w:type="dxa"/>
            <w:tcBorders/>
            <w:shd w:fill="CCEEFF" w:val="clear"/>
            <w:vAlign w:val="center"/>
          </w:tcPr>
          <w:p>
            <w:pPr>
              <w:pStyle w:val="TableContents"/>
              <w:bidi w:val="0"/>
              <w:spacing w:before="0" w:after="0"/>
              <w:ind w:left="160" w:right="0" w:hanging="16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ITEM 4.</w:t>
            </w:r>
          </w:p>
        </w:tc>
        <w:tc>
          <w:tcPr>
            <w:tcW w:w="89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Mine Safety Disclosures</w:t>
            </w:r>
          </w:p>
        </w:tc>
        <w:tc>
          <w:tcPr>
            <w:tcW w:w="45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w:t>
            </w:r>
          </w:p>
        </w:tc>
      </w:tr>
      <w:tr>
        <w:trPr/>
        <w:tc>
          <w:tcPr>
            <w:tcW w:w="764" w:type="dxa"/>
            <w:tcBorders/>
            <w:shd w:fill="FFFFFF" w:val="clear"/>
            <w:vAlign w:val="center"/>
          </w:tcPr>
          <w:p>
            <w:pPr>
              <w:pStyle w:val="TableContents"/>
              <w:bidi w:val="0"/>
              <w:spacing w:before="0" w:after="0"/>
              <w:ind w:left="160" w:right="0" w:hanging="16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ITEM 5.</w:t>
            </w:r>
          </w:p>
        </w:tc>
        <w:tc>
          <w:tcPr>
            <w:tcW w:w="89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Information</w:t>
            </w:r>
          </w:p>
        </w:tc>
        <w:tc>
          <w:tcPr>
            <w:tcW w:w="45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w:t>
            </w:r>
          </w:p>
        </w:tc>
      </w:tr>
      <w:tr>
        <w:trPr/>
        <w:tc>
          <w:tcPr>
            <w:tcW w:w="764" w:type="dxa"/>
            <w:tcBorders/>
            <w:shd w:fill="CCEEFF" w:val="clear"/>
            <w:vAlign w:val="center"/>
          </w:tcPr>
          <w:p>
            <w:pPr>
              <w:pStyle w:val="TableContents"/>
              <w:bidi w:val="0"/>
              <w:spacing w:before="0" w:after="0"/>
              <w:ind w:left="160" w:right="0" w:hanging="16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ITEM 6.</w:t>
            </w:r>
          </w:p>
        </w:tc>
        <w:tc>
          <w:tcPr>
            <w:tcW w:w="89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Exhibits</w:t>
            </w:r>
          </w:p>
        </w:tc>
        <w:tc>
          <w:tcPr>
            <w:tcW w:w="45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w:t>
            </w:r>
          </w:p>
        </w:tc>
      </w:tr>
      <w:tr>
        <w:trPr/>
        <w:tc>
          <w:tcPr>
            <w:tcW w:w="764" w:type="dxa"/>
            <w:tcBorders/>
            <w:shd w:fill="FFFFFF" w:val="clear"/>
            <w:vAlign w:val="center"/>
          </w:tcPr>
          <w:p>
            <w:pPr>
              <w:pStyle w:val="TableContents"/>
              <w:bidi w:val="0"/>
              <w:spacing w:before="0" w:after="283"/>
              <w:jc w:val="left"/>
              <w:rPr/>
            </w:pPr>
            <w:r>
              <w:rPr/>
              <w:t> </w:t>
            </w:r>
          </w:p>
        </w:tc>
        <w:tc>
          <w:tcPr>
            <w:tcW w:w="8985" w:type="dxa"/>
            <w:tcBorders/>
            <w:shd w:fill="FFFFFF" w:val="clear"/>
            <w:vAlign w:val="center"/>
          </w:tcPr>
          <w:p>
            <w:pPr>
              <w:pStyle w:val="TableContents"/>
              <w:bidi w:val="0"/>
              <w:spacing w:before="0" w:after="283"/>
              <w:jc w:val="left"/>
              <w:rPr/>
            </w:pPr>
            <w:r>
              <w:rPr/>
              <w:t> </w:t>
            </w:r>
          </w:p>
        </w:tc>
        <w:tc>
          <w:tcPr>
            <w:tcW w:w="456" w:type="dxa"/>
            <w:tcBorders/>
            <w:shd w:fill="FFFFFF" w:val="clear"/>
            <w:vAlign w:val="center"/>
          </w:tcPr>
          <w:p>
            <w:pPr>
              <w:pStyle w:val="TableContents"/>
              <w:bidi w:val="0"/>
              <w:spacing w:before="0" w:after="283"/>
              <w:jc w:val="left"/>
              <w:rPr/>
            </w:pPr>
            <w:r>
              <w:rPr/>
              <w:t> </w:t>
            </w:r>
          </w:p>
        </w:tc>
      </w:tr>
      <w:tr>
        <w:trPr/>
        <w:tc>
          <w:tcPr>
            <w:tcW w:w="9749" w:type="dxa"/>
            <w:gridSpan w:val="2"/>
            <w:tcBorders/>
            <w:shd w:fill="CCEEFF" w:val="clear"/>
            <w:vAlign w:val="center"/>
          </w:tcPr>
          <w:p>
            <w:pPr>
              <w:pStyle w:val="TableContents"/>
              <w:bidi w:val="0"/>
              <w:spacing w:before="0" w:after="0"/>
              <w:ind w:left="160" w:right="0" w:hanging="16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SIGNATURES</w:t>
            </w:r>
          </w:p>
        </w:tc>
        <w:tc>
          <w:tcPr>
            <w:tcW w:w="45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w:t>
            </w:r>
          </w:p>
        </w:tc>
      </w:tr>
    </w:tbl>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PART I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1.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NRX PHARMACEUTICALS,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BALANCE SHEETS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902"/>
        <w:gridCol w:w="60"/>
        <w:gridCol w:w="137"/>
        <w:gridCol w:w="840"/>
        <w:gridCol w:w="80"/>
        <w:gridCol w:w="60"/>
        <w:gridCol w:w="148"/>
        <w:gridCol w:w="895"/>
        <w:gridCol w:w="83"/>
      </w:tblGrid>
      <w:tr>
        <w:trPr/>
        <w:tc>
          <w:tcPr>
            <w:tcW w:w="790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June 30,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4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December 31,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3" w:type="dxa"/>
            <w:tcBorders/>
            <w:vAlign w:val="center"/>
          </w:tcPr>
          <w:p>
            <w:pPr>
              <w:pStyle w:val="TableContents"/>
              <w:bidi w:val="0"/>
              <w:spacing w:before="0" w:after="283"/>
              <w:jc w:val="left"/>
              <w:rPr/>
            </w:pPr>
            <w:r>
              <w:rPr/>
              <w:t> </w:t>
            </w:r>
          </w:p>
        </w:tc>
      </w:tr>
      <w:tr>
        <w:trPr/>
        <w:tc>
          <w:tcPr>
            <w:tcW w:w="790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7"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895" w:type="dxa"/>
            <w:tcBorders/>
            <w:vAlign w:val="center"/>
          </w:tcPr>
          <w:p>
            <w:pPr>
              <w:pStyle w:val="TableContents"/>
              <w:bidi w:val="0"/>
              <w:spacing w:before="0" w:after="283"/>
              <w:jc w:val="center"/>
              <w:rPr/>
            </w:pPr>
            <w:r>
              <w:rPr/>
              <w:t> </w:t>
            </w:r>
          </w:p>
        </w:tc>
        <w:tc>
          <w:tcPr>
            <w:tcW w:w="83" w:type="dxa"/>
            <w:tcBorders/>
            <w:vAlign w:val="center"/>
          </w:tcPr>
          <w:p>
            <w:pPr>
              <w:pStyle w:val="TableContents"/>
              <w:bidi w:val="0"/>
              <w:spacing w:before="0" w:after="283"/>
              <w:jc w:val="left"/>
              <w:rPr/>
            </w:pPr>
            <w:r>
              <w:rPr/>
              <w:t> </w:t>
            </w:r>
          </w:p>
        </w:tc>
      </w:tr>
      <w:tr>
        <w:trPr/>
        <w:tc>
          <w:tcPr>
            <w:tcW w:w="7902" w:type="dxa"/>
            <w:tcBorders/>
            <w:shd w:fill="CCEE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center"/>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90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902"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3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1,443</w:t>
            </w:r>
          </w:p>
        </w:tc>
        <w:tc>
          <w:tcPr>
            <w:tcW w:w="83" w:type="dxa"/>
            <w:tcBorders/>
            <w:shd w:fill="CCEEFF" w:val="clear"/>
            <w:vAlign w:val="center"/>
          </w:tcPr>
          <w:p>
            <w:pPr>
              <w:pStyle w:val="TableContents"/>
              <w:bidi w:val="0"/>
              <w:spacing w:before="0" w:after="283"/>
              <w:jc w:val="left"/>
              <w:rPr/>
            </w:pPr>
            <w:r>
              <w:rPr/>
              <w:t> </w:t>
            </w:r>
          </w:p>
        </w:tc>
      </w:tr>
      <w:tr>
        <w:trPr/>
        <w:tc>
          <w:tcPr>
            <w:tcW w:w="7902"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1,859</w:t>
            </w:r>
          </w:p>
        </w:tc>
        <w:tc>
          <w:tcPr>
            <w:tcW w:w="83" w:type="dxa"/>
            <w:tcBorders/>
            <w:shd w:fill="FFFFFF" w:val="clear"/>
            <w:vAlign w:val="center"/>
          </w:tcPr>
          <w:p>
            <w:pPr>
              <w:pStyle w:val="TableContents"/>
              <w:bidi w:val="0"/>
              <w:spacing w:before="0" w:after="283"/>
              <w:jc w:val="left"/>
              <w:rPr/>
            </w:pPr>
            <w:r>
              <w:rPr/>
              <w:t> </w:t>
            </w:r>
          </w:p>
        </w:tc>
      </w:tr>
      <w:tr>
        <w:trPr/>
        <w:tc>
          <w:tcPr>
            <w:tcW w:w="7902"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assets</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8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8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3,302</w:t>
            </w:r>
          </w:p>
        </w:tc>
        <w:tc>
          <w:tcPr>
            <w:tcW w:w="83" w:type="dxa"/>
            <w:tcBorders/>
            <w:shd w:fill="CCEEFF" w:val="clear"/>
            <w:vAlign w:val="center"/>
          </w:tcPr>
          <w:p>
            <w:pPr>
              <w:pStyle w:val="TableContents"/>
              <w:bidi w:val="0"/>
              <w:spacing w:before="0" w:after="283"/>
              <w:jc w:val="left"/>
              <w:rPr/>
            </w:pPr>
            <w:r>
              <w:rPr/>
              <w:t> </w:t>
            </w:r>
          </w:p>
        </w:tc>
      </w:tr>
      <w:tr>
        <w:trPr/>
        <w:tc>
          <w:tcPr>
            <w:tcW w:w="7902"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assets</w:t>
            </w:r>
          </w:p>
        </w:tc>
        <w:tc>
          <w:tcPr>
            <w:tcW w:w="60" w:type="dxa"/>
            <w:tcBorders/>
            <w:shd w:fill="FFFFFF" w:val="clear"/>
            <w:vAlign w:val="center"/>
          </w:tcPr>
          <w:p>
            <w:pPr>
              <w:pStyle w:val="TableContents"/>
              <w:bidi w:val="0"/>
              <w:spacing w:before="0" w:after="283"/>
              <w:jc w:val="left"/>
              <w:rPr/>
            </w:pPr>
            <w:r>
              <w:rPr/>
              <w:t> </w:t>
            </w:r>
          </w:p>
        </w:tc>
        <w:tc>
          <w:tcPr>
            <w:tcW w:w="1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349</w:t>
            </w:r>
          </w:p>
        </w:tc>
        <w:tc>
          <w:tcPr>
            <w:tcW w:w="83" w:type="dxa"/>
            <w:tcBorders/>
            <w:shd w:fill="FFFFFF" w:val="clear"/>
            <w:vAlign w:val="center"/>
          </w:tcPr>
          <w:p>
            <w:pPr>
              <w:pStyle w:val="TableContents"/>
              <w:bidi w:val="0"/>
              <w:spacing w:before="0" w:after="283"/>
              <w:jc w:val="left"/>
              <w:rPr/>
            </w:pPr>
            <w:r>
              <w:rPr/>
              <w:t> </w:t>
            </w:r>
          </w:p>
        </w:tc>
      </w:tr>
      <w:tr>
        <w:trPr/>
        <w:tc>
          <w:tcPr>
            <w:tcW w:w="7902"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3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4,838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3,651</w:t>
            </w:r>
          </w:p>
        </w:tc>
        <w:tc>
          <w:tcPr>
            <w:tcW w:w="83" w:type="dxa"/>
            <w:tcBorders/>
            <w:shd w:fill="CCEEFF" w:val="clear"/>
            <w:vAlign w:val="center"/>
          </w:tcPr>
          <w:p>
            <w:pPr>
              <w:pStyle w:val="TableContents"/>
              <w:bidi w:val="0"/>
              <w:spacing w:before="0" w:after="283"/>
              <w:jc w:val="left"/>
              <w:rPr/>
            </w:pPr>
            <w:r>
              <w:rPr/>
              <w:t> </w:t>
            </w:r>
          </w:p>
        </w:tc>
      </w:tr>
      <w:tr>
        <w:trPr/>
        <w:tc>
          <w:tcPr>
            <w:tcW w:w="790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902"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b/>
                <w:caps w:val="false"/>
                <w:smallCaps w:val="false"/>
                <w:sz w:val="20"/>
              </w:rPr>
              <w:t>LIABILITIES AND STOCKHOLDERS</w:t>
            </w:r>
            <w:r>
              <w:rPr>
                <w:rFonts w:ascii="Times New Roman;Times;serif" w:hAnsi="Times New Roman;Times;serif"/>
                <w:caps w:val="false"/>
                <w:smallCaps w:val="false"/>
                <w:sz w:val="20"/>
              </w:rPr>
              <w:t xml:space="preserve">’ </w:t>
            </w:r>
            <w:r>
              <w:rPr>
                <w:rFonts w:ascii="Times New Roman;Times;serif" w:hAnsi="Times New Roman;Times;serif"/>
                <w:b/>
                <w:caps w:val="false"/>
                <w:smallCaps w:val="false"/>
                <w:sz w:val="20"/>
              </w:rPr>
              <w:t>DEFICIT</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center"/>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90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902"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CCEEFF" w:val="clear"/>
            <w:vAlign w:val="center"/>
          </w:tcPr>
          <w:p>
            <w:pPr>
              <w:pStyle w:val="TableContents"/>
              <w:bidi w:val="0"/>
              <w:spacing w:before="0" w:after="283"/>
              <w:ind w:left="0" w:right="0" w:hanging="0"/>
              <w:jc w:val="left"/>
              <w:rPr/>
            </w:pPr>
            <w:r>
              <w:rPr/>
              <w:t> </w:t>
            </w:r>
          </w:p>
        </w:tc>
        <w:tc>
          <w:tcPr>
            <w:tcW w:w="13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4,130</w:t>
            </w:r>
          </w:p>
        </w:tc>
        <w:tc>
          <w:tcPr>
            <w:tcW w:w="83" w:type="dxa"/>
            <w:tcBorders/>
            <w:shd w:fill="CCEEFF" w:val="clear"/>
            <w:vAlign w:val="center"/>
          </w:tcPr>
          <w:p>
            <w:pPr>
              <w:pStyle w:val="TableContents"/>
              <w:bidi w:val="0"/>
              <w:spacing w:before="0" w:after="283"/>
              <w:jc w:val="left"/>
              <w:rPr/>
            </w:pPr>
            <w:r>
              <w:rPr/>
              <w:t> </w:t>
            </w:r>
          </w:p>
        </w:tc>
      </w:tr>
      <w:tr>
        <w:trPr/>
        <w:tc>
          <w:tcPr>
            <w:tcW w:w="7902"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and other current liabilities</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8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9,974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8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10,149</w:t>
            </w:r>
          </w:p>
        </w:tc>
        <w:tc>
          <w:tcPr>
            <w:tcW w:w="83" w:type="dxa"/>
            <w:tcBorders/>
            <w:shd w:fill="FFFFFF" w:val="clear"/>
            <w:vAlign w:val="center"/>
          </w:tcPr>
          <w:p>
            <w:pPr>
              <w:pStyle w:val="TableContents"/>
              <w:bidi w:val="0"/>
              <w:spacing w:before="0" w:after="283"/>
              <w:jc w:val="left"/>
              <w:rPr/>
            </w:pPr>
            <w:r>
              <w:rPr/>
              <w:t> </w:t>
            </w:r>
          </w:p>
        </w:tc>
      </w:tr>
      <w:tr>
        <w:trPr/>
        <w:tc>
          <w:tcPr>
            <w:tcW w:w="7902"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clinical site costs</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8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8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379</w:t>
            </w:r>
          </w:p>
        </w:tc>
        <w:tc>
          <w:tcPr>
            <w:tcW w:w="83" w:type="dxa"/>
            <w:tcBorders/>
            <w:shd w:fill="CCEEFF" w:val="clear"/>
            <w:vAlign w:val="center"/>
          </w:tcPr>
          <w:p>
            <w:pPr>
              <w:pStyle w:val="TableContents"/>
              <w:bidi w:val="0"/>
              <w:spacing w:before="0" w:after="283"/>
              <w:jc w:val="left"/>
              <w:rPr/>
            </w:pPr>
            <w:r>
              <w:rPr/>
              <w:t> </w:t>
            </w:r>
          </w:p>
        </w:tc>
      </w:tr>
      <w:tr>
        <w:trPr/>
        <w:tc>
          <w:tcPr>
            <w:tcW w:w="7902"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Convertible note payable and accrued interest – short term</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8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9,854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8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1,246</w:t>
            </w:r>
          </w:p>
        </w:tc>
        <w:tc>
          <w:tcPr>
            <w:tcW w:w="83" w:type="dxa"/>
            <w:tcBorders/>
            <w:shd w:fill="FFFFFF" w:val="clear"/>
            <w:vAlign w:val="center"/>
          </w:tcPr>
          <w:p>
            <w:pPr>
              <w:pStyle w:val="TableContents"/>
              <w:bidi w:val="0"/>
              <w:spacing w:before="0" w:after="283"/>
              <w:jc w:val="left"/>
              <w:rPr/>
            </w:pPr>
            <w:r>
              <w:rPr/>
              <w:t> </w:t>
            </w:r>
          </w:p>
        </w:tc>
      </w:tr>
      <w:tr>
        <w:trPr/>
        <w:tc>
          <w:tcPr>
            <w:tcW w:w="7902"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Insurance loan payable</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8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8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w:t>
            </w:r>
          </w:p>
        </w:tc>
        <w:tc>
          <w:tcPr>
            <w:tcW w:w="83" w:type="dxa"/>
            <w:tcBorders/>
            <w:shd w:fill="CCEEFF" w:val="clear"/>
            <w:vAlign w:val="center"/>
          </w:tcPr>
          <w:p>
            <w:pPr>
              <w:pStyle w:val="TableContents"/>
              <w:bidi w:val="0"/>
              <w:spacing w:before="0" w:after="283"/>
              <w:jc w:val="left"/>
              <w:rPr/>
            </w:pPr>
            <w:r>
              <w:rPr/>
              <w:t> </w:t>
            </w:r>
          </w:p>
        </w:tc>
      </w:tr>
      <w:tr>
        <w:trPr/>
        <w:tc>
          <w:tcPr>
            <w:tcW w:w="7902"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Warrant liabilities</w:t>
            </w:r>
          </w:p>
        </w:tc>
        <w:tc>
          <w:tcPr>
            <w:tcW w:w="60" w:type="dxa"/>
            <w:tcBorders/>
            <w:shd w:fill="FFFFFF" w:val="clear"/>
            <w:vAlign w:val="center"/>
          </w:tcPr>
          <w:p>
            <w:pPr>
              <w:pStyle w:val="TableContents"/>
              <w:bidi w:val="0"/>
              <w:spacing w:before="0" w:after="283"/>
              <w:jc w:val="left"/>
              <w:rPr/>
            </w:pPr>
            <w:r>
              <w:rPr/>
              <w:t> </w:t>
            </w:r>
          </w:p>
        </w:tc>
        <w:tc>
          <w:tcPr>
            <w:tcW w:w="1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5,639</w:t>
            </w:r>
          </w:p>
        </w:tc>
        <w:tc>
          <w:tcPr>
            <w:tcW w:w="83" w:type="dxa"/>
            <w:tcBorders/>
            <w:shd w:fill="FFFFFF" w:val="clear"/>
            <w:vAlign w:val="center"/>
          </w:tcPr>
          <w:p>
            <w:pPr>
              <w:pStyle w:val="TableContents"/>
              <w:bidi w:val="0"/>
              <w:spacing w:before="0" w:after="283"/>
              <w:jc w:val="left"/>
              <w:rPr/>
            </w:pPr>
            <w:r>
              <w:rPr/>
              <w:t> </w:t>
            </w:r>
          </w:p>
        </w:tc>
      </w:tr>
      <w:tr>
        <w:trPr/>
        <w:tc>
          <w:tcPr>
            <w:tcW w:w="7902"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liabilities</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8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40,453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8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21,863</w:t>
            </w:r>
          </w:p>
        </w:tc>
        <w:tc>
          <w:tcPr>
            <w:tcW w:w="83" w:type="dxa"/>
            <w:tcBorders/>
            <w:shd w:fill="CCEEFF" w:val="clear"/>
            <w:vAlign w:val="center"/>
          </w:tcPr>
          <w:p>
            <w:pPr>
              <w:pStyle w:val="TableContents"/>
              <w:bidi w:val="0"/>
              <w:spacing w:before="0" w:after="283"/>
              <w:jc w:val="left"/>
              <w:rPr/>
            </w:pPr>
            <w:r>
              <w:rPr/>
              <w:t> </w:t>
            </w:r>
          </w:p>
        </w:tc>
      </w:tr>
      <w:tr>
        <w:trPr/>
        <w:tc>
          <w:tcPr>
            <w:tcW w:w="7902"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Convertible note payable and accrued interest – long term</w:t>
            </w:r>
          </w:p>
        </w:tc>
        <w:tc>
          <w:tcPr>
            <w:tcW w:w="60" w:type="dxa"/>
            <w:tcBorders/>
            <w:shd w:fill="FFFFFF" w:val="clear"/>
            <w:vAlign w:val="center"/>
          </w:tcPr>
          <w:p>
            <w:pPr>
              <w:pStyle w:val="TableContents"/>
              <w:bidi w:val="0"/>
              <w:spacing w:before="0" w:after="283"/>
              <w:jc w:val="left"/>
              <w:rPr/>
            </w:pPr>
            <w:r>
              <w:rPr/>
              <w:t> </w:t>
            </w:r>
          </w:p>
        </w:tc>
        <w:tc>
          <w:tcPr>
            <w:tcW w:w="1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5,011</w:t>
            </w:r>
          </w:p>
        </w:tc>
        <w:tc>
          <w:tcPr>
            <w:tcW w:w="83" w:type="dxa"/>
            <w:tcBorders/>
            <w:shd w:fill="FFFFFF" w:val="clear"/>
            <w:vAlign w:val="center"/>
          </w:tcPr>
          <w:p>
            <w:pPr>
              <w:pStyle w:val="TableContents"/>
              <w:bidi w:val="0"/>
              <w:spacing w:before="0" w:after="283"/>
              <w:jc w:val="left"/>
              <w:rPr/>
            </w:pPr>
            <w:r>
              <w:rPr/>
              <w:t> </w:t>
            </w:r>
          </w:p>
        </w:tc>
      </w:tr>
      <w:tr>
        <w:trPr/>
        <w:tc>
          <w:tcPr>
            <w:tcW w:w="7902"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13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40,453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26,874</w:t>
            </w:r>
          </w:p>
        </w:tc>
        <w:tc>
          <w:tcPr>
            <w:tcW w:w="83" w:type="dxa"/>
            <w:tcBorders/>
            <w:shd w:fill="CCEEFF" w:val="clear"/>
            <w:vAlign w:val="center"/>
          </w:tcPr>
          <w:p>
            <w:pPr>
              <w:pStyle w:val="TableContents"/>
              <w:bidi w:val="0"/>
              <w:spacing w:before="0" w:after="283"/>
              <w:jc w:val="left"/>
              <w:rPr/>
            </w:pPr>
            <w:r>
              <w:rPr/>
              <w:t> </w:t>
            </w:r>
          </w:p>
        </w:tc>
      </w:tr>
      <w:tr>
        <w:trPr/>
        <w:tc>
          <w:tcPr>
            <w:tcW w:w="790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90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Commitments and Contingencies (Note 8)</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90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90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Stockholders’ deficit:</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902"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Preferred stock, $0.001 par value, 50,000,000 shares authorized;</w:t>
            </w:r>
          </w:p>
        </w:tc>
        <w:tc>
          <w:tcPr>
            <w:tcW w:w="60" w:type="dxa"/>
            <w:tcBorders/>
            <w:shd w:fill="FFFFFF" w:val="clear"/>
            <w:vAlign w:val="center"/>
          </w:tcPr>
          <w:p>
            <w:pPr>
              <w:pStyle w:val="TableContents"/>
              <w:bidi w:val="0"/>
              <w:spacing w:before="0" w:after="283"/>
              <w:ind w:left="0" w:right="0" w:hanging="0"/>
              <w:jc w:val="left"/>
              <w:rPr/>
            </w:pPr>
            <w:r>
              <w:rPr/>
              <w:t> </w:t>
            </w:r>
          </w:p>
        </w:tc>
        <w:tc>
          <w:tcPr>
            <w:tcW w:w="13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shd w:fill="FFFFFF" w:val="clear"/>
            <w:vAlign w:val="center"/>
          </w:tcPr>
          <w:p>
            <w:pPr>
              <w:pStyle w:val="TableContents"/>
              <w:bidi w:val="0"/>
              <w:spacing w:before="0" w:after="283"/>
              <w:ind w:left="0" w:right="0" w:hanging="0"/>
              <w:jc w:val="right"/>
              <w:rPr/>
            </w:pPr>
            <w:r>
              <w:rPr/>
              <w:t>—</w:t>
            </w:r>
          </w:p>
        </w:tc>
        <w:tc>
          <w:tcPr>
            <w:tcW w:w="83" w:type="dxa"/>
            <w:tcBorders/>
            <w:shd w:fill="FFFFFF" w:val="clear"/>
            <w:vAlign w:val="center"/>
          </w:tcPr>
          <w:p>
            <w:pPr>
              <w:pStyle w:val="TableContents"/>
              <w:bidi w:val="0"/>
              <w:spacing w:before="0" w:after="283"/>
              <w:jc w:val="left"/>
              <w:rPr/>
            </w:pPr>
            <w:r>
              <w:rPr/>
              <w:t> </w:t>
            </w:r>
          </w:p>
        </w:tc>
      </w:tr>
      <w:tr>
        <w:trPr/>
        <w:tc>
          <w:tcPr>
            <w:tcW w:w="7902"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Series A convertible preferred stock, $0.001 par value, 12,000,000 shares authorized; 0 shares issued and outstanding at June 30, 2025 and December 31, 2024, respectively</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84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895" w:type="dxa"/>
            <w:tcBorders/>
            <w:shd w:fill="CCEEFF" w:val="clear"/>
            <w:vAlign w:val="center"/>
          </w:tcPr>
          <w:p>
            <w:pPr>
              <w:pStyle w:val="TableContents"/>
              <w:bidi w:val="0"/>
              <w:spacing w:before="0" w:after="283"/>
              <w:ind w:left="0" w:right="0" w:hanging="0"/>
              <w:jc w:val="right"/>
              <w:rPr/>
            </w:pPr>
            <w:r>
              <w:rPr/>
              <w:t>—</w:t>
            </w:r>
          </w:p>
        </w:tc>
        <w:tc>
          <w:tcPr>
            <w:tcW w:w="83" w:type="dxa"/>
            <w:tcBorders/>
            <w:shd w:fill="CCEEFF" w:val="clear"/>
            <w:vAlign w:val="center"/>
          </w:tcPr>
          <w:p>
            <w:pPr>
              <w:pStyle w:val="TableContents"/>
              <w:bidi w:val="0"/>
              <w:spacing w:before="0" w:after="283"/>
              <w:jc w:val="left"/>
              <w:rPr/>
            </w:pPr>
            <w:r>
              <w:rPr/>
              <w:t> </w:t>
            </w:r>
          </w:p>
        </w:tc>
      </w:tr>
      <w:tr>
        <w:trPr/>
        <w:tc>
          <w:tcPr>
            <w:tcW w:w="7902"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$0.001 par value, 500,000,000 shares authorized; 19,473,588 and 14,591,505 shares issued and outstanding at June 30, 2025 and December 31, 2024, respectively</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8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8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83" w:type="dxa"/>
            <w:tcBorders/>
            <w:shd w:fill="FFFFFF" w:val="clear"/>
            <w:vAlign w:val="center"/>
          </w:tcPr>
          <w:p>
            <w:pPr>
              <w:pStyle w:val="TableContents"/>
              <w:bidi w:val="0"/>
              <w:spacing w:before="0" w:after="283"/>
              <w:jc w:val="left"/>
              <w:rPr/>
            </w:pPr>
            <w:r>
              <w:rPr/>
              <w:t> </w:t>
            </w:r>
          </w:p>
        </w:tc>
      </w:tr>
      <w:tr>
        <w:trPr/>
        <w:tc>
          <w:tcPr>
            <w:tcW w:w="7902"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Additional paid-in capital</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8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265,732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8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255,035</w:t>
            </w:r>
          </w:p>
        </w:tc>
        <w:tc>
          <w:tcPr>
            <w:tcW w:w="83" w:type="dxa"/>
            <w:tcBorders/>
            <w:shd w:fill="CCEEFF" w:val="clear"/>
            <w:vAlign w:val="center"/>
          </w:tcPr>
          <w:p>
            <w:pPr>
              <w:pStyle w:val="TableContents"/>
              <w:bidi w:val="0"/>
              <w:spacing w:before="0" w:after="283"/>
              <w:jc w:val="left"/>
              <w:rPr/>
            </w:pPr>
            <w:r>
              <w:rPr/>
              <w:t> </w:t>
            </w:r>
          </w:p>
        </w:tc>
      </w:tr>
      <w:tr>
        <w:trPr/>
        <w:tc>
          <w:tcPr>
            <w:tcW w:w="7902"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deficit</w:t>
            </w:r>
          </w:p>
        </w:tc>
        <w:tc>
          <w:tcPr>
            <w:tcW w:w="60" w:type="dxa"/>
            <w:tcBorders/>
            <w:shd w:fill="FFFFFF" w:val="clear"/>
            <w:vAlign w:val="center"/>
          </w:tcPr>
          <w:p>
            <w:pPr>
              <w:pStyle w:val="TableContents"/>
              <w:bidi w:val="0"/>
              <w:spacing w:before="0" w:after="283"/>
              <w:jc w:val="left"/>
              <w:rPr/>
            </w:pPr>
            <w:r>
              <w:rPr/>
              <w:t> </w:t>
            </w:r>
          </w:p>
        </w:tc>
        <w:tc>
          <w:tcPr>
            <w:tcW w:w="1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(301,366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(278,273</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902"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stockholders’ deficit</w:t>
            </w:r>
          </w:p>
        </w:tc>
        <w:tc>
          <w:tcPr>
            <w:tcW w:w="60" w:type="dxa"/>
            <w:tcBorders/>
            <w:shd w:fill="CCEEFF" w:val="clear"/>
            <w:vAlign w:val="center"/>
          </w:tcPr>
          <w:p>
            <w:pPr>
              <w:pStyle w:val="TableContents"/>
              <w:bidi w:val="0"/>
              <w:spacing w:before="0" w:after="283"/>
              <w:jc w:val="left"/>
              <w:rPr/>
            </w:pPr>
            <w:r>
              <w:rPr/>
              <w:t> </w:t>
            </w:r>
          </w:p>
        </w:tc>
        <w:tc>
          <w:tcPr>
            <w:tcW w:w="13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(35,615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(23,223</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902"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 and stockholders' deficit</w:t>
            </w:r>
          </w:p>
        </w:tc>
        <w:tc>
          <w:tcPr>
            <w:tcW w:w="60" w:type="dxa"/>
            <w:tcBorders/>
            <w:shd w:fill="FFFFFF" w:val="clear"/>
            <w:vAlign w:val="center"/>
          </w:tcPr>
          <w:p>
            <w:pPr>
              <w:pStyle w:val="TableContents"/>
              <w:bidi w:val="0"/>
              <w:spacing w:before="0" w:after="283"/>
              <w:ind w:left="0" w:right="0" w:hanging="0"/>
              <w:jc w:val="left"/>
              <w:rPr/>
            </w:pPr>
            <w:r>
              <w:rPr/>
              <w:t> </w:t>
            </w:r>
          </w:p>
        </w:tc>
        <w:tc>
          <w:tcPr>
            <w:tcW w:w="13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4,838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3,651</w:t>
            </w:r>
          </w:p>
        </w:tc>
        <w:tc>
          <w:tcPr>
            <w:tcW w:w="8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NRX PHARMACEUTICALS,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OPERATIONS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share and per share data)</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9830" w:type="dxa"/>
        <w:jc w:val="left"/>
        <w:tblInd w:w="0" w:type="dxa"/>
        <w:tblLayout w:type="fixed"/>
        <w:tblCellMar>
          <w:top w:w="0" w:type="dxa"/>
          <w:left w:w="0" w:type="dxa"/>
          <w:bottom w:w="0" w:type="dxa"/>
          <w:right w:w="0" w:type="dxa"/>
        </w:tblCellMar>
      </w:tblPr>
      <w:tblGrid>
        <w:gridCol w:w="5075"/>
        <w:gridCol w:w="60"/>
        <w:gridCol w:w="125"/>
        <w:gridCol w:w="950"/>
        <w:gridCol w:w="80"/>
        <w:gridCol w:w="60"/>
        <w:gridCol w:w="125"/>
        <w:gridCol w:w="950"/>
        <w:gridCol w:w="80"/>
        <w:gridCol w:w="60"/>
        <w:gridCol w:w="125"/>
        <w:gridCol w:w="950"/>
        <w:gridCol w:w="80"/>
        <w:gridCol w:w="60"/>
        <w:gridCol w:w="125"/>
        <w:gridCol w:w="845"/>
        <w:gridCol w:w="80"/>
      </w:tblGrid>
      <w:tr>
        <w:trPr/>
        <w:tc>
          <w:tcPr>
            <w:tcW w:w="50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9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18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30,</w:t>
            </w:r>
          </w:p>
        </w:tc>
        <w:tc>
          <w:tcPr>
            <w:tcW w:w="80" w:type="dxa"/>
            <w:tcBorders/>
            <w:vAlign w:val="center"/>
          </w:tcPr>
          <w:p>
            <w:pPr>
              <w:pStyle w:val="TableContents"/>
              <w:bidi w:val="0"/>
              <w:spacing w:before="0" w:after="283"/>
              <w:jc w:val="left"/>
              <w:rPr/>
            </w:pPr>
            <w:r>
              <w:rPr/>
              <w:t> </w:t>
            </w:r>
          </w:p>
        </w:tc>
      </w:tr>
      <w:tr>
        <w:trPr/>
        <w:tc>
          <w:tcPr>
            <w:tcW w:w="50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07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2,804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4,552</w:t>
            </w:r>
          </w:p>
        </w:tc>
        <w:tc>
          <w:tcPr>
            <w:tcW w:w="80" w:type="dxa"/>
            <w:tcBorders/>
            <w:shd w:fill="FFFFFF" w:val="clear"/>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8,496</w:t>
            </w:r>
          </w:p>
        </w:tc>
        <w:tc>
          <w:tcPr>
            <w:tcW w:w="80" w:type="dxa"/>
            <w:tcBorders/>
            <w:shd w:fill="CCEEFF" w:val="clear"/>
            <w:vAlign w:val="center"/>
          </w:tcPr>
          <w:p>
            <w:pPr>
              <w:pStyle w:val="TableContents"/>
              <w:bidi w:val="0"/>
              <w:spacing w:before="0" w:after="283"/>
              <w:jc w:val="left"/>
              <w:rPr/>
            </w:pPr>
            <w:r>
              <w:rPr/>
              <w:t> </w:t>
            </w:r>
          </w:p>
        </w:tc>
      </w:tr>
      <w:tr>
        <w:trPr/>
        <w:tc>
          <w:tcPr>
            <w:tcW w:w="507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Settlement expense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7,577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13,048</w:t>
            </w:r>
          </w:p>
        </w:tc>
        <w:tc>
          <w:tcPr>
            <w:tcW w:w="80" w:type="dxa"/>
            <w:tcBorders/>
            <w:shd w:fill="CCEEFF" w:val="clear"/>
            <w:vAlign w:val="center"/>
          </w:tcPr>
          <w:p>
            <w:pPr>
              <w:pStyle w:val="TableContents"/>
              <w:bidi w:val="0"/>
              <w:spacing w:before="0" w:after="283"/>
              <w:jc w:val="left"/>
              <w:rPr/>
            </w:pPr>
            <w:r>
              <w:rPr/>
              <w:t> </w:t>
            </w:r>
          </w:p>
        </w:tc>
      </w:tr>
      <w:tr>
        <w:trPr/>
        <w:tc>
          <w:tcPr>
            <w:tcW w:w="50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from operations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(3,730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(7,050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(7,577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(13,048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07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7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w:t>
            </w:r>
          </w:p>
        </w:tc>
        <w:tc>
          <w:tcPr>
            <w:tcW w:w="80" w:type="dxa"/>
            <w:tcBorders/>
            <w:shd w:fill="CCEEFF" w:val="clear"/>
            <w:vAlign w:val="center"/>
          </w:tcPr>
          <w:p>
            <w:pPr>
              <w:pStyle w:val="TableContents"/>
              <w:bidi w:val="0"/>
              <w:spacing w:before="0" w:after="283"/>
              <w:jc w:val="left"/>
              <w:rPr/>
            </w:pPr>
            <w:r>
              <w:rPr/>
              <w:t> </w:t>
            </w:r>
          </w:p>
        </w:tc>
      </w:tr>
      <w:tr>
        <w:trPr/>
        <w:tc>
          <w:tcPr>
            <w:tcW w:w="507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convertible note payable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5,565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341</w:t>
            </w:r>
          </w:p>
        </w:tc>
        <w:tc>
          <w:tcPr>
            <w:tcW w:w="80" w:type="dxa"/>
            <w:tcBorders/>
            <w:shd w:fill="FFFFFF" w:val="clear"/>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warrant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7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Convertible note default penalty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849</w:t>
            </w:r>
          </w:p>
        </w:tc>
        <w:tc>
          <w:tcPr>
            <w:tcW w:w="80" w:type="dxa"/>
            <w:tcBorders/>
            <w:shd w:fill="FFFFFF" w:val="clear"/>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issuance of the Registered Direct Offering (see Note 9)</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507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Consideration Shares and Warrants (see Note 9)</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convertible note conversions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50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expenses, net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1,377</w:t>
            </w:r>
          </w:p>
        </w:tc>
        <w:tc>
          <w:tcPr>
            <w:tcW w:w="80" w:type="dxa"/>
            <w:tcBorders/>
            <w:shd w:fill="FFFFFF" w:val="clear"/>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(17,581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(7,897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(23,092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(14,425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per share: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and diluted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common shares outstanding:</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and diluted</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17,934,196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10,517,460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17,176,339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9,684,873</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condensed consolidated financial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NRX PHARMACEUTICALS,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CONDENSED CONSOLIDATED STATEMENTS OF CHANGES IN STOCKHOLDERS</w:t>
      </w:r>
      <w:r>
        <w:rPr>
          <w:rFonts w:ascii="Times New Roman" w:hAnsi="Times New Roman"/>
          <w:caps w:val="false"/>
          <w:smallCaps w:val="false"/>
          <w:sz w:val="20"/>
        </w:rPr>
        <w:t xml:space="preserve">’ </w:t>
      </w:r>
      <w:r>
        <w:rPr>
          <w:rFonts w:ascii="Times New Roman" w:hAnsi="Times New Roman"/>
          <w:b/>
          <w:caps w:val="false"/>
          <w:smallCaps w:val="false"/>
          <w:sz w:val="20"/>
        </w:rPr>
        <w:t>DEFICIT</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share data)</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97"/>
        <w:gridCol w:w="60"/>
        <w:gridCol w:w="93"/>
        <w:gridCol w:w="407"/>
        <w:gridCol w:w="60"/>
        <w:gridCol w:w="60"/>
        <w:gridCol w:w="179"/>
        <w:gridCol w:w="426"/>
        <w:gridCol w:w="60"/>
        <w:gridCol w:w="60"/>
        <w:gridCol w:w="60"/>
        <w:gridCol w:w="830"/>
        <w:gridCol w:w="60"/>
        <w:gridCol w:w="60"/>
        <w:gridCol w:w="179"/>
        <w:gridCol w:w="426"/>
        <w:gridCol w:w="60"/>
        <w:gridCol w:w="60"/>
        <w:gridCol w:w="120"/>
        <w:gridCol w:w="665"/>
        <w:gridCol w:w="80"/>
        <w:gridCol w:w="60"/>
        <w:gridCol w:w="136"/>
        <w:gridCol w:w="829"/>
        <w:gridCol w:w="80"/>
        <w:gridCol w:w="60"/>
        <w:gridCol w:w="338"/>
        <w:gridCol w:w="803"/>
        <w:gridCol w:w="60"/>
        <w:gridCol w:w="60"/>
        <w:gridCol w:w="156"/>
        <w:gridCol w:w="823"/>
        <w:gridCol w:w="98"/>
      </w:tblGrid>
      <w:tr>
        <w:trPr/>
        <w:tc>
          <w:tcPr>
            <w:tcW w:w="269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2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 xml:space="preserve">Series A </w:t>
            </w:r>
          </w:p>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 xml:space="preserve">Preferred </w:t>
            </w:r>
          </w:p>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1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8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Additional</w:t>
            </w:r>
          </w:p>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Paid-in-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41"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Accumulated</w:t>
            </w:r>
          </w:p>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 xml:space="preserve">Other </w:t>
            </w:r>
          </w:p>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 xml:space="preserve">Comprehensive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 xml:space="preserve">Total </w:t>
            </w:r>
          </w:p>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 xml:space="preserve">Stockholders’ </w:t>
            </w:r>
          </w:p>
        </w:tc>
        <w:tc>
          <w:tcPr>
            <w:tcW w:w="98" w:type="dxa"/>
            <w:tcBorders/>
            <w:vAlign w:val="center"/>
          </w:tcPr>
          <w:p>
            <w:pPr>
              <w:pStyle w:val="TableContents"/>
              <w:bidi w:val="0"/>
              <w:spacing w:before="0" w:after="283"/>
              <w:jc w:val="left"/>
              <w:rPr/>
            </w:pPr>
            <w:r>
              <w:rPr/>
              <w:t> </w:t>
            </w:r>
          </w:p>
        </w:tc>
      </w:tr>
      <w:tr>
        <w:trPr/>
        <w:tc>
          <w:tcPr>
            <w:tcW w:w="269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Capital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Deficit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Loss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Deficit</w:t>
            </w:r>
          </w:p>
        </w:tc>
        <w:tc>
          <w:tcPr>
            <w:tcW w:w="98" w:type="dxa"/>
            <w:tcBorders/>
            <w:vAlign w:val="center"/>
          </w:tcPr>
          <w:p>
            <w:pPr>
              <w:pStyle w:val="TableContents"/>
              <w:bidi w:val="0"/>
              <w:spacing w:before="0" w:after="283"/>
              <w:jc w:val="left"/>
              <w:rPr/>
            </w:pPr>
            <w:r>
              <w:rPr/>
              <w:t> </w:t>
            </w:r>
          </w:p>
        </w:tc>
      </w:tr>
      <w:tr>
        <w:trPr/>
        <w:tc>
          <w:tcPr>
            <w:tcW w:w="2697"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Balance - December 31, 2024</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ind w:left="0" w:right="0" w:hanging="0"/>
              <w:jc w:val="left"/>
              <w:rPr/>
            </w:pPr>
            <w:r>
              <w:rPr/>
              <w:t> </w:t>
            </w:r>
          </w:p>
        </w:tc>
        <w:tc>
          <w:tcPr>
            <w:tcW w:w="407"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9"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2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14,591,505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9"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2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255,035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6"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2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(278,273</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338"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03"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6"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2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(23,223</w:t>
            </w:r>
          </w:p>
        </w:tc>
        <w:tc>
          <w:tcPr>
            <w:tcW w:w="98"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269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Shares issued as conversion of principal and interest for convertible note</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ind w:left="0" w:right="0" w:hanging="0"/>
              <w:jc w:val="left"/>
              <w:rPr/>
            </w:pPr>
            <w:r>
              <w:rPr/>
              <w:t> </w:t>
            </w:r>
          </w:p>
        </w:tc>
        <w:tc>
          <w:tcPr>
            <w:tcW w:w="407"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42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1,009,518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426"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2,939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82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ind w:left="0" w:right="0" w:hanging="0"/>
              <w:jc w:val="left"/>
              <w:rPr/>
            </w:pPr>
            <w:r>
              <w:rPr/>
              <w:t> </w:t>
            </w:r>
          </w:p>
        </w:tc>
        <w:tc>
          <w:tcPr>
            <w:tcW w:w="803"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823"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2,940</w:t>
            </w:r>
          </w:p>
        </w:tc>
        <w:tc>
          <w:tcPr>
            <w:tcW w:w="98" w:type="dxa"/>
            <w:tcBorders/>
            <w:shd w:fill="FFFFFF" w:val="clear"/>
            <w:vAlign w:val="center"/>
          </w:tcPr>
          <w:p>
            <w:pPr>
              <w:pStyle w:val="TableContents"/>
              <w:bidi w:val="0"/>
              <w:spacing w:before="0" w:after="283"/>
              <w:jc w:val="left"/>
              <w:rPr/>
            </w:pPr>
            <w:r>
              <w:rPr/>
              <w:t> </w:t>
            </w:r>
          </w:p>
        </w:tc>
      </w:tr>
      <w:tr>
        <w:trPr/>
        <w:tc>
          <w:tcPr>
            <w:tcW w:w="269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Shares issued in connection with the Registered Direct offering, net of $245 issuance costs</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ind w:left="0" w:right="0" w:hanging="0"/>
              <w:jc w:val="left"/>
              <w:rPr/>
            </w:pPr>
            <w:r>
              <w:rPr/>
              <w:t> </w:t>
            </w:r>
          </w:p>
        </w:tc>
        <w:tc>
          <w:tcPr>
            <w:tcW w:w="407"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42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1,215,278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42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3,254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82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8" w:type="dxa"/>
            <w:tcBorders/>
            <w:shd w:fill="CCEEFF" w:val="clear"/>
            <w:vAlign w:val="center"/>
          </w:tcPr>
          <w:p>
            <w:pPr>
              <w:pStyle w:val="TableContents"/>
              <w:bidi w:val="0"/>
              <w:spacing w:before="0" w:after="283"/>
              <w:ind w:left="0" w:right="0" w:hanging="0"/>
              <w:jc w:val="left"/>
              <w:rPr/>
            </w:pPr>
            <w:r>
              <w:rPr/>
              <w:t> </w:t>
            </w:r>
          </w:p>
        </w:tc>
        <w:tc>
          <w:tcPr>
            <w:tcW w:w="803"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82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3,255</w:t>
            </w:r>
          </w:p>
        </w:tc>
        <w:tc>
          <w:tcPr>
            <w:tcW w:w="98" w:type="dxa"/>
            <w:tcBorders/>
            <w:shd w:fill="CCEEFF" w:val="clear"/>
            <w:vAlign w:val="center"/>
          </w:tcPr>
          <w:p>
            <w:pPr>
              <w:pStyle w:val="TableContents"/>
              <w:bidi w:val="0"/>
              <w:spacing w:before="0" w:after="283"/>
              <w:jc w:val="left"/>
              <w:rPr/>
            </w:pPr>
            <w:r>
              <w:rPr/>
              <w:t> </w:t>
            </w:r>
          </w:p>
        </w:tc>
      </w:tr>
      <w:tr>
        <w:trPr/>
        <w:tc>
          <w:tcPr>
            <w:tcW w:w="269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Fair value allocation of warrants issued with Registered Direct offering</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ind w:left="0" w:right="0" w:hanging="0"/>
              <w:jc w:val="left"/>
              <w:rPr/>
            </w:pPr>
            <w:r>
              <w:rPr/>
              <w:t> </w:t>
            </w:r>
          </w:p>
        </w:tc>
        <w:tc>
          <w:tcPr>
            <w:tcW w:w="407"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42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42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(3,255</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82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ind w:left="0" w:right="0" w:hanging="0"/>
              <w:jc w:val="left"/>
              <w:rPr/>
            </w:pPr>
            <w:r>
              <w:rPr/>
              <w:t> </w:t>
            </w:r>
          </w:p>
        </w:tc>
        <w:tc>
          <w:tcPr>
            <w:tcW w:w="803"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823"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(3,255</w:t>
            </w:r>
          </w:p>
        </w:tc>
        <w:tc>
          <w:tcPr>
            <w:tcW w:w="98"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269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Amortization of deferred offering costs</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ind w:left="0" w:right="0" w:hanging="0"/>
              <w:jc w:val="left"/>
              <w:rPr/>
            </w:pPr>
            <w:r>
              <w:rPr/>
              <w:t> </w:t>
            </w:r>
          </w:p>
        </w:tc>
        <w:tc>
          <w:tcPr>
            <w:tcW w:w="407"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42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42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82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8" w:type="dxa"/>
            <w:tcBorders/>
            <w:shd w:fill="CCEEFF" w:val="clear"/>
            <w:vAlign w:val="center"/>
          </w:tcPr>
          <w:p>
            <w:pPr>
              <w:pStyle w:val="TableContents"/>
              <w:bidi w:val="0"/>
              <w:spacing w:before="0" w:after="283"/>
              <w:ind w:left="0" w:right="0" w:hanging="0"/>
              <w:jc w:val="left"/>
              <w:rPr/>
            </w:pPr>
            <w:r>
              <w:rPr/>
              <w:t> </w:t>
            </w:r>
          </w:p>
        </w:tc>
        <w:tc>
          <w:tcPr>
            <w:tcW w:w="803"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82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w:t>
            </w:r>
          </w:p>
        </w:tc>
        <w:tc>
          <w:tcPr>
            <w:tcW w:w="98"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269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Consideration Shares issued as a result of repricing (See Note 9)</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ind w:left="0" w:right="0" w:hanging="0"/>
              <w:jc w:val="left"/>
              <w:rPr/>
            </w:pPr>
            <w:r>
              <w:rPr/>
              <w:t> </w:t>
            </w:r>
          </w:p>
        </w:tc>
        <w:tc>
          <w:tcPr>
            <w:tcW w:w="407"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42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303,819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42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82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ind w:left="0" w:right="0" w:hanging="0"/>
              <w:jc w:val="left"/>
              <w:rPr/>
            </w:pPr>
            <w:r>
              <w:rPr/>
              <w:t> </w:t>
            </w:r>
          </w:p>
        </w:tc>
        <w:tc>
          <w:tcPr>
            <w:tcW w:w="803"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823"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629</w:t>
            </w:r>
          </w:p>
        </w:tc>
        <w:tc>
          <w:tcPr>
            <w:tcW w:w="98" w:type="dxa"/>
            <w:tcBorders/>
            <w:shd w:fill="FFFFFF" w:val="clear"/>
            <w:vAlign w:val="center"/>
          </w:tcPr>
          <w:p>
            <w:pPr>
              <w:pStyle w:val="TableContents"/>
              <w:bidi w:val="0"/>
              <w:spacing w:before="0" w:after="283"/>
              <w:jc w:val="left"/>
              <w:rPr/>
            </w:pPr>
            <w:r>
              <w:rPr/>
              <w:t> </w:t>
            </w:r>
          </w:p>
        </w:tc>
      </w:tr>
      <w:tr>
        <w:trPr/>
        <w:tc>
          <w:tcPr>
            <w:tcW w:w="269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Stock-based compensation</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ind w:left="0" w:right="0" w:hanging="0"/>
              <w:jc w:val="left"/>
              <w:rPr/>
            </w:pPr>
            <w:r>
              <w:rPr/>
              <w:t> </w:t>
            </w:r>
          </w:p>
        </w:tc>
        <w:tc>
          <w:tcPr>
            <w:tcW w:w="407"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42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42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82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8" w:type="dxa"/>
            <w:tcBorders/>
            <w:shd w:fill="CCEEFF" w:val="clear"/>
            <w:vAlign w:val="center"/>
          </w:tcPr>
          <w:p>
            <w:pPr>
              <w:pStyle w:val="TableContents"/>
              <w:bidi w:val="0"/>
              <w:spacing w:before="0" w:after="283"/>
              <w:ind w:left="0" w:right="0" w:hanging="0"/>
              <w:jc w:val="left"/>
              <w:rPr/>
            </w:pPr>
            <w:r>
              <w:rPr/>
              <w:t> </w:t>
            </w:r>
          </w:p>
        </w:tc>
        <w:tc>
          <w:tcPr>
            <w:tcW w:w="803"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82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w:t>
            </w:r>
          </w:p>
        </w:tc>
        <w:tc>
          <w:tcPr>
            <w:tcW w:w="98" w:type="dxa"/>
            <w:tcBorders/>
            <w:shd w:fill="CCEEFF" w:val="clear"/>
            <w:vAlign w:val="center"/>
          </w:tcPr>
          <w:p>
            <w:pPr>
              <w:pStyle w:val="TableContents"/>
              <w:bidi w:val="0"/>
              <w:spacing w:before="0" w:after="283"/>
              <w:jc w:val="left"/>
              <w:rPr/>
            </w:pPr>
            <w:r>
              <w:rPr/>
              <w:t> </w:t>
            </w:r>
          </w:p>
        </w:tc>
      </w:tr>
      <w:tr>
        <w:trPr/>
        <w:tc>
          <w:tcPr>
            <w:tcW w:w="269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loss</w:t>
            </w:r>
          </w:p>
        </w:tc>
        <w:tc>
          <w:tcPr>
            <w:tcW w:w="60" w:type="dxa"/>
            <w:tcBorders/>
            <w:shd w:fill="FFFFFF" w:val="clear"/>
            <w:vAlign w:val="center"/>
          </w:tcPr>
          <w:p>
            <w:pPr>
              <w:pStyle w:val="TableContents"/>
              <w:bidi w:val="0"/>
              <w:spacing w:before="0" w:after="283"/>
              <w:jc w:val="left"/>
              <w:rPr/>
            </w:pPr>
            <w:r>
              <w:rPr/>
              <w:t> </w:t>
            </w:r>
          </w:p>
        </w:tc>
        <w:tc>
          <w:tcPr>
            <w:tcW w:w="9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(5,512</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3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(5,512</w:t>
            </w:r>
          </w:p>
        </w:tc>
        <w:tc>
          <w:tcPr>
            <w:tcW w:w="98"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269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b/>
                <w:caps w:val="false"/>
                <w:smallCaps w:val="false"/>
                <w:sz w:val="16"/>
              </w:rPr>
              <w:t xml:space="preserve">Balance </w:t>
            </w:r>
            <w:r>
              <w:rPr>
                <w:rFonts w:ascii="Times New Roman;Times;serif" w:hAnsi="Times New Roman;Times;serif"/>
                <w:caps w:val="false"/>
                <w:smallCaps w:val="false"/>
                <w:sz w:val="16"/>
              </w:rPr>
              <w:t xml:space="preserve">– </w:t>
            </w:r>
            <w:r>
              <w:rPr>
                <w:rFonts w:ascii="Times New Roman;Times;serif" w:hAnsi="Times New Roman;Times;serif"/>
                <w:b/>
                <w:caps w:val="false"/>
                <w:smallCaps w:val="false"/>
                <w:sz w:val="16"/>
              </w:rPr>
              <w:t>March 31, 2025</w:t>
            </w:r>
          </w:p>
        </w:tc>
        <w:tc>
          <w:tcPr>
            <w:tcW w:w="60" w:type="dxa"/>
            <w:tcBorders/>
            <w:shd w:fill="CCEEFF" w:val="clear"/>
            <w:vAlign w:val="center"/>
          </w:tcPr>
          <w:p>
            <w:pPr>
              <w:pStyle w:val="TableContents"/>
              <w:bidi w:val="0"/>
              <w:spacing w:before="0" w:after="283"/>
              <w:jc w:val="left"/>
              <w:rPr/>
            </w:pPr>
            <w:r>
              <w:rPr/>
              <w:t> </w:t>
            </w:r>
          </w:p>
        </w:tc>
        <w:tc>
          <w:tcPr>
            <w:tcW w:w="9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7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17,120,120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7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258,607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2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(283,785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5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(25,161</w:t>
            </w:r>
          </w:p>
        </w:tc>
        <w:tc>
          <w:tcPr>
            <w:tcW w:w="98"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269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Shares issued in exchange for services</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ind w:left="0" w:right="0" w:hanging="0"/>
              <w:jc w:val="left"/>
              <w:rPr/>
            </w:pPr>
            <w:r>
              <w:rPr/>
              <w:t> </w:t>
            </w:r>
          </w:p>
        </w:tc>
        <w:tc>
          <w:tcPr>
            <w:tcW w:w="407"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42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42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82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ind w:left="0" w:right="0" w:hanging="0"/>
              <w:jc w:val="left"/>
              <w:rPr/>
            </w:pPr>
            <w:r>
              <w:rPr/>
              <w:t> </w:t>
            </w:r>
          </w:p>
        </w:tc>
        <w:tc>
          <w:tcPr>
            <w:tcW w:w="803"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823"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150</w:t>
            </w:r>
          </w:p>
        </w:tc>
        <w:tc>
          <w:tcPr>
            <w:tcW w:w="98" w:type="dxa"/>
            <w:tcBorders/>
            <w:shd w:fill="FFFFFF" w:val="clear"/>
            <w:vAlign w:val="center"/>
          </w:tcPr>
          <w:p>
            <w:pPr>
              <w:pStyle w:val="TableContents"/>
              <w:bidi w:val="0"/>
              <w:spacing w:before="0" w:after="283"/>
              <w:jc w:val="left"/>
              <w:rPr/>
            </w:pPr>
            <w:r>
              <w:rPr/>
              <w:t> </w:t>
            </w:r>
          </w:p>
        </w:tc>
      </w:tr>
      <w:tr>
        <w:trPr/>
        <w:tc>
          <w:tcPr>
            <w:tcW w:w="269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Shares issued as conversion of principal and interest for convertible note</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ind w:left="0" w:right="0" w:hanging="0"/>
              <w:jc w:val="left"/>
              <w:rPr/>
            </w:pPr>
            <w:r>
              <w:rPr/>
              <w:t> </w:t>
            </w:r>
          </w:p>
        </w:tc>
        <w:tc>
          <w:tcPr>
            <w:tcW w:w="407"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42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1,879,406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42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5,981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82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8" w:type="dxa"/>
            <w:tcBorders/>
            <w:shd w:fill="CCEEFF" w:val="clear"/>
            <w:vAlign w:val="center"/>
          </w:tcPr>
          <w:p>
            <w:pPr>
              <w:pStyle w:val="TableContents"/>
              <w:bidi w:val="0"/>
              <w:spacing w:before="0" w:after="283"/>
              <w:ind w:left="0" w:right="0" w:hanging="0"/>
              <w:jc w:val="left"/>
              <w:rPr/>
            </w:pPr>
            <w:r>
              <w:rPr/>
              <w:t> </w:t>
            </w:r>
          </w:p>
        </w:tc>
        <w:tc>
          <w:tcPr>
            <w:tcW w:w="803"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82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5,983</w:t>
            </w:r>
          </w:p>
        </w:tc>
        <w:tc>
          <w:tcPr>
            <w:tcW w:w="98" w:type="dxa"/>
            <w:tcBorders/>
            <w:shd w:fill="CCEEFF" w:val="clear"/>
            <w:vAlign w:val="center"/>
          </w:tcPr>
          <w:p>
            <w:pPr>
              <w:pStyle w:val="TableContents"/>
              <w:bidi w:val="0"/>
              <w:spacing w:before="0" w:after="283"/>
              <w:jc w:val="left"/>
              <w:rPr/>
            </w:pPr>
            <w:r>
              <w:rPr/>
              <w:t> </w:t>
            </w:r>
          </w:p>
        </w:tc>
      </w:tr>
      <w:tr>
        <w:trPr/>
        <w:tc>
          <w:tcPr>
            <w:tcW w:w="269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Amortization of deferred offering costs</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ind w:left="0" w:right="0" w:hanging="0"/>
              <w:jc w:val="left"/>
              <w:rPr/>
            </w:pPr>
            <w:r>
              <w:rPr/>
              <w:t> </w:t>
            </w:r>
          </w:p>
        </w:tc>
        <w:tc>
          <w:tcPr>
            <w:tcW w:w="407"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42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42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(85</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82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ind w:left="0" w:right="0" w:hanging="0"/>
              <w:jc w:val="left"/>
              <w:rPr/>
            </w:pPr>
            <w:r>
              <w:rPr/>
              <w:t> </w:t>
            </w:r>
          </w:p>
        </w:tc>
        <w:tc>
          <w:tcPr>
            <w:tcW w:w="803"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823"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(85</w:t>
            </w:r>
          </w:p>
        </w:tc>
        <w:tc>
          <w:tcPr>
            <w:tcW w:w="98"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269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At-the-market "ATM" offering, net of offering costs of $26</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ind w:left="0" w:right="0" w:hanging="0"/>
              <w:jc w:val="left"/>
              <w:rPr/>
            </w:pPr>
            <w:r>
              <w:rPr/>
              <w:t> </w:t>
            </w:r>
          </w:p>
        </w:tc>
        <w:tc>
          <w:tcPr>
            <w:tcW w:w="407"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42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399,078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42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82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8" w:type="dxa"/>
            <w:tcBorders/>
            <w:shd w:fill="CCEEFF" w:val="clear"/>
            <w:vAlign w:val="center"/>
          </w:tcPr>
          <w:p>
            <w:pPr>
              <w:pStyle w:val="TableContents"/>
              <w:bidi w:val="0"/>
              <w:spacing w:before="0" w:after="283"/>
              <w:ind w:left="0" w:right="0" w:hanging="0"/>
              <w:jc w:val="left"/>
              <w:rPr/>
            </w:pPr>
            <w:r>
              <w:rPr/>
              <w:t> </w:t>
            </w:r>
          </w:p>
        </w:tc>
        <w:tc>
          <w:tcPr>
            <w:tcW w:w="803"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82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1,012</w:t>
            </w:r>
          </w:p>
        </w:tc>
        <w:tc>
          <w:tcPr>
            <w:tcW w:w="98" w:type="dxa"/>
            <w:tcBorders/>
            <w:shd w:fill="CCEEFF" w:val="clear"/>
            <w:vAlign w:val="center"/>
          </w:tcPr>
          <w:p>
            <w:pPr>
              <w:pStyle w:val="TableContents"/>
              <w:bidi w:val="0"/>
              <w:spacing w:before="0" w:after="283"/>
              <w:jc w:val="left"/>
              <w:rPr/>
            </w:pPr>
            <w:r>
              <w:rPr/>
              <w:t> </w:t>
            </w:r>
          </w:p>
        </w:tc>
      </w:tr>
      <w:tr>
        <w:trPr/>
        <w:tc>
          <w:tcPr>
            <w:tcW w:w="269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Stock-based compensation</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ind w:left="0" w:right="0" w:hanging="0"/>
              <w:jc w:val="left"/>
              <w:rPr/>
            </w:pPr>
            <w:r>
              <w:rPr/>
              <w:t> </w:t>
            </w:r>
          </w:p>
        </w:tc>
        <w:tc>
          <w:tcPr>
            <w:tcW w:w="407"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42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42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82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ind w:left="0" w:right="0" w:hanging="0"/>
              <w:jc w:val="left"/>
              <w:rPr/>
            </w:pPr>
            <w:r>
              <w:rPr/>
              <w:t> </w:t>
            </w:r>
          </w:p>
        </w:tc>
        <w:tc>
          <w:tcPr>
            <w:tcW w:w="803"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823"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67</w:t>
            </w:r>
          </w:p>
        </w:tc>
        <w:tc>
          <w:tcPr>
            <w:tcW w:w="98" w:type="dxa"/>
            <w:tcBorders/>
            <w:shd w:fill="FFFFFF" w:val="clear"/>
            <w:vAlign w:val="center"/>
          </w:tcPr>
          <w:p>
            <w:pPr>
              <w:pStyle w:val="TableContents"/>
              <w:bidi w:val="0"/>
              <w:spacing w:before="0" w:after="283"/>
              <w:jc w:val="left"/>
              <w:rPr/>
            </w:pPr>
            <w:r>
              <w:rPr/>
              <w:t> </w:t>
            </w:r>
          </w:p>
        </w:tc>
      </w:tr>
      <w:tr>
        <w:trPr/>
        <w:tc>
          <w:tcPr>
            <w:tcW w:w="269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loss</w:t>
            </w:r>
          </w:p>
        </w:tc>
        <w:tc>
          <w:tcPr>
            <w:tcW w:w="60" w:type="dxa"/>
            <w:tcBorders/>
            <w:shd w:fill="CCEEFF" w:val="clear"/>
            <w:vAlign w:val="center"/>
          </w:tcPr>
          <w:p>
            <w:pPr>
              <w:pStyle w:val="TableContents"/>
              <w:bidi w:val="0"/>
              <w:spacing w:before="0" w:after="283"/>
              <w:jc w:val="left"/>
              <w:rPr/>
            </w:pPr>
            <w:r>
              <w:rPr/>
              <w:t> </w:t>
            </w:r>
          </w:p>
        </w:tc>
        <w:tc>
          <w:tcPr>
            <w:tcW w:w="9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7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7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(17,581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3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5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(17,581</w:t>
            </w:r>
          </w:p>
        </w:tc>
        <w:tc>
          <w:tcPr>
            <w:tcW w:w="98"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269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b/>
                <w:caps w:val="false"/>
                <w:smallCaps w:val="false"/>
                <w:sz w:val="16"/>
              </w:rPr>
              <w:t xml:space="preserve">Balance </w:t>
            </w:r>
            <w:r>
              <w:rPr>
                <w:rFonts w:ascii="Times New Roman;Times;serif" w:hAnsi="Times New Roman;Times;serif"/>
                <w:caps w:val="false"/>
                <w:smallCaps w:val="false"/>
                <w:sz w:val="16"/>
              </w:rPr>
              <w:t xml:space="preserve">– </w:t>
            </w:r>
            <w:r>
              <w:rPr>
                <w:rFonts w:ascii="Times New Roman;Times;serif" w:hAnsi="Times New Roman;Times;serif"/>
                <w:b/>
                <w:caps w:val="false"/>
                <w:smallCaps w:val="false"/>
                <w:sz w:val="16"/>
              </w:rPr>
              <w:t>June 30, 2025</w:t>
            </w:r>
          </w:p>
        </w:tc>
        <w:tc>
          <w:tcPr>
            <w:tcW w:w="60" w:type="dxa"/>
            <w:tcBorders/>
            <w:shd w:fill="FFFFFF" w:val="clear"/>
            <w:vAlign w:val="center"/>
          </w:tcPr>
          <w:p>
            <w:pPr>
              <w:pStyle w:val="TableContents"/>
              <w:bidi w:val="0"/>
              <w:spacing w:before="0" w:after="283"/>
              <w:jc w:val="left"/>
              <w:rPr/>
            </w:pPr>
            <w:r>
              <w:rPr/>
              <w:t> </w:t>
            </w:r>
          </w:p>
        </w:tc>
        <w:tc>
          <w:tcPr>
            <w:tcW w:w="9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19,473,588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265,732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2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(301,366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(35,615</w:t>
            </w:r>
          </w:p>
        </w:tc>
        <w:tc>
          <w:tcPr>
            <w:tcW w:w="98"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22"/>
        <w:gridCol w:w="60"/>
        <w:gridCol w:w="60"/>
        <w:gridCol w:w="800"/>
        <w:gridCol w:w="80"/>
        <w:gridCol w:w="60"/>
        <w:gridCol w:w="179"/>
        <w:gridCol w:w="426"/>
        <w:gridCol w:w="80"/>
        <w:gridCol w:w="60"/>
        <w:gridCol w:w="60"/>
        <w:gridCol w:w="830"/>
        <w:gridCol w:w="60"/>
        <w:gridCol w:w="60"/>
        <w:gridCol w:w="179"/>
        <w:gridCol w:w="426"/>
        <w:gridCol w:w="60"/>
        <w:gridCol w:w="60"/>
        <w:gridCol w:w="120"/>
        <w:gridCol w:w="665"/>
        <w:gridCol w:w="60"/>
        <w:gridCol w:w="60"/>
        <w:gridCol w:w="136"/>
        <w:gridCol w:w="829"/>
        <w:gridCol w:w="80"/>
        <w:gridCol w:w="60"/>
        <w:gridCol w:w="335"/>
        <w:gridCol w:w="795"/>
        <w:gridCol w:w="80"/>
        <w:gridCol w:w="60"/>
        <w:gridCol w:w="154"/>
        <w:gridCol w:w="812"/>
        <w:gridCol w:w="97"/>
      </w:tblGrid>
      <w:tr>
        <w:trPr/>
        <w:tc>
          <w:tcPr>
            <w:tcW w:w="23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0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Series A Preferred</w:t>
            </w:r>
          </w:p>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Stock</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1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8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Additional</w:t>
            </w:r>
          </w:p>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 xml:space="preserve">Accumulated </w:t>
            </w:r>
          </w:p>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 xml:space="preserve">Other </w:t>
            </w:r>
          </w:p>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Comprehensive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6"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 xml:space="preserve">Total </w:t>
            </w:r>
          </w:p>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Stockholders’</w:t>
            </w:r>
          </w:p>
        </w:tc>
        <w:tc>
          <w:tcPr>
            <w:tcW w:w="97" w:type="dxa"/>
            <w:tcBorders/>
            <w:vAlign w:val="center"/>
          </w:tcPr>
          <w:p>
            <w:pPr>
              <w:pStyle w:val="TableContents"/>
              <w:bidi w:val="0"/>
              <w:spacing w:before="0" w:after="283"/>
              <w:jc w:val="left"/>
              <w:rPr/>
            </w:pPr>
            <w:r>
              <w:rPr/>
              <w:t> </w:t>
            </w:r>
          </w:p>
        </w:tc>
      </w:tr>
      <w:tr>
        <w:trPr/>
        <w:tc>
          <w:tcPr>
            <w:tcW w:w="23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Shares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Amount</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8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Shares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Amount</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7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Capital</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9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Deficit</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Loss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9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Deficit</w:t>
            </w:r>
          </w:p>
        </w:tc>
        <w:tc>
          <w:tcPr>
            <w:tcW w:w="97" w:type="dxa"/>
            <w:tcBorders/>
            <w:vAlign w:val="center"/>
          </w:tcPr>
          <w:p>
            <w:pPr>
              <w:pStyle w:val="TableContents"/>
              <w:bidi w:val="0"/>
              <w:spacing w:before="0" w:after="283"/>
              <w:jc w:val="left"/>
              <w:rPr/>
            </w:pPr>
            <w:r>
              <w:rPr/>
              <w:t> </w:t>
            </w:r>
          </w:p>
        </w:tc>
      </w:tr>
      <w:tr>
        <w:trPr/>
        <w:tc>
          <w:tcPr>
            <w:tcW w:w="2322"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Balance December 31,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0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3,000,000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9"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426"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8,391,940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9"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426"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0"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241,406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6"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29"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(253,147</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79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(3</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4"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12"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(11,733</w:t>
            </w:r>
          </w:p>
        </w:tc>
        <w:tc>
          <w:tcPr>
            <w:tcW w:w="97"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r>
      <w:tr>
        <w:trPr/>
        <w:tc>
          <w:tcPr>
            <w:tcW w:w="232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Stock-based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00"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426"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42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82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ind w:left="0" w:right="0" w:hanging="0"/>
              <w:jc w:val="left"/>
              <w:rPr/>
            </w:pPr>
            <w:r>
              <w:rPr/>
              <w:t> </w:t>
            </w:r>
          </w:p>
        </w:tc>
        <w:tc>
          <w:tcPr>
            <w:tcW w:w="79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812"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242</w:t>
            </w:r>
          </w:p>
        </w:tc>
        <w:tc>
          <w:tcPr>
            <w:tcW w:w="97" w:type="dxa"/>
            <w:tcBorders/>
            <w:shd w:fill="FFFFFF" w:val="clear"/>
            <w:vAlign w:val="center"/>
          </w:tcPr>
          <w:p>
            <w:pPr>
              <w:pStyle w:val="TableContents"/>
              <w:bidi w:val="0"/>
              <w:spacing w:before="0" w:after="283"/>
              <w:jc w:val="left"/>
              <w:rPr/>
            </w:pPr>
            <w:r>
              <w:rPr/>
              <w:t> </w:t>
            </w:r>
          </w:p>
        </w:tc>
      </w:tr>
      <w:tr>
        <w:trPr/>
        <w:tc>
          <w:tcPr>
            <w:tcW w:w="232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Conversion of Series A preferred stock into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0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(3,000,000</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42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42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82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ind w:left="0" w:right="0" w:hanging="0"/>
              <w:jc w:val="left"/>
              <w:rPr/>
            </w:pPr>
            <w:r>
              <w:rPr/>
              <w:t> </w:t>
            </w:r>
          </w:p>
        </w:tc>
        <w:tc>
          <w:tcPr>
            <w:tcW w:w="79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812" w:type="dxa"/>
            <w:tcBorders/>
            <w:shd w:fill="CCEEFF" w:val="clear"/>
            <w:vAlign w:val="center"/>
          </w:tcPr>
          <w:p>
            <w:pPr>
              <w:pStyle w:val="TableContents"/>
              <w:bidi w:val="0"/>
              <w:spacing w:before="0" w:after="283"/>
              <w:ind w:left="0" w:right="0" w:hanging="0"/>
              <w:jc w:val="right"/>
              <w:rPr/>
            </w:pPr>
            <w:r>
              <w:rPr/>
              <w:t>—</w:t>
            </w:r>
          </w:p>
        </w:tc>
        <w:tc>
          <w:tcPr>
            <w:tcW w:w="97" w:type="dxa"/>
            <w:tcBorders/>
            <w:shd w:fill="CCEEFF" w:val="clear"/>
            <w:vAlign w:val="center"/>
          </w:tcPr>
          <w:p>
            <w:pPr>
              <w:pStyle w:val="TableContents"/>
              <w:bidi w:val="0"/>
              <w:spacing w:before="0" w:after="283"/>
              <w:jc w:val="left"/>
              <w:rPr/>
            </w:pPr>
            <w:r>
              <w:rPr/>
              <w:t> </w:t>
            </w:r>
          </w:p>
        </w:tc>
      </w:tr>
      <w:tr>
        <w:trPr/>
        <w:tc>
          <w:tcPr>
            <w:tcW w:w="232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At-the-market "ATM" offering, net of offering costs of $48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0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426"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34,584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42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82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ind w:left="0" w:right="0" w:hanging="0"/>
              <w:jc w:val="left"/>
              <w:rPr/>
            </w:pPr>
            <w:r>
              <w:rPr/>
              <w:t> </w:t>
            </w:r>
          </w:p>
        </w:tc>
        <w:tc>
          <w:tcPr>
            <w:tcW w:w="79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812"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179</w:t>
            </w:r>
          </w:p>
        </w:tc>
        <w:tc>
          <w:tcPr>
            <w:tcW w:w="97" w:type="dxa"/>
            <w:tcBorders/>
            <w:shd w:fill="FFFFFF" w:val="clear"/>
            <w:vAlign w:val="center"/>
          </w:tcPr>
          <w:p>
            <w:pPr>
              <w:pStyle w:val="TableContents"/>
              <w:bidi w:val="0"/>
              <w:spacing w:before="0" w:after="283"/>
              <w:jc w:val="left"/>
              <w:rPr/>
            </w:pPr>
            <w:r>
              <w:rPr/>
              <w:t> </w:t>
            </w:r>
          </w:p>
        </w:tc>
      </w:tr>
      <w:tr>
        <w:trPr/>
        <w:tc>
          <w:tcPr>
            <w:tcW w:w="232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Common stock and warrants issued, net of issuance costs of $481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0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426"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575,000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42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82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795"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812"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1,344</w:t>
            </w:r>
          </w:p>
        </w:tc>
        <w:tc>
          <w:tcPr>
            <w:tcW w:w="97" w:type="dxa"/>
            <w:tcBorders/>
            <w:shd w:fill="CCEEFF" w:val="clear"/>
            <w:vAlign w:val="center"/>
          </w:tcPr>
          <w:p>
            <w:pPr>
              <w:pStyle w:val="TableContents"/>
              <w:bidi w:val="0"/>
              <w:spacing w:before="0" w:after="283"/>
              <w:jc w:val="left"/>
              <w:rPr/>
            </w:pPr>
            <w:r>
              <w:rPr/>
              <w:t> </w:t>
            </w:r>
          </w:p>
        </w:tc>
      </w:tr>
      <w:tr>
        <w:trPr/>
        <w:tc>
          <w:tcPr>
            <w:tcW w:w="232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Common stock and warrants issued in private placement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0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426"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42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82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ind w:left="0" w:right="0" w:hanging="0"/>
              <w:jc w:val="left"/>
              <w:rPr/>
            </w:pPr>
            <w:r>
              <w:rPr/>
              <w:t> </w:t>
            </w:r>
          </w:p>
        </w:tc>
        <w:tc>
          <w:tcPr>
            <w:tcW w:w="79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812"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1,027</w:t>
            </w:r>
          </w:p>
        </w:tc>
        <w:tc>
          <w:tcPr>
            <w:tcW w:w="97" w:type="dxa"/>
            <w:tcBorders/>
            <w:shd w:fill="FFFFFF" w:val="clear"/>
            <w:vAlign w:val="center"/>
          </w:tcPr>
          <w:p>
            <w:pPr>
              <w:pStyle w:val="TableContents"/>
              <w:bidi w:val="0"/>
              <w:spacing w:before="0" w:after="283"/>
              <w:jc w:val="left"/>
              <w:rPr/>
            </w:pPr>
            <w:r>
              <w:rPr/>
              <w:t> </w:t>
            </w:r>
          </w:p>
        </w:tc>
      </w:tr>
      <w:tr>
        <w:trPr/>
        <w:tc>
          <w:tcPr>
            <w:tcW w:w="232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Warrants issued pursuant to the Alvogen Agreement amendment (see Note 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00"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426"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42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82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ind w:left="0" w:right="0" w:hanging="0"/>
              <w:jc w:val="left"/>
              <w:rPr/>
            </w:pPr>
            <w:r>
              <w:rPr/>
              <w:t> </w:t>
            </w:r>
          </w:p>
        </w:tc>
        <w:tc>
          <w:tcPr>
            <w:tcW w:w="79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812" w:type="dxa"/>
            <w:tcBorders/>
            <w:shd w:fill="CCEEFF" w:val="clear"/>
            <w:vAlign w:val="center"/>
          </w:tcPr>
          <w:p>
            <w:pPr>
              <w:pStyle w:val="TableContents"/>
              <w:bidi w:val="0"/>
              <w:spacing w:before="0" w:after="283"/>
              <w:ind w:left="0" w:right="0" w:hanging="0"/>
              <w:jc w:val="right"/>
              <w:rPr/>
            </w:pPr>
            <w:r>
              <w:rPr/>
              <w:t>—</w:t>
            </w:r>
          </w:p>
        </w:tc>
        <w:tc>
          <w:tcPr>
            <w:tcW w:w="97" w:type="dxa"/>
            <w:tcBorders/>
            <w:shd w:fill="CCEEFF" w:val="clear"/>
            <w:vAlign w:val="center"/>
          </w:tcPr>
          <w:p>
            <w:pPr>
              <w:pStyle w:val="TableContents"/>
              <w:bidi w:val="0"/>
              <w:spacing w:before="0" w:after="283"/>
              <w:jc w:val="left"/>
              <w:rPr/>
            </w:pPr>
            <w:r>
              <w:rPr/>
              <w:t> </w:t>
            </w:r>
          </w:p>
        </w:tc>
      </w:tr>
      <w:tr>
        <w:trPr/>
        <w:tc>
          <w:tcPr>
            <w:tcW w:w="232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Vesting of restricted stock awards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0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426"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57,500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42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82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ind w:left="0" w:right="0" w:hanging="0"/>
              <w:jc w:val="left"/>
              <w:rPr/>
            </w:pPr>
            <w:r>
              <w:rPr/>
              <w:t> </w:t>
            </w:r>
          </w:p>
        </w:tc>
        <w:tc>
          <w:tcPr>
            <w:tcW w:w="79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812" w:type="dxa"/>
            <w:tcBorders/>
            <w:shd w:fill="FFFFFF" w:val="clear"/>
            <w:vAlign w:val="center"/>
          </w:tcPr>
          <w:p>
            <w:pPr>
              <w:pStyle w:val="TableContents"/>
              <w:bidi w:val="0"/>
              <w:spacing w:before="0" w:after="283"/>
              <w:ind w:left="0" w:right="0" w:hanging="0"/>
              <w:jc w:val="right"/>
              <w:rPr/>
            </w:pPr>
            <w:r>
              <w:rPr/>
              <w:t>—</w:t>
            </w:r>
          </w:p>
        </w:tc>
        <w:tc>
          <w:tcPr>
            <w:tcW w:w="97" w:type="dxa"/>
            <w:tcBorders/>
            <w:shd w:fill="FFFFFF" w:val="clear"/>
            <w:vAlign w:val="center"/>
          </w:tcPr>
          <w:p>
            <w:pPr>
              <w:pStyle w:val="TableContents"/>
              <w:bidi w:val="0"/>
              <w:spacing w:before="0" w:after="283"/>
              <w:jc w:val="left"/>
              <w:rPr/>
            </w:pPr>
            <w:r>
              <w:rPr/>
              <w:t> </w:t>
            </w:r>
          </w:p>
        </w:tc>
      </w:tr>
      <w:tr>
        <w:trPr/>
        <w:tc>
          <w:tcPr>
            <w:tcW w:w="232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Shares issued as repayment of principal and interest for convertible note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0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426"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143,648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42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82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ind w:left="0" w:right="0" w:hanging="0"/>
              <w:jc w:val="left"/>
              <w:rPr/>
            </w:pPr>
            <w:r>
              <w:rPr/>
              <w:t> </w:t>
            </w:r>
          </w:p>
        </w:tc>
        <w:tc>
          <w:tcPr>
            <w:tcW w:w="79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812"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400</w:t>
            </w:r>
          </w:p>
        </w:tc>
        <w:tc>
          <w:tcPr>
            <w:tcW w:w="97" w:type="dxa"/>
            <w:tcBorders/>
            <w:shd w:fill="CCEEFF" w:val="clear"/>
            <w:vAlign w:val="center"/>
          </w:tcPr>
          <w:p>
            <w:pPr>
              <w:pStyle w:val="TableContents"/>
              <w:bidi w:val="0"/>
              <w:spacing w:before="0" w:after="283"/>
              <w:jc w:val="left"/>
              <w:rPr/>
            </w:pPr>
            <w:r>
              <w:rPr/>
              <w:t> </w:t>
            </w:r>
          </w:p>
        </w:tc>
      </w:tr>
      <w:tr>
        <w:trPr/>
        <w:tc>
          <w:tcPr>
            <w:tcW w:w="232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(6,528</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(6,528</w:t>
            </w:r>
          </w:p>
        </w:tc>
        <w:tc>
          <w:tcPr>
            <w:tcW w:w="97"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2322"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Balance - March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0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9"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26"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9,772,672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9"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426"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0"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244,599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6"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29"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(259,675</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79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(3</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4"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12"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(15,069</w:t>
            </w:r>
          </w:p>
        </w:tc>
        <w:tc>
          <w:tcPr>
            <w:tcW w:w="97"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r>
      <w:tr>
        <w:trPr/>
        <w:tc>
          <w:tcPr>
            <w:tcW w:w="232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Stock-based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00"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426"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42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82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ind w:left="0" w:right="0" w:hanging="0"/>
              <w:jc w:val="left"/>
              <w:rPr/>
            </w:pPr>
            <w:r>
              <w:rPr/>
              <w:t> </w:t>
            </w:r>
          </w:p>
        </w:tc>
        <w:tc>
          <w:tcPr>
            <w:tcW w:w="79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812"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97</w:t>
            </w:r>
          </w:p>
        </w:tc>
        <w:tc>
          <w:tcPr>
            <w:tcW w:w="97" w:type="dxa"/>
            <w:tcBorders/>
            <w:shd w:fill="FFFFFF" w:val="clear"/>
            <w:vAlign w:val="center"/>
          </w:tcPr>
          <w:p>
            <w:pPr>
              <w:pStyle w:val="TableContents"/>
              <w:bidi w:val="0"/>
              <w:spacing w:before="0" w:after="283"/>
              <w:jc w:val="left"/>
              <w:rPr/>
            </w:pPr>
            <w:r>
              <w:rPr/>
              <w:t> </w:t>
            </w:r>
          </w:p>
        </w:tc>
      </w:tr>
      <w:tr>
        <w:trPr/>
        <w:tc>
          <w:tcPr>
            <w:tcW w:w="232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ATM offering, net of offering costs of $118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0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426"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247,868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42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82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ind w:left="0" w:right="0" w:hanging="0"/>
              <w:jc w:val="left"/>
              <w:rPr/>
            </w:pPr>
            <w:r>
              <w:rPr/>
              <w:t> </w:t>
            </w:r>
          </w:p>
        </w:tc>
        <w:tc>
          <w:tcPr>
            <w:tcW w:w="79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812"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1,228</w:t>
            </w:r>
          </w:p>
        </w:tc>
        <w:tc>
          <w:tcPr>
            <w:tcW w:w="97" w:type="dxa"/>
            <w:tcBorders/>
            <w:shd w:fill="CCEEFF" w:val="clear"/>
            <w:vAlign w:val="center"/>
          </w:tcPr>
          <w:p>
            <w:pPr>
              <w:pStyle w:val="TableContents"/>
              <w:bidi w:val="0"/>
              <w:spacing w:before="0" w:after="283"/>
              <w:jc w:val="left"/>
              <w:rPr/>
            </w:pPr>
            <w:r>
              <w:rPr/>
              <w:t> </w:t>
            </w:r>
          </w:p>
        </w:tc>
      </w:tr>
      <w:tr>
        <w:trPr/>
        <w:tc>
          <w:tcPr>
            <w:tcW w:w="232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Common stock and warrants issued, net of issuance costs of $494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0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426"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698,050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426"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82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ind w:left="0" w:right="0" w:hanging="0"/>
              <w:jc w:val="left"/>
              <w:rPr/>
            </w:pPr>
            <w:r>
              <w:rPr/>
              <w:t> </w:t>
            </w:r>
          </w:p>
        </w:tc>
        <w:tc>
          <w:tcPr>
            <w:tcW w:w="79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812"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1,914</w:t>
            </w:r>
          </w:p>
        </w:tc>
        <w:tc>
          <w:tcPr>
            <w:tcW w:w="97" w:type="dxa"/>
            <w:tcBorders/>
            <w:shd w:fill="FFFFFF" w:val="clear"/>
            <w:vAlign w:val="center"/>
          </w:tcPr>
          <w:p>
            <w:pPr>
              <w:pStyle w:val="TableContents"/>
              <w:bidi w:val="0"/>
              <w:spacing w:before="0" w:after="283"/>
              <w:jc w:val="left"/>
              <w:rPr/>
            </w:pPr>
            <w:r>
              <w:rPr/>
              <w:t> </w:t>
            </w:r>
          </w:p>
        </w:tc>
      </w:tr>
      <w:tr>
        <w:trPr/>
        <w:tc>
          <w:tcPr>
            <w:tcW w:w="232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Issuance of shares related to reverse stock split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0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426"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73,040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426"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829"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ind w:left="0" w:right="0" w:hanging="0"/>
              <w:jc w:val="left"/>
              <w:rPr/>
            </w:pPr>
            <w:r>
              <w:rPr/>
              <w:t> </w:t>
            </w:r>
          </w:p>
        </w:tc>
        <w:tc>
          <w:tcPr>
            <w:tcW w:w="795"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812" w:type="dxa"/>
            <w:tcBorders/>
            <w:shd w:fill="CCEEFF" w:val="clear"/>
            <w:vAlign w:val="center"/>
          </w:tcPr>
          <w:p>
            <w:pPr>
              <w:pStyle w:val="TableContents"/>
              <w:bidi w:val="0"/>
              <w:spacing w:before="0" w:after="283"/>
              <w:ind w:left="0" w:right="0" w:hanging="0"/>
              <w:jc w:val="right"/>
              <w:rPr/>
            </w:pPr>
            <w:r>
              <w:rPr>
                <w:rStyle w:val="Emphasis"/>
              </w:rPr>
              <w:t>—</w:t>
            </w:r>
          </w:p>
        </w:tc>
        <w:tc>
          <w:tcPr>
            <w:tcW w:w="97" w:type="dxa"/>
            <w:tcBorders/>
            <w:shd w:fill="CCEEFF" w:val="clear"/>
            <w:vAlign w:val="center"/>
          </w:tcPr>
          <w:p>
            <w:pPr>
              <w:pStyle w:val="TableContents"/>
              <w:bidi w:val="0"/>
              <w:spacing w:before="0" w:after="283"/>
              <w:jc w:val="left"/>
              <w:rPr/>
            </w:pPr>
            <w:r>
              <w:rPr/>
              <w:t> </w:t>
            </w:r>
          </w:p>
        </w:tc>
      </w:tr>
      <w:tr>
        <w:trPr/>
        <w:tc>
          <w:tcPr>
            <w:tcW w:w="232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Contract cost related to Alvogen termination (see Note 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00"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426"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42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82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ind w:left="0" w:right="0" w:hanging="0"/>
              <w:jc w:val="left"/>
              <w:rPr/>
            </w:pPr>
            <w:r>
              <w:rPr/>
              <w:t> </w:t>
            </w:r>
          </w:p>
        </w:tc>
        <w:tc>
          <w:tcPr>
            <w:tcW w:w="79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812"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1,336</w:t>
            </w:r>
          </w:p>
        </w:tc>
        <w:tc>
          <w:tcPr>
            <w:tcW w:w="97" w:type="dxa"/>
            <w:tcBorders/>
            <w:shd w:fill="FFFFFF" w:val="clear"/>
            <w:vAlign w:val="center"/>
          </w:tcPr>
          <w:p>
            <w:pPr>
              <w:pStyle w:val="TableContents"/>
              <w:bidi w:val="0"/>
              <w:spacing w:before="0" w:after="283"/>
              <w:jc w:val="left"/>
              <w:rPr/>
            </w:pPr>
            <w:r>
              <w:rPr/>
              <w:t> </w:t>
            </w:r>
          </w:p>
        </w:tc>
      </w:tr>
      <w:tr>
        <w:trPr/>
        <w:tc>
          <w:tcPr>
            <w:tcW w:w="232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(7,897</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(7,897</w:t>
            </w:r>
          </w:p>
        </w:tc>
        <w:tc>
          <w:tcPr>
            <w:tcW w:w="97"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2322"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Balance - June 30, 2024</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10,791,630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4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249,173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2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(267,572</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7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(3</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(18,391</w:t>
            </w:r>
          </w:p>
        </w:tc>
        <w:tc>
          <w:tcPr>
            <w:tcW w:w="97" w:type="dxa"/>
            <w:tcBorders/>
            <w:shd w:fill="FFFF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condensed consolidated financial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NRX PHARMACEUTICALS,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CONDENSED CONSOLIDATED STATEMENTS OF CASH FLOWS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907"/>
        <w:gridCol w:w="60"/>
        <w:gridCol w:w="159"/>
        <w:gridCol w:w="830"/>
        <w:gridCol w:w="102"/>
        <w:gridCol w:w="76"/>
        <w:gridCol w:w="159"/>
        <w:gridCol w:w="830"/>
        <w:gridCol w:w="82"/>
      </w:tblGrid>
      <w:tr>
        <w:trPr/>
        <w:tc>
          <w:tcPr>
            <w:tcW w:w="79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15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82" w:type="dxa"/>
            <w:tcBorders/>
            <w:vAlign w:val="center"/>
          </w:tcPr>
          <w:p>
            <w:pPr>
              <w:pStyle w:val="TableContents"/>
              <w:bidi w:val="0"/>
              <w:spacing w:before="0" w:after="283"/>
              <w:jc w:val="left"/>
              <w:rPr/>
            </w:pPr>
            <w:r>
              <w:rPr/>
              <w:t> </w:t>
            </w:r>
          </w:p>
        </w:tc>
      </w:tr>
      <w:tr>
        <w:trPr/>
        <w:tc>
          <w:tcPr>
            <w:tcW w:w="79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02"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ind w:left="0" w:right="0" w:hanging="0"/>
              <w:jc w:val="left"/>
              <w:rPr/>
            </w:pPr>
            <w:r>
              <w:rPr/>
              <w:t> </w:t>
            </w:r>
          </w:p>
        </w:tc>
        <w:tc>
          <w:tcPr>
            <w:tcW w:w="9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2" w:type="dxa"/>
            <w:tcBorders/>
            <w:vAlign w:val="center"/>
          </w:tcPr>
          <w:p>
            <w:pPr>
              <w:pStyle w:val="TableContents"/>
              <w:bidi w:val="0"/>
              <w:spacing w:before="0" w:after="283"/>
              <w:jc w:val="left"/>
              <w:rPr/>
            </w:pPr>
            <w:r>
              <w:rPr/>
              <w:t> </w:t>
            </w:r>
          </w:p>
        </w:tc>
      </w:tr>
      <w:tr>
        <w:trPr/>
        <w:tc>
          <w:tcPr>
            <w:tcW w:w="7907"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90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5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(23,092</w:t>
            </w:r>
          </w:p>
        </w:tc>
        <w:tc>
          <w:tcPr>
            <w:tcW w:w="10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6" w:type="dxa"/>
            <w:tcBorders/>
            <w:shd w:fill="FFFFFF" w:val="clear"/>
            <w:vAlign w:val="center"/>
          </w:tcPr>
          <w:p>
            <w:pPr>
              <w:pStyle w:val="TableContents"/>
              <w:bidi w:val="0"/>
              <w:spacing w:before="0" w:after="283"/>
              <w:ind w:left="0" w:right="0" w:hanging="0"/>
              <w:jc w:val="left"/>
              <w:rPr/>
            </w:pPr>
            <w:r>
              <w:rPr/>
              <w:t> </w:t>
            </w:r>
          </w:p>
        </w:tc>
        <w:tc>
          <w:tcPr>
            <w:tcW w:w="15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(14,425</w:t>
            </w:r>
          </w:p>
        </w:tc>
        <w:tc>
          <w:tcPr>
            <w:tcW w:w="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90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907"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expense</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283"/>
              <w:ind w:left="0" w:right="0" w:hanging="0"/>
              <w:jc w:val="right"/>
              <w:rPr/>
            </w:pPr>
            <w:r>
              <w:rPr/>
              <w:t>—</w:t>
            </w:r>
          </w:p>
        </w:tc>
        <w:tc>
          <w:tcPr>
            <w:tcW w:w="10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2" w:type="dxa"/>
            <w:tcBorders/>
            <w:shd w:fill="FFFFFF" w:val="clear"/>
            <w:vAlign w:val="center"/>
          </w:tcPr>
          <w:p>
            <w:pPr>
              <w:pStyle w:val="TableContents"/>
              <w:bidi w:val="0"/>
              <w:spacing w:before="0" w:after="283"/>
              <w:jc w:val="left"/>
              <w:rPr/>
            </w:pPr>
            <w:r>
              <w:rPr/>
              <w:t> </w:t>
            </w:r>
          </w:p>
        </w:tc>
      </w:tr>
      <w:tr>
        <w:trPr/>
        <w:tc>
          <w:tcPr>
            <w:tcW w:w="7907"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w:t>
            </w:r>
          </w:p>
        </w:tc>
        <w:tc>
          <w:tcPr>
            <w:tcW w:w="10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w:t>
            </w:r>
          </w:p>
        </w:tc>
        <w:tc>
          <w:tcPr>
            <w:tcW w:w="82" w:type="dxa"/>
            <w:tcBorders/>
            <w:shd w:fill="CCEEFF" w:val="clear"/>
            <w:vAlign w:val="center"/>
          </w:tcPr>
          <w:p>
            <w:pPr>
              <w:pStyle w:val="TableContents"/>
              <w:bidi w:val="0"/>
              <w:spacing w:before="0" w:after="283"/>
              <w:jc w:val="left"/>
              <w:rPr/>
            </w:pPr>
            <w:r>
              <w:rPr/>
              <w:t> </w:t>
            </w:r>
          </w:p>
        </w:tc>
      </w:tr>
      <w:tr>
        <w:trPr/>
        <w:tc>
          <w:tcPr>
            <w:tcW w:w="7907"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issued in exchange for services</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w:t>
            </w:r>
          </w:p>
        </w:tc>
        <w:tc>
          <w:tcPr>
            <w:tcW w:w="10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283"/>
              <w:ind w:left="0" w:right="0" w:hanging="0"/>
              <w:jc w:val="right"/>
              <w:rPr/>
            </w:pPr>
            <w:r>
              <w:rPr/>
              <w:t>—</w:t>
            </w:r>
          </w:p>
        </w:tc>
        <w:tc>
          <w:tcPr>
            <w:tcW w:w="82" w:type="dxa"/>
            <w:tcBorders/>
            <w:shd w:fill="FFFFFF" w:val="clear"/>
            <w:vAlign w:val="center"/>
          </w:tcPr>
          <w:p>
            <w:pPr>
              <w:pStyle w:val="TableContents"/>
              <w:bidi w:val="0"/>
              <w:spacing w:before="0" w:after="283"/>
              <w:jc w:val="left"/>
              <w:rPr/>
            </w:pPr>
            <w:r>
              <w:rPr/>
              <w:t> </w:t>
            </w:r>
          </w:p>
        </w:tc>
      </w:tr>
      <w:tr>
        <w:trPr/>
        <w:tc>
          <w:tcPr>
            <w:tcW w:w="7907"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warrant liabilities</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3,518</w:t>
            </w:r>
          </w:p>
        </w:tc>
        <w:tc>
          <w:tcPr>
            <w:tcW w:w="10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907"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convertible promissory note</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6,530</w:t>
            </w:r>
          </w:p>
        </w:tc>
        <w:tc>
          <w:tcPr>
            <w:tcW w:w="10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341</w:t>
            </w:r>
          </w:p>
        </w:tc>
        <w:tc>
          <w:tcPr>
            <w:tcW w:w="82" w:type="dxa"/>
            <w:tcBorders/>
            <w:shd w:fill="FFFFFF" w:val="clear"/>
            <w:vAlign w:val="center"/>
          </w:tcPr>
          <w:p>
            <w:pPr>
              <w:pStyle w:val="TableContents"/>
              <w:bidi w:val="0"/>
              <w:spacing w:before="0" w:after="283"/>
              <w:jc w:val="left"/>
              <w:rPr/>
            </w:pPr>
            <w:r>
              <w:rPr/>
              <w:t> </w:t>
            </w:r>
          </w:p>
        </w:tc>
      </w:tr>
      <w:tr>
        <w:trPr/>
        <w:tc>
          <w:tcPr>
            <w:tcW w:w="7907"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Consideration Shares and Warrants</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1,277</w:t>
            </w:r>
          </w:p>
        </w:tc>
        <w:tc>
          <w:tcPr>
            <w:tcW w:w="10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283"/>
              <w:ind w:left="0" w:right="0" w:hanging="0"/>
              <w:jc w:val="right"/>
              <w:rPr/>
            </w:pPr>
            <w:r>
              <w:rPr/>
              <w:t>—</w:t>
            </w:r>
          </w:p>
        </w:tc>
        <w:tc>
          <w:tcPr>
            <w:tcW w:w="82" w:type="dxa"/>
            <w:tcBorders/>
            <w:shd w:fill="CCEEFF" w:val="clear"/>
            <w:vAlign w:val="center"/>
          </w:tcPr>
          <w:p>
            <w:pPr>
              <w:pStyle w:val="TableContents"/>
              <w:bidi w:val="0"/>
              <w:spacing w:before="0" w:after="283"/>
              <w:jc w:val="left"/>
              <w:rPr/>
            </w:pPr>
            <w:r>
              <w:rPr/>
              <w:t> </w:t>
            </w:r>
          </w:p>
        </w:tc>
      </w:tr>
      <w:tr>
        <w:trPr/>
        <w:tc>
          <w:tcPr>
            <w:tcW w:w="7907"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issuance of Registered Direct Offering</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729</w:t>
            </w:r>
          </w:p>
        </w:tc>
        <w:tc>
          <w:tcPr>
            <w:tcW w:w="10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283"/>
              <w:ind w:left="0" w:right="0" w:hanging="0"/>
              <w:jc w:val="right"/>
              <w:rPr/>
            </w:pPr>
            <w:r>
              <w:rPr/>
              <w:t>—</w:t>
            </w:r>
          </w:p>
        </w:tc>
        <w:tc>
          <w:tcPr>
            <w:tcW w:w="82" w:type="dxa"/>
            <w:tcBorders/>
            <w:shd w:fill="FFFFFF" w:val="clear"/>
            <w:vAlign w:val="center"/>
          </w:tcPr>
          <w:p>
            <w:pPr>
              <w:pStyle w:val="TableContents"/>
              <w:bidi w:val="0"/>
              <w:spacing w:before="0" w:after="283"/>
              <w:jc w:val="left"/>
              <w:rPr/>
            </w:pPr>
            <w:r>
              <w:rPr/>
              <w:t> </w:t>
            </w:r>
          </w:p>
        </w:tc>
      </w:tr>
      <w:tr>
        <w:trPr/>
        <w:tc>
          <w:tcPr>
            <w:tcW w:w="7907"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convertible notes conversion</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3,467</w:t>
            </w:r>
          </w:p>
        </w:tc>
        <w:tc>
          <w:tcPr>
            <w:tcW w:w="10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283"/>
              <w:ind w:left="0" w:right="0" w:hanging="0"/>
              <w:jc w:val="right"/>
              <w:rPr/>
            </w:pPr>
            <w:r>
              <w:rPr/>
              <w:t>—</w:t>
            </w:r>
          </w:p>
        </w:tc>
        <w:tc>
          <w:tcPr>
            <w:tcW w:w="82" w:type="dxa"/>
            <w:tcBorders/>
            <w:shd w:fill="CCEEFF" w:val="clear"/>
            <w:vAlign w:val="center"/>
          </w:tcPr>
          <w:p>
            <w:pPr>
              <w:pStyle w:val="TableContents"/>
              <w:bidi w:val="0"/>
              <w:spacing w:before="0" w:after="283"/>
              <w:jc w:val="left"/>
              <w:rPr/>
            </w:pPr>
            <w:r>
              <w:rPr/>
              <w:t> </w:t>
            </w:r>
          </w:p>
        </w:tc>
      </w:tr>
      <w:tr>
        <w:trPr/>
        <w:tc>
          <w:tcPr>
            <w:tcW w:w="7907"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Expense for debt issuance costs due to fair value election on Anson Notes</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w:t>
            </w:r>
          </w:p>
        </w:tc>
        <w:tc>
          <w:tcPr>
            <w:tcW w:w="10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283"/>
              <w:ind w:left="0" w:right="0" w:hanging="0"/>
              <w:jc w:val="right"/>
              <w:rPr/>
            </w:pPr>
            <w:r>
              <w:rPr/>
              <w:t>—</w:t>
            </w:r>
          </w:p>
        </w:tc>
        <w:tc>
          <w:tcPr>
            <w:tcW w:w="82" w:type="dxa"/>
            <w:tcBorders/>
            <w:shd w:fill="FFFFFF" w:val="clear"/>
            <w:vAlign w:val="center"/>
          </w:tcPr>
          <w:p>
            <w:pPr>
              <w:pStyle w:val="TableContents"/>
              <w:bidi w:val="0"/>
              <w:spacing w:before="0" w:after="283"/>
              <w:jc w:val="left"/>
              <w:rPr/>
            </w:pPr>
            <w:r>
              <w:rPr/>
              <w:t> </w:t>
            </w:r>
          </w:p>
        </w:tc>
      </w:tr>
      <w:tr>
        <w:trPr/>
        <w:tc>
          <w:tcPr>
            <w:tcW w:w="7907"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Warrant issuance costs related to Alvogen termination</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283"/>
              <w:ind w:left="0" w:right="0" w:hanging="0"/>
              <w:jc w:val="right"/>
              <w:rPr/>
            </w:pPr>
            <w:r>
              <w:rPr/>
              <w:t>—</w:t>
            </w:r>
          </w:p>
        </w:tc>
        <w:tc>
          <w:tcPr>
            <w:tcW w:w="10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1,336</w:t>
            </w:r>
          </w:p>
        </w:tc>
        <w:tc>
          <w:tcPr>
            <w:tcW w:w="82" w:type="dxa"/>
            <w:tcBorders/>
            <w:shd w:fill="CCEEFF" w:val="clear"/>
            <w:vAlign w:val="center"/>
          </w:tcPr>
          <w:p>
            <w:pPr>
              <w:pStyle w:val="TableContents"/>
              <w:bidi w:val="0"/>
              <w:spacing w:before="0" w:after="283"/>
              <w:jc w:val="left"/>
              <w:rPr/>
            </w:pPr>
            <w:r>
              <w:rPr/>
              <w:t> </w:t>
            </w:r>
          </w:p>
        </w:tc>
      </w:tr>
      <w:tr>
        <w:trPr/>
        <w:tc>
          <w:tcPr>
            <w:tcW w:w="7907"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Convertible note default penalty</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283"/>
              <w:ind w:left="0" w:right="0" w:hanging="0"/>
              <w:jc w:val="right"/>
              <w:rPr/>
            </w:pPr>
            <w:r>
              <w:rPr/>
              <w:t>—</w:t>
            </w:r>
          </w:p>
        </w:tc>
        <w:tc>
          <w:tcPr>
            <w:tcW w:w="10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849</w:t>
            </w:r>
          </w:p>
        </w:tc>
        <w:tc>
          <w:tcPr>
            <w:tcW w:w="82" w:type="dxa"/>
            <w:tcBorders/>
            <w:shd w:fill="FFFFFF" w:val="clear"/>
            <w:vAlign w:val="center"/>
          </w:tcPr>
          <w:p>
            <w:pPr>
              <w:pStyle w:val="TableContents"/>
              <w:bidi w:val="0"/>
              <w:spacing w:before="0" w:after="283"/>
              <w:jc w:val="left"/>
              <w:rPr/>
            </w:pPr>
            <w:r>
              <w:rPr/>
              <w:t> </w:t>
            </w:r>
          </w:p>
        </w:tc>
      </w:tr>
      <w:tr>
        <w:trPr/>
        <w:tc>
          <w:tcPr>
            <w:tcW w:w="790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907"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 and other assets</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w:t>
            </w:r>
          </w:p>
        </w:tc>
        <w:tc>
          <w:tcPr>
            <w:tcW w:w="10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(648</w:t>
            </w:r>
          </w:p>
        </w:tc>
        <w:tc>
          <w:tcPr>
            <w:tcW w:w="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907"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(501</w:t>
            </w:r>
          </w:p>
        </w:tc>
        <w:tc>
          <w:tcPr>
            <w:tcW w:w="10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6"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4,209</w:t>
            </w:r>
          </w:p>
        </w:tc>
        <w:tc>
          <w:tcPr>
            <w:tcW w:w="82" w:type="dxa"/>
            <w:tcBorders/>
            <w:shd w:fill="CCEEFF" w:val="clear"/>
            <w:vAlign w:val="center"/>
          </w:tcPr>
          <w:p>
            <w:pPr>
              <w:pStyle w:val="TableContents"/>
              <w:bidi w:val="0"/>
              <w:spacing w:before="0" w:after="283"/>
              <w:jc w:val="left"/>
              <w:rPr/>
            </w:pPr>
            <w:r>
              <w:rPr/>
              <w:t> </w:t>
            </w:r>
          </w:p>
        </w:tc>
      </w:tr>
      <w:tr>
        <w:trPr/>
        <w:tc>
          <w:tcPr>
            <w:tcW w:w="7907"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Insurance loan payable</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w:t>
            </w:r>
          </w:p>
        </w:tc>
        <w:tc>
          <w:tcPr>
            <w:tcW w:w="10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943</w:t>
            </w:r>
          </w:p>
        </w:tc>
        <w:tc>
          <w:tcPr>
            <w:tcW w:w="82" w:type="dxa"/>
            <w:tcBorders/>
            <w:shd w:fill="FFFFFF" w:val="clear"/>
            <w:vAlign w:val="center"/>
          </w:tcPr>
          <w:p>
            <w:pPr>
              <w:pStyle w:val="TableContents"/>
              <w:bidi w:val="0"/>
              <w:spacing w:before="0" w:after="283"/>
              <w:jc w:val="left"/>
              <w:rPr/>
            </w:pPr>
            <w:r>
              <w:rPr/>
              <w:t> </w:t>
            </w:r>
          </w:p>
        </w:tc>
      </w:tr>
      <w:tr>
        <w:trPr/>
        <w:tc>
          <w:tcPr>
            <w:tcW w:w="7907"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expense and other liabilities</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w:t>
            </w:r>
          </w:p>
        </w:tc>
        <w:tc>
          <w:tcPr>
            <w:tcW w:w="10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6" w:type="dxa"/>
            <w:tcBorders/>
            <w:shd w:fill="CCEEFF" w:val="clear"/>
            <w:vAlign w:val="center"/>
          </w:tcPr>
          <w:p>
            <w:pPr>
              <w:pStyle w:val="TableContents"/>
              <w:bidi w:val="0"/>
              <w:spacing w:before="0" w:after="283"/>
              <w:jc w:val="left"/>
              <w:rPr/>
            </w:pPr>
            <w:r>
              <w:rPr/>
              <w:t> </w:t>
            </w:r>
          </w:p>
        </w:tc>
        <w:tc>
          <w:tcPr>
            <w:tcW w:w="1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830</w:t>
            </w:r>
          </w:p>
        </w:tc>
        <w:tc>
          <w:tcPr>
            <w:tcW w:w="82" w:type="dxa"/>
            <w:tcBorders/>
            <w:shd w:fill="CCEEFF" w:val="clear"/>
            <w:vAlign w:val="center"/>
          </w:tcPr>
          <w:p>
            <w:pPr>
              <w:pStyle w:val="TableContents"/>
              <w:bidi w:val="0"/>
              <w:spacing w:before="0" w:after="283"/>
              <w:jc w:val="left"/>
              <w:rPr/>
            </w:pPr>
            <w:r>
              <w:rPr/>
              <w:t> </w:t>
            </w:r>
          </w:p>
        </w:tc>
      </w:tr>
      <w:tr>
        <w:trPr/>
        <w:tc>
          <w:tcPr>
            <w:tcW w:w="7907"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(7,508</w:t>
            </w:r>
          </w:p>
        </w:tc>
        <w:tc>
          <w:tcPr>
            <w:tcW w:w="10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6" w:type="dxa"/>
            <w:tcBorders/>
            <w:shd w:fill="FFFFFF" w:val="clear"/>
            <w:vAlign w:val="center"/>
          </w:tcPr>
          <w:p>
            <w:pPr>
              <w:pStyle w:val="TableContents"/>
              <w:bidi w:val="0"/>
              <w:spacing w:before="0" w:after="283"/>
              <w:jc w:val="left"/>
              <w:rPr/>
            </w:pPr>
            <w:r>
              <w:rPr/>
              <w:t> </w:t>
            </w:r>
          </w:p>
        </w:tc>
        <w:tc>
          <w:tcPr>
            <w:tcW w:w="15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(6,233</w:t>
            </w:r>
          </w:p>
        </w:tc>
        <w:tc>
          <w:tcPr>
            <w:tcW w:w="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90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907"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90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Repayment of convertible note</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283"/>
              <w:ind w:left="0" w:right="0" w:hanging="0"/>
              <w:jc w:val="right"/>
              <w:rPr/>
            </w:pPr>
            <w:r>
              <w:rPr/>
              <w:t>—</w:t>
            </w:r>
          </w:p>
        </w:tc>
        <w:tc>
          <w:tcPr>
            <w:tcW w:w="10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(2,156</w:t>
            </w:r>
          </w:p>
        </w:tc>
        <w:tc>
          <w:tcPr>
            <w:tcW w:w="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90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Repayment of insurance loan</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(394</w:t>
            </w:r>
          </w:p>
        </w:tc>
        <w:tc>
          <w:tcPr>
            <w:tcW w:w="10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283"/>
              <w:ind w:left="0" w:right="0" w:hanging="0"/>
              <w:jc w:val="right"/>
              <w:rPr/>
            </w:pPr>
            <w:r>
              <w:rPr/>
              <w:t>—</w:t>
            </w:r>
          </w:p>
        </w:tc>
        <w:tc>
          <w:tcPr>
            <w:tcW w:w="82" w:type="dxa"/>
            <w:tcBorders/>
            <w:shd w:fill="FFFFFF" w:val="clear"/>
            <w:vAlign w:val="center"/>
          </w:tcPr>
          <w:p>
            <w:pPr>
              <w:pStyle w:val="TableContents"/>
              <w:bidi w:val="0"/>
              <w:spacing w:before="0" w:after="283"/>
              <w:jc w:val="left"/>
              <w:rPr/>
            </w:pPr>
            <w:r>
              <w:rPr/>
              <w:t> </w:t>
            </w:r>
          </w:p>
        </w:tc>
      </w:tr>
      <w:tr>
        <w:trPr/>
        <w:tc>
          <w:tcPr>
            <w:tcW w:w="790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Expense for debt issuance costs due to fair value election on Anson Notes</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w:t>
            </w:r>
          </w:p>
        </w:tc>
        <w:tc>
          <w:tcPr>
            <w:tcW w:w="10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6"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283"/>
              <w:ind w:left="0" w:right="0" w:hanging="0"/>
              <w:jc w:val="right"/>
              <w:rPr/>
            </w:pPr>
            <w:r>
              <w:rPr/>
              <w:t>—</w:t>
            </w:r>
          </w:p>
        </w:tc>
        <w:tc>
          <w:tcPr>
            <w:tcW w:w="82" w:type="dxa"/>
            <w:tcBorders/>
            <w:shd w:fill="CCEEFF" w:val="clear"/>
            <w:vAlign w:val="center"/>
          </w:tcPr>
          <w:p>
            <w:pPr>
              <w:pStyle w:val="TableContents"/>
              <w:bidi w:val="0"/>
              <w:spacing w:before="0" w:after="283"/>
              <w:jc w:val="left"/>
              <w:rPr/>
            </w:pPr>
            <w:r>
              <w:rPr/>
              <w:t> </w:t>
            </w:r>
          </w:p>
        </w:tc>
      </w:tr>
      <w:tr>
        <w:trPr/>
        <w:tc>
          <w:tcPr>
            <w:tcW w:w="790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issuance of insurance loan</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452</w:t>
            </w:r>
          </w:p>
        </w:tc>
        <w:tc>
          <w:tcPr>
            <w:tcW w:w="10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283"/>
              <w:ind w:left="0" w:right="0" w:hanging="0"/>
              <w:jc w:val="right"/>
              <w:rPr/>
            </w:pPr>
            <w:r>
              <w:rPr/>
              <w:t>—</w:t>
            </w:r>
          </w:p>
        </w:tc>
        <w:tc>
          <w:tcPr>
            <w:tcW w:w="82" w:type="dxa"/>
            <w:tcBorders/>
            <w:shd w:fill="FFFFFF" w:val="clear"/>
            <w:vAlign w:val="center"/>
          </w:tcPr>
          <w:p>
            <w:pPr>
              <w:pStyle w:val="TableContents"/>
              <w:bidi w:val="0"/>
              <w:spacing w:before="0" w:after="283"/>
              <w:jc w:val="left"/>
              <w:rPr/>
            </w:pPr>
            <w:r>
              <w:rPr/>
              <w:t> </w:t>
            </w:r>
          </w:p>
        </w:tc>
      </w:tr>
      <w:tr>
        <w:trPr/>
        <w:tc>
          <w:tcPr>
            <w:tcW w:w="790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Anson convertible notes, net of OID</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5,000</w:t>
            </w:r>
          </w:p>
        </w:tc>
        <w:tc>
          <w:tcPr>
            <w:tcW w:w="10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283"/>
              <w:ind w:left="0" w:right="0" w:hanging="0"/>
              <w:jc w:val="right"/>
              <w:rPr/>
            </w:pPr>
            <w:r>
              <w:rPr/>
              <w:t>—</w:t>
            </w:r>
          </w:p>
        </w:tc>
        <w:tc>
          <w:tcPr>
            <w:tcW w:w="82" w:type="dxa"/>
            <w:tcBorders/>
            <w:shd w:fill="CCEEFF" w:val="clear"/>
            <w:vAlign w:val="center"/>
          </w:tcPr>
          <w:p>
            <w:pPr>
              <w:pStyle w:val="TableContents"/>
              <w:bidi w:val="0"/>
              <w:spacing w:before="0" w:after="283"/>
              <w:jc w:val="left"/>
              <w:rPr/>
            </w:pPr>
            <w:r>
              <w:rPr/>
              <w:t> </w:t>
            </w:r>
          </w:p>
        </w:tc>
      </w:tr>
      <w:tr>
        <w:trPr/>
        <w:tc>
          <w:tcPr>
            <w:tcW w:w="790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issuance of common stock and warrants issued in Registered Direct offering, net of issuance costs</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3,255</w:t>
            </w:r>
          </w:p>
        </w:tc>
        <w:tc>
          <w:tcPr>
            <w:tcW w:w="10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283"/>
              <w:ind w:left="0" w:right="0" w:hanging="0"/>
              <w:jc w:val="right"/>
              <w:rPr/>
            </w:pPr>
            <w:r>
              <w:rPr/>
              <w:t>—</w:t>
            </w:r>
          </w:p>
        </w:tc>
        <w:tc>
          <w:tcPr>
            <w:tcW w:w="82" w:type="dxa"/>
            <w:tcBorders/>
            <w:shd w:fill="FFFFFF" w:val="clear"/>
            <w:vAlign w:val="center"/>
          </w:tcPr>
          <w:p>
            <w:pPr>
              <w:pStyle w:val="TableContents"/>
              <w:bidi w:val="0"/>
              <w:spacing w:before="0" w:after="283"/>
              <w:jc w:val="left"/>
              <w:rPr/>
            </w:pPr>
            <w:r>
              <w:rPr/>
              <w:t> </w:t>
            </w:r>
          </w:p>
        </w:tc>
      </w:tr>
      <w:tr>
        <w:trPr/>
        <w:tc>
          <w:tcPr>
            <w:tcW w:w="790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ATM offering, net of offering costs</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1,012</w:t>
            </w:r>
          </w:p>
        </w:tc>
        <w:tc>
          <w:tcPr>
            <w:tcW w:w="10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82" w:type="dxa"/>
            <w:tcBorders/>
            <w:shd w:fill="CCEEFF" w:val="clear"/>
            <w:vAlign w:val="center"/>
          </w:tcPr>
          <w:p>
            <w:pPr>
              <w:pStyle w:val="TableContents"/>
              <w:bidi w:val="0"/>
              <w:spacing w:before="0" w:after="283"/>
              <w:jc w:val="left"/>
              <w:rPr/>
            </w:pPr>
            <w:r>
              <w:rPr/>
              <w:t> </w:t>
            </w:r>
          </w:p>
        </w:tc>
      </w:tr>
      <w:tr>
        <w:trPr/>
        <w:tc>
          <w:tcPr>
            <w:tcW w:w="790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issuance of common stock and warrants, net of issuance costs</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283"/>
              <w:ind w:left="0" w:right="0" w:hanging="0"/>
              <w:jc w:val="right"/>
              <w:rPr/>
            </w:pPr>
            <w:r>
              <w:rPr/>
              <w:t>—</w:t>
            </w:r>
          </w:p>
        </w:tc>
        <w:tc>
          <w:tcPr>
            <w:tcW w:w="10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4,665</w:t>
            </w:r>
          </w:p>
        </w:tc>
        <w:tc>
          <w:tcPr>
            <w:tcW w:w="82" w:type="dxa"/>
            <w:tcBorders/>
            <w:shd w:fill="FFFFFF" w:val="clear"/>
            <w:vAlign w:val="center"/>
          </w:tcPr>
          <w:p>
            <w:pPr>
              <w:pStyle w:val="TableContents"/>
              <w:bidi w:val="0"/>
              <w:spacing w:before="0" w:after="283"/>
              <w:jc w:val="left"/>
              <w:rPr/>
            </w:pPr>
            <w:r>
              <w:rPr/>
              <w:t> </w:t>
            </w:r>
          </w:p>
        </w:tc>
      </w:tr>
      <w:tr>
        <w:trPr/>
        <w:tc>
          <w:tcPr>
            <w:tcW w:w="790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issuance of common stock and warrants issued in private placement, net of issuance costs</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10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1,027</w:t>
            </w:r>
          </w:p>
        </w:tc>
        <w:tc>
          <w:tcPr>
            <w:tcW w:w="82" w:type="dxa"/>
            <w:tcBorders/>
            <w:shd w:fill="CCEEFF" w:val="clear"/>
            <w:vAlign w:val="center"/>
          </w:tcPr>
          <w:p>
            <w:pPr>
              <w:pStyle w:val="TableContents"/>
              <w:bidi w:val="0"/>
              <w:spacing w:before="0" w:after="283"/>
              <w:jc w:val="left"/>
              <w:rPr/>
            </w:pPr>
            <w:r>
              <w:rPr/>
              <w:t> </w:t>
            </w:r>
          </w:p>
        </w:tc>
      </w:tr>
      <w:tr>
        <w:trPr/>
        <w:tc>
          <w:tcPr>
            <w:tcW w:w="7907"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8,975</w:t>
            </w:r>
          </w:p>
        </w:tc>
        <w:tc>
          <w:tcPr>
            <w:tcW w:w="10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5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3,536</w:t>
            </w:r>
          </w:p>
        </w:tc>
        <w:tc>
          <w:tcPr>
            <w:tcW w:w="82" w:type="dxa"/>
            <w:tcBorders/>
            <w:shd w:fill="FFFFFF" w:val="clear"/>
            <w:vAlign w:val="center"/>
          </w:tcPr>
          <w:p>
            <w:pPr>
              <w:pStyle w:val="TableContents"/>
              <w:bidi w:val="0"/>
              <w:spacing w:before="0" w:after="283"/>
              <w:jc w:val="left"/>
              <w:rPr/>
            </w:pPr>
            <w:r>
              <w:rPr/>
              <w:t> </w:t>
            </w:r>
          </w:p>
        </w:tc>
      </w:tr>
      <w:tr>
        <w:trPr/>
        <w:tc>
          <w:tcPr>
            <w:tcW w:w="790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907"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increase (decrease) in cash and cash equivalents</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1,467</w:t>
            </w:r>
          </w:p>
        </w:tc>
        <w:tc>
          <w:tcPr>
            <w:tcW w:w="10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(2,697</w:t>
            </w:r>
          </w:p>
        </w:tc>
        <w:tc>
          <w:tcPr>
            <w:tcW w:w="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90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 at beginning of period</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1,443</w:t>
            </w:r>
          </w:p>
        </w:tc>
        <w:tc>
          <w:tcPr>
            <w:tcW w:w="10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4,595</w:t>
            </w:r>
          </w:p>
        </w:tc>
        <w:tc>
          <w:tcPr>
            <w:tcW w:w="82" w:type="dxa"/>
            <w:tcBorders/>
            <w:shd w:fill="CCEEFF" w:val="clear"/>
            <w:vAlign w:val="center"/>
          </w:tcPr>
          <w:p>
            <w:pPr>
              <w:pStyle w:val="TableContents"/>
              <w:bidi w:val="0"/>
              <w:spacing w:before="0" w:after="283"/>
              <w:jc w:val="left"/>
              <w:rPr/>
            </w:pPr>
            <w:r>
              <w:rPr/>
              <w:t> </w:t>
            </w:r>
          </w:p>
        </w:tc>
      </w:tr>
      <w:tr>
        <w:trPr/>
        <w:tc>
          <w:tcPr>
            <w:tcW w:w="790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 at end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15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2,910</w:t>
            </w:r>
          </w:p>
        </w:tc>
        <w:tc>
          <w:tcPr>
            <w:tcW w:w="10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15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1,898</w:t>
            </w:r>
          </w:p>
        </w:tc>
        <w:tc>
          <w:tcPr>
            <w:tcW w:w="82" w:type="dxa"/>
            <w:tcBorders/>
            <w:shd w:fill="FFFFFF" w:val="clear"/>
            <w:vAlign w:val="center"/>
          </w:tcPr>
          <w:p>
            <w:pPr>
              <w:pStyle w:val="TableContents"/>
              <w:bidi w:val="0"/>
              <w:spacing w:before="0" w:after="283"/>
              <w:jc w:val="left"/>
              <w:rPr/>
            </w:pPr>
            <w:r>
              <w:rPr/>
              <w:t> </w:t>
            </w:r>
          </w:p>
        </w:tc>
      </w:tr>
      <w:tr>
        <w:trPr/>
        <w:tc>
          <w:tcPr>
            <w:tcW w:w="7907"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Supplemental disclosure of cash flow information:</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90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for interest</w:t>
            </w:r>
          </w:p>
        </w:tc>
        <w:tc>
          <w:tcPr>
            <w:tcW w:w="60" w:type="dxa"/>
            <w:tcBorders/>
            <w:shd w:fill="FFFFFF" w:val="clear"/>
            <w:vAlign w:val="center"/>
          </w:tcPr>
          <w:p>
            <w:pPr>
              <w:pStyle w:val="TableContents"/>
              <w:bidi w:val="0"/>
              <w:spacing w:before="0" w:after="283"/>
              <w:ind w:left="0" w:right="0" w:hanging="0"/>
              <w:jc w:val="left"/>
              <w:rPr/>
            </w:pPr>
            <w:r>
              <w:rPr/>
              <w:t> </w:t>
            </w:r>
          </w:p>
        </w:tc>
        <w:tc>
          <w:tcPr>
            <w:tcW w:w="15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0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15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374</w:t>
            </w:r>
          </w:p>
        </w:tc>
        <w:tc>
          <w:tcPr>
            <w:tcW w:w="82" w:type="dxa"/>
            <w:tcBorders/>
            <w:shd w:fill="FFFFFF" w:val="clear"/>
            <w:vAlign w:val="center"/>
          </w:tcPr>
          <w:p>
            <w:pPr>
              <w:pStyle w:val="TableContents"/>
              <w:bidi w:val="0"/>
              <w:spacing w:before="0" w:after="283"/>
              <w:jc w:val="left"/>
              <w:rPr/>
            </w:pPr>
            <w:r>
              <w:rPr/>
              <w:t> </w:t>
            </w:r>
          </w:p>
        </w:tc>
      </w:tr>
      <w:tr>
        <w:trPr/>
        <w:tc>
          <w:tcPr>
            <w:tcW w:w="790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for taxes</w:t>
            </w:r>
          </w:p>
        </w:tc>
        <w:tc>
          <w:tcPr>
            <w:tcW w:w="60" w:type="dxa"/>
            <w:tcBorders/>
            <w:shd w:fill="CCEEFF" w:val="clear"/>
            <w:vAlign w:val="center"/>
          </w:tcPr>
          <w:p>
            <w:pPr>
              <w:pStyle w:val="TableContents"/>
              <w:bidi w:val="0"/>
              <w:spacing w:before="0" w:after="283"/>
              <w:ind w:left="0" w:right="0" w:hanging="0"/>
              <w:jc w:val="left"/>
              <w:rPr/>
            </w:pPr>
            <w:r>
              <w:rPr/>
              <w:t> </w:t>
            </w:r>
          </w:p>
        </w:tc>
        <w:tc>
          <w:tcPr>
            <w:tcW w:w="1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10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1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2" w:type="dxa"/>
            <w:tcBorders/>
            <w:shd w:fill="CCEEFF" w:val="clear"/>
            <w:vAlign w:val="center"/>
          </w:tcPr>
          <w:p>
            <w:pPr>
              <w:pStyle w:val="TableContents"/>
              <w:bidi w:val="0"/>
              <w:spacing w:before="0" w:after="283"/>
              <w:jc w:val="left"/>
              <w:rPr/>
            </w:pPr>
            <w:r>
              <w:rPr/>
              <w:t> </w:t>
            </w:r>
          </w:p>
        </w:tc>
      </w:tr>
      <w:tr>
        <w:trPr/>
        <w:tc>
          <w:tcPr>
            <w:tcW w:w="7907" w:type="dxa"/>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Non-cash investing and financing activities</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90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common stock as principal and interest repayment for convertible notes</w:t>
            </w:r>
          </w:p>
        </w:tc>
        <w:tc>
          <w:tcPr>
            <w:tcW w:w="60" w:type="dxa"/>
            <w:tcBorders/>
            <w:shd w:fill="CCEEFF" w:val="clear"/>
            <w:vAlign w:val="center"/>
          </w:tcPr>
          <w:p>
            <w:pPr>
              <w:pStyle w:val="TableContents"/>
              <w:bidi w:val="0"/>
              <w:spacing w:before="0" w:after="283"/>
              <w:ind w:left="0" w:right="0" w:hanging="0"/>
              <w:jc w:val="left"/>
              <w:rPr/>
            </w:pPr>
            <w:r>
              <w:rPr/>
              <w:t> </w:t>
            </w:r>
          </w:p>
        </w:tc>
        <w:tc>
          <w:tcPr>
            <w:tcW w:w="1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5,456</w:t>
            </w:r>
          </w:p>
        </w:tc>
        <w:tc>
          <w:tcPr>
            <w:tcW w:w="10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1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w:t>
            </w:r>
          </w:p>
        </w:tc>
        <w:tc>
          <w:tcPr>
            <w:tcW w:w="82" w:type="dxa"/>
            <w:tcBorders/>
            <w:shd w:fill="CCEEFF" w:val="clear"/>
            <w:vAlign w:val="center"/>
          </w:tcPr>
          <w:p>
            <w:pPr>
              <w:pStyle w:val="TableContents"/>
              <w:bidi w:val="0"/>
              <w:spacing w:before="0" w:after="283"/>
              <w:jc w:val="left"/>
              <w:rPr/>
            </w:pPr>
            <w:r>
              <w:rPr/>
              <w:t> </w:t>
            </w:r>
          </w:p>
        </w:tc>
      </w:tr>
      <w:tr>
        <w:trPr/>
        <w:tc>
          <w:tcPr>
            <w:tcW w:w="790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common stock warrants as offering costs</w:t>
            </w:r>
          </w:p>
        </w:tc>
        <w:tc>
          <w:tcPr>
            <w:tcW w:w="60" w:type="dxa"/>
            <w:tcBorders/>
            <w:shd w:fill="FFFFFF" w:val="clear"/>
            <w:vAlign w:val="center"/>
          </w:tcPr>
          <w:p>
            <w:pPr>
              <w:pStyle w:val="TableContents"/>
              <w:bidi w:val="0"/>
              <w:spacing w:before="0" w:after="283"/>
              <w:ind w:left="0" w:right="0" w:hanging="0"/>
              <w:jc w:val="left"/>
              <w:rPr/>
            </w:pPr>
            <w:r>
              <w:rPr/>
              <w:t> </w:t>
            </w:r>
          </w:p>
        </w:tc>
        <w:tc>
          <w:tcPr>
            <w:tcW w:w="15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0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15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w:t>
            </w:r>
          </w:p>
        </w:tc>
        <w:tc>
          <w:tcPr>
            <w:tcW w:w="82" w:type="dxa"/>
            <w:tcBorders/>
            <w:shd w:fill="FFFFFF" w:val="clear"/>
            <w:vAlign w:val="center"/>
          </w:tcPr>
          <w:p>
            <w:pPr>
              <w:pStyle w:val="TableContents"/>
              <w:bidi w:val="0"/>
              <w:spacing w:before="0" w:after="283"/>
              <w:jc w:val="left"/>
              <w:rPr/>
            </w:pPr>
            <w:r>
              <w:rPr/>
              <w:t> </w:t>
            </w:r>
          </w:p>
        </w:tc>
      </w:tr>
      <w:tr>
        <w:trPr/>
        <w:tc>
          <w:tcPr>
            <w:tcW w:w="790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Conversion of Series A preferred stock into common stock</w:t>
            </w:r>
          </w:p>
        </w:tc>
        <w:tc>
          <w:tcPr>
            <w:tcW w:w="60" w:type="dxa"/>
            <w:tcBorders/>
            <w:shd w:fill="CCEEFF" w:val="clear"/>
            <w:vAlign w:val="center"/>
          </w:tcPr>
          <w:p>
            <w:pPr>
              <w:pStyle w:val="TableContents"/>
              <w:bidi w:val="0"/>
              <w:spacing w:before="0" w:after="283"/>
              <w:ind w:left="0" w:right="0" w:hanging="0"/>
              <w:jc w:val="left"/>
              <w:rPr/>
            </w:pPr>
            <w:r>
              <w:rPr/>
              <w:t> </w:t>
            </w:r>
          </w:p>
        </w:tc>
        <w:tc>
          <w:tcPr>
            <w:tcW w:w="1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10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1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82" w:type="dxa"/>
            <w:tcBorders/>
            <w:shd w:fill="CCEEFF" w:val="clear"/>
            <w:vAlign w:val="center"/>
          </w:tcPr>
          <w:p>
            <w:pPr>
              <w:pStyle w:val="TableContents"/>
              <w:bidi w:val="0"/>
              <w:spacing w:before="0" w:after="283"/>
              <w:jc w:val="left"/>
              <w:rPr/>
            </w:pPr>
            <w:r>
              <w:rPr/>
              <w:t> </w:t>
            </w:r>
          </w:p>
        </w:tc>
      </w:tr>
      <w:tr>
        <w:trPr/>
        <w:tc>
          <w:tcPr>
            <w:tcW w:w="790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deferred offering costs to additional paid-in-capital</w:t>
            </w:r>
          </w:p>
        </w:tc>
        <w:tc>
          <w:tcPr>
            <w:tcW w:w="60" w:type="dxa"/>
            <w:tcBorders/>
            <w:shd w:fill="FFFFFF" w:val="clear"/>
            <w:vAlign w:val="center"/>
          </w:tcPr>
          <w:p>
            <w:pPr>
              <w:pStyle w:val="TableContents"/>
              <w:bidi w:val="0"/>
              <w:spacing w:before="0" w:after="283"/>
              <w:ind w:left="0" w:right="0" w:hanging="0"/>
              <w:jc w:val="left"/>
              <w:rPr/>
            </w:pPr>
            <w:r>
              <w:rPr/>
              <w:t> </w:t>
            </w:r>
          </w:p>
        </w:tc>
        <w:tc>
          <w:tcPr>
            <w:tcW w:w="15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w:t>
            </w:r>
          </w:p>
        </w:tc>
        <w:tc>
          <w:tcPr>
            <w:tcW w:w="10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15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NRX PHARMACEUTICALS,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CONDENSED CONSOLIDATED FINANCIAL STATEMENTS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JUNE 30, 2025</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1.</w:t>
      </w:r>
      <w:r>
        <w:rPr>
          <w:rFonts w:ascii="Times New Roman" w:hAnsi="Times New Roman"/>
          <w:b/>
          <w:caps w:val="false"/>
          <w:smallCaps w:val="false"/>
          <w:sz w:val="20"/>
        </w:rPr>
        <w:t xml:space="preserve"> 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The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NRx Pharmaceuticals, Inc. (Nasdaq: NRXP) (“</w:t>
      </w:r>
      <w:r>
        <w:rPr>
          <w:rFonts w:ascii="Times New Roman" w:hAnsi="Times New Roman"/>
          <w:i/>
          <w:caps w:val="false"/>
          <w:smallCaps w:val="false"/>
          <w:sz w:val="20"/>
        </w:rPr>
        <w:t>NRx</w:t>
      </w:r>
      <w:r>
        <w:rPr>
          <w:rFonts w:ascii="Times New Roman" w:hAnsi="Times New Roman"/>
          <w:caps w:val="false"/>
          <w:smallCaps w:val="false"/>
          <w:sz w:val="20"/>
        </w:rPr>
        <w:t>”, the “</w:t>
      </w:r>
      <w:r>
        <w:rPr>
          <w:rFonts w:ascii="Times New Roman" w:hAnsi="Times New Roman"/>
          <w:i/>
          <w:caps w:val="false"/>
          <w:smallCaps w:val="false"/>
          <w:sz w:val="20"/>
        </w:rPr>
        <w:t>Company</w:t>
      </w:r>
      <w:r>
        <w:rPr>
          <w:rFonts w:ascii="Times New Roman" w:hAnsi="Times New Roman"/>
          <w:caps w:val="false"/>
          <w:smallCaps w:val="false"/>
          <w:sz w:val="20"/>
        </w:rPr>
        <w:t>”, “</w:t>
      </w:r>
      <w:r>
        <w:rPr>
          <w:rFonts w:ascii="Times New Roman" w:hAnsi="Times New Roman"/>
          <w:i/>
          <w:caps w:val="false"/>
          <w:smallCaps w:val="false"/>
          <w:sz w:val="20"/>
        </w:rPr>
        <w:t>we</w:t>
      </w:r>
      <w:r>
        <w:rPr>
          <w:rFonts w:ascii="Times New Roman" w:hAnsi="Times New Roman"/>
          <w:caps w:val="false"/>
          <w:smallCaps w:val="false"/>
          <w:sz w:val="20"/>
        </w:rPr>
        <w:t>”, “</w:t>
      </w:r>
      <w:r>
        <w:rPr>
          <w:rFonts w:ascii="Times New Roman" w:hAnsi="Times New Roman"/>
          <w:i/>
          <w:caps w:val="false"/>
          <w:smallCaps w:val="false"/>
          <w:sz w:val="20"/>
        </w:rPr>
        <w:t>us</w:t>
      </w:r>
      <w:r>
        <w:rPr>
          <w:rFonts w:ascii="Times New Roman" w:hAnsi="Times New Roman"/>
          <w:caps w:val="false"/>
          <w:smallCaps w:val="false"/>
          <w:sz w:val="20"/>
        </w:rPr>
        <w:t>” or “</w:t>
      </w:r>
      <w:r>
        <w:rPr>
          <w:rFonts w:ascii="Times New Roman" w:hAnsi="Times New Roman"/>
          <w:i/>
          <w:caps w:val="false"/>
          <w:smallCaps w:val="false"/>
          <w:sz w:val="20"/>
        </w:rPr>
        <w:t>our</w:t>
      </w:r>
      <w:r>
        <w:rPr>
          <w:rFonts w:ascii="Times New Roman" w:hAnsi="Times New Roman"/>
          <w:caps w:val="false"/>
          <w:smallCaps w:val="false"/>
          <w:sz w:val="20"/>
        </w:rPr>
        <w:t>”) is a clinical-stage bio-pharmaceutical company which develops and will distribute, through its wholly-owned operating subsidiary, NeuroRx, Inc., (“</w:t>
      </w:r>
      <w:r>
        <w:rPr>
          <w:rFonts w:ascii="Times New Roman" w:hAnsi="Times New Roman"/>
          <w:i/>
          <w:caps w:val="false"/>
          <w:smallCaps w:val="false"/>
          <w:sz w:val="20"/>
        </w:rPr>
        <w:t>NeuroRx</w:t>
      </w:r>
      <w:r>
        <w:rPr>
          <w:rFonts w:ascii="Times New Roman" w:hAnsi="Times New Roman"/>
          <w:caps w:val="false"/>
          <w:smallCaps w:val="false"/>
          <w:sz w:val="20"/>
        </w:rPr>
        <w:t>”), novel therapeutics for the treatment of central nervous system disorders including suicidal depression, chronic pain, and post-traumatic stress disorder (“</w:t>
      </w:r>
      <w:r>
        <w:rPr>
          <w:rFonts w:ascii="Times New Roman" w:hAnsi="Times New Roman"/>
          <w:i/>
          <w:caps w:val="false"/>
          <w:smallCaps w:val="false"/>
          <w:sz w:val="20"/>
        </w:rPr>
        <w:t>PTSD</w:t>
      </w:r>
      <w:r>
        <w:rPr>
          <w:rFonts w:ascii="Times New Roman" w:hAnsi="Times New Roman"/>
          <w:caps w:val="false"/>
          <w:smallCaps w:val="false"/>
          <w:sz w:val="20"/>
        </w:rPr>
        <w:t>”) and schizophrenia. All of our current drug development activities are focused drugs that modulate on the N-methyl-D-aspartate (“</w:t>
      </w:r>
      <w:r>
        <w:rPr>
          <w:rFonts w:ascii="Times New Roman" w:hAnsi="Times New Roman"/>
          <w:i/>
          <w:caps w:val="false"/>
          <w:smallCaps w:val="false"/>
          <w:sz w:val="20"/>
        </w:rPr>
        <w:t>NMDA</w:t>
      </w:r>
      <w:r>
        <w:rPr>
          <w:rFonts w:ascii="Times New Roman" w:hAnsi="Times New Roman"/>
          <w:caps w:val="false"/>
          <w:smallCaps w:val="false"/>
          <w:sz w:val="20"/>
        </w:rPr>
        <w:t xml:space="preserve">”) receptor in the brain and nervous system, a neurochemical pathway that has been disclosed in detail in our annual filings. The Company has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lead drug candidates – NRX-</w:t>
      </w:r>
      <w:r>
        <w:rPr>
          <w:rStyle w:val="Emphasis"/>
          <w:rFonts w:ascii="Times New Roman" w:hAnsi="Times New Roman"/>
          <w:caps w:val="false"/>
          <w:smallCaps w:val="false"/>
          <w:sz w:val="20"/>
        </w:rPr>
        <w:t>100,</w:t>
      </w:r>
      <w:r>
        <w:rPr>
          <w:rFonts w:ascii="Times New Roman" w:hAnsi="Times New Roman"/>
          <w:caps w:val="false"/>
          <w:smallCaps w:val="false"/>
          <w:sz w:val="20"/>
        </w:rPr>
        <w:t xml:space="preserve"> a preservative-free formulation of ketamine for intravenous infusion, and NRX-</w:t>
      </w:r>
      <w:r>
        <w:rPr>
          <w:rStyle w:val="Emphasis"/>
          <w:rFonts w:ascii="Times New Roman" w:hAnsi="Times New Roman"/>
          <w:caps w:val="false"/>
          <w:smallCaps w:val="false"/>
          <w:sz w:val="20"/>
        </w:rPr>
        <w:t>101,</w:t>
      </w:r>
      <w:r>
        <w:rPr>
          <w:rFonts w:ascii="Times New Roman" w:hAnsi="Times New Roman"/>
          <w:caps w:val="false"/>
          <w:smallCaps w:val="false"/>
          <w:sz w:val="20"/>
        </w:rPr>
        <w:t xml:space="preserve"> an oral fixed dose combination of D-cycloserine and lurasidone. NRX-</w:t>
      </w:r>
      <w:r>
        <w:rPr>
          <w:rStyle w:val="Emphasis"/>
          <w:rFonts w:ascii="Times New Roman" w:hAnsi="Times New Roman"/>
          <w:caps w:val="false"/>
          <w:smallCaps w:val="false"/>
          <w:sz w:val="20"/>
        </w:rPr>
        <w:t>100</w:t>
      </w:r>
      <w:r>
        <w:rPr>
          <w:rFonts w:ascii="Times New Roman" w:hAnsi="Times New Roman"/>
          <w:caps w:val="false"/>
          <w:smallCaps w:val="false"/>
          <w:sz w:val="20"/>
        </w:rPr>
        <w:t xml:space="preserve"> and NRX-</w:t>
      </w:r>
      <w:r>
        <w:rPr>
          <w:rStyle w:val="Emphasis"/>
          <w:rFonts w:ascii="Times New Roman" w:hAnsi="Times New Roman"/>
          <w:caps w:val="false"/>
          <w:smallCaps w:val="false"/>
          <w:sz w:val="20"/>
        </w:rPr>
        <w:t>101</w:t>
      </w:r>
      <w:r>
        <w:rPr>
          <w:rFonts w:ascii="Times New Roman" w:hAnsi="Times New Roman"/>
          <w:caps w:val="false"/>
          <w:smallCaps w:val="false"/>
          <w:sz w:val="20"/>
        </w:rPr>
        <w:t xml:space="preserve"> are in the process of submission for Food and Drug Administration (“</w:t>
      </w:r>
      <w:r>
        <w:rPr>
          <w:rFonts w:ascii="Times New Roman" w:hAnsi="Times New Roman"/>
          <w:i/>
          <w:caps w:val="false"/>
          <w:smallCaps w:val="false"/>
          <w:sz w:val="20"/>
        </w:rPr>
        <w:t>FDA</w:t>
      </w:r>
      <w:r>
        <w:rPr>
          <w:rFonts w:ascii="Times New Roman" w:hAnsi="Times New Roman"/>
          <w:caps w:val="false"/>
          <w:smallCaps w:val="false"/>
          <w:sz w:val="20"/>
        </w:rPr>
        <w:t>”) approval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3"/>
        <w:gridCol w:w="9992"/>
      </w:tblGrid>
      <w:tr>
        <w:trPr/>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0"/>
              <w:ind w:left="0" w:right="0" w:hanging="0"/>
              <w:jc w:val="both"/>
              <w:rPr/>
            </w:pPr>
            <w:r>
              <w:rPr>
                <w:rStyle w:val="Emphasis"/>
                <w:rFonts w:ascii="Times New Roman;Times;serif" w:hAnsi="Times New Roman;Times;serif"/>
                <w:caps w:val="false"/>
                <w:smallCaps w:val="false"/>
                <w:sz w:val="20"/>
              </w:rPr>
              <w:t>1.</w:t>
            </w:r>
          </w:p>
        </w:tc>
        <w:tc>
          <w:tcPr>
            <w:tcW w:w="9992"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An Abbreviated New Drug Application (“</w:t>
            </w:r>
            <w:r>
              <w:rPr>
                <w:rFonts w:ascii="Times New Roman;Times;serif" w:hAnsi="Times New Roman;Times;serif"/>
                <w:i/>
                <w:caps w:val="false"/>
                <w:smallCaps w:val="false"/>
                <w:sz w:val="20"/>
              </w:rPr>
              <w:t>ANDA</w:t>
            </w:r>
            <w:r>
              <w:rPr>
                <w:rFonts w:ascii="Times New Roman;Times;serif" w:hAnsi="Times New Roman;Times;serif"/>
                <w:caps w:val="false"/>
                <w:smallCaps w:val="false"/>
                <w:sz w:val="20"/>
              </w:rPr>
              <w:t>”) for NRX-</w:t>
            </w:r>
            <w:r>
              <w:rPr>
                <w:rStyle w:val="Emphasis"/>
                <w:rFonts w:ascii="Times New Roman;Times;serif" w:hAnsi="Times New Roman;Times;serif"/>
                <w:caps w:val="false"/>
                <w:smallCaps w:val="false"/>
                <w:sz w:val="20"/>
              </w:rPr>
              <w:t>100</w:t>
            </w:r>
            <w:r>
              <w:rPr>
                <w:rFonts w:ascii="Times New Roman;Times;serif" w:hAnsi="Times New Roman;Times;serif"/>
                <w:caps w:val="false"/>
                <w:smallCaps w:val="false"/>
                <w:sz w:val="20"/>
              </w:rPr>
              <w:t xml:space="preserve"> was filed, with Priority Review requested, during the </w:t>
            </w:r>
            <w:r>
              <w:rPr>
                <w:rStyle w:val="Emphasis"/>
                <w:rFonts w:ascii="Times New Roman;Times;serif" w:hAnsi="Times New Roman;Times;serif"/>
                <w:caps w:val="false"/>
                <w:smallCaps w:val="false"/>
                <w:sz w:val="20"/>
              </w:rPr>
              <w:t>second</w:t>
            </w:r>
            <w:r>
              <w:rPr>
                <w:rFonts w:ascii="Times New Roman;Times;serif" w:hAnsi="Times New Roman;Times;serif"/>
                <w:caps w:val="false"/>
                <w:smallCaps w:val="false"/>
                <w:sz w:val="20"/>
              </w:rPr>
              <w:t xml:space="preserve"> quarter of </w:t>
            </w:r>
            <w:r>
              <w:rPr>
                <w:rStyle w:val="Emphasis"/>
                <w:rFonts w:ascii="Times New Roman;Times;serif" w:hAnsi="Times New Roman;Times;serif"/>
                <w:caps w:val="false"/>
                <w:smallCaps w:val="false"/>
                <w:sz w:val="20"/>
              </w:rPr>
              <w:t>2025</w:t>
            </w:r>
            <w:r>
              <w:rPr>
                <w:rFonts w:ascii="Times New Roman;Times;serif" w:hAnsi="Times New Roman;Times;serif"/>
                <w:caps w:val="false"/>
                <w:smallCaps w:val="false"/>
                <w:sz w:val="20"/>
              </w:rPr>
              <w:t xml:space="preserve"> with a </w:t>
            </w:r>
            <w:r>
              <w:rPr>
                <w:rStyle w:val="Emphasis"/>
                <w:rFonts w:ascii="Times New Roman;Times;serif" w:hAnsi="Times New Roman;Times;serif"/>
                <w:caps w:val="false"/>
                <w:smallCaps w:val="false"/>
                <w:sz w:val="20"/>
              </w:rPr>
              <w:t>first</w:t>
            </w:r>
            <w:r>
              <w:rPr>
                <w:rFonts w:ascii="Times New Roman;Times;serif" w:hAnsi="Times New Roman;Times;serif"/>
                <w:caps w:val="false"/>
                <w:smallCaps w:val="false"/>
                <w:sz w:val="20"/>
              </w:rPr>
              <w:t xml:space="preserve"> response received </w:t>
            </w:r>
            <w:r>
              <w:rPr>
                <w:rStyle w:val="Emphasis"/>
                <w:rFonts w:ascii="Times New Roman;Times;serif" w:hAnsi="Times New Roman;Times;serif"/>
                <w:caps w:val="false"/>
                <w:smallCaps w:val="false"/>
                <w:sz w:val="20"/>
              </w:rPr>
              <w:t>August 13, 2025.</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2"/>
        <w:gridCol w:w="10013"/>
      </w:tblGrid>
      <w:tr>
        <w:trPr/>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0"/>
              <w:ind w:left="0" w:right="0" w:hanging="0"/>
              <w:jc w:val="both"/>
              <w:rPr/>
            </w:pPr>
            <w:r>
              <w:rPr>
                <w:rStyle w:val="Emphasis"/>
                <w:rFonts w:ascii="Times New Roman;Times;serif" w:hAnsi="Times New Roman;Times;serif"/>
                <w:caps w:val="false"/>
                <w:smallCaps w:val="false"/>
                <w:sz w:val="20"/>
              </w:rPr>
              <w:t>2.</w:t>
            </w:r>
          </w:p>
        </w:tc>
        <w:tc>
          <w:tcPr>
            <w:tcW w:w="10013"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A New Drug Application (“</w:t>
            </w:r>
            <w:r>
              <w:rPr>
                <w:rFonts w:ascii="Times New Roman;Times;serif" w:hAnsi="Times New Roman;Times;serif"/>
                <w:i/>
                <w:caps w:val="false"/>
                <w:smallCaps w:val="false"/>
                <w:sz w:val="20"/>
              </w:rPr>
              <w:t>NDA</w:t>
            </w:r>
            <w:r>
              <w:rPr>
                <w:rFonts w:ascii="Times New Roman;Times;serif" w:hAnsi="Times New Roman;Times;serif"/>
                <w:caps w:val="false"/>
                <w:smallCaps w:val="false"/>
                <w:sz w:val="20"/>
              </w:rPr>
              <w:t>”) for NRX-</w:t>
            </w:r>
            <w:r>
              <w:rPr>
                <w:rStyle w:val="Emphasis"/>
                <w:rFonts w:ascii="Times New Roman;Times;serif" w:hAnsi="Times New Roman;Times;serif"/>
                <w:caps w:val="false"/>
                <w:smallCaps w:val="false"/>
                <w:sz w:val="20"/>
              </w:rPr>
              <w:t>100,</w:t>
            </w:r>
            <w:r>
              <w:rPr>
                <w:rFonts w:ascii="Times New Roman;Times;serif" w:hAnsi="Times New Roman;Times;serif"/>
                <w:caps w:val="false"/>
                <w:smallCaps w:val="false"/>
                <w:sz w:val="20"/>
              </w:rPr>
              <w:t xml:space="preserve"> originally initiated during the </w:t>
            </w:r>
            <w:r>
              <w:rPr>
                <w:rStyle w:val="Emphasis"/>
                <w:rFonts w:ascii="Times New Roman;Times;serif" w:hAnsi="Times New Roman;Times;serif"/>
                <w:caps w:val="false"/>
                <w:smallCaps w:val="false"/>
                <w:sz w:val="20"/>
              </w:rPr>
              <w:t>fourth</w:t>
            </w:r>
            <w:r>
              <w:rPr>
                <w:rFonts w:ascii="Times New Roman;Times;serif" w:hAnsi="Times New Roman;Times;serif"/>
                <w:caps w:val="false"/>
                <w:smallCaps w:val="false"/>
                <w:sz w:val="20"/>
              </w:rPr>
              <w:t xml:space="preserve"> quarter of </w:t>
            </w:r>
            <w:r>
              <w:rPr>
                <w:rStyle w:val="Emphasis"/>
                <w:rFonts w:ascii="Times New Roman;Times;serif" w:hAnsi="Times New Roman;Times;serif"/>
                <w:caps w:val="false"/>
                <w:smallCaps w:val="false"/>
                <w:sz w:val="20"/>
              </w:rPr>
              <w:t>2024,</w:t>
            </w:r>
            <w:r>
              <w:rPr>
                <w:rFonts w:ascii="Times New Roman;Times;serif" w:hAnsi="Times New Roman;Times;serif"/>
                <w:caps w:val="false"/>
                <w:smallCaps w:val="false"/>
                <w:sz w:val="20"/>
              </w:rPr>
              <w:t xml:space="preserve"> is expected to be completed in </w:t>
            </w:r>
            <w:r>
              <w:rPr>
                <w:rStyle w:val="Emphasis"/>
                <w:rFonts w:ascii="Times New Roman;Times;serif" w:hAnsi="Times New Roman;Times;serif"/>
                <w:caps w:val="false"/>
                <w:smallCaps w:val="false"/>
                <w:sz w:val="20"/>
              </w:rPr>
              <w:t xml:space="preserve">September 2025. </w:t>
            </w:r>
            <w:r>
              <w:rPr>
                <w:rFonts w:ascii="Times New Roman;Times;serif" w:hAnsi="Times New Roman;Times;serif"/>
                <w:caps w:val="false"/>
                <w:smallCaps w:val="false"/>
                <w:sz w:val="20"/>
              </w:rPr>
              <w:t>This follows the Company’s successful application for a waiver under the Prescription Drug User Fee Act ("</w:t>
            </w:r>
            <w:r>
              <w:rPr>
                <w:rFonts w:ascii="Times New Roman;Times;serif" w:hAnsi="Times New Roman;Times;serif"/>
                <w:i/>
                <w:caps w:val="false"/>
                <w:smallCaps w:val="false"/>
                <w:sz w:val="20"/>
              </w:rPr>
              <w:t>PDUFA</w:t>
            </w:r>
            <w:r>
              <w:rPr>
                <w:rFonts w:ascii="Times New Roman;Times;serif" w:hAnsi="Times New Roman;Times;serif"/>
                <w:caps w:val="false"/>
                <w:smallCaps w:val="false"/>
                <w:sz w:val="20"/>
              </w:rPr>
              <w:t>"), which is expected to save the Company approximately $4.3 million in filing fees and grant of Fast Track Designation for NRX-100 for “Treatment of Suicidal Ideation in Patients with Depression, including Bipolar Depression. The Company has applied to receive a Commissioner’s National Priority Voucher (CNPV), which could significantly reduce review time.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2"/>
        <w:gridCol w:w="10013"/>
      </w:tblGrid>
      <w:tr>
        <w:trPr/>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0"/>
              <w:ind w:left="0" w:right="0" w:hanging="0"/>
              <w:jc w:val="both"/>
              <w:rPr/>
            </w:pPr>
            <w:r>
              <w:rPr>
                <w:rStyle w:val="Emphasis"/>
                <w:rFonts w:ascii="Times New Roman;Times;serif" w:hAnsi="Times New Roman;Times;serif"/>
                <w:sz w:val="20"/>
              </w:rPr>
              <w:t>3.</w:t>
            </w:r>
          </w:p>
        </w:tc>
        <w:tc>
          <w:tcPr>
            <w:tcW w:w="10013" w:type="dxa"/>
            <w:tcBorders/>
            <w:vAlign w:val="center"/>
          </w:tcPr>
          <w:p>
            <w:pPr>
              <w:pStyle w:val="TableContents"/>
              <w:bidi w:val="0"/>
              <w:spacing w:before="0" w:after="0"/>
              <w:ind w:left="0" w:right="0" w:hanging="0"/>
              <w:jc w:val="both"/>
              <w:rPr/>
            </w:pPr>
            <w:r>
              <w:rPr>
                <w:rFonts w:ascii="Times New Roman;Times;serif" w:hAnsi="Times New Roman;Times;serif"/>
                <w:sz w:val="20"/>
              </w:rPr>
              <w:t>An NDA filing for NRX-</w:t>
            </w:r>
            <w:r>
              <w:rPr>
                <w:rStyle w:val="Emphasis"/>
                <w:rFonts w:ascii="Times New Roman;Times;serif" w:hAnsi="Times New Roman;Times;serif"/>
                <w:sz w:val="20"/>
              </w:rPr>
              <w:t>101</w:t>
            </w:r>
            <w:r>
              <w:rPr>
                <w:rFonts w:ascii="Times New Roman;Times;serif" w:hAnsi="Times New Roman;Times;serif"/>
                <w:sz w:val="20"/>
              </w:rPr>
              <w:t xml:space="preserve"> has been initiated with the transmission of the Module </w:t>
            </w:r>
            <w:r>
              <w:rPr>
                <w:rStyle w:val="Emphasis"/>
                <w:rFonts w:ascii="Times New Roman;Times;serif" w:hAnsi="Times New Roman;Times;serif"/>
                <w:sz w:val="20"/>
              </w:rPr>
              <w:t>3</w:t>
            </w:r>
            <w:r>
              <w:rPr>
                <w:rFonts w:ascii="Times New Roman;Times;serif" w:hAnsi="Times New Roman;Times;serif"/>
                <w:sz w:val="20"/>
              </w:rPr>
              <w:t xml:space="preserve"> manufacturing file to publishing. The drug was previously awarded Breakthrough Therapy Designation and accordingly the Company is requesting rolling review of the NDA. Breakthrough Therapy Designation is granted by the FDA to facilitate the development, and expedite the review of drugs to treat serious conditions meet an unmet medical need, and have demonstrated preliminary evidence of efficacy as determined by the FDA. The Company anticipates decision dates from the FDA for both its NDA applications potentially as early as year-end </w:t>
            </w:r>
            <w:r>
              <w:rPr>
                <w:rStyle w:val="Emphasis"/>
                <w:rFonts w:ascii="Times New Roman;Times;serif" w:hAnsi="Times New Roman;Times;serif"/>
                <w:sz w:val="20"/>
              </w:rPr>
              <w:t>2025</w:t>
            </w:r>
            <w:r>
              <w:rPr>
                <w:rFonts w:ascii="Times New Roman;Times;serif" w:hAnsi="Times New Roman;Times;serif"/>
                <w:sz w:val="20"/>
              </w:rPr>
              <w:t xml:space="preserve"> (NRX-</w:t>
            </w:r>
            <w:r>
              <w:rPr>
                <w:rStyle w:val="Emphasis"/>
                <w:rFonts w:ascii="Times New Roman;Times;serif" w:hAnsi="Times New Roman;Times;serif"/>
                <w:sz w:val="20"/>
              </w:rPr>
              <w:t>100</w:t>
            </w:r>
            <w:r>
              <w:rPr>
                <w:rFonts w:ascii="Times New Roman;Times;serif" w:hAnsi="Times New Roman;Times;serif"/>
                <w:sz w:val="20"/>
              </w:rPr>
              <w:t xml:space="preserve">) and the </w:t>
            </w:r>
            <w:r>
              <w:rPr>
                <w:rStyle w:val="Emphasis"/>
                <w:rFonts w:ascii="Times New Roman;Times;serif" w:hAnsi="Times New Roman;Times;serif"/>
                <w:sz w:val="20"/>
              </w:rPr>
              <w:t>first</w:t>
            </w:r>
            <w:r>
              <w:rPr>
                <w:rFonts w:ascii="Times New Roman;Times;serif" w:hAnsi="Times New Roman;Times;serif"/>
                <w:sz w:val="20"/>
              </w:rPr>
              <w:t xml:space="preserve"> quarter of </w:t>
            </w:r>
            <w:r>
              <w:rPr>
                <w:rStyle w:val="Emphasis"/>
                <w:rFonts w:ascii="Times New Roman;Times;serif" w:hAnsi="Times New Roman;Times;serif"/>
                <w:sz w:val="20"/>
              </w:rPr>
              <w:t>2026</w:t>
            </w:r>
            <w:r>
              <w:rPr>
                <w:rFonts w:ascii="Times New Roman;Times;serif" w:hAnsi="Times New Roman;Times;serif"/>
                <w:sz w:val="20"/>
              </w:rPr>
              <w:t xml:space="preserve"> (NRX-</w:t>
            </w:r>
            <w:r>
              <w:rPr>
                <w:rStyle w:val="Emphasis"/>
                <w:rFonts w:ascii="Times New Roman;Times;serif" w:hAnsi="Times New Roman;Times;serif"/>
                <w:sz w:val="20"/>
              </w:rPr>
              <w:t>101</w:t>
            </w: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February 2024, </w:t>
      </w:r>
      <w:r>
        <w:rPr>
          <w:rFonts w:ascii="Times New Roman" w:hAnsi="Times New Roman"/>
          <w:caps w:val="false"/>
          <w:smallCaps w:val="false"/>
          <w:sz w:val="20"/>
        </w:rPr>
        <w:t>NRx incorporated HOPE Therapeutics, Inc. (“</w:t>
      </w:r>
      <w:r>
        <w:rPr>
          <w:rFonts w:ascii="Times New Roman" w:hAnsi="Times New Roman"/>
          <w:i/>
          <w:caps w:val="false"/>
          <w:smallCaps w:val="false"/>
          <w:sz w:val="20"/>
        </w:rPr>
        <w:t>HOPE</w:t>
      </w:r>
      <w:r>
        <w:rPr>
          <w:rFonts w:ascii="Times New Roman" w:hAnsi="Times New Roman"/>
          <w:caps w:val="false"/>
          <w:smallCaps w:val="false"/>
          <w:sz w:val="20"/>
        </w:rPr>
        <w:t>”), a medical care delivery organization focused on providing cutting-edge, comprehensive interventional psychiatric treatment of the above conditions with the most effective treatments available, including NMDA-targeted and other neuroplastic drugs, such as ketamine, Spravato and NRX-</w:t>
      </w:r>
      <w:r>
        <w:rPr>
          <w:rStyle w:val="Emphasis"/>
          <w:rFonts w:ascii="Times New Roman" w:hAnsi="Times New Roman"/>
          <w:caps w:val="false"/>
          <w:smallCaps w:val="false"/>
          <w:sz w:val="20"/>
        </w:rPr>
        <w:t>101,</w:t>
      </w:r>
      <w:r>
        <w:rPr>
          <w:rFonts w:ascii="Times New Roman" w:hAnsi="Times New Roman"/>
          <w:caps w:val="false"/>
          <w:smallCaps w:val="false"/>
          <w:sz w:val="20"/>
        </w:rPr>
        <w:t xml:space="preserve"> neuromodulatory devices, such as Transcranial Magnetic Stimulation (“</w:t>
      </w:r>
      <w:r>
        <w:rPr>
          <w:rFonts w:ascii="Times New Roman" w:hAnsi="Times New Roman"/>
          <w:i/>
          <w:caps w:val="false"/>
          <w:smallCaps w:val="false"/>
          <w:sz w:val="20"/>
        </w:rPr>
        <w:t>TMS</w:t>
      </w:r>
      <w:r>
        <w:rPr>
          <w:rFonts w:ascii="Times New Roman" w:hAnsi="Times New Roman"/>
          <w:caps w:val="false"/>
          <w:smallCaps w:val="false"/>
          <w:sz w:val="20"/>
        </w:rPr>
        <w:t>”), digital therapeutics, and medication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NeuroRx is organized as a traditional research and development (“</w:t>
      </w:r>
      <w:r>
        <w:rPr>
          <w:rFonts w:ascii="Times New Roman" w:hAnsi="Times New Roman"/>
          <w:i/>
          <w:caps w:val="false"/>
          <w:smallCaps w:val="false"/>
          <w:sz w:val="20"/>
        </w:rPr>
        <w:t>R&amp;D</w:t>
      </w:r>
      <w:r>
        <w:rPr>
          <w:rFonts w:ascii="Times New Roman" w:hAnsi="Times New Roman"/>
          <w:caps w:val="false"/>
          <w:smallCaps w:val="false"/>
          <w:sz w:val="20"/>
        </w:rPr>
        <w:t>”) company, whereas HOPE is organized as a medical care delivery company intended to own and/or operate clinics that serve patients with suicidal depression, PTSD, and other serious Central Nervous System (“CNS”) disorders. Management’s plan, through the establishment of HOPE, is to transform NRx from a pre-revenue biotechnology company to a revenue-generating enterprise that continues to develop life-saving drugs and technologies through NeuroRx, while also treating patients through HOPE.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and in the subsequent period, key achievements by the Company in support of its overall mission to improve and save the lives of patients affected by central nervous system disorders including suicidal depression, chronic pain, post-traumatic stress disorder and schizophrenia include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160" w:right="0" w:firstLine="720"/>
        <w:jc w:val="both"/>
        <w:rPr>
          <w:rFonts w:ascii="Times New Roman" w:hAnsi="Times New Roman"/>
          <w:b/>
          <w:caps w:val="false"/>
          <w:smallCaps w:val="false"/>
          <w:sz w:val="20"/>
        </w:rPr>
      </w:pPr>
      <w:r>
        <w:rPr>
          <w:rFonts w:ascii="Times New Roman" w:hAnsi="Times New Roman"/>
          <w:b/>
          <w:caps w:val="false"/>
          <w:smallCaps w:val="false"/>
          <w:sz w:val="20"/>
        </w:rPr>
        <w:t>Drug Development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Grant of Fast Track Designation for NRX-</w:t>
            </w:r>
            <w:r>
              <w:rPr>
                <w:rStyle w:val="Emphasis"/>
                <w:rFonts w:ascii="Times New Roman;Times;serif" w:hAnsi="Times New Roman;Times;serif"/>
                <w:caps w:val="false"/>
                <w:smallCaps w:val="false"/>
                <w:sz w:val="20"/>
              </w:rPr>
              <w:t>100</w:t>
            </w:r>
            <w:r>
              <w:rPr>
                <w:rFonts w:ascii="Times New Roman;Times;serif" w:hAnsi="Times New Roman;Times;serif"/>
                <w:caps w:val="false"/>
                <w:smallCaps w:val="false"/>
                <w:sz w:val="20"/>
              </w:rPr>
              <w:t xml:space="preserve"> from the FDA for all indications and types of depression and related disorders based on its potential to satisfy an unmet medical need. This designation represents an approximately </w:t>
            </w:r>
            <w:r>
              <w:rPr>
                <w:rStyle w:val="Emphasis"/>
                <w:rFonts w:ascii="Times New Roman;Times;serif" w:hAnsi="Times New Roman;Times;serif"/>
                <w:caps w:val="false"/>
                <w:smallCaps w:val="false"/>
                <w:sz w:val="20"/>
              </w:rPr>
              <w:t>10</w:t>
            </w:r>
            <w:r>
              <w:rPr>
                <w:rFonts w:ascii="Times New Roman;Times;serif" w:hAnsi="Times New Roman;Times;serif"/>
                <w:caps w:val="false"/>
                <w:smallCaps w:val="false"/>
                <w:sz w:val="20"/>
              </w:rPr>
              <w:t xml:space="preserve">-fold expansion of the addressable market to </w:t>
            </w:r>
            <w:r>
              <w:rPr>
                <w:rStyle w:val="Emphasis"/>
                <w:rFonts w:ascii="Times New Roman;Times;serif" w:hAnsi="Times New Roman;Times;serif"/>
                <w:caps w:val="false"/>
                <w:smallCaps w:val="false"/>
                <w:sz w:val="20"/>
              </w:rPr>
              <w:t>13</w:t>
            </w:r>
            <w:r>
              <w:rPr>
                <w:rFonts w:ascii="Times New Roman;Times;serif" w:hAnsi="Times New Roman;Times;serif"/>
                <w:caps w:val="false"/>
                <w:smallCaps w:val="false"/>
                <w:sz w:val="20"/>
              </w:rPr>
              <w:t xml:space="preserve"> million Americans, compared to the original Fast Track Designation issued in </w:t>
            </w:r>
            <w:r>
              <w:rPr>
                <w:rStyle w:val="Emphasis"/>
                <w:rFonts w:ascii="Times New Roman;Times;serif" w:hAnsi="Times New Roman;Times;serif"/>
                <w:caps w:val="false"/>
                <w:smallCaps w:val="false"/>
                <w:sz w:val="20"/>
              </w:rPr>
              <w:t>2017</w:t>
            </w:r>
            <w:r>
              <w:rPr>
                <w:rFonts w:ascii="Times New Roman;Times;serif" w:hAnsi="Times New Roman;Times;serif"/>
                <w:caps w:val="false"/>
                <w:smallCaps w:val="false"/>
                <w:sz w:val="20"/>
              </w:rPr>
              <w:t xml:space="preserve"> for bipolar depression alone. The Designation letter contains a specific finding that NRX-</w:t>
            </w:r>
            <w:r>
              <w:rPr>
                <w:rStyle w:val="Emphasis"/>
                <w:rFonts w:ascii="Times New Roman;Times;serif" w:hAnsi="Times New Roman;Times;serif"/>
                <w:caps w:val="false"/>
                <w:smallCaps w:val="false"/>
                <w:sz w:val="20"/>
              </w:rPr>
              <w:t>100</w:t>
            </w:r>
            <w:r>
              <w:rPr>
                <w:rFonts w:ascii="Times New Roman;Times;serif" w:hAnsi="Times New Roman;Times;serif"/>
                <w:caps w:val="false"/>
                <w:smallCaps w:val="false"/>
                <w:sz w:val="20"/>
              </w:rPr>
              <w:t xml:space="preserve"> addresses an “unmet medical need.” This is a specific qualifying requirement for the Commissioner’s National Priority Voucher Program.</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Filing of an ANDA for NRX-</w:t>
            </w:r>
            <w:r>
              <w:rPr>
                <w:rStyle w:val="Emphasis"/>
                <w:rFonts w:ascii="Times New Roman;Times;serif" w:hAnsi="Times New Roman;Times;serif"/>
                <w:caps w:val="false"/>
                <w:smallCaps w:val="false"/>
                <w:sz w:val="20"/>
              </w:rPr>
              <w:t>100</w:t>
            </w:r>
            <w:r>
              <w:rPr>
                <w:rFonts w:ascii="Times New Roman;Times;serif" w:hAnsi="Times New Roman;Times;serif"/>
                <w:caps w:val="false"/>
                <w:smallCaps w:val="false"/>
                <w:sz w:val="20"/>
              </w:rPr>
              <w:t xml:space="preserve"> (preservative-free intravenous ketamine).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Filing of Commissioner’s National Priority Voucher application for intravenous ketamine (NRX-</w:t>
            </w:r>
            <w:r>
              <w:rPr>
                <w:rStyle w:val="Emphasis"/>
                <w:rFonts w:ascii="Times New Roman;Times;serif" w:hAnsi="Times New Roman;Times;serif"/>
                <w:caps w:val="false"/>
                <w:smallCaps w:val="false"/>
                <w:sz w:val="20"/>
              </w:rPr>
              <w:t>100</w:t>
            </w:r>
            <w:r>
              <w:rPr>
                <w:rFonts w:ascii="Times New Roman;Times;serif" w:hAnsi="Times New Roman;Times;serif"/>
                <w:caps w:val="false"/>
                <w:smallCaps w:val="false"/>
                <w:sz w:val="20"/>
              </w:rPr>
              <w:t>).</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Submission of stability data for NRX-</w:t>
            </w:r>
            <w:r>
              <w:rPr>
                <w:rStyle w:val="Emphasis"/>
                <w:rFonts w:ascii="Times New Roman;Times;serif" w:hAnsi="Times New Roman;Times;serif"/>
                <w:caps w:val="false"/>
                <w:smallCaps w:val="false"/>
                <w:sz w:val="20"/>
              </w:rPr>
              <w:t>100</w:t>
            </w:r>
            <w:r>
              <w:rPr>
                <w:rFonts w:ascii="Times New Roman;Times;serif" w:hAnsi="Times New Roman;Times;serif"/>
                <w:caps w:val="false"/>
                <w:smallCaps w:val="false"/>
                <w:sz w:val="20"/>
              </w:rPr>
              <w:t xml:space="preserve"> to the manufacturing data on file with FDA sufficient to support </w:t>
            </w:r>
            <w:r>
              <w:rPr>
                <w:rStyle w:val="Emphasis"/>
                <w:rFonts w:ascii="Times New Roman;Times;serif" w:hAnsi="Times New Roman;Times;serif"/>
                <w:caps w:val="false"/>
                <w:smallCaps w:val="false"/>
                <w:sz w:val="20"/>
              </w:rPr>
              <w:t>three</w:t>
            </w:r>
            <w:r>
              <w:rPr>
                <w:rFonts w:ascii="Times New Roman;Times;serif" w:hAnsi="Times New Roman;Times;serif"/>
                <w:caps w:val="false"/>
                <w:smallCaps w:val="false"/>
                <w:sz w:val="20"/>
              </w:rPr>
              <w:t xml:space="preserve"> years of room temperature shelf stability for NRX-</w:t>
            </w:r>
            <w:r>
              <w:rPr>
                <w:rStyle w:val="Emphasis"/>
                <w:rFonts w:ascii="Times New Roman;Times;serif" w:hAnsi="Times New Roman;Times;serif"/>
                <w:caps w:val="false"/>
                <w:smallCaps w:val="false"/>
                <w:sz w:val="20"/>
              </w:rPr>
              <w:t>100.</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Submission of draft labeling for NRX-</w:t>
            </w:r>
            <w:r>
              <w:rPr>
                <w:rStyle w:val="Emphasis"/>
                <w:rFonts w:ascii="Times New Roman;Times;serif" w:hAnsi="Times New Roman;Times;serif"/>
                <w:caps w:val="false"/>
                <w:smallCaps w:val="false"/>
                <w:sz w:val="20"/>
              </w:rPr>
              <w:t>100</w:t>
            </w:r>
            <w:r>
              <w:rPr>
                <w:rFonts w:ascii="Times New Roman;Times;serif" w:hAnsi="Times New Roman;Times;serif"/>
                <w:caps w:val="false"/>
                <w:smallCaps w:val="false"/>
                <w:sz w:val="20"/>
              </w:rPr>
              <w:t xml:space="preserve"> in the treatment of suicidal depression based on the Fast Track Designation received.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Completion of a toxicology assessment of Benzethonium Chloride, documenting its lack of “Generally Recognized as Safe” (GRAS) status and lack of safety data to support its use in intravenous presentations of ketamine.</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Filing of a Citizen’s Petition with the U.S. Food and Drug Administration to seek the removal of benzethonium chloride, a toxic preservative, from all ketamine products for intravenous administration.</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Filing of a patent application for NRX-</w:t>
            </w:r>
            <w:r>
              <w:rPr>
                <w:rStyle w:val="Emphasis"/>
                <w:rFonts w:ascii="Times New Roman;Times;serif" w:hAnsi="Times New Roman;Times;serif"/>
                <w:caps w:val="false"/>
                <w:smallCaps w:val="false"/>
                <w:sz w:val="20"/>
              </w:rPr>
              <w:t>100,</w:t>
            </w:r>
            <w:r>
              <w:rPr>
                <w:rFonts w:ascii="Times New Roman;Times;serif" w:hAnsi="Times New Roman;Times;serif"/>
                <w:caps w:val="false"/>
                <w:smallCaps w:val="false"/>
                <w:sz w:val="20"/>
              </w:rPr>
              <w:t xml:space="preserve"> the Company’s proprietary preservative-free formulation of intravenous ketamine.</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Receipt of filing fee waiver from the FDA for NRX-</w:t>
            </w:r>
            <w:r>
              <w:rPr>
                <w:rStyle w:val="Emphasis"/>
                <w:rFonts w:ascii="Times New Roman;Times;serif" w:hAnsi="Times New Roman;Times;serif"/>
                <w:caps w:val="false"/>
                <w:smallCaps w:val="false"/>
                <w:sz w:val="20"/>
              </w:rPr>
              <w:t>100.</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 xml:space="preserve">Filing of module </w:t>
            </w:r>
            <w:r>
              <w:rPr>
                <w:rStyle w:val="Emphasis"/>
                <w:rFonts w:ascii="Times New Roman;Times;serif" w:hAnsi="Times New Roman;Times;serif"/>
                <w:caps w:val="false"/>
                <w:smallCaps w:val="false"/>
                <w:sz w:val="20"/>
              </w:rPr>
              <w:t>3</w:t>
            </w:r>
            <w:r>
              <w:rPr>
                <w:rFonts w:ascii="Times New Roman;Times;serif" w:hAnsi="Times New Roman;Times;serif"/>
                <w:caps w:val="false"/>
                <w:smallCaps w:val="false"/>
                <w:sz w:val="20"/>
              </w:rPr>
              <w:t xml:space="preserve"> manufacturing data to support a New Drug Application for NRX-</w:t>
            </w:r>
            <w:r>
              <w:rPr>
                <w:rStyle w:val="Emphasis"/>
                <w:rFonts w:ascii="Times New Roman;Times;serif" w:hAnsi="Times New Roman;Times;serif"/>
                <w:caps w:val="false"/>
                <w:smallCaps w:val="false"/>
                <w:sz w:val="20"/>
              </w:rPr>
              <w:t>101</w:t>
            </w:r>
            <w:r>
              <w:rPr>
                <w:rFonts w:ascii="Times New Roman;Times;serif" w:hAnsi="Times New Roman;Times;serif"/>
                <w:caps w:val="false"/>
                <w:smallCaps w:val="false"/>
                <w:sz w:val="20"/>
              </w:rPr>
              <w:t xml:space="preserve"> in the treatment of patients with suicidal bipolar depression and akathisia despite treatment with already-approved medication.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Interventional Psychiatry Clinics (HOPE Therapeutics)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Execution of </w:t>
            </w:r>
            <w:r>
              <w:rPr>
                <w:rFonts w:ascii="Times New Roman;Times;serif" w:hAnsi="Times New Roman;Times;serif"/>
                <w:caps w:val="false"/>
                <w:smallCaps w:val="false"/>
                <w:sz w:val="20"/>
              </w:rPr>
              <w:t>d</w:t>
            </w:r>
            <w:r>
              <w:rPr>
                <w:rFonts w:ascii="Times New Roman;Times;serif" w:hAnsi="Times New Roman;Times;serif"/>
                <w:caps w:val="false"/>
                <w:smallCaps w:val="false"/>
                <w:sz w:val="20"/>
              </w:rPr>
              <w:t>efinitive Purchase Agreement and receipt of final regulatory clearance from Florida’s Agency for Health Care Administration (“</w:t>
            </w:r>
            <w:r>
              <w:rPr>
                <w:rFonts w:ascii="Times New Roman;Times;serif" w:hAnsi="Times New Roman;Times;serif"/>
                <w:i/>
                <w:caps w:val="false"/>
                <w:smallCaps w:val="false"/>
                <w:sz w:val="20"/>
              </w:rPr>
              <w:t>ACHA</w:t>
            </w:r>
            <w:r>
              <w:rPr>
                <w:rFonts w:ascii="Times New Roman;Times;serif" w:hAnsi="Times New Roman;Times;serif"/>
                <w:caps w:val="false"/>
                <w:smallCaps w:val="false"/>
                <w:sz w:val="20"/>
              </w:rPr>
              <w:t>”) to proceed with closing the acquisition of Dura Medical.</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Execution of binding letter of intent to acquire the assets of NeuroSpa TMS of Tampa, FL.</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Execution of a binding letter of intent to acquire a 49% interest in Cohen and Associates, LLC.</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Receipt of approval pending legal stipulations for $7.8 million of debt financing to support the acquisition of Dura Medical, NeuroSpa TMS, and Cohen Psychiatry.</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283"/>
              <w:jc w:val="both"/>
              <w:rPr>
                <w:sz w:val="20"/>
              </w:rPr>
            </w:pPr>
            <w:r>
              <w:rPr>
                <w:sz w:val="20"/>
              </w:rPr>
              <w:t>Execution of a definitive purchase agreement, subject to standard closing conditions and agreement between the parties regarding the resolution of ongoing discussions, to purchase the non-clinical assets of Kadima Neuropsychiatry Institute.</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Execution of a non-binding term sheet for a strategic investment from a global medical device manufacturer into HOPE.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2.</w:t>
      </w:r>
      <w:r>
        <w:rPr>
          <w:rFonts w:ascii="Times New Roman" w:hAnsi="Times New Roman"/>
          <w:b/>
          <w:caps w:val="false"/>
          <w:smallCaps w:val="false"/>
          <w:sz w:val="20"/>
        </w:rPr>
        <w:t xml:space="preserve">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These condensed consolidated financial statements have been prepared on a going concern basis which contemplates the realization of assets and settlement of liabilities and commitments in the normal course of business. Since inception, the Company has experienced net losses and negative cash flows from operations each fiscal year and has a working capital deficit at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 xml:space="preserve">The Company has no revenues and expects to continue to incur operating losses at least through the remainder of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Although the Company projects operating revenue to be derived from the operation of clinical facilities through its HOPE subsidiary and sales of its pharmaceutical products in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these projections are subject to completion of anticipated clinical acquisitions in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case and regulatory approvals in the latter case. In the absence of these projected developments, the Company’s ability to support its ongoing capital needs is dependent on its ability to continue to raise equity and/or debt financing, which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be available on favorable terms, or at all, in order to continue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 xml:space="preserve">the Company had $2.9 million in cash and cash equivalents. On </w:t>
      </w:r>
      <w:r>
        <w:rPr>
          <w:rStyle w:val="Emphasis"/>
          <w:rFonts w:ascii="Times New Roman" w:hAnsi="Times New Roman"/>
          <w:caps w:val="false"/>
          <w:smallCaps w:val="false"/>
          <w:sz w:val="20"/>
        </w:rPr>
        <w:t xml:space="preserve">January 27, 2025, </w:t>
      </w:r>
      <w:r>
        <w:rPr>
          <w:rFonts w:ascii="Times New Roman" w:hAnsi="Times New Roman"/>
          <w:caps w:val="false"/>
          <w:smallCaps w:val="false"/>
          <w:sz w:val="20"/>
        </w:rPr>
        <w:t>the Company entered into a securities purchase agreement (the “</w:t>
      </w:r>
      <w:r>
        <w:rPr>
          <w:rFonts w:ascii="Times New Roman" w:hAnsi="Times New Roman"/>
          <w:i/>
          <w:caps w:val="false"/>
          <w:smallCaps w:val="false"/>
          <w:sz w:val="20"/>
        </w:rPr>
        <w:t>RD Purchase Agreement</w:t>
      </w:r>
      <w:r>
        <w:rPr>
          <w:rFonts w:ascii="Times New Roman" w:hAnsi="Times New Roman"/>
          <w:caps w:val="false"/>
          <w:smallCaps w:val="false"/>
          <w:sz w:val="20"/>
        </w:rPr>
        <w:t>”) with the Investors for the sale by the Company of 1,215,278 shares (the “</w:t>
      </w:r>
      <w:r>
        <w:rPr>
          <w:rFonts w:ascii="Times New Roman" w:hAnsi="Times New Roman"/>
          <w:i/>
          <w:caps w:val="false"/>
          <w:smallCaps w:val="false"/>
          <w:sz w:val="20"/>
        </w:rPr>
        <w:t>RD Shares</w:t>
      </w:r>
      <w:r>
        <w:rPr>
          <w:rFonts w:ascii="Times New Roman" w:hAnsi="Times New Roman"/>
          <w:caps w:val="false"/>
          <w:smallCaps w:val="false"/>
          <w:sz w:val="20"/>
        </w:rPr>
        <w:t>”) of Common Stock to the Investors, at a purchase price of $2.88 per share, in a registered direct offering (the “</w:t>
      </w:r>
      <w:r>
        <w:rPr>
          <w:rFonts w:ascii="Times New Roman" w:hAnsi="Times New Roman"/>
          <w:i/>
          <w:caps w:val="false"/>
          <w:smallCaps w:val="false"/>
          <w:sz w:val="20"/>
        </w:rPr>
        <w:t>Registered Direct Offering</w:t>
      </w:r>
      <w:r>
        <w:rPr>
          <w:rFonts w:ascii="Times New Roman" w:hAnsi="Times New Roman"/>
          <w:caps w:val="false"/>
          <w:smallCaps w:val="false"/>
          <w:sz w:val="20"/>
        </w:rPr>
        <w:t xml:space="preserve">”). The closing of the sales of these securities under the RD Purchase Agreement occurred on or about </w:t>
      </w:r>
      <w:r>
        <w:rPr>
          <w:rStyle w:val="Emphasis"/>
          <w:rFonts w:ascii="Times New Roman" w:hAnsi="Times New Roman"/>
          <w:caps w:val="false"/>
          <w:smallCaps w:val="false"/>
          <w:sz w:val="20"/>
        </w:rPr>
        <w:t xml:space="preserve">January 29, 2025 </w:t>
      </w:r>
      <w:r>
        <w:rPr>
          <w:rFonts w:ascii="Times New Roman" w:hAnsi="Times New Roman"/>
          <w:caps w:val="false"/>
          <w:smallCaps w:val="false"/>
          <w:sz w:val="20"/>
        </w:rPr>
        <w:t xml:space="preserve">resulting in net proceeds to the Company of approximately $3.255 million after offering costs. The RD Warrants are exercisable for </w:t>
      </w:r>
      <w:r>
        <w:rPr>
          <w:rStyle w:val="Emphasis"/>
          <w:rFonts w:ascii="Times New Roman" w:hAnsi="Times New Roman"/>
          <w:caps w:val="false"/>
          <w:smallCaps w:val="false"/>
          <w:sz w:val="20"/>
        </w:rPr>
        <w:t>five</w:t>
      </w:r>
      <w:r>
        <w:rPr>
          <w:rFonts w:ascii="Times New Roman" w:hAnsi="Times New Roman"/>
          <w:caps w:val="false"/>
          <w:smallCaps w:val="false"/>
          <w:sz w:val="20"/>
        </w:rPr>
        <w:t xml:space="preserve"> years from the RD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Pursuant to the Purchase Agreement, on </w:t>
      </w:r>
      <w:r>
        <w:rPr>
          <w:rStyle w:val="Emphasis"/>
          <w:rFonts w:ascii="Times New Roman" w:hAnsi="Times New Roman"/>
          <w:caps w:val="false"/>
          <w:smallCaps w:val="false"/>
          <w:sz w:val="20"/>
        </w:rPr>
        <w:t>January 28, 2025 (</w:t>
      </w:r>
      <w:r>
        <w:rPr>
          <w:rFonts w:ascii="Times New Roman" w:hAnsi="Times New Roman"/>
          <w:caps w:val="false"/>
          <w:smallCaps w:val="false"/>
          <w:sz w:val="20"/>
        </w:rPr>
        <w:t>the “</w:t>
      </w:r>
      <w:r>
        <w:rPr>
          <w:rFonts w:ascii="Times New Roman" w:hAnsi="Times New Roman"/>
          <w:i/>
          <w:caps w:val="false"/>
          <w:smallCaps w:val="false"/>
          <w:sz w:val="20"/>
        </w:rPr>
        <w:t>Third Closing Date</w:t>
      </w:r>
      <w:r>
        <w:rPr>
          <w:rFonts w:ascii="Times New Roman" w:hAnsi="Times New Roman"/>
          <w:caps w:val="false"/>
          <w:smallCaps w:val="false"/>
          <w:sz w:val="20"/>
        </w:rPr>
        <w:t>”), the Company sold a total of $5.4 million in Notes subject to an original issue discount of 8% or $0.435 million less other issuance costs of $0.4 million noted below (the “</w:t>
      </w:r>
      <w:r>
        <w:rPr>
          <w:rFonts w:ascii="Times New Roman" w:hAnsi="Times New Roman"/>
          <w:i/>
          <w:caps w:val="false"/>
          <w:smallCaps w:val="false"/>
          <w:sz w:val="20"/>
        </w:rPr>
        <w:t>Third Tranche Notes</w:t>
      </w:r>
      <w:r>
        <w:rPr>
          <w:rFonts w:ascii="Times New Roman" w:hAnsi="Times New Roman"/>
          <w:caps w:val="false"/>
          <w:smallCaps w:val="false"/>
          <w:sz w:val="20"/>
        </w:rPr>
        <w:t>” and collectively with the First Tranche Notes and Second Tranche Notes, the ("</w:t>
      </w:r>
      <w:r>
        <w:rPr>
          <w:rFonts w:ascii="Times New Roman" w:hAnsi="Times New Roman"/>
          <w:i/>
          <w:caps w:val="false"/>
          <w:smallCaps w:val="false"/>
          <w:sz w:val="20"/>
        </w:rPr>
        <w:t>Anson Notes</w:t>
      </w:r>
      <w:r>
        <w:rPr>
          <w:rFonts w:ascii="Times New Roman" w:hAnsi="Times New Roman"/>
          <w:caps w:val="false"/>
          <w:smallCaps w:val="false"/>
          <w:sz w:val="20"/>
        </w:rPr>
        <w:t xml:space="preserve">")), with an aggregate purchase price of approximately $5.0 million, and Warrants to purchase up to 862,699 shares of Common Stock. The Company intends to use the net proceeds from these transactions for general corporate purposes, including the funding of certain capital expenditures (See Note </w:t>
      </w:r>
      <w:r>
        <w:rPr>
          <w:rStyle w:val="Emphasis"/>
          <w:rFonts w:ascii="Times New Roman" w:hAnsi="Times New Roman"/>
          <w:caps w:val="false"/>
          <w:smallCaps w:val="false"/>
          <w:sz w:val="20"/>
        </w:rPr>
        <w:t>7</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9</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April 17, 2025, </w:t>
      </w:r>
      <w:r>
        <w:rPr>
          <w:rFonts w:ascii="Times New Roman" w:hAnsi="Times New Roman"/>
          <w:caps w:val="false"/>
          <w:smallCaps w:val="false"/>
          <w:sz w:val="20"/>
        </w:rPr>
        <w:t xml:space="preserve">the Company reinstated its At the Market Offering and increased the maximum aggregate offering amount and filed a prospectus supplement under the Offering Agreement for an aggregate of $20,000,000.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 xml:space="preserve">the Company sold an aggregate of 399,078 of its common stock shares for approximately $1.04 million, net of less than $0.03 million in offered costs. For more information regarding the Company’s At the Market Offering, please see Note </w:t>
      </w:r>
      <w:r>
        <w:rPr>
          <w:rStyle w:val="Emphasis"/>
          <w:rFonts w:ascii="Times New Roman" w:hAnsi="Times New Roman"/>
          <w:caps w:val="false"/>
          <w:smallCaps w:val="false"/>
          <w:sz w:val="20"/>
        </w:rPr>
        <w:t>9,</w:t>
      </w:r>
      <w:r>
        <w:rPr>
          <w:rFonts w:ascii="Times New Roman" w:hAnsi="Times New Roman"/>
          <w:caps w:val="false"/>
          <w:smallCaps w:val="false"/>
          <w:sz w:val="20"/>
        </w:rPr>
        <w:t xml:space="preserve"> “Equity,” of these unaudited condensed consolidated quarterly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The Company has secured operating capital that it anticipates as sufficient to fund its drug development operations through year end and to finance submission of FDA New Drug Applications for NRX-</w:t>
      </w:r>
      <w:r>
        <w:rPr>
          <w:rStyle w:val="Emphasis"/>
          <w:rFonts w:ascii="Times New Roman" w:hAnsi="Times New Roman"/>
          <w:caps w:val="false"/>
          <w:smallCaps w:val="false"/>
          <w:sz w:val="20"/>
        </w:rPr>
        <w:t>100</w:t>
      </w:r>
      <w:r>
        <w:rPr>
          <w:rFonts w:ascii="Times New Roman" w:hAnsi="Times New Roman"/>
          <w:caps w:val="false"/>
          <w:smallCaps w:val="false"/>
          <w:sz w:val="20"/>
        </w:rPr>
        <w:t xml:space="preserve"> and NRX-</w:t>
      </w:r>
      <w:r>
        <w:rPr>
          <w:rStyle w:val="Emphasis"/>
          <w:rFonts w:ascii="Times New Roman" w:hAnsi="Times New Roman"/>
          <w:caps w:val="false"/>
          <w:smallCaps w:val="false"/>
          <w:sz w:val="20"/>
        </w:rPr>
        <w:t>101.</w:t>
      </w:r>
      <w:r>
        <w:rPr>
          <w:rFonts w:ascii="Times New Roman" w:hAnsi="Times New Roman"/>
          <w:caps w:val="false"/>
          <w:smallCaps w:val="false"/>
          <w:sz w:val="20"/>
        </w:rPr>
        <w:t xml:space="preserve">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pursue additional equity or debt financing or refinancing opportunities in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to fund ongoing clinical activities, to meet obligations under its current debt arrangements and for general corporate purposes. Such arrangements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take the form of loans, equity offerings, strategic agreements, licensing agreements, joint ventures or other agreements. The sale of equity could result in additional dilution to the Company’s existing shareholders. The Company cannot make any assurances that additional financing will be available to it and, if available, on acceptable terms, or that it will be able to refinance its existing debt obligations which could negatively impact the Company’s business and operations and could also lead to a reduction in the Company’s operations. The Company will continue to carefully monitor the impact of its continuing operations on the Company’s working capital needs and debt repayment obligations. As such, the Company has concluded that substantial doubt exists regarding the Company’s ability to continue as a going concern for a period of at least </w:t>
      </w:r>
      <w:r>
        <w:rPr>
          <w:rStyle w:val="Emphasis"/>
          <w:rFonts w:ascii="Times New Roman" w:hAnsi="Times New Roman"/>
          <w:caps w:val="false"/>
          <w:smallCaps w:val="false"/>
          <w:sz w:val="20"/>
        </w:rPr>
        <w:t>twelve</w:t>
      </w:r>
      <w:r>
        <w:rPr>
          <w:rFonts w:ascii="Times New Roman" w:hAnsi="Times New Roman"/>
          <w:caps w:val="false"/>
          <w:smallCaps w:val="false"/>
          <w:sz w:val="20"/>
        </w:rPr>
        <w:t xml:space="preserve"> months from the date of issuance of these condensed consolidated financial statements. The accompanying condensed consolidated financial statements have been prepared on a going concern basis, which contemplates the realization of assets and satisfaction of liabilities in the ordinary course of business. The accompanying condensed consolidated financial statements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 any adjustments to reflect the recoverability and classification of recorded asset amounts and classification of liabilities that might be necessary should the company be unable to continue as a going concern.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3.</w:t>
      </w:r>
      <w:r>
        <w:rPr>
          <w:rFonts w:ascii="Times New Roman" w:hAnsi="Times New Roman"/>
          <w:b/>
          <w:caps w:val="false"/>
          <w:smallCaps w:val="false"/>
          <w:sz w:val="20"/>
        </w:rPr>
        <w:t xml:space="preserve"> Summary of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Basis of Presentation and Principles of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The accompanying unaudited interim condensed consolidated financial statements have been prepared in accordance with generally accepted accounting principles in the United States of America (“</w:t>
      </w:r>
      <w:r>
        <w:rPr>
          <w:rFonts w:ascii="Times New Roman" w:hAnsi="Times New Roman"/>
          <w:i/>
          <w:caps w:val="false"/>
          <w:smallCaps w:val="false"/>
          <w:sz w:val="20"/>
        </w:rPr>
        <w:t>GAAP</w:t>
      </w:r>
      <w:r>
        <w:rPr>
          <w:rFonts w:ascii="Times New Roman" w:hAnsi="Times New Roman"/>
          <w:caps w:val="false"/>
          <w:smallCaps w:val="false"/>
          <w:sz w:val="20"/>
        </w:rPr>
        <w:t>”) as determined by the Financial Accounting Standards Board (“</w:t>
      </w:r>
      <w:r>
        <w:rPr>
          <w:rFonts w:ascii="Times New Roman" w:hAnsi="Times New Roman"/>
          <w:i/>
          <w:caps w:val="false"/>
          <w:smallCaps w:val="false"/>
          <w:sz w:val="20"/>
        </w:rPr>
        <w:t>FASB</w:t>
      </w:r>
      <w:r>
        <w:rPr>
          <w:rFonts w:ascii="Times New Roman" w:hAnsi="Times New Roman"/>
          <w:caps w:val="false"/>
          <w:smallCaps w:val="false"/>
          <w:sz w:val="20"/>
        </w:rPr>
        <w:t>”) Accounting Standards Codification (“</w:t>
      </w:r>
      <w:r>
        <w:rPr>
          <w:rFonts w:ascii="Times New Roman" w:hAnsi="Times New Roman"/>
          <w:i/>
          <w:caps w:val="false"/>
          <w:smallCaps w:val="false"/>
          <w:sz w:val="20"/>
        </w:rPr>
        <w:t>ASC</w:t>
      </w:r>
      <w:r>
        <w:rPr>
          <w:rFonts w:ascii="Times New Roman" w:hAnsi="Times New Roman"/>
          <w:caps w:val="false"/>
          <w:smallCaps w:val="false"/>
          <w:sz w:val="20"/>
        </w:rPr>
        <w:t>”) and the rules and regulations of the Securities and Exchange Commission (“</w:t>
      </w:r>
      <w:r>
        <w:rPr>
          <w:rFonts w:ascii="Times New Roman" w:hAnsi="Times New Roman"/>
          <w:i/>
          <w:caps w:val="false"/>
          <w:smallCaps w:val="false"/>
          <w:sz w:val="20"/>
        </w:rPr>
        <w:t>SEC</w:t>
      </w:r>
      <w:r>
        <w:rPr>
          <w:rFonts w:ascii="Times New Roman" w:hAnsi="Times New Roman"/>
          <w:caps w:val="false"/>
          <w:smallCaps w:val="false"/>
          <w:sz w:val="20"/>
        </w:rPr>
        <w:t xml:space="preserve">”) for interim financial information. Accordingly, they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 all of the information and footnotes required by GAAP for complete financial statements. In the opinion of management, the unaudited interim condensed consolidated financial statements reflect all adjustments, which include only normal recurring adjustments, necessary for the fair presentation of the condensed consolidated balance sheet, statements of operations and cash flows for the interim periods presented. The results of operations for any interim periods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necessarily indicative of the results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expected for the entire fiscal year or any other interim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Use of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preparation of condensed consolidated financial statements requires management to make estimates and assumptions that affect the reported amounts of assets, liabilities and expenses and the disclosure of contingent assets and liabilities in its condensed consolidated financial statements and the reported amounts of expenses during the reporting period. The most significant estimates in the Company’s condensed consolidated financial statements relate to the fair value of the convertible notes payable, fair value of warrant liabilities, fair value of stock options and warrants, fair value of the common stock shares granted for services, and the utilization of deferred tax assets.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expenses that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readily apparent from other sources. Actual results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differ materially and adversely from these estimates. To the extent there are material differences between the estimates and actual results, the Company’s future results of operations will be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Certain Risks and Uncertainties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Company’s activities are subject to significant risks and uncertainties including the risk of failure to secure additional funding to properly execute the Company’s business plan. The Company is subject to risks that are common to companies in the pharmaceutical industry, including, but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limited to, development by the Company or its competitors of new technological innovations, dependence on key personnel, reliance on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party manufacturers, protection of proprietary technology, and compliance with regulatory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sz w:val="20"/>
        </w:rPr>
        <w:t>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Fair Value of Financial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FASB ASC Topic </w:t>
      </w:r>
      <w:r>
        <w:rPr>
          <w:rStyle w:val="Emphasis"/>
          <w:rFonts w:ascii="Times New Roman" w:hAnsi="Times New Roman"/>
          <w:caps w:val="false"/>
          <w:smallCaps w:val="false"/>
          <w:sz w:val="20"/>
        </w:rPr>
        <w:t>820,</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Fair Value Measurements </w:t>
      </w:r>
      <w:r>
        <w:rPr>
          <w:rFonts w:ascii="Times New Roman" w:hAnsi="Times New Roman"/>
          <w:caps w:val="false"/>
          <w:smallCaps w:val="false"/>
          <w:sz w:val="20"/>
        </w:rPr>
        <w:t>(“</w:t>
      </w:r>
      <w:r>
        <w:rPr>
          <w:rFonts w:ascii="Times New Roman" w:hAnsi="Times New Roman"/>
          <w:i/>
          <w:caps w:val="false"/>
          <w:smallCaps w:val="false"/>
          <w:sz w:val="20"/>
        </w:rPr>
        <w:t xml:space="preserve">ASC </w:t>
      </w:r>
      <w:r>
        <w:rPr>
          <w:rStyle w:val="Emphasis"/>
          <w:rFonts w:ascii="Times New Roman" w:hAnsi="Times New Roman"/>
          <w:i/>
          <w:caps w:val="false"/>
          <w:smallCaps w:val="false"/>
          <w:sz w:val="20"/>
        </w:rPr>
        <w:t>820</w:t>
      </w:r>
      <w:r>
        <w:rPr>
          <w:rFonts w:ascii="Times New Roman" w:hAnsi="Times New Roman"/>
          <w:caps w:val="false"/>
          <w:smallCaps w:val="false"/>
          <w:sz w:val="20"/>
        </w:rPr>
        <w:t>”), provides guidance on the development and disclosure of fair value measurements. Under this accounting guidance, fair value is defined as an exit price, representing the amount that would be received to sell an asset or paid to transfer a liability in an orderly transaction between market participants at the measurement date. As such, fair value is a market-based measurement that should be determined based on assumptions that market participants would use in pricing an asset or a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accounting guidance classifies fair value measurements in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of the following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categories for disclosure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pPr>
      <w:r>
        <w:rPr>
          <w:rFonts w:ascii="Times New Roman" w:hAnsi="Times New Roman"/>
          <w:caps w:val="false"/>
          <w:smallCaps w:val="false"/>
          <w:sz w:val="20"/>
        </w:rPr>
        <w:t xml:space="preserve">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Quoted prices in active markets for identical assets or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pPr>
      <w:r>
        <w:rPr>
          <w:rFonts w:ascii="Times New Roman" w:hAnsi="Times New Roman"/>
          <w:caps w:val="false"/>
          <w:smallCaps w:val="false"/>
          <w:sz w:val="20"/>
        </w:rPr>
        <w:t xml:space="preserve">Level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Inputs other than 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prices for similar assets or liabilities that are directly or indirectly observable in the marketplace.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pPr>
      <w:r>
        <w:rPr>
          <w:rFonts w:ascii="Times New Roman" w:hAnsi="Times New Roman"/>
          <w:caps w:val="false"/>
          <w:smallCaps w:val="false"/>
          <w:sz w:val="20"/>
        </w:rPr>
        <w:t xml:space="preserve">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Unobservable inputs which are supported by little or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market activity and values determined using pricing models, discounted cash flow methodologies, or similar techniques, as well as instruments for which the determination of fair value requires significant judgment or estimation. (Refer to Note </w:t>
      </w:r>
      <w:r>
        <w:rPr>
          <w:rStyle w:val="Emphasis"/>
          <w:rFonts w:ascii="Times New Roman" w:hAnsi="Times New Roman"/>
          <w:caps w:val="false"/>
          <w:smallCaps w:val="false"/>
          <w:sz w:val="20"/>
        </w:rPr>
        <w:t>11</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Concentration of Credit Risk and Off-Balance Sheet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Financial instruments that potentially expose the Company to concentrations of credit risk consist primarily of cash and cash equivalents. Cash equivalents are occasionally invested in certificates of deposit. The Company maintains each of its cash balances with high-quality and accredited financial institutions and accordingly, such funds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exposed to unusual credit risk beyond the normal credit risk associated with commercial banking relationships. Deposits in financial institutions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from time to time, exceed federally insured limits. As of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 xml:space="preserve">the Company’s cash and cash equivalents balance within money market accounts was in excess of the U.S. federally insured limits by $2.4 million. The Company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experienced any losses on its deposits of cash. The Company maintains a portion of its cash and cash equivalent balances in the form of a money market account with a financial institution that management believes to be creditworthy.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Cash and Cash Equivalents</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considers all highly liquid investments with an original maturity of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or less at the time of initial purchase to be cash equivalents, including balances held in the Company’s money market accounts. The Company maintains its cash and cash equivalents with financial institutions, in which balances from time to time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exceed the U.S. federally insured limits. The objectives of the Company’s cash management policy are to safeguard and preserve funds to maintain liquidity sufficient to meet the Company’s cash flow requirements, and to attain a market rate of return.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Revenue Recognition</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accounts for revenue under FASB ASC Topic </w:t>
      </w:r>
      <w:r>
        <w:rPr>
          <w:rStyle w:val="Emphasis"/>
          <w:rFonts w:ascii="Times New Roman" w:hAnsi="Times New Roman"/>
          <w:caps w:val="false"/>
          <w:smallCaps w:val="false"/>
          <w:sz w:val="20"/>
        </w:rPr>
        <w:t>606,</w:t>
      </w:r>
      <w:r>
        <w:rPr>
          <w:rFonts w:ascii="Times New Roman" w:hAnsi="Times New Roman"/>
          <w:caps w:val="false"/>
          <w:smallCaps w:val="false"/>
          <w:sz w:val="20"/>
        </w:rPr>
        <w:t xml:space="preserve"> </w:t>
      </w:r>
      <w:r>
        <w:rPr>
          <w:rFonts w:ascii="Times New Roman" w:hAnsi="Times New Roman"/>
          <w:i/>
          <w:caps w:val="false"/>
          <w:smallCaps w:val="false"/>
          <w:sz w:val="20"/>
        </w:rPr>
        <w:t>Revenue for Contract with Customers</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ASC </w:t>
      </w:r>
      <w:r>
        <w:rPr>
          <w:rStyle w:val="Emphasis"/>
          <w:rFonts w:ascii="Times New Roman" w:hAnsi="Times New Roman"/>
          <w:i/>
          <w:caps w:val="false"/>
          <w:smallCaps w:val="false"/>
          <w:sz w:val="20"/>
        </w:rPr>
        <w:t>606</w:t>
      </w:r>
      <w:r>
        <w:rPr>
          <w:rFonts w:ascii="Times New Roman" w:hAnsi="Times New Roman"/>
          <w:caps w:val="false"/>
          <w:smallCaps w:val="false"/>
          <w:sz w:val="20"/>
        </w:rPr>
        <w:t xml:space="preserve">”) or other accounting standards for revenue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derived from customers. Arrangements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include licenses to intellectual property, research services and participation on joint research committees. The Company evaluates the promised goods or services to determine which promises, or group of promises, represent performance obligations. In contemplation of whether a promised good or service meets the criteria required of a performance obligation, the Company considers the stage of research, the underlying intellectual property, the capabilities and expertise of the customer relative to the underlying intellectual property, and whether the promised goods or services are integral to or dependent on other promises in the contract. When accounting for an arrangement that contains multiple performance obligations, the Company must develop judgmental assumptions, which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include market conditions, timelines and probabilities of regulatory success to determine the stand-alone selling price for each performance obligation identified in the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enters into contractual arrangements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include licenses to intellectual property and research and development services. When such contractual arrangements are determined to be accounted for in accordance with ASC </w:t>
      </w:r>
      <w:r>
        <w:rPr>
          <w:rStyle w:val="Emphasis"/>
          <w:rFonts w:ascii="Times New Roman" w:hAnsi="Times New Roman"/>
          <w:caps w:val="false"/>
          <w:smallCaps w:val="false"/>
          <w:sz w:val="20"/>
        </w:rPr>
        <w:t>606,</w:t>
      </w:r>
      <w:r>
        <w:rPr>
          <w:rFonts w:ascii="Times New Roman" w:hAnsi="Times New Roman"/>
          <w:caps w:val="false"/>
          <w:smallCaps w:val="false"/>
          <w:sz w:val="20"/>
        </w:rPr>
        <w:t xml:space="preserve"> the Company evaluates the promised good or services to determine which promises, or group of promises, represent performance obligations. When accounting for an arrangement that contains multiple performance obligations, the Company must develop judgmental assumptions, which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include market conditions, timelines and probabilities of regulatory success to determine the stand-alone selling price for each performance obligation identified in the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 w:hAnsi="Times New Roman"/>
          <w:caps w:val="false"/>
          <w:smallCaps w:val="false"/>
          <w:sz w:val="20"/>
        </w:rPr>
        <w:t>The License Agreement (the “</w:t>
      </w:r>
      <w:r>
        <w:rPr>
          <w:rFonts w:ascii="Times New Roman" w:hAnsi="Times New Roman"/>
          <w:i/>
          <w:caps w:val="false"/>
          <w:smallCaps w:val="false"/>
          <w:sz w:val="20"/>
        </w:rPr>
        <w:t>License Agreement</w:t>
      </w:r>
      <w:r>
        <w:rPr>
          <w:rFonts w:ascii="Times New Roman" w:hAnsi="Times New Roman"/>
          <w:caps w:val="false"/>
          <w:smallCaps w:val="false"/>
          <w:sz w:val="20"/>
        </w:rPr>
        <w:t>”) with Alvogen Pharma US, Inc., Alvogen, Inc. and Lotus Pharmaceutical Co. Ltd. (collectively, “</w:t>
      </w:r>
      <w:r>
        <w:rPr>
          <w:rFonts w:ascii="Times New Roman" w:hAnsi="Times New Roman"/>
          <w:i/>
          <w:caps w:val="false"/>
          <w:smallCaps w:val="false"/>
          <w:sz w:val="20"/>
        </w:rPr>
        <w:t>Alvogen</w:t>
      </w:r>
      <w:r>
        <w:rPr>
          <w:rFonts w:ascii="Times New Roman" w:hAnsi="Times New Roman"/>
          <w:caps w:val="false"/>
          <w:smallCaps w:val="false"/>
          <w:sz w:val="20"/>
        </w:rPr>
        <w:t xml:space="preserve">”) (as further discussed in Note </w:t>
      </w:r>
      <w:r>
        <w:rPr>
          <w:rStyle w:val="Emphasis"/>
          <w:rFonts w:ascii="Times New Roman" w:hAnsi="Times New Roman"/>
          <w:caps w:val="false"/>
          <w:smallCaps w:val="false"/>
          <w:sz w:val="20"/>
        </w:rPr>
        <w:t>6</w:t>
      </w:r>
      <w:r>
        <w:rPr>
          <w:rFonts w:ascii="Times New Roman" w:hAnsi="Times New Roman"/>
          <w:caps w:val="false"/>
          <w:smallCaps w:val="false"/>
          <w:sz w:val="20"/>
        </w:rPr>
        <w:t xml:space="preserve"> below) was accounted for in accordance with ASC </w:t>
      </w:r>
      <w:r>
        <w:rPr>
          <w:rStyle w:val="Emphasis"/>
          <w:rFonts w:ascii="Times New Roman" w:hAnsi="Times New Roman"/>
          <w:caps w:val="false"/>
          <w:smallCaps w:val="false"/>
          <w:sz w:val="20"/>
        </w:rPr>
        <w:t>606.</w:t>
      </w:r>
      <w:r>
        <w:rPr>
          <w:rFonts w:ascii="Times New Roman" w:hAnsi="Times New Roman"/>
          <w:caps w:val="false"/>
          <w:smallCaps w:val="false"/>
          <w:sz w:val="20"/>
        </w:rPr>
        <w:t xml:space="preserve"> In accordance with ASC </w:t>
      </w:r>
      <w:r>
        <w:rPr>
          <w:rStyle w:val="Emphasis"/>
          <w:rFonts w:ascii="Times New Roman" w:hAnsi="Times New Roman"/>
          <w:caps w:val="false"/>
          <w:smallCaps w:val="false"/>
          <w:sz w:val="20"/>
        </w:rPr>
        <w:t>606,</w:t>
      </w:r>
      <w:r>
        <w:rPr>
          <w:rFonts w:ascii="Times New Roman" w:hAnsi="Times New Roman"/>
          <w:caps w:val="false"/>
          <w:smallCaps w:val="false"/>
          <w:sz w:val="20"/>
        </w:rPr>
        <w:t xml:space="preserve"> the Company recognizes revenue when its customer obtains control of promised goods or services, in an amount that reflects the consideration which the Company expects to receive in exchange for those goods or services. To determine revenue recognition for arrangements that the Company determines are within the scope of ASC </w:t>
      </w:r>
      <w:r>
        <w:rPr>
          <w:rStyle w:val="Emphasis"/>
          <w:rFonts w:ascii="Times New Roman" w:hAnsi="Times New Roman"/>
          <w:caps w:val="false"/>
          <w:smallCaps w:val="false"/>
          <w:sz w:val="20"/>
        </w:rPr>
        <w:t>606,</w:t>
      </w:r>
      <w:r>
        <w:rPr>
          <w:rFonts w:ascii="Times New Roman" w:hAnsi="Times New Roman"/>
          <w:caps w:val="false"/>
          <w:smallCaps w:val="false"/>
          <w:sz w:val="20"/>
        </w:rPr>
        <w:t xml:space="preserve"> it performs the following </w:t>
      </w:r>
      <w:r>
        <w:rPr>
          <w:rStyle w:val="Emphasis"/>
          <w:rFonts w:ascii="Times New Roman" w:hAnsi="Times New Roman"/>
          <w:caps w:val="false"/>
          <w:smallCaps w:val="false"/>
          <w:sz w:val="20"/>
        </w:rPr>
        <w:t>five</w:t>
      </w:r>
      <w:r>
        <w:rPr>
          <w:rFonts w:ascii="Times New Roman" w:hAnsi="Times New Roman"/>
          <w:caps w:val="false"/>
          <w:smallCaps w:val="false"/>
          <w:sz w:val="20"/>
        </w:rPr>
        <w:t xml:space="preserve"> steps:</w:t>
      </w:r>
    </w:p>
    <w:p>
      <w:pPr>
        <w:pStyle w:val="TextBody"/>
        <w:bidi w:val="0"/>
        <w:spacing w:before="0" w:after="0"/>
        <w:ind w:left="0" w:right="0" w:hanging="0"/>
        <w:jc w:val="left"/>
        <w:rPr>
          <w:caps w:val="false"/>
          <w:smallCaps w:val="false"/>
        </w:rPr>
      </w:pPr>
      <w:r>
        <w:rPr>
          <w:caps w:val="false"/>
          <w:smallCaps w:val="false"/>
        </w:rPr>
        <w:t> </w:t>
      </w:r>
    </w:p>
    <w:tbl>
      <w:tblPr>
        <w:tblW w:w="7180" w:type="dxa"/>
        <w:jc w:val="left"/>
        <w:tblInd w:w="0" w:type="dxa"/>
        <w:tblLayout w:type="fixed"/>
        <w:tblCellMar>
          <w:top w:w="0" w:type="dxa"/>
          <w:left w:w="0" w:type="dxa"/>
          <w:bottom w:w="0" w:type="dxa"/>
          <w:right w:w="0" w:type="dxa"/>
        </w:tblCellMar>
      </w:tblPr>
      <w:tblGrid>
        <w:gridCol w:w="60"/>
        <w:gridCol w:w="245"/>
        <w:gridCol w:w="687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w:t>
            </w:r>
          </w:p>
        </w:tc>
        <w:tc>
          <w:tcPr>
            <w:tcW w:w="68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identify the contract(s) with a customer;</w:t>
            </w:r>
          </w:p>
        </w:tc>
      </w:tr>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ii.</w:t>
            </w:r>
          </w:p>
        </w:tc>
        <w:tc>
          <w:tcPr>
            <w:tcW w:w="68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identify the performance obligations in the contract;</w:t>
            </w:r>
          </w:p>
        </w:tc>
      </w:tr>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iii.</w:t>
            </w:r>
          </w:p>
        </w:tc>
        <w:tc>
          <w:tcPr>
            <w:tcW w:w="68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determine the transaction price;</w:t>
            </w:r>
          </w:p>
        </w:tc>
      </w:tr>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iv.</w:t>
            </w:r>
          </w:p>
        </w:tc>
        <w:tc>
          <w:tcPr>
            <w:tcW w:w="68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allocate the transaction price to the performance obligations within the contract; and</w:t>
            </w:r>
          </w:p>
        </w:tc>
      </w:tr>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v.</w:t>
            </w:r>
          </w:p>
        </w:tc>
        <w:tc>
          <w:tcPr>
            <w:tcW w:w="68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recognize revenue when (or as) the entity satisfies a performance obligation.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only applies the </w:t>
      </w:r>
      <w:r>
        <w:rPr>
          <w:rStyle w:val="Emphasis"/>
          <w:rFonts w:ascii="Times New Roman" w:hAnsi="Times New Roman"/>
          <w:caps w:val="false"/>
          <w:smallCaps w:val="false"/>
          <w:sz w:val="20"/>
        </w:rPr>
        <w:t>five</w:t>
      </w:r>
      <w:r>
        <w:rPr>
          <w:rFonts w:ascii="Times New Roman" w:hAnsi="Times New Roman"/>
          <w:caps w:val="false"/>
          <w:smallCaps w:val="false"/>
          <w:sz w:val="20"/>
        </w:rPr>
        <w:t>-step model to contracts when it determines that it is probable it will collect the consideration it is entitled to in exchange for the goods or services it transfers to the customer.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At contract inception, once the contract is determined to be within the scope of ASC </w:t>
      </w:r>
      <w:r>
        <w:rPr>
          <w:rStyle w:val="Emphasis"/>
          <w:rFonts w:ascii="Times New Roman" w:hAnsi="Times New Roman"/>
          <w:caps w:val="false"/>
          <w:smallCaps w:val="false"/>
          <w:sz w:val="20"/>
        </w:rPr>
        <w:t>606,</w:t>
      </w:r>
      <w:r>
        <w:rPr>
          <w:rFonts w:ascii="Times New Roman" w:hAnsi="Times New Roman"/>
          <w:caps w:val="false"/>
          <w:smallCaps w:val="false"/>
          <w:sz w:val="20"/>
        </w:rPr>
        <w:t xml:space="preserve"> the Company assesses the goods or services promised within the contract to determine whether each promised good or service is a performance obligation. The promised goods or services in the Company’s arrangements typically consist of a license to intellectual property and research services.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provide options to additional items in such arrangements, which are accounted for as separate contracts when the customer elects to exercise such options, unless the option provides a material right to the customer. Performance obligations are promises in a contract to transfer a distinct good or service to the customer that (i) the customer can benefit from on its own or together with other readily available resources, and (ii) is separately identifiable from other promises in the contract. Goods or services that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individually distinct performance obligations are combined with other promised goods or services until such combined group of promises meet the requirements of a performance obligation.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determines transaction price based on the amount of consideration the Company expects to receive for transferring the promised goods or services in the contract. Consideration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fixed, variable, or a combination of both. At contract inception for arrangements that include variable consideration, the Company estimates the probability and extent of consideration it expects to receive under the contract utilizing either the most likely amount method or expected amount method, whichever best estimates the amount expected to be received. The Company then considers any constraints on the variable consideration and includes in the transaction price variable consideration to the extent it is deemed probable that a significant reversal in the amount of cumulative revenue recognized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occur when the uncertainty associated with the variable consideration is subsequently resolved.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then allocates the transaction price to each performance obligation based on the relative standalone selling price and recognizes as revenue the amount of the transaction price that is allocated to the respective performance obligation when (or as) control is transferred to the customer and the performance obligation is satisfied. For performance obligations which consist of licenses and other promises, the Company utilizes judgment to assess the nature of the combined performance obligation to determine whether the combined performance obligation is satisfied over time or at a point in time and, if over time, the appropriate method of measuring progress. The Company evaluates the measure of progress each reporting period and, if necessary, adjusts the measure of performance and related revenue recognition.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records amounts as accounts receivable when the right to consideration is deemed unconditional. When consideration is received, or such consideration is unconditionally due, from a customer prior to transferring goods or services to the customer under the terms of a contract, a contract liability is recorded as deferred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Company’s revenue arrangements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include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i/>
          <w:caps w:val="false"/>
          <w:smallCaps w:val="false"/>
          <w:sz w:val="20"/>
        </w:rPr>
        <w:t>Milestone Payments</w:t>
      </w:r>
      <w:r>
        <w:rPr>
          <w:rFonts w:ascii="Times New Roman" w:hAnsi="Times New Roman"/>
          <w:caps w:val="false"/>
          <w:smallCaps w:val="false"/>
          <w:sz w:val="20"/>
        </w:rPr>
        <w:t xml:space="preserve">: At the inception of an agreement that includes milestone payments, the Company evaluates each milestone to determine when and how much of the milestone to include in the transaction price. The Company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estimates the amount of the milestone payment that the Company could receive using either the expected value or the most likely amount approach. The Company primarily uses the most likely amount approach as that approach is generally most predictive for milestone payments with a binary outcome. Then, the Company considers whether any portion of that estimated amount is subject to the variable consideration constraint (that is, whether it is probable that a significant reversal of cumulative revenue would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occur upon resolution of the uncertainty.) The Company updates the estimate of variable consideration included in the transaction price at each reporting date which includes updating the assessment of the likely amount of consideration and the application of the constraint to reflect current facts and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Royalties</w:t>
      </w:r>
      <w:r>
        <w:rPr>
          <w:rFonts w:ascii="Times New Roman" w:hAnsi="Times New Roman"/>
          <w:caps w:val="false"/>
          <w:smallCaps w:val="false"/>
          <w:sz w:val="20"/>
        </w:rPr>
        <w:t>: For arrangements that include sales-based royalties, including milestone payments based on a level of sales, and the license is deemed to be the predominant item to which the royalties relate, the Company will recognize revenue at the later of (i) when the related sales occur, or (ii) when the performance obligation to which some or all of the royalty has been allocated has been satisfied (or partially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i/>
          <w:caps w:val="false"/>
          <w:smallCaps w:val="false"/>
          <w:sz w:val="20"/>
        </w:rPr>
        <w:t>Research Services</w:t>
      </w:r>
      <w:r>
        <w:rPr>
          <w:rFonts w:ascii="Times New Roman" w:hAnsi="Times New Roman"/>
          <w:caps w:val="false"/>
          <w:smallCaps w:val="false"/>
          <w:sz w:val="20"/>
        </w:rPr>
        <w:t xml:space="preserve">: The Company incurred research costs in association with the License Agreement. After the First Milestone Payment (as defined in Note </w:t>
      </w:r>
      <w:r>
        <w:rPr>
          <w:rStyle w:val="Emphasis"/>
          <w:rFonts w:ascii="Times New Roman" w:hAnsi="Times New Roman"/>
          <w:caps w:val="false"/>
          <w:smallCaps w:val="false"/>
          <w:sz w:val="20"/>
        </w:rPr>
        <w:t>6</w:t>
      </w:r>
      <w:r>
        <w:rPr>
          <w:rFonts w:ascii="Times New Roman" w:hAnsi="Times New Roman"/>
          <w:caps w:val="false"/>
          <w:smallCaps w:val="false"/>
          <w:sz w:val="20"/>
        </w:rPr>
        <w:t xml:space="preserve"> below), the Company would have been reimbursed for certain costs incurred related to reasonable and documented out-of-pocket costs for clinical and non-clinical development activities. The Company would have recognized revenue for the reimbursed costs when the First Milestone Payment contingencies had been achieved and the Company had an enforceable claim to the reimbursed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Research and Development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Research and development expense consists primarily of costs associated with the Company’s clinical trials, salaries, payroll taxes, employee benefits, and stock-based compensation charges for those individuals involved in ongoing research and development efforts. Research and development costs are expensed as incurred. Advance payments for goods and services that will be used in future research and development activities are recorded as prepaid assets and expensed when the activity has been performed or when the goods have been received.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Non-cancellable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record certain obligations as liabilities related to non-cancellable contracts. If appropriate, the offsetting costs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recorded as a deferred cost asset.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Convertible Notes Payable and Fair Value Election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As permitted under FASB ASC Topic </w:t>
      </w:r>
      <w:r>
        <w:rPr>
          <w:rStyle w:val="Emphasis"/>
          <w:rFonts w:ascii="Times New Roman" w:hAnsi="Times New Roman"/>
          <w:caps w:val="false"/>
          <w:smallCaps w:val="false"/>
          <w:sz w:val="20"/>
        </w:rPr>
        <w:t>825,</w:t>
      </w:r>
      <w:r>
        <w:rPr>
          <w:rFonts w:ascii="Times New Roman" w:hAnsi="Times New Roman"/>
          <w:caps w:val="false"/>
          <w:smallCaps w:val="false"/>
          <w:sz w:val="20"/>
        </w:rPr>
        <w:t xml:space="preserve"> Financial Instruments (“</w:t>
      </w:r>
      <w:r>
        <w:rPr>
          <w:rFonts w:ascii="Times New Roman" w:hAnsi="Times New Roman"/>
          <w:i/>
          <w:caps w:val="false"/>
          <w:smallCaps w:val="false"/>
          <w:sz w:val="20"/>
        </w:rPr>
        <w:t xml:space="preserve">ASC </w:t>
      </w:r>
      <w:r>
        <w:rPr>
          <w:rStyle w:val="Emphasis"/>
          <w:rFonts w:ascii="Times New Roman" w:hAnsi="Times New Roman"/>
          <w:i/>
          <w:caps w:val="false"/>
          <w:smallCaps w:val="false"/>
          <w:sz w:val="20"/>
        </w:rPr>
        <w:t>825</w:t>
      </w:r>
      <w:r>
        <w:rPr>
          <w:rFonts w:ascii="Times New Roman" w:hAnsi="Times New Roman"/>
          <w:caps w:val="false"/>
          <w:smallCaps w:val="false"/>
          <w:sz w:val="20"/>
        </w:rPr>
        <w:t>”), the Company elected to account for its promissory notes, which meet the required criteria, at fair value at inception. Subsequent changes in fair value including interest and amortization of discounts are recorded as a component of non-operating loss in the condensed consolidated statements of operations. The portion of total changes in fair value of the notes attributable to changes in instrument-specific credit risk are determined through specific measurement of periodic changes in the discount rate assumption exclusive of base market changes and are presented as a component of comprehensive income in the accompanying condensed consolidated statements of operations and comprehensive loss. As a result of electing the fair value option, direct costs and fees related to the issuance of the promissory notes are expensed as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estimates the fair value of its notes payable using a Monte Carlo simulation model, which uses as inputs the fair value of its Common Stock and estimates for the equity volatility of its Common Stock, the time to expiration (i.e., expected term) of the note, the risk-free interest rate for a period that approximates the time to expiration, and probability of default. Therefore, the Company estimates its expected future equity volatility based on the historical volatility of its Common Stock price utilizing a lookback period consistent with the time to expiration. The time to expiration is based on the contractual maturity date, giving consideration to the redemption features embedded in the notes. The risk-free interest rate is determined based on the U.S. Treasury yield curve in effect at the time of measurement for time periods approximately equal to the time to expiration. Unless otherwise specified, the probability of default is estimated using Bloomberg’s Default Risk function which uses its financial information to calculate a default risk specific to the Company. Management believes those assumptions are reasonable but if these assumptions change, it could materially affect the fair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sz w:val="20"/>
        </w:rPr>
        <w:t>12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Stock-Based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expenses stock-based compensation to employees and non-employees over the requisite service period based on the estimated grant-date fair value of the awards. The Company accounts for forfeitures as they occur. Stock-based awards with graded-vesting schedules are recognized on a straight-line basis over the requisite service period for each separately vesting portion of the award. The Company estimates the fair value of stock option grants using the Black-Scholes option pricing model, and the assumptions used in calculating the fair value of stock-based awards represent management’s best estimates and involve inherent uncertainties and the application of management’s judgment. The Company estimates the fair value of restricted stock award grants using the closing trading price of the Company’s Common Stock on the date of issuance. All stock-based compensation costs are recorded in general and administrative or research and development costs in the condensed consolidated statements of operations and comprehensive loss based upon the underlying individual’s role at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accounts for warrants as either equity-classified or liability-classified instruments based on an assessment of the warrant’s specific terms and applicable authoritative guidance in FASB ASC Topic </w:t>
      </w:r>
      <w:r>
        <w:rPr>
          <w:rStyle w:val="Emphasis"/>
          <w:rFonts w:ascii="Times New Roman" w:hAnsi="Times New Roman"/>
          <w:caps w:val="false"/>
          <w:smallCaps w:val="false"/>
          <w:sz w:val="20"/>
        </w:rPr>
        <w:t>480,</w:t>
      </w:r>
      <w:r>
        <w:rPr>
          <w:rFonts w:ascii="Times New Roman" w:hAnsi="Times New Roman"/>
          <w:caps w:val="false"/>
          <w:smallCaps w:val="false"/>
          <w:sz w:val="20"/>
        </w:rPr>
        <w:t xml:space="preserve"> </w:t>
      </w:r>
      <w:r>
        <w:rPr>
          <w:rFonts w:ascii="Times New Roman" w:hAnsi="Times New Roman"/>
          <w:i/>
          <w:caps w:val="false"/>
          <w:smallCaps w:val="false"/>
          <w:sz w:val="20"/>
        </w:rPr>
        <w:t>Distinguishing Liabilities from Equity</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ASC </w:t>
      </w:r>
      <w:r>
        <w:rPr>
          <w:rStyle w:val="Emphasis"/>
          <w:rFonts w:ascii="Times New Roman" w:hAnsi="Times New Roman"/>
          <w:i/>
          <w:caps w:val="false"/>
          <w:smallCaps w:val="false"/>
          <w:sz w:val="20"/>
        </w:rPr>
        <w:t>480</w:t>
      </w:r>
      <w:r>
        <w:rPr>
          <w:rFonts w:ascii="Times New Roman" w:hAnsi="Times New Roman"/>
          <w:caps w:val="false"/>
          <w:smallCaps w:val="false"/>
          <w:sz w:val="20"/>
        </w:rPr>
        <w:t xml:space="preserve">”) and FASB ASC Topic </w:t>
      </w:r>
      <w:r>
        <w:rPr>
          <w:rStyle w:val="Emphasis"/>
          <w:rFonts w:ascii="Times New Roman" w:hAnsi="Times New Roman"/>
          <w:caps w:val="false"/>
          <w:smallCaps w:val="false"/>
          <w:sz w:val="20"/>
        </w:rPr>
        <w:t>815,</w:t>
      </w:r>
      <w:r>
        <w:rPr>
          <w:rFonts w:ascii="Times New Roman" w:hAnsi="Times New Roman"/>
          <w:caps w:val="false"/>
          <w:smallCaps w:val="false"/>
          <w:sz w:val="20"/>
        </w:rPr>
        <w:t xml:space="preserve"> </w:t>
      </w:r>
      <w:r>
        <w:rPr>
          <w:rFonts w:ascii="Times New Roman" w:hAnsi="Times New Roman"/>
          <w:i/>
          <w:caps w:val="false"/>
          <w:smallCaps w:val="false"/>
          <w:sz w:val="20"/>
        </w:rPr>
        <w:t>Derivatives and Hedging</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ASC </w:t>
      </w:r>
      <w:r>
        <w:rPr>
          <w:rStyle w:val="Emphasis"/>
          <w:rFonts w:ascii="Times New Roman" w:hAnsi="Times New Roman"/>
          <w:i/>
          <w:caps w:val="false"/>
          <w:smallCaps w:val="false"/>
          <w:sz w:val="20"/>
        </w:rPr>
        <w:t>815</w:t>
      </w:r>
      <w:r>
        <w:rPr>
          <w:rFonts w:ascii="Times New Roman" w:hAnsi="Times New Roman"/>
          <w:caps w:val="false"/>
          <w:smallCaps w:val="false"/>
          <w:sz w:val="20"/>
        </w:rPr>
        <w:t xml:space="preserve">”). The assessment considers whether the warrants are freestanding financial instruments pursuant to ASC </w:t>
      </w:r>
      <w:r>
        <w:rPr>
          <w:rStyle w:val="Emphasis"/>
          <w:rFonts w:ascii="Times New Roman" w:hAnsi="Times New Roman"/>
          <w:caps w:val="false"/>
          <w:smallCaps w:val="false"/>
          <w:sz w:val="20"/>
        </w:rPr>
        <w:t>480,</w:t>
      </w:r>
      <w:r>
        <w:rPr>
          <w:rFonts w:ascii="Times New Roman" w:hAnsi="Times New Roman"/>
          <w:caps w:val="false"/>
          <w:smallCaps w:val="false"/>
          <w:sz w:val="20"/>
        </w:rPr>
        <w:t xml:space="preserve"> meet the definition of a liability pursuant to ASC </w:t>
      </w:r>
      <w:r>
        <w:rPr>
          <w:rStyle w:val="Emphasis"/>
          <w:rFonts w:ascii="Times New Roman" w:hAnsi="Times New Roman"/>
          <w:caps w:val="false"/>
          <w:smallCaps w:val="false"/>
          <w:sz w:val="20"/>
        </w:rPr>
        <w:t>480,</w:t>
      </w:r>
      <w:r>
        <w:rPr>
          <w:rFonts w:ascii="Times New Roman" w:hAnsi="Times New Roman"/>
          <w:caps w:val="false"/>
          <w:smallCaps w:val="false"/>
          <w:sz w:val="20"/>
        </w:rPr>
        <w:t xml:space="preserve"> and whether the warrants meet all of the requirements for equity classification under ASC </w:t>
      </w:r>
      <w:r>
        <w:rPr>
          <w:rStyle w:val="Emphasis"/>
          <w:rFonts w:ascii="Times New Roman" w:hAnsi="Times New Roman"/>
          <w:caps w:val="false"/>
          <w:smallCaps w:val="false"/>
          <w:sz w:val="20"/>
        </w:rPr>
        <w:t>815,</w:t>
      </w:r>
      <w:r>
        <w:rPr>
          <w:rFonts w:ascii="Times New Roman" w:hAnsi="Times New Roman"/>
          <w:caps w:val="false"/>
          <w:smallCaps w:val="false"/>
          <w:sz w:val="20"/>
        </w:rPr>
        <w:t xml:space="preserve"> including whether the warrants are indexed to the Company’s own Common Stock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For issued or modified warrants that meet all of the criteria for equity classification, the warrants are required to be recorded as a component of additional paid-in capital at the time of issuance. For issued or modified warrants that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meet all the criteria for equity classification, the warrants are required to be liability classified and recorded at their initial fair value on the date of issuance and remeasured at fair value and each balance sheet date thereafter. Changes in the estimated fair value of the warrants are recognized as a non-cash gain or loss on the statements of operations. The Company generally determines fair value of the Common Stock Warrants using a Black Scholes valuation methodology.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A change in any of the terms or conditions of warrants is accounted for as a modification. The accounting for incremental fair value of warrants is based on the specific facts and circumstances related to the modification which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result in a reduction of additional paid-in capital, recognition of costs for services rendered, or recognized as a deemed dividend.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 accordance with ASC </w:t>
      </w:r>
      <w:r>
        <w:rPr>
          <w:rStyle w:val="Emphasis"/>
          <w:rFonts w:ascii="Times New Roman" w:hAnsi="Times New Roman"/>
          <w:caps w:val="false"/>
          <w:smallCaps w:val="false"/>
          <w:sz w:val="20"/>
        </w:rPr>
        <w:t>480,</w:t>
      </w:r>
      <w:r>
        <w:rPr>
          <w:rFonts w:ascii="Times New Roman" w:hAnsi="Times New Roman"/>
          <w:caps w:val="false"/>
          <w:smallCaps w:val="false"/>
          <w:sz w:val="20"/>
        </w:rPr>
        <w:t xml:space="preserve"> the Company’s Series A Preferred Stock was classified as permanent equity as it was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mandatorily redeemable upon an event that is considered outside of the Company’s control. Further, in accordance with ASC </w:t>
      </w:r>
      <w:r>
        <w:rPr>
          <w:rStyle w:val="Emphasis"/>
          <w:rFonts w:ascii="Times New Roman" w:hAnsi="Times New Roman"/>
          <w:caps w:val="false"/>
          <w:smallCaps w:val="false"/>
          <w:sz w:val="20"/>
        </w:rPr>
        <w:t>815</w:t>
      </w:r>
      <w:r>
        <w:rPr>
          <w:rFonts w:ascii="Times New Roman" w:hAnsi="Times New Roman"/>
          <w:caps w:val="false"/>
          <w:smallCaps w:val="false"/>
          <w:sz w:val="20"/>
        </w:rPr>
        <w:t>-</w:t>
      </w:r>
      <w:r>
        <w:rPr>
          <w:rStyle w:val="Emphasis"/>
          <w:rFonts w:ascii="Times New Roman" w:hAnsi="Times New Roman"/>
          <w:caps w:val="false"/>
          <w:smallCaps w:val="false"/>
          <w:sz w:val="20"/>
        </w:rPr>
        <w:t>40,</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Derivatives and Hedging </w:t>
      </w:r>
      <w:r>
        <w:rPr>
          <w:rFonts w:ascii="Times New Roman" w:hAnsi="Times New Roman"/>
          <w:caps w:val="false"/>
          <w:smallCaps w:val="false"/>
          <w:sz w:val="20"/>
        </w:rPr>
        <w:t xml:space="preserve">– </w:t>
      </w:r>
      <w:r>
        <w:rPr>
          <w:rFonts w:ascii="Times New Roman" w:hAnsi="Times New Roman"/>
          <w:i/>
          <w:caps w:val="false"/>
          <w:smallCaps w:val="false"/>
          <w:sz w:val="20"/>
        </w:rPr>
        <w:t>Contracts in an Entity</w:t>
      </w:r>
      <w:r>
        <w:rPr>
          <w:rFonts w:ascii="Times New Roman" w:hAnsi="Times New Roman"/>
          <w:caps w:val="false"/>
          <w:smallCaps w:val="false"/>
          <w:sz w:val="20"/>
        </w:rPr>
        <w:t>’</w:t>
      </w:r>
      <w:r>
        <w:rPr>
          <w:rFonts w:ascii="Times New Roman" w:hAnsi="Times New Roman"/>
          <w:i/>
          <w:caps w:val="false"/>
          <w:smallCaps w:val="false"/>
          <w:sz w:val="20"/>
        </w:rPr>
        <w:t>s Own Equity</w:t>
      </w:r>
      <w:r>
        <w:rPr>
          <w:rFonts w:ascii="Times New Roman" w:hAnsi="Times New Roman"/>
          <w:caps w:val="false"/>
          <w:smallCaps w:val="false"/>
          <w:sz w:val="20"/>
        </w:rPr>
        <w:t xml:space="preserve">, the Series A Preferred Stock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meet any of the criteria that would preclude equity classification. The Company concluded that the Series A Preferred Stock was more akin to an equity-type instrument than a debt-type instrument, therefore the conversion features associated with the convertible preferred stock were deemed to be clearly and closely related to the host instrument and were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bifurcated as a derivative under ASC </w:t>
      </w:r>
      <w:r>
        <w:rPr>
          <w:rStyle w:val="Emphasis"/>
          <w:rFonts w:ascii="Times New Roman" w:hAnsi="Times New Roman"/>
          <w:caps w:val="false"/>
          <w:smallCaps w:val="false"/>
          <w:sz w:val="20"/>
        </w:rPr>
        <w:t>815.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Segment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The Company’s Chief Operating Decision Maker (“</w:t>
      </w:r>
      <w:r>
        <w:rPr>
          <w:rFonts w:ascii="Times New Roman" w:hAnsi="Times New Roman"/>
          <w:i/>
          <w:caps w:val="false"/>
          <w:smallCaps w:val="false"/>
          <w:sz w:val="20"/>
        </w:rPr>
        <w:t>CODM</w:t>
      </w:r>
      <w:r>
        <w:rPr>
          <w:rFonts w:ascii="Times New Roman" w:hAnsi="Times New Roman"/>
          <w:caps w:val="false"/>
          <w:smallCaps w:val="false"/>
          <w:sz w:val="20"/>
        </w:rPr>
        <w:t>”) is its Chief Executive Officer, who reviews financial information presented for purposes of making operating decisions, assessing financial performance, and allocating resources. The Company operates as a single operating and reportable segment, consistent with the manner in which the CODM evaluates performance and allocates resources, see Note </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 for further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Income taxes are recorded in accordance with FASB ASC Topic </w:t>
      </w:r>
      <w:r>
        <w:rPr>
          <w:rStyle w:val="Emphasis"/>
          <w:rFonts w:ascii="Times New Roman" w:hAnsi="Times New Roman"/>
          <w:caps w:val="false"/>
          <w:smallCaps w:val="false"/>
          <w:sz w:val="20"/>
        </w:rPr>
        <w:t>740,</w:t>
      </w:r>
      <w:r>
        <w:rPr>
          <w:rFonts w:ascii="Times New Roman" w:hAnsi="Times New Roman"/>
          <w:caps w:val="false"/>
          <w:smallCaps w:val="false"/>
          <w:sz w:val="20"/>
        </w:rPr>
        <w:t xml:space="preserve"> </w:t>
      </w:r>
      <w:r>
        <w:rPr>
          <w:rFonts w:ascii="Times New Roman" w:hAnsi="Times New Roman"/>
          <w:i/>
          <w:caps w:val="false"/>
          <w:smallCaps w:val="false"/>
          <w:sz w:val="20"/>
        </w:rPr>
        <w:t>Income Taxes</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ASC </w:t>
      </w:r>
      <w:r>
        <w:rPr>
          <w:rStyle w:val="Emphasis"/>
          <w:rFonts w:ascii="Times New Roman" w:hAnsi="Times New Roman"/>
          <w:i/>
          <w:caps w:val="false"/>
          <w:smallCaps w:val="false"/>
          <w:sz w:val="20"/>
        </w:rPr>
        <w:t>740</w:t>
      </w:r>
      <w:r>
        <w:rPr>
          <w:rFonts w:ascii="Times New Roman" w:hAnsi="Times New Roman"/>
          <w:caps w:val="false"/>
          <w:smallCaps w:val="false"/>
          <w:sz w:val="20"/>
        </w:rPr>
        <w:t xml:space="preserve">”), which provides for deferred taxes using an asset and liability approach. The Company recognizes deferred tax assets and liabilities for the expected future tax consequences of events that have been included in the financial statements or tax returns. Deferred tax assets and liabilities are determined based on the difference between the financial statement and tax basis of assets and liabilities using enacted tax rates in effect for the year in which the differences are expected to reverse. Valuation allowances are provided, if based upon the weight of available evidence, it is more likely than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that some or all of the deferred tax assets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 realized. The Company accounts for uncertain tax positions in accordance with the provisions of ASC </w:t>
      </w:r>
      <w:r>
        <w:rPr>
          <w:rStyle w:val="Emphasis"/>
          <w:rFonts w:ascii="Times New Roman" w:hAnsi="Times New Roman"/>
          <w:caps w:val="false"/>
          <w:smallCaps w:val="false"/>
          <w:sz w:val="20"/>
        </w:rPr>
        <w:t>740.</w:t>
      </w:r>
      <w:r>
        <w:rPr>
          <w:rFonts w:ascii="Times New Roman" w:hAnsi="Times New Roman"/>
          <w:caps w:val="false"/>
          <w:smallCaps w:val="false"/>
          <w:sz w:val="20"/>
        </w:rPr>
        <w:t xml:space="preserve"> When uncertain tax positions exist, the Company recognizes the tax benefit of tax positions to the extent that the benefit would more likely than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 realized assuming examination by the taxing authority. The determination as to whether the tax benefit will more likely than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 realized is based upon the technical merits of the tax position as well as consideration of the available facts and circumstances. The Company recognizes any interest and penalties accrued related to unrecognized tax benefits as income tax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sz w:val="20"/>
        </w:rPr>
        <w:t>13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Loss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applies the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-class method when computing net income or loss per share attributable to common stockholders. In determining net income or loss attributable to common stockholders, the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-class method requires income or loss allocable to participating securities for the period to be allocated between common and participating securities based on their respective rights to share in the earnings as if all of the income or loss allocable for the period had been distributed. In periods of net loss, there is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allocation required under the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-class method as the participating securities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an obligation to fund the losses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Basic loss per share of Common Stock is computed by dividing net loss attributable to common stockholders by the weighted average number of shares of Common Stock outstanding for the period. Diluted loss per share reflects the potential dilution that could occur if stock options, restricted stock awards and warrants were to vest and be exercised. Diluted earnings per share excludes, when applicable, the potential impact of stock options, Common Stock warrant shares, convertible notes, and other dilutive instruments because their effect would be anti-dilutive in the periods in which the Company incurs a net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outstanding shares of Common Stock equivalents were excluded from the computation of the diluted net loss per share attributable to Common Stock for the periods in which a net loss is presented because their effect would have been anti-dilutive.</w:t>
      </w:r>
    </w:p>
    <w:p>
      <w:pPr>
        <w:pStyle w:val="TextBody"/>
        <w:bidi w:val="0"/>
        <w:spacing w:before="0" w:after="0"/>
        <w:ind w:left="0" w:right="0" w:hanging="0"/>
        <w:jc w:val="left"/>
        <w:rPr>
          <w:caps w:val="false"/>
          <w:smallCaps w:val="false"/>
        </w:rPr>
      </w:pPr>
      <w:r>
        <w:rPr>
          <w:caps w:val="false"/>
          <w:smallCaps w:val="false"/>
        </w:rPr>
        <w:t> </w:t>
      </w:r>
    </w:p>
    <w:tbl>
      <w:tblPr>
        <w:tblW w:w="7071" w:type="dxa"/>
        <w:jc w:val="left"/>
        <w:tblInd w:w="0" w:type="dxa"/>
        <w:tblLayout w:type="fixed"/>
        <w:tblCellMar>
          <w:top w:w="0" w:type="dxa"/>
          <w:left w:w="0" w:type="dxa"/>
          <w:bottom w:w="0" w:type="dxa"/>
          <w:right w:w="0" w:type="dxa"/>
        </w:tblCellMar>
      </w:tblPr>
      <w:tblGrid>
        <w:gridCol w:w="4715"/>
        <w:gridCol w:w="60"/>
        <w:gridCol w:w="69"/>
        <w:gridCol w:w="980"/>
        <w:gridCol w:w="69"/>
        <w:gridCol w:w="69"/>
        <w:gridCol w:w="69"/>
        <w:gridCol w:w="980"/>
        <w:gridCol w:w="60"/>
      </w:tblGrid>
      <w:tr>
        <w:trPr/>
        <w:tc>
          <w:tcPr>
            <w:tcW w:w="47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3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60" w:type="dxa"/>
            <w:tcBorders/>
            <w:vAlign w:val="center"/>
          </w:tcPr>
          <w:p>
            <w:pPr>
              <w:pStyle w:val="TableContents"/>
              <w:bidi w:val="0"/>
              <w:spacing w:before="0" w:after="283"/>
              <w:jc w:val="left"/>
              <w:rPr/>
            </w:pPr>
            <w:r>
              <w:rPr/>
              <w:t> </w:t>
            </w:r>
          </w:p>
        </w:tc>
      </w:tr>
      <w:tr>
        <w:trPr/>
        <w:tc>
          <w:tcPr>
            <w:tcW w:w="47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ind w:left="0" w:right="0" w:hanging="0"/>
              <w:jc w:val="left"/>
              <w:rPr/>
            </w:pPr>
            <w:r>
              <w:rPr/>
              <w:t> </w:t>
            </w:r>
          </w:p>
        </w:tc>
        <w:tc>
          <w:tcPr>
            <w:tcW w:w="10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options</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663,453</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161,437</w:t>
            </w:r>
          </w:p>
        </w:tc>
        <w:tc>
          <w:tcPr>
            <w:tcW w:w="60" w:type="dxa"/>
            <w:tcBorders/>
            <w:shd w:fill="CCEEFF" w:val="clear"/>
            <w:vAlign w:val="center"/>
          </w:tcPr>
          <w:p>
            <w:pPr>
              <w:pStyle w:val="TableContents"/>
              <w:bidi w:val="0"/>
              <w:spacing w:before="0" w:after="283"/>
              <w:jc w:val="left"/>
              <w:rPr/>
            </w:pPr>
            <w:r>
              <w:rPr/>
              <w:t> </w:t>
            </w:r>
          </w:p>
        </w:tc>
      </w:tr>
      <w:tr>
        <w:trPr/>
        <w:tc>
          <w:tcPr>
            <w:tcW w:w="47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Restricted stock awards</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66,666</w:t>
            </w:r>
          </w:p>
        </w:tc>
        <w:tc>
          <w:tcPr>
            <w:tcW w:w="60" w:type="dxa"/>
            <w:tcBorders/>
            <w:shd w:fill="FFFFFF" w:val="clear"/>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warrants</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9,536,222</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4,069,240</w:t>
            </w:r>
          </w:p>
        </w:tc>
        <w:tc>
          <w:tcPr>
            <w:tcW w:w="60" w:type="dxa"/>
            <w:tcBorders/>
            <w:shd w:fill="CCEEFF" w:val="clear"/>
            <w:vAlign w:val="center"/>
          </w:tcPr>
          <w:p>
            <w:pPr>
              <w:pStyle w:val="TableContents"/>
              <w:bidi w:val="0"/>
              <w:spacing w:before="0" w:after="283"/>
              <w:jc w:val="left"/>
              <w:rPr/>
            </w:pPr>
            <w:r>
              <w:rPr/>
              <w:t> </w:t>
            </w:r>
          </w:p>
        </w:tc>
      </w:tr>
      <w:tr>
        <w:trPr/>
        <w:tc>
          <w:tcPr>
            <w:tcW w:w="47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shares issuable upon conversion of Anson Notes</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3,716,836</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i/>
          <w:caps w:val="false"/>
          <w:smallCaps w:val="false"/>
          <w:sz w:val="20"/>
        </w:rPr>
        <w:t xml:space="preserve">Recent Accounting Pronouncements </w:t>
      </w:r>
      <w:r>
        <w:rPr>
          <w:rStyle w:val="Emphasis"/>
          <w:rFonts w:ascii="Times New Roman" w:hAnsi="Times New Roman"/>
          <w:i/>
          <w:caps w:val="false"/>
          <w:smallCaps w:val="false"/>
          <w:sz w:val="20"/>
        </w:rPr>
        <w:t>Not</w:t>
      </w:r>
      <w:r>
        <w:rPr>
          <w:rFonts w:ascii="Times New Roman" w:hAnsi="Times New Roman"/>
          <w:i/>
          <w:caps w:val="false"/>
          <w:smallCaps w:val="false"/>
          <w:sz w:val="20"/>
        </w:rPr>
        <w:t xml:space="preserve"> Yet Adopted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From time to time, new accounting pronouncements are issued by the FASB or other standard setting bodies and are adopted by the Company as of the specified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December 2023, </w:t>
      </w:r>
      <w:r>
        <w:rPr>
          <w:rFonts w:ascii="Times New Roman" w:hAnsi="Times New Roman"/>
          <w:caps w:val="false"/>
          <w:smallCaps w:val="false"/>
          <w:sz w:val="20"/>
        </w:rPr>
        <w:t xml:space="preserve">the FASB issued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09</w:t>
      </w:r>
      <w:r>
        <w:rPr>
          <w:rFonts w:ascii="Times New Roman" w:hAnsi="Times New Roman"/>
          <w:caps w:val="false"/>
          <w:smallCaps w:val="false"/>
          <w:sz w:val="20"/>
        </w:rPr>
        <w:t xml:space="preserve">-Income Taxes (Topic </w:t>
      </w:r>
      <w:r>
        <w:rPr>
          <w:rStyle w:val="Emphasis"/>
          <w:rFonts w:ascii="Times New Roman" w:hAnsi="Times New Roman"/>
          <w:caps w:val="false"/>
          <w:smallCaps w:val="false"/>
          <w:sz w:val="20"/>
        </w:rPr>
        <w:t>740</w:t>
      </w:r>
      <w:r>
        <w:rPr>
          <w:rFonts w:ascii="Times New Roman" w:hAnsi="Times New Roman"/>
          <w:caps w:val="false"/>
          <w:smallCaps w:val="false"/>
          <w:sz w:val="20"/>
        </w:rPr>
        <w:t>): I</w:t>
      </w:r>
      <w:r>
        <w:rPr>
          <w:rFonts w:ascii="Times New Roman" w:hAnsi="Times New Roman"/>
          <w:i/>
          <w:caps w:val="false"/>
          <w:smallCaps w:val="false"/>
          <w:sz w:val="20"/>
        </w:rPr>
        <w:t>mprovements to Income Tax Disclosures (</w:t>
      </w:r>
      <w:r>
        <w:rPr>
          <w:rFonts w:ascii="Times New Roman" w:hAnsi="Times New Roman"/>
          <w:caps w:val="false"/>
          <w:smallCaps w:val="false"/>
          <w:sz w:val="20"/>
        </w:rPr>
        <w:t>“</w:t>
      </w:r>
      <w:r>
        <w:rPr>
          <w:rFonts w:ascii="Times New Roman" w:hAnsi="Times New Roman"/>
          <w:i/>
          <w:caps w:val="false"/>
          <w:smallCaps w:val="false"/>
          <w:sz w:val="20"/>
        </w:rPr>
        <w:t xml:space="preserve">ASU </w:t>
      </w:r>
      <w:r>
        <w:rPr>
          <w:rStyle w:val="Emphasis"/>
          <w:rFonts w:ascii="Times New Roman" w:hAnsi="Times New Roman"/>
          <w:i/>
          <w:caps w:val="false"/>
          <w:smallCaps w:val="false"/>
          <w:sz w:val="20"/>
        </w:rPr>
        <w:t>2023</w:t>
      </w:r>
      <w:r>
        <w:rPr>
          <w:rFonts w:ascii="Times New Roman" w:hAnsi="Times New Roman"/>
          <w:i/>
          <w:caps w:val="false"/>
          <w:smallCaps w:val="false"/>
          <w:sz w:val="20"/>
        </w:rPr>
        <w:t>-</w:t>
      </w:r>
      <w:r>
        <w:rPr>
          <w:rStyle w:val="Emphasis"/>
          <w:rFonts w:ascii="Times New Roman" w:hAnsi="Times New Roman"/>
          <w:i/>
          <w:caps w:val="false"/>
          <w:smallCaps w:val="false"/>
          <w:sz w:val="20"/>
        </w:rPr>
        <w:t>09</w:t>
      </w:r>
      <w:r>
        <w:rPr>
          <w:rFonts w:ascii="Times New Roman" w:hAnsi="Times New Roman"/>
          <w:caps w:val="false"/>
          <w:smallCaps w:val="false"/>
          <w:sz w:val="20"/>
        </w:rPr>
        <w:t>”</w:t>
      </w:r>
      <w:r>
        <w:rPr>
          <w:rFonts w:ascii="Times New Roman" w:hAnsi="Times New Roman"/>
          <w:i/>
          <w:caps w:val="false"/>
          <w:smallCaps w:val="false"/>
          <w:sz w:val="20"/>
        </w:rPr>
        <w:t>)</w:t>
      </w:r>
      <w:r>
        <w:rPr>
          <w:rFonts w:ascii="Times New Roman" w:hAnsi="Times New Roman"/>
          <w:caps w:val="false"/>
          <w:smallCaps w:val="false"/>
          <w:sz w:val="20"/>
        </w:rPr>
        <w:t xml:space="preserve">, which is intended to enhance the transparency and decision usefulness of income tax disclosures, primarily by amending disclosure requirements for the effective tax rate reconciliation and income taxes paid.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09</w:t>
      </w:r>
      <w:r>
        <w:rPr>
          <w:rFonts w:ascii="Times New Roman" w:hAnsi="Times New Roman"/>
          <w:caps w:val="false"/>
          <w:smallCaps w:val="false"/>
          <w:sz w:val="20"/>
        </w:rPr>
        <w:t xml:space="preserve"> should be applied on a prospective basis, and retrospective application is permitted.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09</w:t>
      </w:r>
      <w:r>
        <w:rPr>
          <w:rFonts w:ascii="Times New Roman" w:hAnsi="Times New Roman"/>
          <w:caps w:val="false"/>
          <w:smallCaps w:val="false"/>
          <w:sz w:val="20"/>
        </w:rPr>
        <w:t xml:space="preserve"> is effective for annual periods beginning after </w:t>
      </w:r>
      <w:r>
        <w:rPr>
          <w:rStyle w:val="Emphasis"/>
          <w:rFonts w:ascii="Times New Roman" w:hAnsi="Times New Roman"/>
          <w:caps w:val="false"/>
          <w:smallCaps w:val="false"/>
          <w:sz w:val="20"/>
        </w:rPr>
        <w:t xml:space="preserve">December 15, 2024. </w:t>
      </w:r>
      <w:r>
        <w:rPr>
          <w:rFonts w:ascii="Times New Roman" w:hAnsi="Times New Roman"/>
          <w:caps w:val="false"/>
          <w:smallCaps w:val="false"/>
          <w:sz w:val="20"/>
        </w:rPr>
        <w:t xml:space="preserve">Early adoption is permitted. The Company is currently evaluating the presentational impact of this ASU and expects to adopt its provisions in the Annual Report on Form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-K for the year ending </w:t>
      </w:r>
      <w:r>
        <w:rPr>
          <w:rStyle w:val="Emphasis"/>
          <w:rFonts w:ascii="Times New Roman" w:hAnsi="Times New Roman"/>
          <w:caps w:val="false"/>
          <w:smallCaps w:val="false"/>
          <w:sz w:val="20"/>
        </w:rPr>
        <w:t>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November 2024, </w:t>
      </w:r>
      <w:r>
        <w:rPr>
          <w:rFonts w:ascii="Times New Roman" w:hAnsi="Times New Roman"/>
          <w:caps w:val="false"/>
          <w:smallCaps w:val="false"/>
          <w:sz w:val="20"/>
        </w:rPr>
        <w:t xml:space="preserve">the Financial Accounting Standards Board (the “FASB”) issued Accounting Standards Update (“ASU”)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2024</w:t>
      </w:r>
      <w:r>
        <w:rPr>
          <w:rFonts w:ascii="Times New Roman" w:hAnsi="Times New Roman"/>
          <w:caps w:val="false"/>
          <w:smallCaps w:val="false"/>
          <w:sz w:val="20"/>
        </w:rPr>
        <w:t>-</w:t>
      </w:r>
      <w:r>
        <w:rPr>
          <w:rStyle w:val="Emphasis"/>
          <w:rFonts w:ascii="Times New Roman" w:hAnsi="Times New Roman"/>
          <w:caps w:val="false"/>
          <w:smallCaps w:val="false"/>
          <w:sz w:val="20"/>
        </w:rPr>
        <w:t>03,</w:t>
      </w:r>
      <w:r>
        <w:rPr>
          <w:rFonts w:ascii="Times New Roman" w:hAnsi="Times New Roman"/>
          <w:caps w:val="false"/>
          <w:smallCaps w:val="false"/>
          <w:sz w:val="20"/>
        </w:rPr>
        <w:t> </w:t>
      </w:r>
      <w:r>
        <w:rPr>
          <w:rFonts w:ascii="Times New Roman" w:hAnsi="Times New Roman"/>
          <w:i/>
          <w:caps w:val="false"/>
          <w:smallCaps w:val="false"/>
          <w:sz w:val="20"/>
        </w:rPr>
        <w:t>Income Statement</w:t>
      </w:r>
      <w:r>
        <w:rPr>
          <w:rFonts w:ascii="Times New Roman" w:hAnsi="Times New Roman"/>
          <w:caps w:val="false"/>
          <w:smallCaps w:val="false"/>
          <w:sz w:val="20"/>
        </w:rPr>
        <w:t>—</w:t>
      </w:r>
      <w:r>
        <w:rPr>
          <w:rFonts w:ascii="Times New Roman" w:hAnsi="Times New Roman"/>
          <w:i/>
          <w:caps w:val="false"/>
          <w:smallCaps w:val="false"/>
          <w:sz w:val="20"/>
        </w:rPr>
        <w:t>Reporting Comprehensive Income</w:t>
      </w:r>
      <w:r>
        <w:rPr>
          <w:rFonts w:ascii="Times New Roman" w:hAnsi="Times New Roman"/>
          <w:caps w:val="false"/>
          <w:smallCaps w:val="false"/>
          <w:sz w:val="20"/>
        </w:rPr>
        <w:t>—</w:t>
      </w:r>
      <w:r>
        <w:rPr>
          <w:rFonts w:ascii="Times New Roman" w:hAnsi="Times New Roman"/>
          <w:i/>
          <w:caps w:val="false"/>
          <w:smallCaps w:val="false"/>
          <w:sz w:val="20"/>
        </w:rPr>
        <w:t xml:space="preserve">Expense Disaggregation Disclosures (Subtopic </w:t>
      </w:r>
      <w:r>
        <w:rPr>
          <w:rStyle w:val="Emphasis"/>
          <w:rFonts w:ascii="Times New Roman" w:hAnsi="Times New Roman"/>
          <w:i/>
          <w:caps w:val="false"/>
          <w:smallCaps w:val="false"/>
          <w:sz w:val="20"/>
        </w:rPr>
        <w:t>220</w:t>
      </w:r>
      <w:r>
        <w:rPr>
          <w:rFonts w:ascii="Times New Roman" w:hAnsi="Times New Roman"/>
          <w:i/>
          <w:caps w:val="false"/>
          <w:smallCaps w:val="false"/>
          <w:sz w:val="20"/>
        </w:rPr>
        <w:t>-</w:t>
      </w:r>
      <w:r>
        <w:rPr>
          <w:rStyle w:val="Emphasis"/>
          <w:rFonts w:ascii="Times New Roman" w:hAnsi="Times New Roman"/>
          <w:i/>
          <w:caps w:val="false"/>
          <w:smallCaps w:val="false"/>
          <w:sz w:val="20"/>
        </w:rPr>
        <w:t>40</w:t>
      </w:r>
      <w:r>
        <w:rPr>
          <w:rFonts w:ascii="Times New Roman" w:hAnsi="Times New Roman"/>
          <w:i/>
          <w:caps w:val="false"/>
          <w:smallCaps w:val="false"/>
          <w:sz w:val="20"/>
        </w:rPr>
        <w:t>): Disaggregation of Income Statement Expenses</w:t>
      </w:r>
      <w:r>
        <w:rPr>
          <w:rFonts w:ascii="Times New Roman" w:hAnsi="Times New Roman"/>
          <w:caps w:val="false"/>
          <w:smallCaps w:val="false"/>
          <w:sz w:val="20"/>
        </w:rPr>
        <w:t xml:space="preserve"> (“ASU </w:t>
      </w:r>
      <w:r>
        <w:rPr>
          <w:rStyle w:val="Emphasis"/>
          <w:rFonts w:ascii="Times New Roman" w:hAnsi="Times New Roman"/>
          <w:caps w:val="false"/>
          <w:smallCaps w:val="false"/>
          <w:sz w:val="20"/>
        </w:rPr>
        <w:t>2024</w:t>
      </w:r>
      <w:r>
        <w:rPr>
          <w:rFonts w:ascii="Times New Roman" w:hAnsi="Times New Roman"/>
          <w:caps w:val="false"/>
          <w:smallCaps w:val="false"/>
          <w:sz w:val="20"/>
        </w:rPr>
        <w:t>-</w:t>
      </w:r>
      <w:r>
        <w:rPr>
          <w:rStyle w:val="Emphasis"/>
          <w:rFonts w:ascii="Times New Roman" w:hAnsi="Times New Roman"/>
          <w:caps w:val="false"/>
          <w:smallCaps w:val="false"/>
          <w:sz w:val="20"/>
        </w:rPr>
        <w:t>03”</w:t>
      </w:r>
      <w:r>
        <w:rPr>
          <w:rFonts w:ascii="Times New Roman" w:hAnsi="Times New Roman"/>
          <w:caps w:val="false"/>
          <w:smallCaps w:val="false"/>
          <w:sz w:val="20"/>
        </w:rPr>
        <w:t xml:space="preserve">) and in </w:t>
      </w:r>
      <w:r>
        <w:rPr>
          <w:rStyle w:val="Emphasis"/>
          <w:rFonts w:ascii="Times New Roman" w:hAnsi="Times New Roman"/>
          <w:caps w:val="false"/>
          <w:smallCaps w:val="false"/>
          <w:sz w:val="20"/>
        </w:rPr>
        <w:t xml:space="preserve">January 2025, </w:t>
      </w:r>
      <w:r>
        <w:rPr>
          <w:rFonts w:ascii="Times New Roman" w:hAnsi="Times New Roman"/>
          <w:caps w:val="false"/>
          <w:smallCaps w:val="false"/>
          <w:sz w:val="20"/>
        </w:rPr>
        <w:t xml:space="preserve">the FASB issued ASU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01,</w:t>
      </w:r>
      <w:r>
        <w:rPr>
          <w:rFonts w:ascii="Times New Roman" w:hAnsi="Times New Roman"/>
          <w:caps w:val="false"/>
          <w:smallCaps w:val="false"/>
          <w:sz w:val="20"/>
        </w:rPr>
        <w:t> </w:t>
      </w:r>
      <w:r>
        <w:rPr>
          <w:rFonts w:ascii="Times New Roman" w:hAnsi="Times New Roman"/>
          <w:i/>
          <w:caps w:val="false"/>
          <w:smallCaps w:val="false"/>
          <w:sz w:val="20"/>
        </w:rPr>
        <w:t>Income Statement</w:t>
      </w:r>
      <w:r>
        <w:rPr>
          <w:rFonts w:ascii="Times New Roman" w:hAnsi="Times New Roman"/>
          <w:caps w:val="false"/>
          <w:smallCaps w:val="false"/>
          <w:sz w:val="20"/>
        </w:rPr>
        <w:t>—</w:t>
      </w:r>
      <w:r>
        <w:rPr>
          <w:rFonts w:ascii="Times New Roman" w:hAnsi="Times New Roman"/>
          <w:i/>
          <w:caps w:val="false"/>
          <w:smallCaps w:val="false"/>
          <w:sz w:val="20"/>
        </w:rPr>
        <w:t>Reporting Comprehensive Income</w:t>
      </w:r>
      <w:r>
        <w:rPr>
          <w:rFonts w:ascii="Times New Roman" w:hAnsi="Times New Roman"/>
          <w:caps w:val="false"/>
          <w:smallCaps w:val="false"/>
          <w:sz w:val="20"/>
        </w:rPr>
        <w:t>—</w:t>
      </w:r>
      <w:r>
        <w:rPr>
          <w:rFonts w:ascii="Times New Roman" w:hAnsi="Times New Roman"/>
          <w:i/>
          <w:caps w:val="false"/>
          <w:smallCaps w:val="false"/>
          <w:sz w:val="20"/>
        </w:rPr>
        <w:t xml:space="preserve">Expense Disaggregation Disclosures (Subtopic </w:t>
      </w:r>
      <w:r>
        <w:rPr>
          <w:rStyle w:val="Emphasis"/>
          <w:rFonts w:ascii="Times New Roman" w:hAnsi="Times New Roman"/>
          <w:i/>
          <w:caps w:val="false"/>
          <w:smallCaps w:val="false"/>
          <w:sz w:val="20"/>
        </w:rPr>
        <w:t>220</w:t>
      </w:r>
      <w:r>
        <w:rPr>
          <w:rFonts w:ascii="Times New Roman" w:hAnsi="Times New Roman"/>
          <w:i/>
          <w:caps w:val="false"/>
          <w:smallCaps w:val="false"/>
          <w:sz w:val="20"/>
        </w:rPr>
        <w:t>-</w:t>
      </w:r>
      <w:r>
        <w:rPr>
          <w:rStyle w:val="Emphasis"/>
          <w:rFonts w:ascii="Times New Roman" w:hAnsi="Times New Roman"/>
          <w:i/>
          <w:caps w:val="false"/>
          <w:smallCaps w:val="false"/>
          <w:sz w:val="20"/>
        </w:rPr>
        <w:t>40</w:t>
      </w:r>
      <w:r>
        <w:rPr>
          <w:rFonts w:ascii="Times New Roman" w:hAnsi="Times New Roman"/>
          <w:i/>
          <w:caps w:val="false"/>
          <w:smallCaps w:val="false"/>
          <w:sz w:val="20"/>
        </w:rPr>
        <w:t>): Clarifying the Effective Date</w:t>
      </w:r>
      <w:r>
        <w:rPr>
          <w:rFonts w:ascii="Times New Roman" w:hAnsi="Times New Roman"/>
          <w:caps w:val="false"/>
          <w:smallCaps w:val="false"/>
          <w:sz w:val="20"/>
        </w:rPr>
        <w:t xml:space="preserve">, which clarified the effective date of ASU </w:t>
      </w:r>
      <w:r>
        <w:rPr>
          <w:rStyle w:val="Emphasis"/>
          <w:rFonts w:ascii="Times New Roman" w:hAnsi="Times New Roman"/>
          <w:caps w:val="false"/>
          <w:smallCaps w:val="false"/>
          <w:sz w:val="20"/>
        </w:rPr>
        <w:t>2024</w:t>
      </w:r>
      <w:r>
        <w:rPr>
          <w:rFonts w:ascii="Times New Roman" w:hAnsi="Times New Roman"/>
          <w:caps w:val="false"/>
          <w:smallCaps w:val="false"/>
          <w:sz w:val="20"/>
        </w:rPr>
        <w:t>-</w:t>
      </w:r>
      <w:r>
        <w:rPr>
          <w:rStyle w:val="Emphasis"/>
          <w:rFonts w:ascii="Times New Roman" w:hAnsi="Times New Roman"/>
          <w:caps w:val="false"/>
          <w:smallCaps w:val="false"/>
          <w:sz w:val="20"/>
        </w:rPr>
        <w:t>03.</w:t>
      </w:r>
      <w:r>
        <w:rPr>
          <w:rFonts w:ascii="Times New Roman" w:hAnsi="Times New Roman"/>
          <w:caps w:val="false"/>
          <w:smallCaps w:val="false"/>
          <w:sz w:val="20"/>
        </w:rPr>
        <w:t xml:space="preserve"> ASU </w:t>
      </w:r>
      <w:r>
        <w:rPr>
          <w:rStyle w:val="Emphasis"/>
          <w:rFonts w:ascii="Times New Roman" w:hAnsi="Times New Roman"/>
          <w:caps w:val="false"/>
          <w:smallCaps w:val="false"/>
          <w:sz w:val="20"/>
        </w:rPr>
        <w:t>2024</w:t>
      </w:r>
      <w:r>
        <w:rPr>
          <w:rFonts w:ascii="Times New Roman" w:hAnsi="Times New Roman"/>
          <w:caps w:val="false"/>
          <w:smallCaps w:val="false"/>
          <w:sz w:val="20"/>
        </w:rPr>
        <w:t>-</w:t>
      </w:r>
      <w:r>
        <w:rPr>
          <w:rStyle w:val="Emphasis"/>
          <w:rFonts w:ascii="Times New Roman" w:hAnsi="Times New Roman"/>
          <w:caps w:val="false"/>
          <w:smallCaps w:val="false"/>
          <w:sz w:val="20"/>
        </w:rPr>
        <w:t>03</w:t>
      </w:r>
      <w:r>
        <w:rPr>
          <w:rFonts w:ascii="Times New Roman" w:hAnsi="Times New Roman"/>
          <w:caps w:val="false"/>
          <w:smallCaps w:val="false"/>
          <w:sz w:val="20"/>
        </w:rPr>
        <w:t xml:space="preserve"> will require the Company to disclose the amounts of purchases of inventory, employee compensation, depreciation and intangible asset amortization, as applicable, included in certain expense captions in the Consolidated Statements of Operations, as well as qualitatively describe remaining amounts included in those captions. ASU </w:t>
      </w:r>
      <w:r>
        <w:rPr>
          <w:rStyle w:val="Emphasis"/>
          <w:rFonts w:ascii="Times New Roman" w:hAnsi="Times New Roman"/>
          <w:caps w:val="false"/>
          <w:smallCaps w:val="false"/>
          <w:sz w:val="20"/>
        </w:rPr>
        <w:t>2024</w:t>
      </w:r>
      <w:r>
        <w:rPr>
          <w:rFonts w:ascii="Times New Roman" w:hAnsi="Times New Roman"/>
          <w:caps w:val="false"/>
          <w:smallCaps w:val="false"/>
          <w:sz w:val="20"/>
        </w:rPr>
        <w:t>-</w:t>
      </w:r>
      <w:r>
        <w:rPr>
          <w:rStyle w:val="Emphasis"/>
          <w:rFonts w:ascii="Times New Roman" w:hAnsi="Times New Roman"/>
          <w:caps w:val="false"/>
          <w:smallCaps w:val="false"/>
          <w:sz w:val="20"/>
        </w:rPr>
        <w:t>03</w:t>
      </w:r>
      <w:r>
        <w:rPr>
          <w:rFonts w:ascii="Times New Roman" w:hAnsi="Times New Roman"/>
          <w:caps w:val="false"/>
          <w:smallCaps w:val="false"/>
          <w:sz w:val="20"/>
        </w:rPr>
        <w:t xml:space="preserve"> will also require the Company to disclose both the amount and the Company’s definition of selling expenses. The Company will adopt ASU </w:t>
      </w:r>
      <w:r>
        <w:rPr>
          <w:rStyle w:val="Emphasis"/>
          <w:rFonts w:ascii="Times New Roman" w:hAnsi="Times New Roman"/>
          <w:caps w:val="false"/>
          <w:smallCaps w:val="false"/>
          <w:sz w:val="20"/>
        </w:rPr>
        <w:t>2024</w:t>
      </w:r>
      <w:r>
        <w:rPr>
          <w:rFonts w:ascii="Times New Roman" w:hAnsi="Times New Roman"/>
          <w:caps w:val="false"/>
          <w:smallCaps w:val="false"/>
          <w:sz w:val="20"/>
        </w:rPr>
        <w:t>-</w:t>
      </w:r>
      <w:r>
        <w:rPr>
          <w:rStyle w:val="Emphasis"/>
          <w:rFonts w:ascii="Times New Roman" w:hAnsi="Times New Roman"/>
          <w:caps w:val="false"/>
          <w:smallCaps w:val="false"/>
          <w:sz w:val="20"/>
        </w:rPr>
        <w:t>03</w:t>
      </w:r>
      <w:r>
        <w:rPr>
          <w:rFonts w:ascii="Times New Roman" w:hAnsi="Times New Roman"/>
          <w:caps w:val="false"/>
          <w:smallCaps w:val="false"/>
          <w:sz w:val="20"/>
        </w:rPr>
        <w:t xml:space="preserve"> in its annual report for the year ended </w:t>
      </w:r>
      <w:r>
        <w:rPr>
          <w:rStyle w:val="Emphasis"/>
          <w:rFonts w:ascii="Times New Roman" w:hAnsi="Times New Roman"/>
          <w:caps w:val="false"/>
          <w:smallCaps w:val="false"/>
          <w:sz w:val="20"/>
        </w:rPr>
        <w:t>December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sz w:val="20"/>
        </w:rPr>
        <w:t>14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4.</w:t>
      </w:r>
      <w:r>
        <w:rPr>
          <w:rFonts w:ascii="Times New Roman" w:hAnsi="Times New Roman"/>
          <w:caps w:val="false"/>
          <w:smallCaps w:val="false"/>
          <w:sz w:val="20"/>
        </w:rPr>
        <w:t xml:space="preserve"> </w:t>
      </w:r>
      <w:r>
        <w:rPr>
          <w:rFonts w:ascii="Times New Roman" w:hAnsi="Times New Roman"/>
          <w:b/>
          <w:caps w:val="false"/>
          <w:smallCaps w:val="false"/>
          <w:sz w:val="20"/>
        </w:rPr>
        <w:t>Prepaid Expense and Other Current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Prepaid expense and other current assets consisted of the following at the dates indicated (in thousands):</w:t>
      </w:r>
    </w:p>
    <w:p>
      <w:pPr>
        <w:pStyle w:val="TextBody"/>
        <w:bidi w:val="0"/>
        <w:spacing w:before="0" w:after="0"/>
        <w:ind w:left="0" w:right="0" w:hanging="0"/>
        <w:jc w:val="left"/>
        <w:rPr>
          <w:caps w:val="false"/>
          <w:smallCaps w:val="false"/>
        </w:rPr>
      </w:pPr>
      <w:r>
        <w:rPr>
          <w:caps w:val="false"/>
          <w:smallCaps w:val="false"/>
        </w:rPr>
        <w:t> </w:t>
      </w:r>
    </w:p>
    <w:tbl>
      <w:tblPr>
        <w:tblW w:w="6223" w:type="dxa"/>
        <w:jc w:val="left"/>
        <w:tblInd w:w="0" w:type="dxa"/>
        <w:tblLayout w:type="fixed"/>
        <w:tblCellMar>
          <w:top w:w="0" w:type="dxa"/>
          <w:left w:w="0" w:type="dxa"/>
          <w:bottom w:w="0" w:type="dxa"/>
          <w:right w:w="0" w:type="dxa"/>
        </w:tblCellMar>
      </w:tblPr>
      <w:tblGrid>
        <w:gridCol w:w="3755"/>
        <w:gridCol w:w="60"/>
        <w:gridCol w:w="206"/>
        <w:gridCol w:w="803"/>
        <w:gridCol w:w="60"/>
        <w:gridCol w:w="60"/>
        <w:gridCol w:w="249"/>
        <w:gridCol w:w="970"/>
        <w:gridCol w:w="60"/>
      </w:tblGrid>
      <w:tr>
        <w:trPr/>
        <w:tc>
          <w:tcPr>
            <w:tcW w:w="3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June 30,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December 31,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 and other current assets:</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75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insurance</w:t>
            </w:r>
          </w:p>
        </w:tc>
        <w:tc>
          <w:tcPr>
            <w:tcW w:w="60" w:type="dxa"/>
            <w:tcBorders/>
            <w:shd w:fill="FFFFFF" w:val="clear"/>
            <w:vAlign w:val="center"/>
          </w:tcPr>
          <w:p>
            <w:pPr>
              <w:pStyle w:val="TableContents"/>
              <w:bidi w:val="0"/>
              <w:spacing w:before="0" w:after="283"/>
              <w:ind w:left="0" w:right="0" w:hanging="0"/>
              <w:jc w:val="left"/>
              <w:rPr/>
            </w:pPr>
            <w:r>
              <w:rPr/>
              <w:t> </w:t>
            </w:r>
          </w:p>
        </w:tc>
        <w:tc>
          <w:tcPr>
            <w:tcW w:w="20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827</w:t>
            </w:r>
          </w:p>
        </w:tc>
        <w:tc>
          <w:tcPr>
            <w:tcW w:w="60" w:type="dxa"/>
            <w:tcBorders/>
            <w:shd w:fill="FFFFFF" w:val="clear"/>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clinical development costs</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ind w:left="0" w:right="0" w:hanging="0"/>
              <w:jc w:val="left"/>
              <w:rPr/>
            </w:pPr>
            <w:r>
              <w:rPr/>
              <w:t> </w:t>
            </w:r>
          </w:p>
        </w:tc>
        <w:tc>
          <w:tcPr>
            <w:tcW w:w="8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824</w:t>
            </w:r>
          </w:p>
        </w:tc>
        <w:tc>
          <w:tcPr>
            <w:tcW w:w="60" w:type="dxa"/>
            <w:tcBorders/>
            <w:shd w:fill="CCEEFF" w:val="clear"/>
            <w:vAlign w:val="center"/>
          </w:tcPr>
          <w:p>
            <w:pPr>
              <w:pStyle w:val="TableContents"/>
              <w:bidi w:val="0"/>
              <w:spacing w:before="0" w:after="283"/>
              <w:jc w:val="left"/>
              <w:rPr/>
            </w:pPr>
            <w:r>
              <w:rPr/>
              <w:t> </w:t>
            </w:r>
          </w:p>
        </w:tc>
      </w:tr>
      <w:tr>
        <w:trPr/>
        <w:tc>
          <w:tcPr>
            <w:tcW w:w="375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prepaid expense</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w:t>
            </w:r>
          </w:p>
        </w:tc>
        <w:tc>
          <w:tcPr>
            <w:tcW w:w="60" w:type="dxa"/>
            <w:tcBorders/>
            <w:shd w:fill="FFFFFF" w:val="clear"/>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prepaid expense and other current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20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1,859</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5.</w:t>
      </w:r>
      <w:r>
        <w:rPr>
          <w:rFonts w:ascii="Times New Roman" w:hAnsi="Times New Roman"/>
          <w:b/>
          <w:caps w:val="false"/>
          <w:smallCaps w:val="false"/>
          <w:sz w:val="20"/>
        </w:rPr>
        <w:t xml:space="preserve"> Accrued and Other Current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Accrued and other current liabilities consisted of the following at the dates indicated (in thousands):</w:t>
      </w:r>
    </w:p>
    <w:p>
      <w:pPr>
        <w:pStyle w:val="TextBody"/>
        <w:bidi w:val="0"/>
        <w:spacing w:before="0" w:after="0"/>
        <w:ind w:left="0" w:right="0" w:hanging="0"/>
        <w:jc w:val="left"/>
        <w:rPr>
          <w:caps w:val="false"/>
          <w:smallCaps w:val="false"/>
        </w:rPr>
      </w:pPr>
      <w:r>
        <w:rPr>
          <w:caps w:val="false"/>
          <w:smallCaps w:val="false"/>
        </w:rPr>
        <w:t> </w:t>
      </w:r>
    </w:p>
    <w:tbl>
      <w:tblPr>
        <w:tblW w:w="6028" w:type="dxa"/>
        <w:jc w:val="left"/>
        <w:tblInd w:w="0" w:type="dxa"/>
        <w:tblLayout w:type="fixed"/>
        <w:tblCellMar>
          <w:top w:w="0" w:type="dxa"/>
          <w:left w:w="0" w:type="dxa"/>
          <w:bottom w:w="0" w:type="dxa"/>
          <w:right w:w="0" w:type="dxa"/>
        </w:tblCellMar>
      </w:tblPr>
      <w:tblGrid>
        <w:gridCol w:w="3560"/>
        <w:gridCol w:w="60"/>
        <w:gridCol w:w="206"/>
        <w:gridCol w:w="803"/>
        <w:gridCol w:w="60"/>
        <w:gridCol w:w="60"/>
        <w:gridCol w:w="211"/>
        <w:gridCol w:w="1008"/>
        <w:gridCol w:w="60"/>
      </w:tblGrid>
      <w:tr>
        <w:trPr/>
        <w:tc>
          <w:tcPr>
            <w:tcW w:w="3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December 31,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and other current liabilities:</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Refund liability (see Note 6)</w:t>
            </w:r>
          </w:p>
        </w:tc>
        <w:tc>
          <w:tcPr>
            <w:tcW w:w="60" w:type="dxa"/>
            <w:tcBorders/>
            <w:shd w:fill="FFFFFF" w:val="clear"/>
            <w:vAlign w:val="center"/>
          </w:tcPr>
          <w:p>
            <w:pPr>
              <w:pStyle w:val="TableContents"/>
              <w:bidi w:val="0"/>
              <w:spacing w:before="0" w:after="283"/>
              <w:ind w:left="0" w:right="0" w:hanging="0"/>
              <w:jc w:val="left"/>
              <w:rPr/>
            </w:pPr>
            <w:r>
              <w:rPr/>
              <w:t> </w:t>
            </w:r>
          </w:p>
        </w:tc>
        <w:tc>
          <w:tcPr>
            <w:tcW w:w="20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4,715</w:t>
            </w:r>
          </w:p>
        </w:tc>
        <w:tc>
          <w:tcPr>
            <w:tcW w:w="60"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Professional services</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ind w:left="0" w:right="0" w:hanging="0"/>
              <w:jc w:val="left"/>
              <w:rPr/>
            </w:pPr>
            <w:r>
              <w:rPr/>
              <w:t> </w:t>
            </w:r>
          </w:p>
        </w:tc>
        <w:tc>
          <w:tcPr>
            <w:tcW w:w="8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ind w:left="0" w:right="0" w:hanging="0"/>
              <w:jc w:val="left"/>
              <w:rPr/>
            </w:pPr>
            <w:r>
              <w:rPr/>
              <w:t> </w:t>
            </w:r>
          </w:p>
        </w:tc>
        <w:tc>
          <w:tcPr>
            <w:tcW w:w="10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3,732</w:t>
            </w:r>
          </w:p>
        </w:tc>
        <w:tc>
          <w:tcPr>
            <w:tcW w:w="60"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Employee costs</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ind w:left="0" w:right="0" w:hanging="0"/>
              <w:jc w:val="left"/>
              <w:rPr/>
            </w:pPr>
            <w:r>
              <w:rPr/>
              <w:t> </w:t>
            </w:r>
          </w:p>
        </w:tc>
        <w:tc>
          <w:tcPr>
            <w:tcW w:w="8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ind w:left="0" w:right="0" w:hanging="0"/>
              <w:jc w:val="left"/>
              <w:rPr/>
            </w:pPr>
            <w:r>
              <w:rPr/>
              <w:t> </w:t>
            </w:r>
          </w:p>
        </w:tc>
        <w:tc>
          <w:tcPr>
            <w:tcW w:w="10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577</w:t>
            </w:r>
          </w:p>
        </w:tc>
        <w:tc>
          <w:tcPr>
            <w:tcW w:w="60"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research and development expense</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ind w:left="0" w:right="0" w:hanging="0"/>
              <w:jc w:val="left"/>
              <w:rPr/>
            </w:pPr>
            <w:r>
              <w:rPr/>
              <w:t> </w:t>
            </w:r>
          </w:p>
        </w:tc>
        <w:tc>
          <w:tcPr>
            <w:tcW w:w="8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ind w:left="0" w:right="0" w:hanging="0"/>
              <w:jc w:val="left"/>
              <w:rPr/>
            </w:pPr>
            <w:r>
              <w:rPr/>
              <w:t> </w:t>
            </w:r>
          </w:p>
        </w:tc>
        <w:tc>
          <w:tcPr>
            <w:tcW w:w="10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655</w:t>
            </w:r>
          </w:p>
        </w:tc>
        <w:tc>
          <w:tcPr>
            <w:tcW w:w="60"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accrued expense</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470</w:t>
            </w:r>
          </w:p>
        </w:tc>
        <w:tc>
          <w:tcPr>
            <w:tcW w:w="60"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accrued and other current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20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10,149</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6.</w:t>
      </w:r>
      <w:r>
        <w:rPr>
          <w:rFonts w:ascii="Times New Roman" w:hAnsi="Times New Roman"/>
          <w:b/>
          <w:caps w:val="false"/>
          <w:smallCaps w:val="false"/>
          <w:sz w:val="20"/>
        </w:rPr>
        <w:t xml:space="preserve"> Alvogen Licensing Agreement</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June 2023,</w:t>
      </w:r>
      <w:r>
        <w:rPr>
          <w:rFonts w:ascii="Times New Roman" w:hAnsi="Times New Roman"/>
          <w:caps w:val="false"/>
          <w:smallCaps w:val="false"/>
          <w:sz w:val="20"/>
        </w:rPr>
        <w:t xml:space="preserve"> the Company entered into a License Agreement with Alvogen as disclosed in previous filings. On </w:t>
      </w:r>
      <w:r>
        <w:rPr>
          <w:rStyle w:val="Emphasis"/>
          <w:rFonts w:ascii="Times New Roman" w:hAnsi="Times New Roman"/>
          <w:caps w:val="false"/>
          <w:smallCaps w:val="false"/>
          <w:sz w:val="20"/>
        </w:rPr>
        <w:t xml:space="preserve">June 21, 2024, </w:t>
      </w:r>
      <w:r>
        <w:rPr>
          <w:rFonts w:ascii="Times New Roman" w:hAnsi="Times New Roman"/>
          <w:caps w:val="false"/>
          <w:smallCaps w:val="false"/>
          <w:sz w:val="20"/>
        </w:rPr>
        <w:t xml:space="preserve">the Company received a notice of termination from Alvogen effective immediately. Following the termination of the License Agreement by Alvogen, the amounts advanced pursuant to the amendment became due and payable to Alvogen. Accordingly, the refund liability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been reclassified to deferred revenue or recorded as revenue as of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and will remain permanent as refund liability until settled.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Upon termination of the License Agreement, the intellectual property rights licensed to Alvogen under the License Agreement reverted to the Company, and all other rights and obligations of each of the parties immediately ceased, except for outstanding amounts owed as of the time of such expiration or termination. As of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 xml:space="preserve">the refund liability due to Alvogen was $4.7 million, which represents all payments made by Alvogen through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 xml:space="preserve">and is included as a component of accrued expense and other current liabilities on the condensed consolidated balance sheet (refer to Note </w:t>
      </w:r>
      <w:r>
        <w:rPr>
          <w:rStyle w:val="Emphasis"/>
          <w:rFonts w:ascii="Times New Roman" w:hAnsi="Times New Roman"/>
          <w:caps w:val="false"/>
          <w:smallCaps w:val="false"/>
          <w:sz w:val="20"/>
        </w:rPr>
        <w:t>5</w:t>
      </w:r>
      <w:r>
        <w:rPr>
          <w:rFonts w:ascii="Times New Roman" w:hAnsi="Times New Roman"/>
          <w:caps w:val="false"/>
          <w:smallCaps w:val="false"/>
          <w:sz w:val="20"/>
        </w:rPr>
        <w:t xml:space="preserve">). Following the early termination by Alvogen,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anticipate recognizing any revenue under the License Agreement. Additionally, in </w:t>
      </w:r>
      <w:r>
        <w:rPr>
          <w:rStyle w:val="Emphasis"/>
          <w:rFonts w:ascii="Times New Roman" w:hAnsi="Times New Roman"/>
          <w:caps w:val="false"/>
          <w:smallCaps w:val="false"/>
          <w:sz w:val="20"/>
        </w:rPr>
        <w:t>June 2024 </w:t>
      </w:r>
      <w:r>
        <w:rPr>
          <w:rFonts w:ascii="Times New Roman" w:hAnsi="Times New Roman"/>
          <w:caps w:val="false"/>
          <w:smallCaps w:val="false"/>
          <w:sz w:val="20"/>
        </w:rPr>
        <w:t>the Company wrote-off the unfunded stock subscription receivable of $1.3 million related to the warrants previously classified in additional paid-in capital to research and development expense following the termination.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7.</w:t>
      </w:r>
      <w:r>
        <w:rPr>
          <w:rFonts w:ascii="Times New Roman" w:hAnsi="Times New Roman"/>
          <w:b/>
          <w:caps w:val="false"/>
          <w:smallCaps w:val="false"/>
          <w:sz w:val="20"/>
        </w:rPr>
        <w:t xml:space="preserve"> Debt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Streeterville Convertible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November 4, 2022, </w:t>
      </w:r>
      <w:r>
        <w:rPr>
          <w:rFonts w:ascii="Times New Roman" w:hAnsi="Times New Roman"/>
          <w:caps w:val="false"/>
          <w:smallCaps w:val="false"/>
          <w:sz w:val="20"/>
        </w:rPr>
        <w:t xml:space="preserve">the Company issued the Streeterville Note, for an aggregate principal amount of $11.0 million. The note was accounted for under the fair value option of ASC 825. All material terms of the Streeterville note have been disclosed in prior filings. As previously disclosed, on </w:t>
      </w:r>
      <w:r>
        <w:rPr>
          <w:rStyle w:val="Emphasis"/>
          <w:rFonts w:ascii="Times New Roman" w:hAnsi="Times New Roman"/>
          <w:caps w:val="false"/>
          <w:smallCaps w:val="false"/>
          <w:sz w:val="20"/>
        </w:rPr>
        <w:t xml:space="preserve">April 24, 2024, </w:t>
      </w:r>
      <w:r>
        <w:rPr>
          <w:rFonts w:ascii="Times New Roman" w:hAnsi="Times New Roman"/>
          <w:caps w:val="false"/>
          <w:smallCaps w:val="false"/>
          <w:sz w:val="20"/>
        </w:rPr>
        <w:t>the Company received written notice from counsel for Streeterville that an alleged event of default occurred with respect to the Note issued by the Company in favor of Streeterville (the “</w:t>
      </w:r>
      <w:r>
        <w:rPr>
          <w:rFonts w:ascii="Times New Roman" w:hAnsi="Times New Roman"/>
          <w:i/>
          <w:caps w:val="false"/>
          <w:smallCaps w:val="false"/>
          <w:sz w:val="20"/>
        </w:rPr>
        <w:t>Notice</w:t>
      </w:r>
      <w:r>
        <w:rPr>
          <w:rFonts w:ascii="Times New Roman" w:hAnsi="Times New Roman"/>
          <w:caps w:val="false"/>
          <w:smallCaps w:val="false"/>
          <w:sz w:val="20"/>
        </w:rPr>
        <w:t xml:space="preserve">”). On </w:t>
      </w:r>
      <w:r>
        <w:rPr>
          <w:rStyle w:val="Emphasis"/>
          <w:rFonts w:ascii="Times New Roman" w:hAnsi="Times New Roman"/>
          <w:caps w:val="false"/>
          <w:smallCaps w:val="false"/>
          <w:sz w:val="20"/>
        </w:rPr>
        <w:t xml:space="preserve">August 12, 2024, </w:t>
      </w:r>
      <w:r>
        <w:rPr>
          <w:rFonts w:ascii="Times New Roman" w:hAnsi="Times New Roman"/>
          <w:caps w:val="false"/>
          <w:smallCaps w:val="false"/>
          <w:sz w:val="20"/>
        </w:rPr>
        <w:t>the Company and Streeterville entered into a Settlement and Release of Claims (the “</w:t>
      </w:r>
      <w:r>
        <w:rPr>
          <w:rFonts w:ascii="Times New Roman" w:hAnsi="Times New Roman"/>
          <w:i/>
          <w:caps w:val="false"/>
          <w:smallCaps w:val="false"/>
          <w:sz w:val="20"/>
        </w:rPr>
        <w:t>Settlement Agreement</w:t>
      </w:r>
      <w:r>
        <w:rPr>
          <w:rFonts w:ascii="Times New Roman" w:hAnsi="Times New Roman"/>
          <w:caps w:val="false"/>
          <w:smallCaps w:val="false"/>
          <w:sz w:val="20"/>
        </w:rPr>
        <w:t xml:space="preserve">”), whereby the Company and Streeterville agreed to settle all disputes between the parties and release the Company from all obligations to Streeterville under the terms of the Streeterville Notes in exchange for a payment of $2.5 million upon the initial closing of the sale of the Anson Notes, and within </w:t>
      </w:r>
      <w:r>
        <w:rPr>
          <w:rStyle w:val="Emphasis"/>
          <w:rFonts w:ascii="Times New Roman" w:hAnsi="Times New Roman"/>
          <w:caps w:val="false"/>
          <w:smallCaps w:val="false"/>
          <w:sz w:val="20"/>
        </w:rPr>
        <w:t>60</w:t>
      </w:r>
      <w:r>
        <w:rPr>
          <w:rFonts w:ascii="Times New Roman" w:hAnsi="Times New Roman"/>
          <w:caps w:val="false"/>
          <w:smallCaps w:val="false"/>
          <w:sz w:val="20"/>
        </w:rPr>
        <w:t xml:space="preserve"> days thereafter, a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payment of $3.1 million. The Company made the $2.5 million payment upon the Anson Notes closing on </w:t>
      </w:r>
      <w:r>
        <w:rPr>
          <w:rStyle w:val="Emphasis"/>
          <w:rFonts w:ascii="Times New Roman" w:hAnsi="Times New Roman"/>
          <w:caps w:val="false"/>
          <w:smallCaps w:val="false"/>
          <w:sz w:val="20"/>
        </w:rPr>
        <w:t xml:space="preserve"> August 15, 2024. </w:t>
      </w:r>
      <w:r>
        <w:rPr>
          <w:rFonts w:ascii="Times New Roman" w:hAnsi="Times New Roman"/>
          <w:caps w:val="false"/>
          <w:smallCaps w:val="false"/>
          <w:sz w:val="20"/>
        </w:rPr>
        <w:t xml:space="preserve">The Company made the final $3.1 million payment in </w:t>
      </w:r>
      <w:r>
        <w:rPr>
          <w:rStyle w:val="Emphasis"/>
          <w:rFonts w:ascii="Times New Roman" w:hAnsi="Times New Roman"/>
          <w:caps w:val="false"/>
          <w:smallCaps w:val="false"/>
          <w:sz w:val="20"/>
        </w:rPr>
        <w:t xml:space="preserve">October 10, 2024 </w:t>
      </w:r>
      <w:r>
        <w:rPr>
          <w:rFonts w:ascii="Times New Roman" w:hAnsi="Times New Roman"/>
          <w:caps w:val="false"/>
          <w:smallCaps w:val="false"/>
          <w:sz w:val="20"/>
        </w:rPr>
        <w:t>using proceeds from the Second Closing of Anson Convertible Promissory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 w:hAnsi="Times New Roman"/>
          <w:caps w:val="false"/>
          <w:smallCaps w:val="false"/>
          <w:sz w:val="20"/>
        </w:rPr>
        <w:t xml:space="preserve">The Company evaluated the terms of the Settlement Amendment in accordance with ASC </w:t>
      </w:r>
      <w:r>
        <w:rPr>
          <w:rStyle w:val="Emphasis"/>
          <w:rFonts w:ascii="Times New Roman" w:hAnsi="Times New Roman"/>
          <w:caps w:val="false"/>
          <w:smallCaps w:val="false"/>
          <w:sz w:val="20"/>
        </w:rPr>
        <w:t>470</w:t>
      </w:r>
      <w:r>
        <w:rPr>
          <w:rFonts w:ascii="Times New Roman" w:hAnsi="Times New Roman"/>
          <w:caps w:val="false"/>
          <w:smallCaps w:val="false"/>
          <w:sz w:val="20"/>
        </w:rPr>
        <w:t>-</w:t>
      </w:r>
      <w:r>
        <w:rPr>
          <w:rStyle w:val="Emphasis"/>
          <w:rFonts w:ascii="Times New Roman" w:hAnsi="Times New Roman"/>
          <w:caps w:val="false"/>
          <w:smallCaps w:val="false"/>
          <w:sz w:val="20"/>
        </w:rPr>
        <w:t>50,</w:t>
      </w:r>
      <w:r>
        <w:rPr>
          <w:rFonts w:ascii="Times New Roman" w:hAnsi="Times New Roman"/>
          <w:caps w:val="false"/>
          <w:smallCaps w:val="false"/>
          <w:sz w:val="20"/>
        </w:rPr>
        <w:t xml:space="preserve"> </w:t>
      </w:r>
      <w:r>
        <w:rPr>
          <w:rFonts w:ascii="Times New Roman" w:hAnsi="Times New Roman"/>
          <w:i/>
          <w:caps w:val="false"/>
          <w:smallCaps w:val="false"/>
          <w:sz w:val="20"/>
        </w:rPr>
        <w:t>Debt Modifications and Extinguishments</w:t>
      </w:r>
      <w:r>
        <w:rPr>
          <w:rFonts w:ascii="Times New Roman" w:hAnsi="Times New Roman"/>
          <w:caps w:val="false"/>
          <w:smallCaps w:val="false"/>
          <w:sz w:val="20"/>
        </w:rPr>
        <w:t xml:space="preserve">. Both the Settlement Amendment and the Third Amendment (considered cumulatively with the Settlement Amendment) were deemed to be debt modifications and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give rise to a debt extinguishment in accordance with ASC </w:t>
      </w:r>
      <w:r>
        <w:rPr>
          <w:rStyle w:val="Emphasis"/>
          <w:rFonts w:ascii="Times New Roman" w:hAnsi="Times New Roman"/>
          <w:caps w:val="false"/>
          <w:smallCaps w:val="false"/>
          <w:sz w:val="20"/>
        </w:rPr>
        <w:t>Topic 470, </w:t>
      </w:r>
      <w:r>
        <w:rPr>
          <w:rFonts w:ascii="Times New Roman" w:hAnsi="Times New Roman"/>
          <w:i/>
          <w:caps w:val="false"/>
          <w:smallCaps w:val="false"/>
          <w:sz w:val="20"/>
        </w:rPr>
        <w:t>Debt</w:t>
      </w:r>
      <w:r>
        <w:rPr>
          <w:rFonts w:ascii="Times New Roman" w:hAnsi="Times New Roman"/>
          <w:caps w:val="false"/>
          <w:smallCaps w:val="false"/>
          <w:sz w:val="20"/>
        </w:rPr>
        <w:t xml:space="preserve">, which will be accounted for prospectively. The modifications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result in recognition of a gain or loss in the condensed consolidated statements of operations as the modifications were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considered debt extinguishments, but will impact interest expense and the determination of fair value in future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31, 2024, </w:t>
      </w:r>
      <w:r>
        <w:rPr>
          <w:rFonts w:ascii="Times New Roman" w:hAnsi="Times New Roman"/>
          <w:caps w:val="false"/>
          <w:smallCaps w:val="false"/>
          <w:sz w:val="20"/>
        </w:rPr>
        <w:t xml:space="preserve">the Note carried a remaining principle balance of $0 million. Refer to Note </w:t>
      </w:r>
      <w:r>
        <w:rPr>
          <w:rStyle w:val="Emphasis"/>
          <w:rFonts w:ascii="Times New Roman" w:hAnsi="Times New Roman"/>
          <w:caps w:val="false"/>
          <w:smallCaps w:val="false"/>
          <w:sz w:val="20"/>
        </w:rPr>
        <w:t>11</w:t>
      </w:r>
      <w:r>
        <w:rPr>
          <w:rFonts w:ascii="Times New Roman" w:hAnsi="Times New Roman"/>
          <w:caps w:val="false"/>
          <w:smallCaps w:val="false"/>
          <w:sz w:val="20"/>
        </w:rPr>
        <w:t xml:space="preserve"> for the reconciliation of the fair values for the periods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Anson Convertible Promissory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August 12, 2024, </w:t>
      </w:r>
      <w:r>
        <w:rPr>
          <w:rFonts w:ascii="Times New Roman" w:hAnsi="Times New Roman"/>
          <w:caps w:val="false"/>
          <w:smallCaps w:val="false"/>
          <w:sz w:val="20"/>
        </w:rPr>
        <w:t>the Company entered into the Purchase Agreement with the Investors. The Company agreed to sell, in three equal tranches, original issue discount Anson Notes in the aggregate principal amount of up to approximately $16.3 million for an aggregate purchase price of up to approximately $15.0 million and warrants to purchase that amount of shares equal to 50% of the principal amount of the Notes divided by the VWAP of the Company’s Common Stock, as listed on the Nasdaq Capital Market, on the day prior to the closing of each respective tranche under the Anson Warrants.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connection with the above offering, the Company engaged EF Hutton LLC as placement agent (the “</w:t>
      </w:r>
      <w:r>
        <w:rPr>
          <w:rFonts w:ascii="Times New Roman" w:hAnsi="Times New Roman"/>
          <w:i/>
          <w:caps w:val="false"/>
          <w:smallCaps w:val="false"/>
          <w:sz w:val="20"/>
        </w:rPr>
        <w:t>Placement Agent</w:t>
      </w:r>
      <w:r>
        <w:rPr>
          <w:rFonts w:ascii="Times New Roman" w:hAnsi="Times New Roman"/>
          <w:caps w:val="false"/>
          <w:smallCaps w:val="false"/>
          <w:sz w:val="20"/>
        </w:rPr>
        <w:t>”), Pursuant to the terms of the engagement with the Placement Agent, the Company paid a cash fee of 7% of the gross proceeds the Company receives in the offering at closing.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Style w:val="Emphasis"/>
          <w:rFonts w:ascii="Times New Roman" w:hAnsi="Times New Roman"/>
          <w:i/>
          <w:caps w:val="false"/>
          <w:smallCaps w:val="false"/>
          <w:sz w:val="20"/>
        </w:rPr>
        <w:t>2024</w:t>
      </w:r>
      <w:r>
        <w:rPr>
          <w:rFonts w:ascii="Times New Roman" w:hAnsi="Times New Roman"/>
          <w:i/>
          <w:caps w:val="false"/>
          <w:smallCaps w:val="false"/>
          <w:sz w:val="20"/>
        </w:rPr>
        <w:t xml:space="preserve"> Senior Secured Convertible Promissory Notes</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August 14, 2024, </w:t>
      </w:r>
      <w:r>
        <w:rPr>
          <w:rFonts w:ascii="Times New Roman" w:hAnsi="Times New Roman"/>
          <w:caps w:val="false"/>
          <w:smallCaps w:val="false"/>
          <w:sz w:val="20"/>
        </w:rPr>
        <w:t xml:space="preserve">the Company entered into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tranche Senior Secured Convertible Note Agreements (the “</w:t>
      </w:r>
      <w:r>
        <w:rPr>
          <w:rFonts w:ascii="Times New Roman" w:hAnsi="Times New Roman"/>
          <w:i/>
          <w:caps w:val="false"/>
          <w:smallCaps w:val="false"/>
          <w:sz w:val="20"/>
        </w:rPr>
        <w:t>First Tranche Notes</w:t>
      </w:r>
      <w:r>
        <w:rPr>
          <w:rFonts w:ascii="Times New Roman" w:hAnsi="Times New Roman"/>
          <w:caps w:val="false"/>
          <w:smallCaps w:val="false"/>
          <w:sz w:val="20"/>
        </w:rPr>
        <w:t>”) with Anson Investment Master Fund LP and Anson East Master Fund LP (collectively “</w:t>
      </w:r>
      <w:r>
        <w:rPr>
          <w:rFonts w:ascii="Times New Roman" w:hAnsi="Times New Roman"/>
          <w:i/>
          <w:caps w:val="false"/>
          <w:smallCaps w:val="false"/>
          <w:sz w:val="20"/>
        </w:rPr>
        <w:t>Anson</w:t>
      </w:r>
      <w:r>
        <w:rPr>
          <w:rFonts w:ascii="Times New Roman" w:hAnsi="Times New Roman"/>
          <w:caps w:val="false"/>
          <w:smallCaps w:val="false"/>
          <w:sz w:val="20"/>
        </w:rPr>
        <w:t xml:space="preserve">”) at various amounts for an aggregate of $5.4 million subject to an original issuance discount of 8% or $435,000, less other cash issuance costs of $521,000, resulting in net cash proceeds of $4.5 million, prior to any allocation to the Anson Warrants. The First Tranche Notes bear interest at a rate of 6% per annum (or 10% during the occurrence of any Event of Default (as defined in the First Tranche Notes)) and have a term of 15 months from the issuance date, maturing on </w:t>
      </w:r>
      <w:r>
        <w:rPr>
          <w:rStyle w:val="Emphasis"/>
          <w:rFonts w:ascii="Times New Roman" w:hAnsi="Times New Roman"/>
          <w:caps w:val="false"/>
          <w:smallCaps w:val="false"/>
          <w:sz w:val="20"/>
        </w:rPr>
        <w:t>November 14, 2025 (</w:t>
      </w:r>
      <w:r>
        <w:rPr>
          <w:rFonts w:ascii="Times New Roman" w:hAnsi="Times New Roman"/>
          <w:caps w:val="false"/>
          <w:smallCaps w:val="false"/>
          <w:sz w:val="20"/>
        </w:rPr>
        <w:t>the “</w:t>
      </w:r>
      <w:r>
        <w:rPr>
          <w:rFonts w:ascii="Times New Roman" w:hAnsi="Times New Roman"/>
          <w:i/>
          <w:caps w:val="false"/>
          <w:smallCaps w:val="false"/>
          <w:sz w:val="20"/>
        </w:rPr>
        <w:t>First Tranche Maturity Date</w:t>
      </w:r>
      <w:r>
        <w:rPr>
          <w:rFonts w:ascii="Times New Roman" w:hAnsi="Times New Roman"/>
          <w:caps w:val="false"/>
          <w:smallCaps w:val="false"/>
          <w:sz w:val="20"/>
        </w:rPr>
        <w:t xml:space="preserve">”) (see Note </w:t>
      </w:r>
      <w:r>
        <w:rPr>
          <w:rStyle w:val="Emphasis"/>
          <w:rFonts w:ascii="Times New Roman" w:hAnsi="Times New Roman"/>
          <w:caps w:val="false"/>
          <w:smallCaps w:val="false"/>
          <w:sz w:val="20"/>
        </w:rPr>
        <w:t>9</w:t>
      </w:r>
      <w:r>
        <w:rPr>
          <w:rFonts w:ascii="Times New Roman" w:hAnsi="Times New Roman"/>
          <w:caps w:val="false"/>
          <w:smallCaps w:val="false"/>
          <w:sz w:val="20"/>
        </w:rPr>
        <w:t xml:space="preserve">). $2.5 million of the proceeds from the First Tranche Notes were used to make an initial payment to partially satisfy the Streeterville note in </w:t>
      </w:r>
      <w:r>
        <w:rPr>
          <w:rStyle w:val="Emphasis"/>
          <w:rFonts w:ascii="Times New Roman" w:hAnsi="Times New Roman"/>
          <w:caps w:val="false"/>
          <w:smallCaps w:val="false"/>
          <w:sz w:val="20"/>
        </w:rPr>
        <w:t>2024.</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August 14, 2024, </w:t>
      </w:r>
      <w:r>
        <w:rPr>
          <w:rFonts w:ascii="Times New Roman" w:hAnsi="Times New Roman"/>
          <w:caps w:val="false"/>
          <w:smallCaps w:val="false"/>
          <w:sz w:val="20"/>
        </w:rPr>
        <w:t>in conjunction with the issuance of the First Tranche Notes, the Company issued warrants to purchase up to 1,349,305 shares of the Company’s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The First Tranche Notes are convertible at the option of the holder at any time after issuance into Common Stock, at a per share conversion price equal to the lower of (a) $2.4168, (the “</w:t>
      </w:r>
      <w:r>
        <w:rPr>
          <w:rFonts w:ascii="Times New Roman" w:hAnsi="Times New Roman"/>
          <w:i/>
          <w:caps w:val="false"/>
          <w:smallCaps w:val="false"/>
          <w:sz w:val="20"/>
        </w:rPr>
        <w:t>Fixed Conversion Price</w:t>
      </w:r>
      <w:r>
        <w:rPr>
          <w:rFonts w:ascii="Times New Roman" w:hAnsi="Times New Roman"/>
          <w:caps w:val="false"/>
          <w:smallCaps w:val="false"/>
          <w:sz w:val="20"/>
        </w:rPr>
        <w:t xml:space="preserve">”) or (b) a price equal to 92% of the lowest VWAP during the </w:t>
      </w:r>
      <w:r>
        <w:rPr>
          <w:rStyle w:val="Emphasis"/>
          <w:rFonts w:ascii="Times New Roman" w:hAnsi="Times New Roman"/>
          <w:caps w:val="false"/>
          <w:smallCaps w:val="false"/>
          <w:sz w:val="20"/>
        </w:rPr>
        <w:t>seven</w:t>
      </w:r>
      <w:r>
        <w:rPr>
          <w:rFonts w:ascii="Times New Roman" w:hAnsi="Times New Roman"/>
          <w:caps w:val="false"/>
          <w:smallCaps w:val="false"/>
          <w:sz w:val="20"/>
        </w:rPr>
        <w:t xml:space="preserve"> trading day period immediately preceding the effective conversion date (the “</w:t>
      </w:r>
      <w:r>
        <w:rPr>
          <w:rFonts w:ascii="Times New Roman" w:hAnsi="Times New Roman"/>
          <w:i/>
          <w:caps w:val="false"/>
          <w:smallCaps w:val="false"/>
          <w:sz w:val="20"/>
        </w:rPr>
        <w:t>Alternate Conversion Price</w:t>
      </w:r>
      <w:r>
        <w:rPr>
          <w:rFonts w:ascii="Times New Roman" w:hAnsi="Times New Roman"/>
          <w:caps w:val="false"/>
          <w:smallCaps w:val="false"/>
          <w:sz w:val="20"/>
        </w:rPr>
        <w:t>”, and together with the Fixed Conversion Price, the “</w:t>
      </w:r>
      <w:r>
        <w:rPr>
          <w:rFonts w:ascii="Times New Roman" w:hAnsi="Times New Roman"/>
          <w:i/>
          <w:caps w:val="false"/>
          <w:smallCaps w:val="false"/>
          <w:sz w:val="20"/>
        </w:rPr>
        <w:t>Conversion Price</w:t>
      </w:r>
      <w:r>
        <w:rPr>
          <w:rFonts w:ascii="Times New Roman" w:hAnsi="Times New Roman"/>
          <w:caps w:val="false"/>
          <w:smallCaps w:val="false"/>
          <w:sz w:val="20"/>
        </w:rPr>
        <w:t>”). If the Conversion Price is less than $0.38 (the “</w:t>
      </w:r>
      <w:r>
        <w:rPr>
          <w:rFonts w:ascii="Times New Roman" w:hAnsi="Times New Roman"/>
          <w:i/>
          <w:caps w:val="false"/>
          <w:smallCaps w:val="false"/>
          <w:sz w:val="20"/>
        </w:rPr>
        <w:t>Floor Price</w:t>
      </w:r>
      <w:r>
        <w:rPr>
          <w:rFonts w:ascii="Times New Roman" w:hAnsi="Times New Roman"/>
          <w:caps w:val="false"/>
          <w:smallCaps w:val="false"/>
          <w:sz w:val="20"/>
        </w:rPr>
        <w:t>”), then in addition to the issuance of Common Stock upon conversion the Company will pay cash as a true-up which is determined by the product of (i) the difference between (y) the Floor Price less (z) the Conversion Price then in effect, multiplied by (ii) the conversion amount that is being paid in Common Stock.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terms of the First Tranche Notes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allow any conversion of the First Tranche Notes if it results in Anson owning more than </w:t>
      </w:r>
      <w:r>
        <w:rPr>
          <w:rStyle w:val="Emphasis"/>
          <w:rFonts w:ascii="Times New Roman" w:hAnsi="Times New Roman"/>
          <w:caps w:val="false"/>
          <w:smallCaps w:val="false"/>
          <w:sz w:val="20"/>
        </w:rPr>
        <w:t>4.99%</w:t>
      </w:r>
      <w:r>
        <w:rPr>
          <w:rFonts w:ascii="Times New Roman" w:hAnsi="Times New Roman"/>
          <w:caps w:val="false"/>
          <w:smallCaps w:val="false"/>
          <w:sz w:val="20"/>
        </w:rPr>
        <w:t xml:space="preserve"> of the outstanding shares of Common Stock (the "</w:t>
      </w:r>
      <w:r>
        <w:rPr>
          <w:rFonts w:ascii="Times New Roman" w:hAnsi="Times New Roman"/>
          <w:i/>
          <w:caps w:val="false"/>
          <w:smallCaps w:val="false"/>
          <w:sz w:val="20"/>
        </w:rPr>
        <w:t>Beneficial Ownership Limitation</w:t>
      </w:r>
      <w:r>
        <w:rPr>
          <w:rFonts w:ascii="Times New Roman" w:hAnsi="Times New Roman"/>
          <w:caps w:val="false"/>
          <w:smallCaps w:val="false"/>
          <w:sz w:val="20"/>
        </w:rPr>
        <w:t xml:space="preserve">"). This limitation can be adjusted up to </w:t>
      </w:r>
      <w:r>
        <w:rPr>
          <w:rStyle w:val="Emphasis"/>
          <w:rFonts w:ascii="Times New Roman" w:hAnsi="Times New Roman"/>
          <w:caps w:val="false"/>
          <w:smallCaps w:val="false"/>
          <w:sz w:val="20"/>
        </w:rPr>
        <w:t>9.99%</w:t>
      </w:r>
      <w:r>
        <w:rPr>
          <w:rFonts w:ascii="Times New Roman" w:hAnsi="Times New Roman"/>
          <w:caps w:val="false"/>
          <w:smallCaps w:val="false"/>
          <w:sz w:val="20"/>
        </w:rPr>
        <w:t xml:space="preserve"> with prior notice, effective </w:t>
      </w:r>
      <w:r>
        <w:rPr>
          <w:rStyle w:val="Emphasis"/>
          <w:rFonts w:ascii="Times New Roman" w:hAnsi="Times New Roman"/>
          <w:caps w:val="false"/>
          <w:smallCaps w:val="false"/>
          <w:sz w:val="20"/>
        </w:rPr>
        <w:t>61</w:t>
      </w:r>
      <w:r>
        <w:rPr>
          <w:rFonts w:ascii="Times New Roman" w:hAnsi="Times New Roman"/>
          <w:caps w:val="false"/>
          <w:smallCaps w:val="false"/>
          <w:sz w:val="20"/>
        </w:rPr>
        <w:t xml:space="preserve"> days after such notice. Anson must ensure compliance with this limitation when submitting a notice of conversion, and the Company will rely on Anson's representation of compliance.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the Company issues or grants options for Common Stock at a price lower than the current Conversion Price, the Conversion Price will be adjusted to match this lower price, (the “</w:t>
      </w:r>
      <w:r>
        <w:rPr>
          <w:rFonts w:ascii="Times New Roman" w:hAnsi="Times New Roman"/>
          <w:i/>
          <w:caps w:val="false"/>
          <w:smallCaps w:val="false"/>
          <w:sz w:val="20"/>
        </w:rPr>
        <w:t>Base Conversion Price</w:t>
      </w:r>
      <w:r>
        <w:rPr>
          <w:rFonts w:ascii="Times New Roman" w:hAnsi="Times New Roman"/>
          <w:caps w:val="false"/>
          <w:smallCaps w:val="false"/>
          <w:sz w:val="20"/>
        </w:rPr>
        <w:t>”). The Company must notify Anson of any such issuance, and Anson is entitled to convert shares based on the new Base Conversion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the Company offers purchase rights to holders of Common Stock, Anson will be entitled to acquire those rights as if they had fully converted the Note, subject to the Beneficial Ownership Limitation. If exercising these rights would exceed the Beneficial Ownership Limitation, the rights will be held in abeyance until they can be exercised without exceeding the limit.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First Tranche Notes contain mandatory redemption features, whereby if at any time the First Tranche Notes are outstanding, the Company will be required to: (A) use up to </w:t>
      </w:r>
      <w:r>
        <w:rPr>
          <w:rStyle w:val="Emphasis"/>
          <w:rFonts w:ascii="Times New Roman" w:hAnsi="Times New Roman"/>
          <w:caps w:val="false"/>
          <w:smallCaps w:val="false"/>
          <w:sz w:val="20"/>
        </w:rPr>
        <w:t>30%</w:t>
      </w:r>
      <w:r>
        <w:rPr>
          <w:rFonts w:ascii="Times New Roman" w:hAnsi="Times New Roman"/>
          <w:caps w:val="false"/>
          <w:smallCaps w:val="false"/>
          <w:sz w:val="20"/>
        </w:rPr>
        <w:t xml:space="preserve"> of the gross proceeds from any Subsequent Financings (as defined in the Purchase Agreement) in cash, to redeem all or a portion of the Note for an amount equal to the outstanding principal, plus all accrued but unpaid interest, plus all liquidated damages (the “</w:t>
      </w:r>
      <w:r>
        <w:rPr>
          <w:rFonts w:ascii="Times New Roman" w:hAnsi="Times New Roman"/>
          <w:i/>
          <w:caps w:val="false"/>
          <w:smallCaps w:val="false"/>
          <w:sz w:val="20"/>
        </w:rPr>
        <w:t>Redemption</w:t>
      </w:r>
      <w:r>
        <w:rPr>
          <w:rFonts w:ascii="Times New Roman" w:hAnsi="Times New Roman"/>
          <w:caps w:val="false"/>
          <w:smallCaps w:val="false"/>
          <w:sz w:val="20"/>
        </w:rPr>
        <w:t> </w:t>
      </w:r>
      <w:r>
        <w:rPr>
          <w:rFonts w:ascii="Times New Roman" w:hAnsi="Times New Roman"/>
          <w:i/>
          <w:caps w:val="false"/>
          <w:smallCaps w:val="false"/>
          <w:sz w:val="20"/>
        </w:rPr>
        <w:t>Obligations</w:t>
      </w:r>
      <w:r>
        <w:rPr>
          <w:rFonts w:ascii="Times New Roman" w:hAnsi="Times New Roman"/>
          <w:caps w:val="false"/>
          <w:smallCaps w:val="false"/>
          <w:sz w:val="20"/>
        </w:rPr>
        <w:t xml:space="preserve">”), multiplied by </w:t>
      </w:r>
      <w:r>
        <w:rPr>
          <w:rStyle w:val="Emphasis"/>
          <w:rFonts w:ascii="Times New Roman" w:hAnsi="Times New Roman"/>
          <w:caps w:val="false"/>
          <w:smallCaps w:val="false"/>
          <w:sz w:val="20"/>
        </w:rPr>
        <w:t>1.05</w:t>
      </w:r>
      <w:r>
        <w:rPr>
          <w:rFonts w:ascii="Times New Roman" w:hAnsi="Times New Roman"/>
          <w:caps w:val="false"/>
          <w:smallCaps w:val="false"/>
          <w:sz w:val="20"/>
        </w:rPr>
        <w:t xml:space="preserve"> (the “</w:t>
      </w:r>
      <w:r>
        <w:rPr>
          <w:rFonts w:ascii="Times New Roman" w:hAnsi="Times New Roman"/>
          <w:i/>
          <w:caps w:val="false"/>
          <w:smallCaps w:val="false"/>
          <w:sz w:val="20"/>
        </w:rPr>
        <w:t>Mandatory Redemption Amount</w:t>
      </w:r>
      <w:r>
        <w:rPr>
          <w:rFonts w:ascii="Times New Roman" w:hAnsi="Times New Roman"/>
          <w:caps w:val="false"/>
          <w:smallCaps w:val="false"/>
          <w:sz w:val="20"/>
        </w:rPr>
        <w:t xml:space="preserve">”); (B) redeem all of the Redemption Obligations at the Mandatory Redemption Amount in the event of a Change of Control Transaction (as defined in the First Tranche Notes); (C) redeem the Redemption Obligations for the Mandatory Redemption Amount in the event a registration statement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available for each of the offer and resale of the shares issuable upon conversion of the First Tranche Notes (the “</w:t>
      </w:r>
      <w:r>
        <w:rPr>
          <w:rFonts w:ascii="Times New Roman" w:hAnsi="Times New Roman"/>
          <w:i/>
          <w:caps w:val="false"/>
          <w:smallCaps w:val="false"/>
          <w:sz w:val="20"/>
        </w:rPr>
        <w:t>Conversion Shares</w:t>
      </w:r>
      <w:r>
        <w:rPr>
          <w:rFonts w:ascii="Times New Roman" w:hAnsi="Times New Roman"/>
          <w:caps w:val="false"/>
          <w:smallCaps w:val="false"/>
          <w:sz w:val="20"/>
        </w:rPr>
        <w:t xml:space="preserve">”); and (D) redeem the Redemption Obligations for the Mandatory Redemption Amount if the Shareholder Approval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obtained within </w:t>
      </w:r>
      <w:r>
        <w:rPr>
          <w:rStyle w:val="Emphasis"/>
          <w:rFonts w:ascii="Times New Roman" w:hAnsi="Times New Roman"/>
          <w:caps w:val="false"/>
          <w:smallCaps w:val="false"/>
          <w:sz w:val="20"/>
        </w:rPr>
        <w:t>180</w:t>
      </w:r>
      <w:r>
        <w:rPr>
          <w:rFonts w:ascii="Times New Roman" w:hAnsi="Times New Roman"/>
          <w:caps w:val="false"/>
          <w:smallCaps w:val="false"/>
          <w:sz w:val="20"/>
        </w:rPr>
        <w:t xml:space="preserve"> days following the date of issuance of the First Tranche Notes.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First Tranche Notes contain certain covenants, and events of default and triggering events, respectively, which would require repayment of the obligations outstanding pursuant to such instruments. The obligations of the Company pursuant to the First Tranche Notes are (i) secured by all assets of the Company and all subsidiaries of the Company pursuant to the Security Agreement and Patent Security Agreement, dated </w:t>
      </w:r>
      <w:r>
        <w:rPr>
          <w:rStyle w:val="Emphasis"/>
          <w:rFonts w:ascii="Times New Roman" w:hAnsi="Times New Roman"/>
          <w:caps w:val="false"/>
          <w:smallCaps w:val="false"/>
          <w:sz w:val="20"/>
        </w:rPr>
        <w:t xml:space="preserve">August 14, 2024, </w:t>
      </w:r>
      <w:r>
        <w:rPr>
          <w:rFonts w:ascii="Times New Roman" w:hAnsi="Times New Roman"/>
          <w:caps w:val="false"/>
          <w:smallCaps w:val="false"/>
          <w:sz w:val="20"/>
        </w:rPr>
        <w:t xml:space="preserve">by and among the Company, the subsidiaries of the Company, and the Investors, and (ii) guaranteed jointly and severally by the subsidiaries of the Company pursuant to the Subsidiary Guarantee, dated </w:t>
      </w:r>
      <w:r>
        <w:rPr>
          <w:rStyle w:val="Emphasis"/>
          <w:rFonts w:ascii="Times New Roman" w:hAnsi="Times New Roman"/>
          <w:caps w:val="false"/>
          <w:smallCaps w:val="false"/>
          <w:sz w:val="20"/>
        </w:rPr>
        <w:t xml:space="preserve">August 14, 2024, </w:t>
      </w:r>
      <w:r>
        <w:rPr>
          <w:rFonts w:ascii="Times New Roman" w:hAnsi="Times New Roman"/>
          <w:caps w:val="false"/>
          <w:smallCaps w:val="false"/>
          <w:sz w:val="20"/>
        </w:rPr>
        <w:t>by and among the Company, the subsidiaries of the Company, and the Investors.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Pursuant to the Purchase Agreement, on </w:t>
      </w:r>
      <w:r>
        <w:rPr>
          <w:rStyle w:val="Emphasis"/>
          <w:rFonts w:ascii="Times New Roman" w:hAnsi="Times New Roman"/>
          <w:caps w:val="false"/>
          <w:smallCaps w:val="false"/>
          <w:sz w:val="20"/>
        </w:rPr>
        <w:t>October 10, 2024 (</w:t>
      </w:r>
      <w:r>
        <w:rPr>
          <w:rFonts w:ascii="Times New Roman" w:hAnsi="Times New Roman"/>
          <w:caps w:val="false"/>
          <w:smallCaps w:val="false"/>
          <w:sz w:val="20"/>
        </w:rPr>
        <w:t>the “</w:t>
      </w:r>
      <w:r>
        <w:rPr>
          <w:rFonts w:ascii="Times New Roman" w:hAnsi="Times New Roman"/>
          <w:i/>
          <w:caps w:val="false"/>
          <w:smallCaps w:val="false"/>
          <w:sz w:val="20"/>
        </w:rPr>
        <w:t>Second Closing Date</w:t>
      </w:r>
      <w:r>
        <w:rPr>
          <w:rFonts w:ascii="Times New Roman" w:hAnsi="Times New Roman"/>
          <w:caps w:val="false"/>
          <w:smallCaps w:val="false"/>
          <w:sz w:val="20"/>
        </w:rPr>
        <w:t>”), the Company sold a total of $5.4 million in Notes (the “</w:t>
      </w:r>
      <w:r>
        <w:rPr>
          <w:rFonts w:ascii="Times New Roman" w:hAnsi="Times New Roman"/>
          <w:i/>
          <w:caps w:val="false"/>
          <w:smallCaps w:val="false"/>
          <w:sz w:val="20"/>
        </w:rPr>
        <w:t>Second Tranche Notes</w:t>
      </w:r>
      <w:r>
        <w:rPr>
          <w:rFonts w:ascii="Times New Roman" w:hAnsi="Times New Roman"/>
          <w:caps w:val="false"/>
          <w:smallCaps w:val="false"/>
          <w:sz w:val="20"/>
        </w:rPr>
        <w:t xml:space="preserve">”), subject to an original issue discount of 8% or $435,000 less other cash issuance cost of $375,000, with an aggregate purchase price of approximately $5.0 million, and Warrants to purchase up to 1,846,128 shares of Common Stock. The Second Tranche Notes are convertible into Common Stock, at a per share conversion price equal to by the lower of (a) $1.7664 or (b) a price equal to 92% of the lowest VWAP during the </w:t>
      </w:r>
      <w:r>
        <w:rPr>
          <w:rStyle w:val="Emphasis"/>
          <w:rFonts w:ascii="Times New Roman" w:hAnsi="Times New Roman"/>
          <w:caps w:val="false"/>
          <w:smallCaps w:val="false"/>
          <w:sz w:val="20"/>
        </w:rPr>
        <w:t>seven</w:t>
      </w:r>
      <w:r>
        <w:rPr>
          <w:rFonts w:ascii="Times New Roman" w:hAnsi="Times New Roman"/>
          <w:caps w:val="false"/>
          <w:smallCaps w:val="false"/>
          <w:sz w:val="20"/>
        </w:rPr>
        <w:t xml:space="preserve"> trading day period immediately preceding the effective date set forth in a Notice of Conversion delivered by an Investor to the Company. The Conversion Price is subject to, among other customary provisions, downward adjustment in the event of any future issuance by the Company of common stock below the then effective Conversion Price. $3.1 million of the proceeds from the Second Tranche Notes were used to satisfy the remaining amount due in connection with the Streeterville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connection with the above Second Tranche Notes, the Company engaged Placement Agent. Pursuant to the terms of the engagement with the Placement Agent, the Company paid a cash fee of 7% of the gross proceeds the Company received in the Third Closing and incurred certain additional other issuance costs and reimbursement for legal counsel disbursements and placement agent, for aggregate issuance costs of approximately $0.4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Pursuant to the Purchase Agreement, on </w:t>
      </w:r>
      <w:r>
        <w:rPr>
          <w:rStyle w:val="Emphasis"/>
          <w:rFonts w:ascii="Times New Roman" w:hAnsi="Times New Roman"/>
          <w:caps w:val="false"/>
          <w:smallCaps w:val="false"/>
          <w:sz w:val="20"/>
        </w:rPr>
        <w:t>January 28, 2025 (</w:t>
      </w:r>
      <w:r>
        <w:rPr>
          <w:rFonts w:ascii="Times New Roman" w:hAnsi="Times New Roman"/>
          <w:caps w:val="false"/>
          <w:smallCaps w:val="false"/>
          <w:sz w:val="20"/>
        </w:rPr>
        <w:t>the “</w:t>
      </w:r>
      <w:r>
        <w:rPr>
          <w:rFonts w:ascii="Times New Roman" w:hAnsi="Times New Roman"/>
          <w:i/>
          <w:caps w:val="false"/>
          <w:smallCaps w:val="false"/>
          <w:sz w:val="20"/>
        </w:rPr>
        <w:t>Third Closing Date</w:t>
      </w:r>
      <w:r>
        <w:rPr>
          <w:rFonts w:ascii="Times New Roman" w:hAnsi="Times New Roman"/>
          <w:caps w:val="false"/>
          <w:smallCaps w:val="false"/>
          <w:sz w:val="20"/>
        </w:rPr>
        <w:t>”), the Company sold a total of $5.4 million in Notes subject to an original issue discount of 8% or $0.435 million less other issuance costs of $0.4 million noted below (the “</w:t>
      </w:r>
      <w:r>
        <w:rPr>
          <w:rFonts w:ascii="Times New Roman" w:hAnsi="Times New Roman"/>
          <w:i/>
          <w:caps w:val="false"/>
          <w:smallCaps w:val="false"/>
          <w:sz w:val="20"/>
        </w:rPr>
        <w:t>Third Tranche Notes</w:t>
      </w:r>
      <w:r>
        <w:rPr>
          <w:rFonts w:ascii="Times New Roman" w:hAnsi="Times New Roman"/>
          <w:caps w:val="false"/>
          <w:smallCaps w:val="false"/>
          <w:sz w:val="20"/>
        </w:rPr>
        <w:t>” and collectively with the First Tranche Notes and Second Tranche Notes, the ("</w:t>
      </w:r>
      <w:r>
        <w:rPr>
          <w:rFonts w:ascii="Times New Roman" w:hAnsi="Times New Roman"/>
          <w:i/>
          <w:caps w:val="false"/>
          <w:smallCaps w:val="false"/>
          <w:sz w:val="20"/>
        </w:rPr>
        <w:t>Anson Notes</w:t>
      </w:r>
      <w:r>
        <w:rPr>
          <w:rFonts w:ascii="Times New Roman" w:hAnsi="Times New Roman"/>
          <w:caps w:val="false"/>
          <w:smallCaps w:val="false"/>
          <w:sz w:val="20"/>
        </w:rPr>
        <w:t>")), with an aggregate purchase price of approximately $5.0 million, and Warrants to purchase up to 862,699 shares of Common Stock. The Third Tranche Notes are convertible into Common Stock, at a per share conversion price equal to by the lower of (a) $3.78 or (b) a price equal to 92% of the lowest VWAP during the seven trading day period immediately preceding the effective date set forth in a Notice of Conversion delivered by an Investor to the Company. The Conversion Price is subject to, among other customary provisions, downward adjustment in the event of any future issuance by the Company of common stock below the then effective Conversion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connection with the above Third Tranche Notes, the Company paid a cash tail fee to the Placement Agent equal to 7% of the gross proceeds the Company received in the Third Closing and incurred certain additional other issuance costs and reimbursement for legal counsel disbursements, for aggregate issuance costs of approximately $0.4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 w:hAnsi="Times New Roman"/>
          <w:caps w:val="false"/>
          <w:smallCaps w:val="false"/>
          <w:sz w:val="20"/>
        </w:rPr>
        <w:t xml:space="preserve">On or about </w:t>
      </w:r>
      <w:r>
        <w:rPr>
          <w:rStyle w:val="Emphasis"/>
          <w:rFonts w:ascii="Times New Roman" w:hAnsi="Times New Roman"/>
          <w:caps w:val="false"/>
          <w:smallCaps w:val="false"/>
          <w:sz w:val="20"/>
        </w:rPr>
        <w:t xml:space="preserve">January 27, 2025, </w:t>
      </w:r>
      <w:r>
        <w:rPr>
          <w:rFonts w:ascii="Times New Roman" w:hAnsi="Times New Roman"/>
          <w:caps w:val="false"/>
          <w:smallCaps w:val="false"/>
          <w:sz w:val="20"/>
        </w:rPr>
        <w:t>the Company and the Investors entered into a Consent and Waiver Agreement (the “</w:t>
      </w:r>
      <w:r>
        <w:rPr>
          <w:rFonts w:ascii="Times New Roman" w:hAnsi="Times New Roman"/>
          <w:i/>
          <w:caps w:val="false"/>
          <w:smallCaps w:val="false"/>
          <w:sz w:val="20"/>
        </w:rPr>
        <w:t>CWA</w:t>
      </w:r>
      <w:r>
        <w:rPr>
          <w:rFonts w:ascii="Times New Roman" w:hAnsi="Times New Roman"/>
          <w:caps w:val="false"/>
          <w:smallCaps w:val="false"/>
          <w:sz w:val="20"/>
        </w:rPr>
        <w:t xml:space="preserve">”), relating to certain rights and prohibitions arising under the Purchase Agreement and the Notes. In the CWA, each of the Investors provided its consent under certain restrictive provisions, and waived certain rights, including, among other things, a right to participate in certain Qualified Financings (as defined in the CWA) made by us under the Purchase Agreement and the Notes, the prohibition on issuance of certain equity securities, and waiver of any potential liquidated damages arising under that certain Registration Rights Agreement by and between the Company and the Investors dated </w:t>
      </w:r>
      <w:r>
        <w:rPr>
          <w:rStyle w:val="Emphasis"/>
          <w:rFonts w:ascii="Times New Roman" w:hAnsi="Times New Roman"/>
          <w:caps w:val="false"/>
          <w:smallCaps w:val="false"/>
          <w:sz w:val="20"/>
        </w:rPr>
        <w:t xml:space="preserve">August 14, 2024, </w:t>
      </w:r>
      <w:r>
        <w:rPr>
          <w:rFonts w:ascii="Times New Roman" w:hAnsi="Times New Roman"/>
          <w:caps w:val="false"/>
          <w:smallCaps w:val="false"/>
          <w:sz w:val="20"/>
        </w:rPr>
        <w:t xml:space="preserve">until </w:t>
      </w:r>
      <w:r>
        <w:rPr>
          <w:rStyle w:val="Emphasis"/>
          <w:rFonts w:ascii="Times New Roman" w:hAnsi="Times New Roman"/>
          <w:caps w:val="false"/>
          <w:smallCaps w:val="false"/>
          <w:sz w:val="20"/>
        </w:rPr>
        <w:t xml:space="preserve">March 31, 2025. </w:t>
      </w: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March 20, 2025, </w:t>
      </w:r>
      <w:r>
        <w:rPr>
          <w:rFonts w:ascii="Times New Roman" w:hAnsi="Times New Roman"/>
          <w:caps w:val="false"/>
          <w:smallCaps w:val="false"/>
          <w:sz w:val="20"/>
        </w:rPr>
        <w:t xml:space="preserve">following the conversion of less than $0.1 million of the Third Tranche Note into 5,463 shares of common stock, the Company issued 303,819 shares of common stock Consideration Shares and 303,819 of Consideration Warrants to Anson in accordance with the terms of the CWA (See Note </w:t>
      </w:r>
      <w:r>
        <w:rPr>
          <w:rStyle w:val="Emphasis"/>
          <w:rFonts w:ascii="Times New Roman" w:hAnsi="Times New Roman"/>
          <w:caps w:val="false"/>
          <w:smallCaps w:val="false"/>
          <w:sz w:val="20"/>
        </w:rPr>
        <w:t>9</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Due to these embedded features within the Anson Notes, the Company elected to account for the First, Second, and Third Tranche Notes at fair value at inception. Subsequent changes in fair value are recorded as a component of other income (loss) in the condensed consolidated statements of operations. Additionally, the portion of changes in the fair value related to changes in credit risk are recorded to other comprehensive income in the condensed consolidated statements of operations. To determine the initial carrying value of the Notes and the warrants issued to Anson under the First, Second, and Third Tranche Notes (see Note </w:t>
      </w:r>
      <w:r>
        <w:rPr>
          <w:rStyle w:val="Emphasis"/>
          <w:rFonts w:ascii="Times New Roman" w:hAnsi="Times New Roman"/>
          <w:caps w:val="false"/>
          <w:smallCaps w:val="false"/>
          <w:sz w:val="20"/>
        </w:rPr>
        <w:t>9</w:t>
      </w:r>
      <w:r>
        <w:rPr>
          <w:rFonts w:ascii="Times New Roman" w:hAnsi="Times New Roman"/>
          <w:caps w:val="false"/>
          <w:smallCaps w:val="false"/>
          <w:sz w:val="20"/>
        </w:rPr>
        <w:t xml:space="preserve">), the Company allocated the proceeds using the fair value method. After allocation, the initial carrying value of the First Tranche Notes and the warrants issued to Anson were $2.9 million and $2.1 million, respectively, the initial carrying value of the Second Tranche Notes and the warrants issued to Anson were $3.1 million and $1.9 million, and the initial carrying value of the Third Tranche Notes and the warrants issued to Anson were $2.5 and $2.5 respectively. Refer to Note </w:t>
      </w:r>
      <w:r>
        <w:rPr>
          <w:rStyle w:val="Emphasis"/>
          <w:rFonts w:ascii="Times New Roman" w:hAnsi="Times New Roman"/>
          <w:caps w:val="false"/>
          <w:smallCaps w:val="false"/>
          <w:sz w:val="20"/>
        </w:rPr>
        <w:t>11</w:t>
      </w:r>
      <w:r>
        <w:rPr>
          <w:rFonts w:ascii="Times New Roman" w:hAnsi="Times New Roman"/>
          <w:caps w:val="false"/>
          <w:smallCaps w:val="false"/>
          <w:sz w:val="20"/>
        </w:rPr>
        <w:t xml:space="preserve"> for the reconciliation of the fair values for the periods presented.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2025, </w:t>
      </w:r>
      <w:r>
        <w:rPr>
          <w:rFonts w:ascii="Times New Roman" w:hAnsi="Times New Roman"/>
          <w:caps w:val="false"/>
          <w:smallCaps w:val="false"/>
          <w:sz w:val="20"/>
        </w:rPr>
        <w:t xml:space="preserve">Anson converted $1.3 million and less than $0.1 million of principal and interest of the First and Third Tranche Notes, respectively, into common stock, resulting in the aggregate issuances of 1,009,518 shares of Common Stock and loss on conversion of $1.6 million.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 ended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 xml:space="preserve">Anson converted $4.1 million of principal and interest of the Third Tranche Note into common stock, resulting in the issuance of 1,879,406 shares of Common Stock and loss on conversion of $1.9 million. During the year ended </w:t>
      </w:r>
      <w:r>
        <w:rPr>
          <w:rStyle w:val="Emphasis"/>
          <w:rFonts w:ascii="Times New Roman" w:hAnsi="Times New Roman"/>
          <w:caps w:val="false"/>
          <w:smallCaps w:val="false"/>
          <w:sz w:val="20"/>
        </w:rPr>
        <w:t>December 31, 2024, </w:t>
      </w:r>
      <w:r>
        <w:rPr>
          <w:rFonts w:ascii="Times New Roman" w:hAnsi="Times New Roman"/>
          <w:caps w:val="false"/>
          <w:smallCaps w:val="false"/>
          <w:sz w:val="20"/>
        </w:rPr>
        <w:t xml:space="preserve">Anson converted $4.2 million of principal and interest of the First Tranche Note into common stock, resulting in the issuances of 3,676,796 shares of Common Stock and loss on conversion of $1.3 million. (see Note </w:t>
      </w:r>
      <w:r>
        <w:rPr>
          <w:rStyle w:val="Emphasis"/>
          <w:rFonts w:ascii="Times New Roman" w:hAnsi="Times New Roman"/>
          <w:caps w:val="false"/>
          <w:smallCaps w:val="false"/>
          <w:sz w:val="20"/>
        </w:rPr>
        <w:t>9</w:t>
      </w:r>
      <w:r>
        <w:rPr>
          <w:rFonts w:ascii="Times New Roman" w:hAnsi="Times New Roman"/>
          <w:caps w:val="false"/>
          <w:smallCaps w:val="false"/>
          <w:sz w:val="20"/>
        </w:rPr>
        <w:t xml:space="preserve">). As of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the nominal principal and accrued interest balance of the Anson Notes was $9.26 million and $0.3 million, respectively.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2025 , </w:t>
      </w:r>
      <w:r>
        <w:rPr>
          <w:rFonts w:ascii="Times New Roman" w:hAnsi="Times New Roman"/>
          <w:caps w:val="false"/>
          <w:smallCaps w:val="false"/>
          <w:sz w:val="20"/>
        </w:rPr>
        <w:t xml:space="preserve">the Company recorded a loss from the change in fair value of the Second and Third Tranche Notes of $5.6 million and $6.5 million, which was recognized in other expense (income) on the condensed consolidated statements of operations as a result of the Company’s election of the fair value option. At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 xml:space="preserve">the effective interest rates of the Second and Third Tranche Note was 4.6% and 45.7%, respectively. See Note </w:t>
      </w:r>
      <w:r>
        <w:rPr>
          <w:rStyle w:val="Emphasis"/>
          <w:rFonts w:ascii="Times New Roman" w:hAnsi="Times New Roman"/>
          <w:caps w:val="false"/>
          <w:smallCaps w:val="false"/>
          <w:sz w:val="20"/>
        </w:rPr>
        <w:t>11,</w:t>
      </w:r>
      <w:r>
        <w:rPr>
          <w:rFonts w:ascii="Times New Roman" w:hAnsi="Times New Roman"/>
          <w:caps w:val="false"/>
          <w:smallCaps w:val="false"/>
          <w:sz w:val="20"/>
        </w:rPr>
        <w:t xml:space="preserve"> “Fair Value Measurements,” for a summary of activity for the Anson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8.</w:t>
      </w:r>
      <w:r>
        <w:rPr>
          <w:rFonts w:ascii="Times New Roman" w:hAnsi="Times New Roman"/>
          <w:b/>
          <w:caps w:val="false"/>
          <w:smallCaps w:val="false"/>
          <w:sz w:val="20"/>
        </w:rPr>
        <w:t xml:space="preserve"> Commitments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Sarah Herzog Memorial Hospital License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The Company is required to make certain payments related to the development of NRX-</w:t>
      </w:r>
      <w:r>
        <w:rPr>
          <w:rStyle w:val="Emphasis"/>
          <w:rFonts w:ascii="Times New Roman" w:hAnsi="Times New Roman"/>
          <w:caps w:val="false"/>
          <w:smallCaps w:val="false"/>
          <w:sz w:val="20"/>
        </w:rPr>
        <w:t>101</w:t>
      </w:r>
      <w:r>
        <w:rPr>
          <w:rFonts w:ascii="Times New Roman" w:hAnsi="Times New Roman"/>
          <w:caps w:val="false"/>
          <w:smallCaps w:val="false"/>
          <w:sz w:val="20"/>
        </w:rPr>
        <w:t xml:space="preserve"> (the "</w:t>
      </w:r>
      <w:r>
        <w:rPr>
          <w:rFonts w:ascii="Times New Roman" w:hAnsi="Times New Roman"/>
          <w:i/>
          <w:caps w:val="false"/>
          <w:smallCaps w:val="false"/>
          <w:sz w:val="20"/>
        </w:rPr>
        <w:t>Licensed Product</w:t>
      </w:r>
      <w:r>
        <w:rPr>
          <w:rFonts w:ascii="Times New Roman" w:hAnsi="Times New Roman"/>
          <w:caps w:val="false"/>
          <w:smallCaps w:val="false"/>
          <w:sz w:val="20"/>
        </w:rPr>
        <w:t>") in order to maintain the license agreement with the Sarah Herzog Memorial Hospital Ezrat Nashim (“</w:t>
      </w:r>
      <w:r>
        <w:rPr>
          <w:rFonts w:ascii="Times New Roman" w:hAnsi="Times New Roman"/>
          <w:i/>
          <w:caps w:val="false"/>
          <w:smallCaps w:val="false"/>
          <w:sz w:val="20"/>
        </w:rPr>
        <w:t>SHMH</w:t>
      </w:r>
      <w:r>
        <w:rPr>
          <w:rFonts w:ascii="Times New Roman" w:hAnsi="Times New Roman"/>
          <w:caps w:val="false"/>
          <w:smallCaps w:val="false"/>
          <w:sz w:val="20"/>
        </w:rPr>
        <w:t>”) (the "</w:t>
      </w:r>
      <w:r>
        <w:rPr>
          <w:rFonts w:ascii="Times New Roman" w:hAnsi="Times New Roman"/>
          <w:i/>
          <w:caps w:val="false"/>
          <w:smallCaps w:val="false"/>
          <w:sz w:val="20"/>
        </w:rPr>
        <w:t>SHMH License Agreement</w:t>
      </w:r>
      <w:r>
        <w:rPr>
          <w:rFonts w:ascii="Times New Roman" w:hAnsi="Times New Roman"/>
          <w:caps w:val="false"/>
          <w:smallCaps w:val="false"/>
          <w:sz w:val="20"/>
        </w:rPr>
        <w:t>"), including: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Milestone Payments</w:t>
      </w:r>
    </w:p>
    <w:p>
      <w:pPr>
        <w:pStyle w:val="TextBody"/>
        <w:bidi w:val="0"/>
        <w:spacing w:before="0" w:after="0"/>
        <w:ind w:left="0" w:right="0" w:hanging="0"/>
        <w:jc w:val="left"/>
        <w:rPr>
          <w:caps w:val="false"/>
          <w:smallCaps w:val="false"/>
        </w:rPr>
      </w:pPr>
      <w:r>
        <w:rPr>
          <w:caps w:val="false"/>
          <w:smallCaps w:val="false"/>
        </w:rPr>
        <w:t> </w:t>
      </w:r>
    </w:p>
    <w:tbl>
      <w:tblPr>
        <w:tblW w:w="6075" w:type="dxa"/>
        <w:jc w:val="left"/>
        <w:tblInd w:w="0" w:type="dxa"/>
        <w:tblLayout w:type="fixed"/>
        <w:tblCellMar>
          <w:top w:w="0" w:type="dxa"/>
          <w:left w:w="0" w:type="dxa"/>
          <w:bottom w:w="0" w:type="dxa"/>
          <w:right w:w="0" w:type="dxa"/>
        </w:tblCellMar>
      </w:tblPr>
      <w:tblGrid>
        <w:gridCol w:w="5135"/>
        <w:gridCol w:w="60"/>
        <w:gridCol w:w="125"/>
        <w:gridCol w:w="695"/>
        <w:gridCol w:w="60"/>
      </w:tblGrid>
      <w:tr>
        <w:trPr/>
        <w:tc>
          <w:tcPr>
            <w:tcW w:w="51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End of Phase I Clinical Trials of Licensed Product (completed)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100,000</w:t>
            </w:r>
          </w:p>
        </w:tc>
        <w:tc>
          <w:tcPr>
            <w:tcW w:w="60" w:type="dxa"/>
            <w:tcBorders/>
            <w:shd w:fill="CCEEFF" w:val="clear"/>
            <w:vAlign w:val="center"/>
          </w:tcPr>
          <w:p>
            <w:pPr>
              <w:pStyle w:val="TableContents"/>
              <w:bidi w:val="0"/>
              <w:spacing w:before="0" w:after="283"/>
              <w:jc w:val="left"/>
              <w:rPr/>
            </w:pPr>
            <w:r>
              <w:rPr/>
              <w:t> </w:t>
            </w:r>
          </w:p>
        </w:tc>
      </w:tr>
      <w:tr>
        <w:trPr/>
        <w:tc>
          <w:tcPr>
            <w:tcW w:w="51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End of Phase II Clinical Trials of Licensed Product (completed)</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250,000</w:t>
            </w:r>
          </w:p>
        </w:tc>
        <w:tc>
          <w:tcPr>
            <w:tcW w:w="60" w:type="dxa"/>
            <w:tcBorders/>
            <w:shd w:fill="FFFFFF" w:val="clear"/>
            <w:vAlign w:val="center"/>
          </w:tcPr>
          <w:p>
            <w:pPr>
              <w:pStyle w:val="TableContents"/>
              <w:bidi w:val="0"/>
              <w:spacing w:before="0" w:after="283"/>
              <w:jc w:val="left"/>
              <w:rPr/>
            </w:pPr>
            <w:r>
              <w:rPr/>
              <w:t> </w:t>
            </w:r>
          </w:p>
        </w:tc>
      </w:tr>
      <w:tr>
        <w:trPr/>
        <w:tc>
          <w:tcPr>
            <w:tcW w:w="51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End of Phase III Clinical Trials of Licensed Product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250,000</w:t>
            </w:r>
          </w:p>
        </w:tc>
        <w:tc>
          <w:tcPr>
            <w:tcW w:w="60" w:type="dxa"/>
            <w:tcBorders/>
            <w:shd w:fill="CCEEFF" w:val="clear"/>
            <w:vAlign w:val="center"/>
          </w:tcPr>
          <w:p>
            <w:pPr>
              <w:pStyle w:val="TableContents"/>
              <w:bidi w:val="0"/>
              <w:spacing w:before="0" w:after="283"/>
              <w:jc w:val="left"/>
              <w:rPr/>
            </w:pPr>
            <w:r>
              <w:rPr/>
              <w:t> </w:t>
            </w:r>
          </w:p>
        </w:tc>
      </w:tr>
      <w:tr>
        <w:trPr/>
        <w:tc>
          <w:tcPr>
            <w:tcW w:w="51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First Commercial Sale of Licensed Product in U.S.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500,000</w:t>
            </w:r>
          </w:p>
        </w:tc>
        <w:tc>
          <w:tcPr>
            <w:tcW w:w="60" w:type="dxa"/>
            <w:tcBorders/>
            <w:shd w:fill="FFFFFF" w:val="clear"/>
            <w:vAlign w:val="center"/>
          </w:tcPr>
          <w:p>
            <w:pPr>
              <w:pStyle w:val="TableContents"/>
              <w:bidi w:val="0"/>
              <w:spacing w:before="0" w:after="283"/>
              <w:jc w:val="left"/>
              <w:rPr/>
            </w:pPr>
            <w:r>
              <w:rPr/>
              <w:t> </w:t>
            </w:r>
          </w:p>
        </w:tc>
      </w:tr>
      <w:tr>
        <w:trPr/>
        <w:tc>
          <w:tcPr>
            <w:tcW w:w="51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First Commercial Sale of Licensed Product in Europe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500,000</w:t>
            </w:r>
          </w:p>
        </w:tc>
        <w:tc>
          <w:tcPr>
            <w:tcW w:w="60" w:type="dxa"/>
            <w:tcBorders/>
            <w:shd w:fill="CCEEFF" w:val="clear"/>
            <w:vAlign w:val="center"/>
          </w:tcPr>
          <w:p>
            <w:pPr>
              <w:pStyle w:val="TableContents"/>
              <w:bidi w:val="0"/>
              <w:spacing w:before="0" w:after="283"/>
              <w:jc w:val="left"/>
              <w:rPr/>
            </w:pPr>
            <w:r>
              <w:rPr/>
              <w:t> </w:t>
            </w:r>
          </w:p>
        </w:tc>
      </w:tr>
      <w:tr>
        <w:trPr/>
        <w:tc>
          <w:tcPr>
            <w:tcW w:w="51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Annual Revenues Reach $100,000,000</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750,000</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milestone payments due above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reduced by 25% in certain circumstances, and by the application of certain sub-license fees. As of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 xml:space="preserve">the total cumulative payments made under the </w:t>
      </w:r>
      <w:r>
        <w:rPr>
          <w:rFonts w:ascii="Times New Roman" w:hAnsi="Times New Roman"/>
          <w:i/>
          <w:caps w:val="false"/>
          <w:smallCaps w:val="false"/>
          <w:sz w:val="20"/>
        </w:rPr>
        <w:t>SHMH License Agreement</w:t>
      </w:r>
      <w:r>
        <w:rPr>
          <w:rFonts w:ascii="Times New Roman" w:hAnsi="Times New Roman"/>
          <w:caps w:val="false"/>
          <w:smallCaps w:val="false"/>
          <w:sz w:val="20"/>
        </w:rPr>
        <w:t xml:space="preserve"> were $0.5 million, with $0.2 million in payments made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 xml:space="preserve">There were no payments made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Royalties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A royalty in an amount equal to: (a) 1% of revenues from the sale of any product incorporating a Licensed Product when at least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Licensed Patent remains in force, if such product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covered by a Valid Claim (as defined below) in the country or region in which the sale occurs, or (b) 2.5% of revenues from the sale of any Licensed Product that is covered by at least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Valid Claim in the country or region in which such product is manufactured or sold. A “Valid Claim” means any issued claim in the Licensed Patents that remains in force and that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been finally invalidated or held to be unenforceable. The royalty rates above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doubled if we commence a legal challenge to the validity, enforceability or scope of any of the Licensed Patents during the term of the SHMH License Agreement and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prevail in such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Royalties shall also apply to any revenues generated by sub-licensees from sale of Licensed Products subject to a cap of 8.5% of the payments received by us from sub-licensees in connection with such sales.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no royalty payments were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Annual Maintenance Fee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A fixed amount of $100,000 was paid on </w:t>
      </w:r>
      <w:r>
        <w:rPr>
          <w:rStyle w:val="Emphasis"/>
          <w:rFonts w:ascii="Times New Roman" w:hAnsi="Times New Roman"/>
          <w:caps w:val="false"/>
          <w:smallCaps w:val="false"/>
          <w:sz w:val="20"/>
        </w:rPr>
        <w:t xml:space="preserve">April 16, 2021 </w:t>
      </w:r>
      <w:r>
        <w:rPr>
          <w:rFonts w:ascii="Times New Roman" w:hAnsi="Times New Roman"/>
          <w:caps w:val="false"/>
          <w:smallCaps w:val="false"/>
          <w:sz w:val="20"/>
        </w:rPr>
        <w:t xml:space="preserve">and, thereafter, a fixed amount of $150,000 is due on the anniversary of such date during the term of the SHMH License Agreement.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the company recorded  $150,000 and $0 in related annual maintenance fee,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Exclusive License Agreement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has entered into a License Agreement with Apkarian Technologies to in-license US Patent </w:t>
      </w:r>
      <w:r>
        <w:rPr>
          <w:rStyle w:val="Emphasis"/>
          <w:rFonts w:ascii="Times New Roman" w:hAnsi="Times New Roman"/>
          <w:caps w:val="false"/>
          <w:smallCaps w:val="false"/>
          <w:sz w:val="20"/>
        </w:rPr>
        <w:t>8,653,120</w:t>
      </w:r>
      <w:r>
        <w:rPr>
          <w:rFonts w:ascii="Times New Roman" w:hAnsi="Times New Roman"/>
          <w:caps w:val="false"/>
          <w:smallCaps w:val="false"/>
          <w:sz w:val="20"/>
        </w:rPr>
        <w:t xml:space="preserve"> that claims the use of D-cycloserine for the treatment of chronic pain in exchange for a commitment to pay milestones and royalties as development milestones are reached in the field of chronic pain. The patent is supported by extensive nonclinical data and early clinical data that suggest the potential for NMDA antagonist drugs, such as NRX-</w:t>
      </w:r>
      <w:r>
        <w:rPr>
          <w:rStyle w:val="Emphasis"/>
          <w:rFonts w:ascii="Times New Roman" w:hAnsi="Times New Roman"/>
          <w:caps w:val="false"/>
          <w:smallCaps w:val="false"/>
          <w:sz w:val="20"/>
        </w:rPr>
        <w:t>101</w:t>
      </w:r>
      <w:r>
        <w:rPr>
          <w:rFonts w:ascii="Times New Roman" w:hAnsi="Times New Roman"/>
          <w:caps w:val="false"/>
          <w:smallCaps w:val="false"/>
          <w:sz w:val="20"/>
        </w:rPr>
        <w:t xml:space="preserve"> to decrease both chronic pain and neuropathic pain while potentially decreasing craving for opioids.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the Company has recorded no expenses relating to the licensure of the patent.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Kadima and Dura Purchase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March 29, 2025, </w:t>
      </w:r>
      <w:r>
        <w:rPr>
          <w:rFonts w:ascii="Times New Roman" w:hAnsi="Times New Roman"/>
          <w:caps w:val="false"/>
          <w:smallCaps w:val="false"/>
          <w:sz w:val="20"/>
        </w:rPr>
        <w:t xml:space="preserve">the Company entered into certain Membership Interest Purchase and Contribution Agreement (the “Dura Purchase Agreement”), by and among the Subsidiaries, Dura Medical, LLC, and Stephen Durand, CRNA, APRN.  Under the terms of the Dura Purchase Agreement, the Company agreed to acquire </w:t>
      </w:r>
      <w:r>
        <w:rPr>
          <w:rStyle w:val="Emphasis"/>
          <w:rFonts w:ascii="Times New Roman" w:hAnsi="Times New Roman"/>
          <w:caps w:val="false"/>
          <w:smallCaps w:val="false"/>
          <w:sz w:val="20"/>
        </w:rPr>
        <w:t>100%</w:t>
      </w:r>
      <w:r>
        <w:rPr>
          <w:rFonts w:ascii="Times New Roman" w:hAnsi="Times New Roman"/>
          <w:caps w:val="false"/>
          <w:smallCaps w:val="false"/>
          <w:sz w:val="20"/>
        </w:rPr>
        <w:t xml:space="preserve"> of the membership interests in Dura Medical, LLC. The transaction includes a combination of cash consideration, contingent earn-out payments based on future performance metrics, and post-closing adjustments. The Dura Purchase Agreement also includes customary representations and warranties, indemnification provisions, and restrictive covenants including non-competition and non-solicitation clauses. The closing of the transaction is subject to customary conditions precedent, including regulatory approvals and </w:t>
      </w:r>
      <w:r>
        <w:rPr>
          <w:rStyle w:val="Emphasis"/>
          <w:rFonts w:ascii="Times New Roman" w:hAnsi="Times New Roman"/>
          <w:caps w:val="false"/>
          <w:smallCaps w:val="false"/>
          <w:sz w:val="20"/>
        </w:rPr>
        <w:t>third</w:t>
      </w:r>
      <w:r>
        <w:rPr>
          <w:rFonts w:ascii="Times New Roman" w:hAnsi="Times New Roman"/>
          <w:caps w:val="false"/>
          <w:smallCaps w:val="false"/>
          <w:sz w:val="20"/>
        </w:rPr>
        <w:t>-party consents. The Company expects the acquisition to enhance its operational capabilities in the healthcare sector and contribute to long-term strategic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May 9, 2025, </w:t>
      </w:r>
      <w:r>
        <w:rPr>
          <w:rFonts w:ascii="Times New Roman" w:hAnsi="Times New Roman"/>
          <w:caps w:val="false"/>
          <w:smallCaps w:val="false"/>
          <w:sz w:val="20"/>
        </w:rPr>
        <w:t>in furtherance of the Company’s previously announced plans for its subsidiary, HOPE Therapeutics, Inc. (“</w:t>
      </w:r>
      <w:r>
        <w:rPr>
          <w:rFonts w:ascii="Times New Roman" w:hAnsi="Times New Roman"/>
          <w:i/>
          <w:caps w:val="false"/>
          <w:smallCaps w:val="false"/>
          <w:sz w:val="20"/>
        </w:rPr>
        <w:t>Hope</w:t>
      </w:r>
      <w:r>
        <w:rPr>
          <w:rFonts w:ascii="Times New Roman" w:hAnsi="Times New Roman"/>
          <w:caps w:val="false"/>
          <w:smallCaps w:val="false"/>
          <w:sz w:val="20"/>
        </w:rPr>
        <w:t>”), to develop a national network of precision psychiatry clinics. Hope and its wholly-owned subsidiary, HTX Management Company, LLC (“</w:t>
      </w:r>
      <w:r>
        <w:rPr>
          <w:rFonts w:ascii="Times New Roman" w:hAnsi="Times New Roman"/>
          <w:i/>
          <w:caps w:val="false"/>
          <w:smallCaps w:val="false"/>
          <w:sz w:val="20"/>
        </w:rPr>
        <w:t>HTX</w:t>
      </w:r>
      <w:r>
        <w:rPr>
          <w:rFonts w:ascii="Times New Roman" w:hAnsi="Times New Roman"/>
          <w:caps w:val="false"/>
          <w:smallCaps w:val="false"/>
          <w:sz w:val="20"/>
        </w:rPr>
        <w:t>”, and collectively with Hope, the “</w:t>
      </w:r>
      <w:r>
        <w:rPr>
          <w:rFonts w:ascii="Times New Roman" w:hAnsi="Times New Roman"/>
          <w:i/>
          <w:caps w:val="false"/>
          <w:smallCaps w:val="false"/>
          <w:sz w:val="20"/>
        </w:rPr>
        <w:t>Subsidiaries</w:t>
      </w:r>
      <w:r>
        <w:rPr>
          <w:rFonts w:ascii="Times New Roman" w:hAnsi="Times New Roman"/>
          <w:caps w:val="false"/>
          <w:smallCaps w:val="false"/>
          <w:sz w:val="20"/>
        </w:rPr>
        <w:t>”), entered into an Asset Purchase and Contribution Agreement (the “</w:t>
      </w:r>
      <w:r>
        <w:rPr>
          <w:rFonts w:ascii="Times New Roman" w:hAnsi="Times New Roman"/>
          <w:i/>
          <w:caps w:val="false"/>
          <w:smallCaps w:val="false"/>
          <w:sz w:val="20"/>
        </w:rPr>
        <w:t>Kadima Purchase Agreement</w:t>
      </w:r>
      <w:r>
        <w:rPr>
          <w:rFonts w:ascii="Times New Roman" w:hAnsi="Times New Roman"/>
          <w:caps w:val="false"/>
          <w:smallCaps w:val="false"/>
          <w:sz w:val="20"/>
        </w:rPr>
        <w:t>”), with Kadima Neuropsychiatry Institute, Medical Corp. (“</w:t>
      </w:r>
      <w:r>
        <w:rPr>
          <w:rFonts w:ascii="Times New Roman" w:hAnsi="Times New Roman"/>
          <w:i/>
          <w:caps w:val="false"/>
          <w:smallCaps w:val="false"/>
          <w:sz w:val="20"/>
        </w:rPr>
        <w:t>Kadima Medical</w:t>
      </w:r>
      <w:r>
        <w:rPr>
          <w:rFonts w:ascii="Times New Roman" w:hAnsi="Times New Roman"/>
          <w:caps w:val="false"/>
          <w:smallCaps w:val="false"/>
          <w:sz w:val="20"/>
        </w:rPr>
        <w:t>”), Kadima Holdings, Inc. (“</w:t>
      </w:r>
      <w:r>
        <w:rPr>
          <w:rFonts w:ascii="Times New Roman" w:hAnsi="Times New Roman"/>
          <w:i/>
          <w:caps w:val="false"/>
          <w:smallCaps w:val="false"/>
          <w:sz w:val="20"/>
        </w:rPr>
        <w:t>Kadima Holdings</w:t>
      </w:r>
      <w:r>
        <w:rPr>
          <w:rFonts w:ascii="Times New Roman" w:hAnsi="Times New Roman"/>
          <w:caps w:val="false"/>
          <w:smallCaps w:val="false"/>
          <w:sz w:val="20"/>
        </w:rPr>
        <w:t>”), and David Feifel, M.D., PH.D (“</w:t>
      </w:r>
      <w:r>
        <w:rPr>
          <w:rFonts w:ascii="Times New Roman" w:hAnsi="Times New Roman"/>
          <w:i/>
          <w:caps w:val="false"/>
          <w:smallCaps w:val="false"/>
          <w:sz w:val="20"/>
        </w:rPr>
        <w:t>Feifel</w:t>
      </w:r>
      <w:r>
        <w:rPr>
          <w:rFonts w:ascii="Times New Roman" w:hAnsi="Times New Roman"/>
          <w:caps w:val="false"/>
          <w:smallCaps w:val="false"/>
          <w:sz w:val="20"/>
        </w:rPr>
        <w:t>”, and collectively with Kadima Medical and Kadima Holdings, “</w:t>
      </w:r>
      <w:r>
        <w:rPr>
          <w:rFonts w:ascii="Times New Roman" w:hAnsi="Times New Roman"/>
          <w:i/>
          <w:caps w:val="false"/>
          <w:smallCaps w:val="false"/>
          <w:sz w:val="20"/>
        </w:rPr>
        <w:t>Kadima</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Kadima Purchase Agreement contains representations, warranties and covenants of the Company and Kadima that are customary for a transaction of this nature, including among others, covenants by Kadima regarding the validity of certain material contracts entered into between Kadima and </w:t>
      </w:r>
      <w:r>
        <w:rPr>
          <w:rStyle w:val="Emphasis"/>
          <w:rFonts w:ascii="Times New Roman" w:hAnsi="Times New Roman"/>
          <w:caps w:val="false"/>
          <w:smallCaps w:val="false"/>
          <w:sz w:val="20"/>
        </w:rPr>
        <w:t>third</w:t>
      </w:r>
      <w:r>
        <w:rPr>
          <w:rFonts w:ascii="Times New Roman" w:hAnsi="Times New Roman"/>
          <w:caps w:val="false"/>
          <w:smallCaps w:val="false"/>
          <w:sz w:val="20"/>
        </w:rPr>
        <w:t>-parties being assigned to the subsidiaries, title to the assets being sold by Kadima, the condition and sufficiency of the assets being purchased, and Kadima’s rights to its intellectual property, tax liabilities, the investment representations of Kadima, and other open matters in discussions regarding resolution with the intent to close the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Purchase Agreement also contains customary indemnification provisions whereby Kadima will indemnify the Company for certain losses arising out of inaccuracies in, or breaches of, the representations, warranties and covenants of Kadima, pre-closing taxes of Kadima, and certain other matters, subject to certain caps and thresholds.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foregoing description of the Kadima Purchase Agreement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purport to be complete and is qualified in its entirety by the full text of the Kadima Purchase Agreement, a copy of which is filed as Exhibit </w:t>
      </w:r>
      <w:r>
        <w:rPr>
          <w:rStyle w:val="Emphasis"/>
          <w:rFonts w:ascii="Times New Roman" w:hAnsi="Times New Roman"/>
          <w:caps w:val="false"/>
          <w:smallCaps w:val="false"/>
          <w:sz w:val="20"/>
        </w:rPr>
        <w:t>10.6</w:t>
      </w:r>
      <w:r>
        <w:rPr>
          <w:rFonts w:ascii="Times New Roman" w:hAnsi="Times New Roman"/>
          <w:caps w:val="false"/>
          <w:smallCaps w:val="false"/>
          <w:sz w:val="20"/>
        </w:rPr>
        <w:t xml:space="preserve"> of the Company’s Quarterly Report on Form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-Q as of </w:t>
      </w:r>
      <w:r>
        <w:rPr>
          <w:rStyle w:val="Emphasis"/>
          <w:rFonts w:ascii="Times New Roman" w:hAnsi="Times New Roman"/>
          <w:caps w:val="false"/>
          <w:smallCaps w:val="false"/>
          <w:sz w:val="20"/>
        </w:rPr>
        <w:t xml:space="preserve">March 31, 2025. </w:t>
      </w:r>
      <w:r>
        <w:rPr>
          <w:rFonts w:ascii="Times New Roman" w:hAnsi="Times New Roman"/>
          <w:caps w:val="false"/>
          <w:smallCaps w:val="false"/>
          <w:sz w:val="20"/>
        </w:rPr>
        <w:t xml:space="preserve">The Kadima Purchase Agreement was previously attached to provide investors with information regarding its terms. It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intended to provide any other factual information about the Subsidiaries or Kadima. In particular, the assertions embodied in the representations and warranties contained in the Purchase Agreement are qualified by information in the confidential disclosure schedules (the "</w:t>
      </w:r>
      <w:r>
        <w:rPr>
          <w:rFonts w:ascii="Times New Roman" w:hAnsi="Times New Roman"/>
          <w:i/>
          <w:caps w:val="false"/>
          <w:smallCaps w:val="false"/>
          <w:sz w:val="20"/>
        </w:rPr>
        <w:t>Disclosure Schedules</w:t>
      </w:r>
      <w:r>
        <w:rPr>
          <w:rFonts w:ascii="Times New Roman" w:hAnsi="Times New Roman"/>
          <w:caps w:val="false"/>
          <w:smallCaps w:val="false"/>
          <w:sz w:val="20"/>
        </w:rPr>
        <w:t xml:space="preserve">") provided by Kadima in connection with the consummation of the transactions contemplated by the Kadima Purchase Agreement. These Disclosure Schedules contain information that modifies, qualifies and creates exceptions to the representations and warranties and certain covenants set forth in the Kadima Purchase Agreement. Moreover, certain representations and warranties in the Kadima Purchase Agreement were used for the purposes of allocating risk between the subsidiaries and Kadima, rather than establishing matters of fact. Accordingly, the representations and warranties in the Kadima Purchase Agreement should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 relied on as characterization of the actual state of facts regarding the Subsidiaries and/or Kadima.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As of the date of this Report, the transactions contemplated by each of the Dura Purchase Agreement and the Kadima Purchase Agreement have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yet been consummated, and, as disclosed below, with respect to Kadima the parties are working to close the transaction on terms contemplated by the Kadima Purchase Agreement or pursue an alternative outcome acceptable to the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Operating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leases office space on a month-to-month basis. The rent expense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was less than $0.1 million and $0.1 million,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is, from time to time, involved in various legal proceedings incidental to the conduct of our business. Historically, the outcome of nearly all such legal proceedings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 the aggregate, had a material adverse effect on our business, financial condition, results of operations or liquidity. Other than as set forth below, there are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material pending or threatened legal proceedings at this time.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May 9, 2025, </w:t>
      </w:r>
      <w:r>
        <w:rPr>
          <w:rFonts w:ascii="Times New Roman" w:hAnsi="Times New Roman"/>
          <w:caps w:val="false"/>
          <w:smallCaps w:val="false"/>
          <w:sz w:val="20"/>
        </w:rPr>
        <w:t>Hope entered into the Kadima Purchase Agreement (the “</w:t>
      </w:r>
      <w:r>
        <w:rPr>
          <w:rFonts w:ascii="Times New Roman" w:hAnsi="Times New Roman"/>
          <w:i/>
          <w:caps w:val="false"/>
          <w:smallCaps w:val="false"/>
          <w:sz w:val="20"/>
        </w:rPr>
        <w:t>Agreement</w:t>
      </w:r>
      <w:r>
        <w:rPr>
          <w:rFonts w:ascii="Times New Roman" w:hAnsi="Times New Roman"/>
          <w:caps w:val="false"/>
          <w:smallCaps w:val="false"/>
          <w:sz w:val="20"/>
        </w:rPr>
        <w:t>”), with HTX Management Company, LLC, Kadima Neuropsychiatry Institute, Medical Corp., Kadima Holdings, Inc., and David Feifel, M.D., PH.D. (collectively, “</w:t>
      </w:r>
      <w:r>
        <w:rPr>
          <w:rFonts w:ascii="Times New Roman" w:hAnsi="Times New Roman"/>
          <w:i/>
          <w:caps w:val="false"/>
          <w:smallCaps w:val="false"/>
          <w:sz w:val="20"/>
        </w:rPr>
        <w:t>Kadima</w:t>
      </w:r>
      <w:r>
        <w:rPr>
          <w:rFonts w:ascii="Times New Roman" w:hAnsi="Times New Roman"/>
          <w:caps w:val="false"/>
          <w:smallCaps w:val="false"/>
          <w:sz w:val="20"/>
        </w:rPr>
        <w:t>”), pursuant to which the Company agreed to purchase, and Kadima agreed to sell, on the Closing Date, as defined in the Agreement, certain assets of Kadima, subject to the satisfaction of certain closing conditions (the “</w:t>
      </w:r>
      <w:r>
        <w:rPr>
          <w:rFonts w:ascii="Times New Roman" w:hAnsi="Times New Roman"/>
          <w:i/>
          <w:caps w:val="false"/>
          <w:smallCaps w:val="false"/>
          <w:sz w:val="20"/>
        </w:rPr>
        <w:t>Acquisition</w:t>
      </w:r>
      <w:r>
        <w:rPr>
          <w:rFonts w:ascii="Times New Roman" w:hAnsi="Times New Roman"/>
          <w:caps w:val="false"/>
          <w:smallCaps w:val="false"/>
          <w:sz w:val="20"/>
        </w:rPr>
        <w:t xml:space="preserve">”).  As of the date of this Report, the parties have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closed the Acquisition, and, while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assurances can be given, remain in active discussions to either i) close the Acquisition per the terms of the Agreement, or ii) pursue potential alternative outcomes mutually agreeable to all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9.</w:t>
      </w:r>
      <w:r>
        <w:rPr>
          <w:rFonts w:ascii="Times New Roman" w:hAnsi="Times New Roman"/>
          <w:b/>
          <w:caps w:val="false"/>
          <w:smallCaps w:val="false"/>
          <w:sz w:val="20"/>
        </w:rPr>
        <w:t xml:space="preserve">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Pursuant to the terms of the Company’s Second Amended and Restated Certificate of Incorporation, the Company has </w:t>
      </w:r>
      <w:r>
        <w:rPr>
          <w:rStyle w:val="Emphasis"/>
          <w:rFonts w:ascii="Times New Roman" w:hAnsi="Times New Roman"/>
          <w:caps w:val="false"/>
          <w:smallCaps w:val="false"/>
          <w:sz w:val="20"/>
        </w:rPr>
        <w:t>50,000,000 shares</w:t>
      </w:r>
      <w:r>
        <w:rPr>
          <w:rFonts w:ascii="Times New Roman" w:hAnsi="Times New Roman"/>
          <w:caps w:val="false"/>
          <w:smallCaps w:val="false"/>
          <w:sz w:val="20"/>
        </w:rPr>
        <w:t xml:space="preserve"> of preferred stock authorized with a par value of $0.001, of which 12,000,000 were designated Series A Convertible Preferred Stock (“</w:t>
      </w:r>
      <w:r>
        <w:rPr>
          <w:rFonts w:ascii="Times New Roman" w:hAnsi="Times New Roman"/>
          <w:i/>
          <w:caps w:val="false"/>
          <w:smallCaps w:val="false"/>
          <w:sz w:val="20"/>
        </w:rPr>
        <w:t>Series A Preferred</w:t>
      </w:r>
      <w:r>
        <w:rPr>
          <w:rFonts w:ascii="Times New Roman" w:hAnsi="Times New Roman"/>
          <w:caps w:val="false"/>
          <w:smallCaps w:val="false"/>
          <w:sz w:val="20"/>
        </w:rPr>
        <w:t xml:space="preserve">”).  In </w:t>
      </w:r>
      <w:r>
        <w:rPr>
          <w:rStyle w:val="Emphasis"/>
          <w:rFonts w:ascii="Times New Roman" w:hAnsi="Times New Roman"/>
          <w:caps w:val="false"/>
          <w:smallCaps w:val="false"/>
          <w:sz w:val="20"/>
        </w:rPr>
        <w:t xml:space="preserve">August 2023, </w:t>
      </w:r>
      <w:r>
        <w:rPr>
          <w:rFonts w:ascii="Times New Roman" w:hAnsi="Times New Roman"/>
          <w:caps w:val="false"/>
          <w:smallCaps w:val="false"/>
          <w:sz w:val="20"/>
        </w:rPr>
        <w:t xml:space="preserve">the Company sold and issued 3.0 million shares of Series A Preferred for an aggregate cash purchase price of $1.2 million.  During </w:t>
      </w:r>
      <w:r>
        <w:rPr>
          <w:rStyle w:val="Emphasis"/>
          <w:rFonts w:ascii="Times New Roman" w:hAnsi="Times New Roman"/>
          <w:caps w:val="false"/>
          <w:smallCaps w:val="false"/>
          <w:sz w:val="20"/>
        </w:rPr>
        <w:t xml:space="preserve">March 2024, </w:t>
      </w:r>
      <w:r>
        <w:rPr>
          <w:rFonts w:ascii="Times New Roman" w:hAnsi="Times New Roman"/>
          <w:caps w:val="false"/>
          <w:smallCaps w:val="false"/>
          <w:sz w:val="20"/>
        </w:rPr>
        <w:t xml:space="preserve">holders of the Company’s Series A Preferred elected to convert 3.0 million shares of Series A Preferred into 300,000 shares of Common Stock. As of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no shares of Series A Preferred remained issued or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Pursuant to the terms of the Company’s Second Amended and Restated Certificate of Incorporation, the Company has authorized 500,000,000 shares of Common Stock with a par value of $0.001.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January 2, 2024, </w:t>
      </w:r>
      <w:r>
        <w:rPr>
          <w:rFonts w:ascii="Times New Roman" w:hAnsi="Times New Roman"/>
          <w:caps w:val="false"/>
          <w:smallCaps w:val="false"/>
          <w:sz w:val="20"/>
        </w:rPr>
        <w:t>the Company issued 143,648 shares of Common Stock as payment for the $0.4 million minimum payment to Streeterville related to principal and interest payments on the Streeterville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From </w:t>
      </w:r>
      <w:r>
        <w:rPr>
          <w:rStyle w:val="Emphasis"/>
          <w:rFonts w:ascii="Times New Roman" w:hAnsi="Times New Roman"/>
          <w:caps w:val="false"/>
          <w:smallCaps w:val="false"/>
          <w:sz w:val="20"/>
        </w:rPr>
        <w:t xml:space="preserve">February 20, 2024 </w:t>
      </w:r>
      <w:r>
        <w:rPr>
          <w:rFonts w:ascii="Times New Roman" w:hAnsi="Times New Roman"/>
          <w:caps w:val="false"/>
          <w:smallCaps w:val="false"/>
          <w:sz w:val="20"/>
        </w:rPr>
        <w:t xml:space="preserve">to </w:t>
      </w:r>
      <w:r>
        <w:rPr>
          <w:rStyle w:val="Emphasis"/>
          <w:rFonts w:ascii="Times New Roman" w:hAnsi="Times New Roman"/>
          <w:caps w:val="false"/>
          <w:smallCaps w:val="false"/>
          <w:sz w:val="20"/>
        </w:rPr>
        <w:t xml:space="preserve">July 29, 2024, </w:t>
      </w:r>
      <w:r>
        <w:rPr>
          <w:rFonts w:ascii="Times New Roman" w:hAnsi="Times New Roman"/>
          <w:caps w:val="false"/>
          <w:smallCaps w:val="false"/>
          <w:sz w:val="20"/>
        </w:rPr>
        <w:t>the Company announced that it entered into multiple purchase agreements (the “</w:t>
      </w:r>
      <w:r>
        <w:rPr>
          <w:rFonts w:ascii="Times New Roman" w:hAnsi="Times New Roman"/>
          <w:i/>
          <w:caps w:val="false"/>
          <w:smallCaps w:val="false"/>
          <w:sz w:val="20"/>
        </w:rPr>
        <w:t>ATM Purchase Agreements</w:t>
      </w:r>
      <w:r>
        <w:rPr>
          <w:rFonts w:ascii="Times New Roman" w:hAnsi="Times New Roman"/>
          <w:caps w:val="false"/>
          <w:smallCaps w:val="false"/>
          <w:sz w:val="20"/>
        </w:rPr>
        <w:t xml:space="preserve">”) subject to standard closing conditions where accredited investors purchased 385,515 shares of unregistered Common Stock at a range of  $2.42 – $7.10 per share. On </w:t>
      </w:r>
      <w:r>
        <w:rPr>
          <w:rStyle w:val="Emphasis"/>
          <w:rFonts w:ascii="Times New Roman" w:hAnsi="Times New Roman"/>
          <w:caps w:val="false"/>
          <w:smallCaps w:val="false"/>
          <w:sz w:val="20"/>
        </w:rPr>
        <w:t xml:space="preserve">April 15, 2024, </w:t>
      </w:r>
      <w:r>
        <w:rPr>
          <w:rFonts w:ascii="Times New Roman" w:hAnsi="Times New Roman"/>
          <w:caps w:val="false"/>
          <w:smallCaps w:val="false"/>
          <w:sz w:val="20"/>
        </w:rPr>
        <w:t xml:space="preserve">the Company increased the maximum aggregate offering amount of the shares of Common Stock issuable under that certain At the Market Offering Agreement, dated </w:t>
      </w:r>
      <w:r>
        <w:rPr>
          <w:rStyle w:val="Emphasis"/>
          <w:rFonts w:ascii="Times New Roman" w:hAnsi="Times New Roman"/>
          <w:caps w:val="false"/>
          <w:smallCaps w:val="false"/>
          <w:sz w:val="20"/>
        </w:rPr>
        <w:t>August 14, 2023 (</w:t>
      </w:r>
      <w:r>
        <w:rPr>
          <w:rFonts w:ascii="Times New Roman" w:hAnsi="Times New Roman"/>
          <w:caps w:val="false"/>
          <w:smallCaps w:val="false"/>
          <w:sz w:val="20"/>
        </w:rPr>
        <w:t>the “</w:t>
      </w:r>
      <w:r>
        <w:rPr>
          <w:rFonts w:ascii="Times New Roman" w:hAnsi="Times New Roman"/>
          <w:i/>
          <w:caps w:val="false"/>
          <w:smallCaps w:val="false"/>
          <w:sz w:val="20"/>
        </w:rPr>
        <w:t>Offering Agreemen</w:t>
      </w:r>
      <w:r>
        <w:rPr>
          <w:rFonts w:ascii="Times New Roman" w:hAnsi="Times New Roman"/>
          <w:caps w:val="false"/>
          <w:smallCaps w:val="false"/>
          <w:sz w:val="20"/>
        </w:rPr>
        <w:t>t”), with H.C. Wainwright &amp; Co., and filed a prospectus supplement (the “</w:t>
      </w:r>
      <w:r>
        <w:rPr>
          <w:rFonts w:ascii="Times New Roman" w:hAnsi="Times New Roman"/>
          <w:i/>
          <w:caps w:val="false"/>
          <w:smallCaps w:val="false"/>
          <w:sz w:val="20"/>
        </w:rPr>
        <w:t>Current Prospectus Supplement</w:t>
      </w:r>
      <w:r>
        <w:rPr>
          <w:rFonts w:ascii="Times New Roman" w:hAnsi="Times New Roman"/>
          <w:caps w:val="false"/>
          <w:smallCaps w:val="false"/>
          <w:sz w:val="20"/>
        </w:rPr>
        <w:t xml:space="preserve">”) under the Offering Agreement for an aggregate of $4.9 million. The Company suspended the At the Market Offering from </w:t>
      </w:r>
      <w:r>
        <w:rPr>
          <w:rStyle w:val="Emphasis"/>
          <w:rFonts w:ascii="Times New Roman" w:hAnsi="Times New Roman"/>
          <w:caps w:val="false"/>
          <w:smallCaps w:val="false"/>
          <w:sz w:val="20"/>
        </w:rPr>
        <w:t xml:space="preserve">August 14, 2024 </w:t>
      </w:r>
      <w:r>
        <w:rPr>
          <w:rFonts w:ascii="Times New Roman" w:hAnsi="Times New Roman"/>
          <w:caps w:val="false"/>
          <w:smallCaps w:val="false"/>
          <w:sz w:val="20"/>
        </w:rPr>
        <w:t xml:space="preserve">through </w:t>
      </w:r>
      <w:r>
        <w:rPr>
          <w:rStyle w:val="Emphasis"/>
          <w:rFonts w:ascii="Times New Roman" w:hAnsi="Times New Roman"/>
          <w:caps w:val="false"/>
          <w:smallCaps w:val="false"/>
          <w:sz w:val="20"/>
        </w:rPr>
        <w:t xml:space="preserve">April 17, 2025. </w:t>
      </w: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April 17, 2025, </w:t>
      </w:r>
      <w:r>
        <w:rPr>
          <w:rFonts w:ascii="Times New Roman" w:hAnsi="Times New Roman"/>
          <w:caps w:val="false"/>
          <w:smallCaps w:val="false"/>
          <w:sz w:val="20"/>
        </w:rPr>
        <w:t xml:space="preserve">the Company reinstated the At the Market Offering and increased the maximum aggregate offering amount and filed a prospectus supplement under the Offering Agreement for an aggregate of $20,000,000.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 xml:space="preserve">the Company sold an aggregate of </w:t>
      </w:r>
      <w:r>
        <w:rPr>
          <w:rStyle w:val="Emphasis"/>
          <w:rFonts w:ascii="Times New Roman" w:hAnsi="Times New Roman"/>
          <w:caps w:val="false"/>
          <w:smallCaps w:val="false"/>
          <w:sz w:val="20"/>
        </w:rPr>
        <w:t>399,078</w:t>
      </w:r>
      <w:r>
        <w:rPr>
          <w:rFonts w:ascii="Times New Roman" w:hAnsi="Times New Roman"/>
          <w:caps w:val="false"/>
          <w:smallCaps w:val="false"/>
          <w:sz w:val="20"/>
        </w:rPr>
        <w:t xml:space="preserve"> of its common stock shares for approximately </w:t>
      </w:r>
      <w:r>
        <w:rPr>
          <w:rStyle w:val="Emphasis"/>
          <w:rFonts w:ascii="Times New Roman" w:hAnsi="Times New Roman"/>
          <w:caps w:val="false"/>
          <w:smallCaps w:val="false"/>
          <w:sz w:val="20"/>
        </w:rPr>
        <w:t>$1.04</w:t>
      </w:r>
      <w:r>
        <w:rPr>
          <w:rFonts w:ascii="Times New Roman" w:hAnsi="Times New Roman"/>
          <w:caps w:val="false"/>
          <w:smallCaps w:val="false"/>
          <w:sz w:val="20"/>
        </w:rPr>
        <w:t xml:space="preserve"> million, net of $0.03 million in offered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February 27, 2024, </w:t>
      </w:r>
      <w:r>
        <w:rPr>
          <w:rFonts w:ascii="Times New Roman" w:hAnsi="Times New Roman"/>
          <w:caps w:val="false"/>
          <w:smallCaps w:val="false"/>
          <w:sz w:val="20"/>
        </w:rPr>
        <w:t>the Company entered into an underwriting agreement (the “</w:t>
      </w:r>
      <w:r>
        <w:rPr>
          <w:rStyle w:val="Emphasis"/>
          <w:rFonts w:ascii="Times New Roman" w:hAnsi="Times New Roman"/>
          <w:caps w:val="false"/>
          <w:smallCaps w:val="false"/>
          <w:sz w:val="20"/>
        </w:rPr>
        <w:t xml:space="preserve"> </w:t>
      </w:r>
      <w:r>
        <w:rPr>
          <w:rStyle w:val="Emphasis"/>
          <w:rFonts w:ascii="Times New Roman" w:hAnsi="Times New Roman"/>
          <w:i/>
          <w:caps w:val="false"/>
          <w:smallCaps w:val="false"/>
          <w:sz w:val="20"/>
        </w:rPr>
        <w:t xml:space="preserve">February </w:t>
      </w:r>
      <w:r>
        <w:rPr>
          <w:rFonts w:ascii="Times New Roman" w:hAnsi="Times New Roman"/>
          <w:i/>
          <w:caps w:val="false"/>
          <w:smallCaps w:val="false"/>
          <w:sz w:val="20"/>
        </w:rPr>
        <w:t>Underwriting Agreement</w:t>
      </w:r>
      <w:r>
        <w:rPr>
          <w:rFonts w:ascii="Times New Roman" w:hAnsi="Times New Roman"/>
          <w:caps w:val="false"/>
          <w:smallCaps w:val="false"/>
          <w:sz w:val="20"/>
        </w:rPr>
        <w:t>”) with EF Hutton LLC (the “</w:t>
      </w:r>
      <w:r>
        <w:rPr>
          <w:rFonts w:ascii="Times New Roman" w:hAnsi="Times New Roman"/>
          <w:i/>
          <w:caps w:val="false"/>
          <w:smallCaps w:val="false"/>
          <w:sz w:val="20"/>
        </w:rPr>
        <w:t>Representative</w:t>
      </w:r>
      <w:r>
        <w:rPr>
          <w:rFonts w:ascii="Times New Roman" w:hAnsi="Times New Roman"/>
          <w:caps w:val="false"/>
          <w:smallCaps w:val="false"/>
          <w:sz w:val="20"/>
        </w:rPr>
        <w:t>”), as the representative of the several underwriters named therein (the “</w:t>
      </w:r>
      <w:r>
        <w:rPr>
          <w:rStyle w:val="Emphasis"/>
          <w:rFonts w:ascii="Times New Roman" w:hAnsi="Times New Roman"/>
          <w:caps w:val="false"/>
          <w:smallCaps w:val="false"/>
          <w:sz w:val="20"/>
        </w:rPr>
        <w:t xml:space="preserve"> </w:t>
      </w:r>
      <w:r>
        <w:rPr>
          <w:rStyle w:val="Emphasis"/>
          <w:rFonts w:ascii="Times New Roman" w:hAnsi="Times New Roman"/>
          <w:i/>
          <w:caps w:val="false"/>
          <w:smallCaps w:val="false"/>
          <w:sz w:val="20"/>
        </w:rPr>
        <w:t xml:space="preserve">February </w:t>
      </w:r>
      <w:r>
        <w:rPr>
          <w:rFonts w:ascii="Times New Roman" w:hAnsi="Times New Roman"/>
          <w:i/>
          <w:caps w:val="false"/>
          <w:smallCaps w:val="false"/>
          <w:sz w:val="20"/>
        </w:rPr>
        <w:t>Underwriters</w:t>
      </w:r>
      <w:r>
        <w:rPr>
          <w:rFonts w:ascii="Times New Roman" w:hAnsi="Times New Roman"/>
          <w:caps w:val="false"/>
          <w:smallCaps w:val="false"/>
          <w:sz w:val="20"/>
        </w:rPr>
        <w:t>”), relating to an underwritten public offering (the “</w:t>
      </w:r>
      <w:r>
        <w:rPr>
          <w:rStyle w:val="Emphasis"/>
          <w:rFonts w:ascii="Times New Roman" w:hAnsi="Times New Roman"/>
          <w:caps w:val="false"/>
          <w:smallCaps w:val="false"/>
          <w:sz w:val="20"/>
        </w:rPr>
        <w:t xml:space="preserve"> </w:t>
      </w:r>
      <w:r>
        <w:rPr>
          <w:rStyle w:val="Emphasis"/>
          <w:rFonts w:ascii="Times New Roman" w:hAnsi="Times New Roman"/>
          <w:i/>
          <w:caps w:val="false"/>
          <w:smallCaps w:val="false"/>
          <w:sz w:val="20"/>
        </w:rPr>
        <w:t xml:space="preserve">February 2024 </w:t>
      </w:r>
      <w:r>
        <w:rPr>
          <w:rFonts w:ascii="Times New Roman" w:hAnsi="Times New Roman"/>
          <w:i/>
          <w:caps w:val="false"/>
          <w:smallCaps w:val="false"/>
          <w:sz w:val="20"/>
        </w:rPr>
        <w:t>Public Offering</w:t>
      </w:r>
      <w:r>
        <w:rPr>
          <w:rFonts w:ascii="Times New Roman" w:hAnsi="Times New Roman"/>
          <w:caps w:val="false"/>
          <w:smallCaps w:val="false"/>
          <w:sz w:val="20"/>
        </w:rPr>
        <w:t>”) of 500,000 shares (the “</w:t>
      </w:r>
      <w:r>
        <w:rPr>
          <w:rStyle w:val="Emphasis"/>
          <w:rFonts w:ascii="Times New Roman" w:hAnsi="Times New Roman"/>
          <w:caps w:val="false"/>
          <w:smallCaps w:val="false"/>
          <w:sz w:val="20"/>
        </w:rPr>
        <w:t xml:space="preserve"> </w:t>
      </w:r>
      <w:r>
        <w:rPr>
          <w:rStyle w:val="Emphasis"/>
          <w:rFonts w:ascii="Times New Roman" w:hAnsi="Times New Roman"/>
          <w:i/>
          <w:caps w:val="false"/>
          <w:smallCaps w:val="false"/>
          <w:sz w:val="20"/>
        </w:rPr>
        <w:t xml:space="preserve">February </w:t>
      </w:r>
      <w:r>
        <w:rPr>
          <w:rFonts w:ascii="Times New Roman" w:hAnsi="Times New Roman"/>
          <w:i/>
          <w:caps w:val="false"/>
          <w:smallCaps w:val="false"/>
          <w:sz w:val="20"/>
        </w:rPr>
        <w:t>Shares</w:t>
      </w:r>
      <w:r>
        <w:rPr>
          <w:rFonts w:ascii="Times New Roman" w:hAnsi="Times New Roman"/>
          <w:caps w:val="false"/>
          <w:smallCaps w:val="false"/>
          <w:sz w:val="20"/>
        </w:rPr>
        <w:t xml:space="preserve">”) of the Company’s Common Stock. The public offering price for each share of Common Stock was $3.00 and the </w:t>
      </w:r>
      <w:r>
        <w:rPr>
          <w:rStyle w:val="Emphasis"/>
          <w:rFonts w:ascii="Times New Roman" w:hAnsi="Times New Roman"/>
          <w:caps w:val="false"/>
          <w:smallCaps w:val="false"/>
          <w:sz w:val="20"/>
        </w:rPr>
        <w:t xml:space="preserve">February </w:t>
      </w:r>
      <w:r>
        <w:rPr>
          <w:rFonts w:ascii="Times New Roman" w:hAnsi="Times New Roman"/>
          <w:caps w:val="false"/>
          <w:smallCaps w:val="false"/>
          <w:sz w:val="20"/>
        </w:rPr>
        <w:t xml:space="preserve">Underwriters purchased the shares of Common Stock pursuant to the </w:t>
      </w:r>
      <w:r>
        <w:rPr>
          <w:rStyle w:val="Emphasis"/>
          <w:rFonts w:ascii="Times New Roman" w:hAnsi="Times New Roman"/>
          <w:caps w:val="false"/>
          <w:smallCaps w:val="false"/>
          <w:sz w:val="20"/>
        </w:rPr>
        <w:t xml:space="preserve">February </w:t>
      </w:r>
      <w:r>
        <w:rPr>
          <w:rFonts w:ascii="Times New Roman" w:hAnsi="Times New Roman"/>
          <w:caps w:val="false"/>
          <w:smallCaps w:val="false"/>
          <w:sz w:val="20"/>
        </w:rPr>
        <w:t xml:space="preserve">Underwriting Agreement at a price for each share of Common Stock of $2.76. Pursuant to the </w:t>
      </w:r>
      <w:r>
        <w:rPr>
          <w:rStyle w:val="Emphasis"/>
          <w:rFonts w:ascii="Times New Roman" w:hAnsi="Times New Roman"/>
          <w:caps w:val="false"/>
          <w:smallCaps w:val="false"/>
          <w:sz w:val="20"/>
        </w:rPr>
        <w:t xml:space="preserve">February </w:t>
      </w:r>
      <w:r>
        <w:rPr>
          <w:rFonts w:ascii="Times New Roman" w:hAnsi="Times New Roman"/>
          <w:caps w:val="false"/>
          <w:smallCaps w:val="false"/>
          <w:sz w:val="20"/>
        </w:rPr>
        <w:t xml:space="preserve">Underwriting Agreement, the Company also granted the Representative a </w:t>
      </w:r>
      <w:r>
        <w:rPr>
          <w:rStyle w:val="Emphasis"/>
          <w:rFonts w:ascii="Times New Roman" w:hAnsi="Times New Roman"/>
          <w:caps w:val="false"/>
          <w:smallCaps w:val="false"/>
          <w:sz w:val="20"/>
        </w:rPr>
        <w:t>45</w:t>
      </w:r>
      <w:r>
        <w:rPr>
          <w:rFonts w:ascii="Times New Roman" w:hAnsi="Times New Roman"/>
          <w:caps w:val="false"/>
          <w:smallCaps w:val="false"/>
          <w:sz w:val="20"/>
        </w:rPr>
        <w:t>-day option to purchase up to an additional 75,000 shares (the “</w:t>
      </w:r>
      <w:r>
        <w:rPr>
          <w:rStyle w:val="Emphasis"/>
          <w:rFonts w:ascii="Times New Roman" w:hAnsi="Times New Roman"/>
          <w:caps w:val="false"/>
          <w:smallCaps w:val="false"/>
          <w:sz w:val="20"/>
        </w:rPr>
        <w:t xml:space="preserve"> </w:t>
      </w:r>
      <w:r>
        <w:rPr>
          <w:rStyle w:val="Emphasis"/>
          <w:rFonts w:ascii="Times New Roman" w:hAnsi="Times New Roman"/>
          <w:i/>
          <w:caps w:val="false"/>
          <w:smallCaps w:val="false"/>
          <w:sz w:val="20"/>
        </w:rPr>
        <w:t xml:space="preserve">February </w:t>
      </w:r>
      <w:r>
        <w:rPr>
          <w:rFonts w:ascii="Times New Roman" w:hAnsi="Times New Roman"/>
          <w:i/>
          <w:caps w:val="false"/>
          <w:smallCaps w:val="false"/>
          <w:sz w:val="20"/>
        </w:rPr>
        <w:t>Option Shares</w:t>
      </w:r>
      <w:r>
        <w:rPr>
          <w:rFonts w:ascii="Times New Roman" w:hAnsi="Times New Roman"/>
          <w:caps w:val="false"/>
          <w:smallCaps w:val="false"/>
          <w:sz w:val="20"/>
        </w:rPr>
        <w:t xml:space="preserve">”) of the Common Stock on the same terms as the </w:t>
      </w:r>
      <w:r>
        <w:rPr>
          <w:rStyle w:val="Emphasis"/>
          <w:rFonts w:ascii="Times New Roman" w:hAnsi="Times New Roman"/>
          <w:caps w:val="false"/>
          <w:smallCaps w:val="false"/>
          <w:sz w:val="20"/>
        </w:rPr>
        <w:t xml:space="preserve">February </w:t>
      </w:r>
      <w:r>
        <w:rPr>
          <w:rFonts w:ascii="Times New Roman" w:hAnsi="Times New Roman"/>
          <w:caps w:val="false"/>
          <w:smallCaps w:val="false"/>
          <w:sz w:val="20"/>
        </w:rPr>
        <w:t xml:space="preserve">Shares sold in the </w:t>
      </w:r>
      <w:r>
        <w:rPr>
          <w:rStyle w:val="Emphasis"/>
          <w:rFonts w:ascii="Times New Roman" w:hAnsi="Times New Roman"/>
          <w:caps w:val="false"/>
          <w:smallCaps w:val="false"/>
          <w:sz w:val="20"/>
        </w:rPr>
        <w:t xml:space="preserve">February 2024 </w:t>
      </w:r>
      <w:r>
        <w:rPr>
          <w:rFonts w:ascii="Times New Roman" w:hAnsi="Times New Roman"/>
          <w:caps w:val="false"/>
          <w:smallCaps w:val="false"/>
          <w:sz w:val="20"/>
        </w:rPr>
        <w:t>Public Offering (the “</w:t>
      </w:r>
      <w:r>
        <w:rPr>
          <w:rStyle w:val="Emphasis"/>
          <w:rFonts w:ascii="Times New Roman" w:hAnsi="Times New Roman"/>
          <w:caps w:val="false"/>
          <w:smallCaps w:val="false"/>
          <w:sz w:val="20"/>
        </w:rPr>
        <w:t xml:space="preserve"> </w:t>
      </w:r>
      <w:r>
        <w:rPr>
          <w:rStyle w:val="Emphasis"/>
          <w:rFonts w:ascii="Times New Roman" w:hAnsi="Times New Roman"/>
          <w:i/>
          <w:caps w:val="false"/>
          <w:smallCaps w:val="false"/>
          <w:sz w:val="20"/>
        </w:rPr>
        <w:t xml:space="preserve">February </w:t>
      </w:r>
      <w:r>
        <w:rPr>
          <w:rFonts w:ascii="Times New Roman" w:hAnsi="Times New Roman"/>
          <w:i/>
          <w:caps w:val="false"/>
          <w:smallCaps w:val="false"/>
          <w:sz w:val="20"/>
        </w:rPr>
        <w:t>Over-Allotment Option</w:t>
      </w:r>
      <w:r>
        <w:rPr>
          <w:rFonts w:ascii="Times New Roman" w:hAnsi="Times New Roman"/>
          <w:caps w:val="false"/>
          <w:smallCaps w:val="false"/>
          <w:sz w:val="20"/>
        </w:rPr>
        <w:t xml:space="preserve">”). On </w:t>
      </w:r>
      <w:r>
        <w:rPr>
          <w:rStyle w:val="Emphasis"/>
          <w:rFonts w:ascii="Times New Roman" w:hAnsi="Times New Roman"/>
          <w:caps w:val="false"/>
          <w:smallCaps w:val="false"/>
          <w:sz w:val="20"/>
        </w:rPr>
        <w:t xml:space="preserve">February 28, 2024, </w:t>
      </w: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 xml:space="preserve">February 2024 </w:t>
      </w:r>
      <w:r>
        <w:rPr>
          <w:rFonts w:ascii="Times New Roman" w:hAnsi="Times New Roman"/>
          <w:caps w:val="false"/>
          <w:smallCaps w:val="false"/>
          <w:sz w:val="20"/>
        </w:rPr>
        <w:t>Public Offering closed (the “</w:t>
      </w:r>
      <w:r>
        <w:rPr>
          <w:rStyle w:val="Emphasis"/>
          <w:rFonts w:ascii="Times New Roman" w:hAnsi="Times New Roman"/>
          <w:caps w:val="false"/>
          <w:smallCaps w:val="false"/>
          <w:sz w:val="20"/>
        </w:rPr>
        <w:t xml:space="preserve"> </w:t>
      </w:r>
      <w:r>
        <w:rPr>
          <w:rStyle w:val="Emphasis"/>
          <w:rFonts w:ascii="Times New Roman" w:hAnsi="Times New Roman"/>
          <w:i/>
          <w:caps w:val="false"/>
          <w:smallCaps w:val="false"/>
          <w:sz w:val="20"/>
        </w:rPr>
        <w:t xml:space="preserve">February </w:t>
      </w:r>
      <w:r>
        <w:rPr>
          <w:rFonts w:ascii="Times New Roman" w:hAnsi="Times New Roman"/>
          <w:i/>
          <w:caps w:val="false"/>
          <w:smallCaps w:val="false"/>
          <w:sz w:val="20"/>
        </w:rPr>
        <w:t>Closing Date</w:t>
      </w:r>
      <w:r>
        <w:rPr>
          <w:rFonts w:ascii="Times New Roman" w:hAnsi="Times New Roman"/>
          <w:caps w:val="false"/>
          <w:smallCaps w:val="false"/>
          <w:sz w:val="20"/>
        </w:rPr>
        <w:t xml:space="preserve">”). The aggregate net cash proceeds to the Company from the </w:t>
      </w:r>
      <w:r>
        <w:rPr>
          <w:rStyle w:val="Emphasis"/>
          <w:rFonts w:ascii="Times New Roman" w:hAnsi="Times New Roman"/>
          <w:caps w:val="false"/>
          <w:smallCaps w:val="false"/>
          <w:sz w:val="20"/>
        </w:rPr>
        <w:t xml:space="preserve">February 2024 </w:t>
      </w:r>
      <w:r>
        <w:rPr>
          <w:rFonts w:ascii="Times New Roman" w:hAnsi="Times New Roman"/>
          <w:caps w:val="false"/>
          <w:smallCaps w:val="false"/>
          <w:sz w:val="20"/>
        </w:rPr>
        <w:t xml:space="preserve">Offering proceeds were approximately $1.3 million after offering costs of approximately $0.4 million. On </w:t>
      </w:r>
      <w:r>
        <w:rPr>
          <w:rStyle w:val="Emphasis"/>
          <w:rFonts w:ascii="Times New Roman" w:hAnsi="Times New Roman"/>
          <w:caps w:val="false"/>
          <w:smallCaps w:val="false"/>
          <w:sz w:val="20"/>
        </w:rPr>
        <w:t xml:space="preserve">March 5, 2024, </w:t>
      </w: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 xml:space="preserve">February </w:t>
      </w:r>
      <w:r>
        <w:rPr>
          <w:rFonts w:ascii="Times New Roman" w:hAnsi="Times New Roman"/>
          <w:caps w:val="false"/>
          <w:smallCaps w:val="false"/>
          <w:sz w:val="20"/>
        </w:rPr>
        <w:t xml:space="preserve">Underwriters of the previously announced underwritten public offering of the Company exercised their option in accordance with the </w:t>
      </w:r>
      <w:r>
        <w:rPr>
          <w:rStyle w:val="Emphasis"/>
          <w:rFonts w:ascii="Times New Roman" w:hAnsi="Times New Roman"/>
          <w:caps w:val="false"/>
          <w:smallCaps w:val="false"/>
          <w:sz w:val="20"/>
        </w:rPr>
        <w:t xml:space="preserve">February </w:t>
      </w:r>
      <w:r>
        <w:rPr>
          <w:rFonts w:ascii="Times New Roman" w:hAnsi="Times New Roman"/>
          <w:caps w:val="false"/>
          <w:smallCaps w:val="false"/>
          <w:sz w:val="20"/>
        </w:rPr>
        <w:t xml:space="preserve">Underwriting Agreement, dated </w:t>
      </w:r>
      <w:r>
        <w:rPr>
          <w:rStyle w:val="Emphasis"/>
          <w:rFonts w:ascii="Times New Roman" w:hAnsi="Times New Roman"/>
          <w:caps w:val="false"/>
          <w:smallCaps w:val="false"/>
          <w:sz w:val="20"/>
        </w:rPr>
        <w:t xml:space="preserve">February 27, 2024, </w:t>
      </w:r>
      <w:r>
        <w:rPr>
          <w:rFonts w:ascii="Times New Roman" w:hAnsi="Times New Roman"/>
          <w:caps w:val="false"/>
          <w:smallCaps w:val="false"/>
          <w:sz w:val="20"/>
        </w:rPr>
        <w:t>by and between the Company and the Representative, as representative of the several underwriters named therein, to purchase up to an additional 75,000 shares of the Company’s Common Stock, at a public offering price of $3.00 per share (the “</w:t>
      </w:r>
      <w:r>
        <w:rPr>
          <w:rStyle w:val="Emphasis"/>
          <w:rFonts w:ascii="Times New Roman" w:hAnsi="Times New Roman"/>
          <w:caps w:val="false"/>
          <w:smallCaps w:val="false"/>
          <w:sz w:val="20"/>
        </w:rPr>
        <w:t xml:space="preserve"> </w:t>
      </w:r>
      <w:r>
        <w:rPr>
          <w:rStyle w:val="Emphasis"/>
          <w:rFonts w:ascii="Times New Roman" w:hAnsi="Times New Roman"/>
          <w:i/>
          <w:caps w:val="false"/>
          <w:smallCaps w:val="false"/>
          <w:sz w:val="20"/>
        </w:rPr>
        <w:t xml:space="preserve">February </w:t>
      </w:r>
      <w:r>
        <w:rPr>
          <w:rFonts w:ascii="Times New Roman" w:hAnsi="Times New Roman"/>
          <w:i/>
          <w:caps w:val="false"/>
          <w:smallCaps w:val="false"/>
          <w:sz w:val="20"/>
        </w:rPr>
        <w:t>Overallotment Exercise</w:t>
      </w:r>
      <w:r>
        <w:rPr>
          <w:rFonts w:ascii="Times New Roman" w:hAnsi="Times New Roman"/>
          <w:caps w:val="false"/>
          <w:smallCaps w:val="false"/>
          <w:sz w:val="20"/>
        </w:rPr>
        <w:t xml:space="preserve">”). The </w:t>
      </w:r>
      <w:r>
        <w:rPr>
          <w:rStyle w:val="Emphasis"/>
          <w:rFonts w:ascii="Times New Roman" w:hAnsi="Times New Roman"/>
          <w:caps w:val="false"/>
          <w:smallCaps w:val="false"/>
          <w:sz w:val="20"/>
        </w:rPr>
        <w:t xml:space="preserve">February </w:t>
      </w:r>
      <w:r>
        <w:rPr>
          <w:rFonts w:ascii="Times New Roman" w:hAnsi="Times New Roman"/>
          <w:caps w:val="false"/>
          <w:smallCaps w:val="false"/>
          <w:sz w:val="20"/>
        </w:rPr>
        <w:t xml:space="preserve">Overallotment Exercise closed on </w:t>
      </w:r>
      <w:r>
        <w:rPr>
          <w:rStyle w:val="Emphasis"/>
          <w:rFonts w:ascii="Times New Roman" w:hAnsi="Times New Roman"/>
          <w:caps w:val="false"/>
          <w:smallCaps w:val="false"/>
          <w:sz w:val="20"/>
        </w:rPr>
        <w:t xml:space="preserve">March 6, 2024. </w:t>
      </w:r>
      <w:r>
        <w:rPr>
          <w:rFonts w:ascii="Times New Roman" w:hAnsi="Times New Roman"/>
          <w:caps w:val="false"/>
          <w:smallCaps w:val="false"/>
          <w:sz w:val="20"/>
        </w:rPr>
        <w:t xml:space="preserve">The aggregate net cash proceeds to the Company from the </w:t>
      </w:r>
      <w:r>
        <w:rPr>
          <w:rStyle w:val="Emphasis"/>
          <w:rFonts w:ascii="Times New Roman" w:hAnsi="Times New Roman"/>
          <w:caps w:val="false"/>
          <w:smallCaps w:val="false"/>
          <w:sz w:val="20"/>
        </w:rPr>
        <w:t xml:space="preserve">February </w:t>
      </w:r>
      <w:r>
        <w:rPr>
          <w:rFonts w:ascii="Times New Roman" w:hAnsi="Times New Roman"/>
          <w:caps w:val="false"/>
          <w:smallCaps w:val="false"/>
          <w:sz w:val="20"/>
        </w:rPr>
        <w:t>Overallotment Exercise were approximately $0.2 million. The Company accrued additional offering costs of approximately $0.2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February 29,</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the Company entered into a securities purchase agreement with an investor providing for the issuance and sale of 270,000 shares of Common Stock and warrants to purchase up to 270,000 shares of Common Stock (the “</w:t>
      </w:r>
      <w:r>
        <w:rPr>
          <w:rStyle w:val="Emphasis"/>
          <w:rFonts w:ascii="Times New Roman" w:hAnsi="Times New Roman"/>
          <w:caps w:val="false"/>
          <w:smallCaps w:val="false"/>
          <w:sz w:val="20"/>
        </w:rPr>
        <w:t xml:space="preserve"> </w:t>
      </w:r>
      <w:r>
        <w:rPr>
          <w:rStyle w:val="Emphasis"/>
          <w:rFonts w:ascii="Times New Roman" w:hAnsi="Times New Roman"/>
          <w:i/>
          <w:caps w:val="false"/>
          <w:smallCaps w:val="false"/>
          <w:sz w:val="20"/>
        </w:rPr>
        <w:t xml:space="preserve">February </w:t>
      </w:r>
      <w:r>
        <w:rPr>
          <w:rFonts w:ascii="Times New Roman" w:hAnsi="Times New Roman"/>
          <w:i/>
          <w:caps w:val="false"/>
          <w:smallCaps w:val="false"/>
          <w:sz w:val="20"/>
        </w:rPr>
        <w:t>Warrants</w:t>
      </w:r>
      <w:r>
        <w:rPr>
          <w:rFonts w:ascii="Times New Roman" w:hAnsi="Times New Roman"/>
          <w:caps w:val="false"/>
          <w:smallCaps w:val="false"/>
          <w:sz w:val="20"/>
        </w:rPr>
        <w:t xml:space="preserve">”) at a price of $3.80 per share of Common Stock and accompanying warrant, which represents a 26.7% premium to the offering price in </w:t>
      </w:r>
      <w:r>
        <w:rPr>
          <w:rStyle w:val="Emphasis"/>
          <w:rFonts w:ascii="Times New Roman" w:hAnsi="Times New Roman"/>
          <w:caps w:val="false"/>
          <w:smallCaps w:val="false"/>
          <w:sz w:val="20"/>
        </w:rPr>
        <w:t xml:space="preserve">February 2024 </w:t>
      </w:r>
      <w:r>
        <w:rPr>
          <w:rFonts w:ascii="Times New Roman" w:hAnsi="Times New Roman"/>
          <w:caps w:val="false"/>
          <w:smallCaps w:val="false"/>
          <w:sz w:val="20"/>
        </w:rPr>
        <w:t xml:space="preserve">Public Offering. The Common Stock and the </w:t>
      </w:r>
      <w:r>
        <w:rPr>
          <w:rStyle w:val="Emphasis"/>
          <w:rFonts w:ascii="Times New Roman" w:hAnsi="Times New Roman"/>
          <w:caps w:val="false"/>
          <w:smallCaps w:val="false"/>
          <w:sz w:val="20"/>
        </w:rPr>
        <w:t xml:space="preserve">February </w:t>
      </w:r>
      <w:r>
        <w:rPr>
          <w:rFonts w:ascii="Times New Roman" w:hAnsi="Times New Roman"/>
          <w:caps w:val="false"/>
          <w:smallCaps w:val="false"/>
          <w:sz w:val="20"/>
        </w:rPr>
        <w:t>Warrants were offered pursuant to a private placement (the “</w:t>
      </w:r>
      <w:r>
        <w:rPr>
          <w:rStyle w:val="Emphasis"/>
          <w:rFonts w:ascii="Times New Roman" w:hAnsi="Times New Roman"/>
          <w:caps w:val="false"/>
          <w:smallCaps w:val="false"/>
          <w:sz w:val="20"/>
        </w:rPr>
        <w:t xml:space="preserve"> </w:t>
      </w:r>
      <w:r>
        <w:rPr>
          <w:rStyle w:val="Emphasis"/>
          <w:rFonts w:ascii="Times New Roman" w:hAnsi="Times New Roman"/>
          <w:i/>
          <w:caps w:val="false"/>
          <w:smallCaps w:val="false"/>
          <w:sz w:val="20"/>
        </w:rPr>
        <w:t xml:space="preserve">February 2024 </w:t>
      </w:r>
      <w:r>
        <w:rPr>
          <w:rFonts w:ascii="Times New Roman" w:hAnsi="Times New Roman"/>
          <w:i/>
          <w:caps w:val="false"/>
          <w:smallCaps w:val="false"/>
          <w:sz w:val="20"/>
        </w:rPr>
        <w:t>Private Placement</w:t>
      </w:r>
      <w:r>
        <w:rPr>
          <w:rFonts w:ascii="Times New Roman" w:hAnsi="Times New Roman"/>
          <w:caps w:val="false"/>
          <w:smallCaps w:val="false"/>
          <w:sz w:val="20"/>
        </w:rPr>
        <w:t xml:space="preserve">”) under Section </w:t>
      </w:r>
      <w:r>
        <w:rPr>
          <w:rStyle w:val="Emphasis"/>
          <w:rFonts w:ascii="Times New Roman" w:hAnsi="Times New Roman"/>
          <w:caps w:val="false"/>
          <w:smallCaps w:val="false"/>
          <w:sz w:val="20"/>
        </w:rPr>
        <w:t>4</w:t>
      </w:r>
      <w:r>
        <w:rPr>
          <w:rFonts w:ascii="Times New Roman" w:hAnsi="Times New Roman"/>
          <w:caps w:val="false"/>
          <w:smallCaps w:val="false"/>
          <w:sz w:val="20"/>
        </w:rPr>
        <w:t>(a)(</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of the Securities Act of </w:t>
      </w:r>
      <w:r>
        <w:rPr>
          <w:rStyle w:val="Emphasis"/>
          <w:rFonts w:ascii="Times New Roman" w:hAnsi="Times New Roman"/>
          <w:caps w:val="false"/>
          <w:smallCaps w:val="false"/>
          <w:sz w:val="20"/>
        </w:rPr>
        <w:t>1933,</w:t>
      </w:r>
      <w:r>
        <w:rPr>
          <w:rFonts w:ascii="Times New Roman" w:hAnsi="Times New Roman"/>
          <w:caps w:val="false"/>
          <w:smallCaps w:val="false"/>
          <w:sz w:val="20"/>
        </w:rPr>
        <w:t xml:space="preserve"> as amended (the “</w:t>
      </w:r>
      <w:r>
        <w:rPr>
          <w:rFonts w:ascii="Times New Roman" w:hAnsi="Times New Roman"/>
          <w:i/>
          <w:caps w:val="false"/>
          <w:smallCaps w:val="false"/>
          <w:sz w:val="20"/>
        </w:rPr>
        <w:t>Securities Act</w:t>
      </w:r>
      <w:r>
        <w:rPr>
          <w:rFonts w:ascii="Times New Roman" w:hAnsi="Times New Roman"/>
          <w:caps w:val="false"/>
          <w:smallCaps w:val="false"/>
          <w:sz w:val="20"/>
        </w:rPr>
        <w:t xml:space="preserve">”). The aggregate net cash proceeds to the Company from the </w:t>
      </w:r>
      <w:r>
        <w:rPr>
          <w:rStyle w:val="Emphasis"/>
          <w:rFonts w:ascii="Times New Roman" w:hAnsi="Times New Roman"/>
          <w:caps w:val="false"/>
          <w:smallCaps w:val="false"/>
          <w:sz w:val="20"/>
        </w:rPr>
        <w:t xml:space="preserve">February 2024 </w:t>
      </w:r>
      <w:r>
        <w:rPr>
          <w:rFonts w:ascii="Times New Roman" w:hAnsi="Times New Roman"/>
          <w:caps w:val="false"/>
          <w:smallCaps w:val="false"/>
          <w:sz w:val="20"/>
        </w:rPr>
        <w:t>Private Placement were approximately $1.0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April 18,</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the Company entered into an underwriting agreement (the “</w:t>
      </w:r>
      <w:r>
        <w:rPr>
          <w:rStyle w:val="Emphasis"/>
          <w:rFonts w:ascii="Times New Roman" w:hAnsi="Times New Roman"/>
          <w:caps w:val="false"/>
          <w:smallCaps w:val="false"/>
          <w:sz w:val="20"/>
        </w:rPr>
        <w:t xml:space="preserve"> </w:t>
      </w:r>
      <w:r>
        <w:rPr>
          <w:rStyle w:val="Emphasis"/>
          <w:rFonts w:ascii="Times New Roman" w:hAnsi="Times New Roman"/>
          <w:i/>
          <w:caps w:val="false"/>
          <w:smallCaps w:val="false"/>
          <w:sz w:val="20"/>
        </w:rPr>
        <w:t xml:space="preserve">April </w:t>
      </w:r>
      <w:r>
        <w:rPr>
          <w:rFonts w:ascii="Times New Roman" w:hAnsi="Times New Roman"/>
          <w:i/>
          <w:caps w:val="false"/>
          <w:smallCaps w:val="false"/>
          <w:sz w:val="20"/>
        </w:rPr>
        <w:t>Underwriting Agreement</w:t>
      </w:r>
      <w:r>
        <w:rPr>
          <w:rFonts w:ascii="Times New Roman" w:hAnsi="Times New Roman"/>
          <w:caps w:val="false"/>
          <w:smallCaps w:val="false"/>
          <w:sz w:val="20"/>
        </w:rPr>
        <w:t>”) with the Representative, as the representative of the several underwriters named therein (the “</w:t>
      </w:r>
      <w:r>
        <w:rPr>
          <w:rStyle w:val="Emphasis"/>
          <w:rFonts w:ascii="Times New Roman" w:hAnsi="Times New Roman"/>
          <w:caps w:val="false"/>
          <w:smallCaps w:val="false"/>
          <w:sz w:val="20"/>
        </w:rPr>
        <w:t xml:space="preserve"> </w:t>
      </w:r>
      <w:r>
        <w:rPr>
          <w:rStyle w:val="Emphasis"/>
          <w:rFonts w:ascii="Times New Roman" w:hAnsi="Times New Roman"/>
          <w:i/>
          <w:caps w:val="false"/>
          <w:smallCaps w:val="false"/>
          <w:sz w:val="20"/>
        </w:rPr>
        <w:t xml:space="preserve">April </w:t>
      </w:r>
      <w:r>
        <w:rPr>
          <w:rFonts w:ascii="Times New Roman" w:hAnsi="Times New Roman"/>
          <w:i/>
          <w:caps w:val="false"/>
          <w:smallCaps w:val="false"/>
          <w:sz w:val="20"/>
        </w:rPr>
        <w:t>Underwriters</w:t>
      </w:r>
      <w:r>
        <w:rPr>
          <w:rFonts w:ascii="Times New Roman" w:hAnsi="Times New Roman"/>
          <w:caps w:val="false"/>
          <w:smallCaps w:val="false"/>
          <w:sz w:val="20"/>
        </w:rPr>
        <w:t>”), relating to an underwritten public offering (the “</w:t>
      </w:r>
      <w:r>
        <w:rPr>
          <w:rStyle w:val="Emphasis"/>
          <w:rFonts w:ascii="Times New Roman" w:hAnsi="Times New Roman"/>
          <w:caps w:val="false"/>
          <w:smallCaps w:val="false"/>
          <w:sz w:val="20"/>
        </w:rPr>
        <w:t xml:space="preserve"> </w:t>
      </w:r>
      <w:r>
        <w:rPr>
          <w:rStyle w:val="Emphasis"/>
          <w:rFonts w:ascii="Times New Roman" w:hAnsi="Times New Roman"/>
          <w:i/>
          <w:caps w:val="false"/>
          <w:smallCaps w:val="false"/>
          <w:sz w:val="20"/>
        </w:rPr>
        <w:t xml:space="preserve">April 2024 </w:t>
      </w:r>
      <w:r>
        <w:rPr>
          <w:rFonts w:ascii="Times New Roman" w:hAnsi="Times New Roman"/>
          <w:i/>
          <w:caps w:val="false"/>
          <w:smallCaps w:val="false"/>
          <w:sz w:val="20"/>
        </w:rPr>
        <w:t>Public Offerin</w:t>
      </w:r>
      <w:r>
        <w:rPr>
          <w:rFonts w:ascii="Times New Roman" w:hAnsi="Times New Roman"/>
          <w:caps w:val="false"/>
          <w:smallCaps w:val="false"/>
          <w:sz w:val="20"/>
        </w:rPr>
        <w:t>g”) of 607,000 shares (the “</w:t>
      </w:r>
      <w:r>
        <w:rPr>
          <w:rStyle w:val="Emphasis"/>
          <w:rFonts w:ascii="Times New Roman" w:hAnsi="Times New Roman"/>
          <w:caps w:val="false"/>
          <w:smallCaps w:val="false"/>
          <w:sz w:val="20"/>
        </w:rPr>
        <w:t xml:space="preserve"> </w:t>
      </w:r>
      <w:r>
        <w:rPr>
          <w:rStyle w:val="Emphasis"/>
          <w:rFonts w:ascii="Times New Roman" w:hAnsi="Times New Roman"/>
          <w:i/>
          <w:caps w:val="false"/>
          <w:smallCaps w:val="false"/>
          <w:sz w:val="20"/>
        </w:rPr>
        <w:t xml:space="preserve">April </w:t>
      </w:r>
      <w:r>
        <w:rPr>
          <w:rFonts w:ascii="Times New Roman" w:hAnsi="Times New Roman"/>
          <w:i/>
          <w:caps w:val="false"/>
          <w:smallCaps w:val="false"/>
          <w:sz w:val="20"/>
        </w:rPr>
        <w:t>Shares</w:t>
      </w:r>
      <w:r>
        <w:rPr>
          <w:rFonts w:ascii="Times New Roman" w:hAnsi="Times New Roman"/>
          <w:caps w:val="false"/>
          <w:smallCaps w:val="false"/>
          <w:sz w:val="20"/>
        </w:rPr>
        <w:t xml:space="preserve">”) of Common Stock. The public offering price for each share of Common Stock was $3.30. Pursuant to the </w:t>
      </w:r>
      <w:r>
        <w:rPr>
          <w:rStyle w:val="Emphasis"/>
          <w:rFonts w:ascii="Times New Roman" w:hAnsi="Times New Roman"/>
          <w:caps w:val="false"/>
          <w:smallCaps w:val="false"/>
          <w:sz w:val="20"/>
        </w:rPr>
        <w:t xml:space="preserve">April </w:t>
      </w:r>
      <w:r>
        <w:rPr>
          <w:rFonts w:ascii="Times New Roman" w:hAnsi="Times New Roman"/>
          <w:caps w:val="false"/>
          <w:smallCaps w:val="false"/>
          <w:sz w:val="20"/>
        </w:rPr>
        <w:t xml:space="preserve">Underwriting Agreement, the Company also granted the Representative a </w:t>
      </w:r>
      <w:r>
        <w:rPr>
          <w:rStyle w:val="Emphasis"/>
          <w:rFonts w:ascii="Times New Roman" w:hAnsi="Times New Roman"/>
          <w:caps w:val="false"/>
          <w:smallCaps w:val="false"/>
          <w:sz w:val="20"/>
        </w:rPr>
        <w:t>45</w:t>
      </w:r>
      <w:r>
        <w:rPr>
          <w:rFonts w:ascii="Times New Roman" w:hAnsi="Times New Roman"/>
          <w:caps w:val="false"/>
          <w:smallCaps w:val="false"/>
          <w:sz w:val="20"/>
        </w:rPr>
        <w:t>-day option to purchase up to an additional 91,050 shares (the “</w:t>
      </w:r>
      <w:r>
        <w:rPr>
          <w:rStyle w:val="Emphasis"/>
          <w:rFonts w:ascii="Times New Roman" w:hAnsi="Times New Roman"/>
          <w:caps w:val="false"/>
          <w:smallCaps w:val="false"/>
          <w:sz w:val="20"/>
        </w:rPr>
        <w:t xml:space="preserve"> </w:t>
      </w:r>
      <w:r>
        <w:rPr>
          <w:rStyle w:val="Emphasis"/>
          <w:rFonts w:ascii="Times New Roman" w:hAnsi="Times New Roman"/>
          <w:i/>
          <w:caps w:val="false"/>
          <w:smallCaps w:val="false"/>
          <w:sz w:val="20"/>
        </w:rPr>
        <w:t xml:space="preserve">April </w:t>
      </w:r>
      <w:r>
        <w:rPr>
          <w:rFonts w:ascii="Times New Roman" w:hAnsi="Times New Roman"/>
          <w:i/>
          <w:caps w:val="false"/>
          <w:smallCaps w:val="false"/>
          <w:sz w:val="20"/>
        </w:rPr>
        <w:t>Option Shares</w:t>
      </w:r>
      <w:r>
        <w:rPr>
          <w:rFonts w:ascii="Times New Roman" w:hAnsi="Times New Roman"/>
          <w:caps w:val="false"/>
          <w:smallCaps w:val="false"/>
          <w:sz w:val="20"/>
        </w:rPr>
        <w:t xml:space="preserve">”) of the Common Stock on the same terms as the </w:t>
      </w:r>
      <w:r>
        <w:rPr>
          <w:rStyle w:val="Emphasis"/>
          <w:rFonts w:ascii="Times New Roman" w:hAnsi="Times New Roman"/>
          <w:caps w:val="false"/>
          <w:smallCaps w:val="false"/>
          <w:sz w:val="20"/>
        </w:rPr>
        <w:t xml:space="preserve">April </w:t>
      </w:r>
      <w:r>
        <w:rPr>
          <w:rFonts w:ascii="Times New Roman" w:hAnsi="Times New Roman"/>
          <w:caps w:val="false"/>
          <w:smallCaps w:val="false"/>
          <w:sz w:val="20"/>
        </w:rPr>
        <w:t xml:space="preserve">Shares sold in the </w:t>
      </w:r>
      <w:r>
        <w:rPr>
          <w:rStyle w:val="Emphasis"/>
          <w:rFonts w:ascii="Times New Roman" w:hAnsi="Times New Roman"/>
          <w:caps w:val="false"/>
          <w:smallCaps w:val="false"/>
          <w:sz w:val="20"/>
        </w:rPr>
        <w:t xml:space="preserve">April 2024 </w:t>
      </w:r>
      <w:r>
        <w:rPr>
          <w:rFonts w:ascii="Times New Roman" w:hAnsi="Times New Roman"/>
          <w:caps w:val="false"/>
          <w:smallCaps w:val="false"/>
          <w:sz w:val="20"/>
        </w:rPr>
        <w:t>Public Offering (the “</w:t>
      </w:r>
      <w:r>
        <w:rPr>
          <w:rStyle w:val="Emphasis"/>
          <w:rFonts w:ascii="Times New Roman" w:hAnsi="Times New Roman"/>
          <w:caps w:val="false"/>
          <w:smallCaps w:val="false"/>
          <w:sz w:val="20"/>
        </w:rPr>
        <w:t xml:space="preserve"> </w:t>
      </w:r>
      <w:r>
        <w:rPr>
          <w:rStyle w:val="Emphasis"/>
          <w:rFonts w:ascii="Times New Roman" w:hAnsi="Times New Roman"/>
          <w:i/>
          <w:caps w:val="false"/>
          <w:smallCaps w:val="false"/>
          <w:sz w:val="20"/>
        </w:rPr>
        <w:t xml:space="preserve">April </w:t>
      </w:r>
      <w:r>
        <w:rPr>
          <w:rFonts w:ascii="Times New Roman" w:hAnsi="Times New Roman"/>
          <w:i/>
          <w:caps w:val="false"/>
          <w:smallCaps w:val="false"/>
          <w:sz w:val="20"/>
        </w:rPr>
        <w:t>Over-Allotment Option</w:t>
      </w:r>
      <w:r>
        <w:rPr>
          <w:rFonts w:ascii="Times New Roman" w:hAnsi="Times New Roman"/>
          <w:caps w:val="false"/>
          <w:smallCaps w:val="false"/>
          <w:sz w:val="20"/>
        </w:rPr>
        <w:t xml:space="preserve">”). On </w:t>
      </w:r>
      <w:r>
        <w:rPr>
          <w:rStyle w:val="Emphasis"/>
          <w:rFonts w:ascii="Times New Roman" w:hAnsi="Times New Roman"/>
          <w:caps w:val="false"/>
          <w:smallCaps w:val="false"/>
          <w:sz w:val="20"/>
        </w:rPr>
        <w:t>April 19,</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the Offering closed (the “</w:t>
      </w:r>
      <w:r>
        <w:rPr>
          <w:rStyle w:val="Emphasis"/>
          <w:rFonts w:ascii="Times New Roman" w:hAnsi="Times New Roman"/>
          <w:caps w:val="false"/>
          <w:smallCaps w:val="false"/>
          <w:sz w:val="20"/>
        </w:rPr>
        <w:t xml:space="preserve"> </w:t>
      </w:r>
      <w:r>
        <w:rPr>
          <w:rStyle w:val="Emphasis"/>
          <w:rFonts w:ascii="Times New Roman" w:hAnsi="Times New Roman"/>
          <w:i/>
          <w:caps w:val="false"/>
          <w:smallCaps w:val="false"/>
          <w:sz w:val="20"/>
        </w:rPr>
        <w:t xml:space="preserve">April </w:t>
      </w:r>
      <w:r>
        <w:rPr>
          <w:rFonts w:ascii="Times New Roman" w:hAnsi="Times New Roman"/>
          <w:i/>
          <w:caps w:val="false"/>
          <w:smallCaps w:val="false"/>
          <w:sz w:val="20"/>
        </w:rPr>
        <w:t>Closing Date</w:t>
      </w:r>
      <w:r>
        <w:rPr>
          <w:rFonts w:ascii="Times New Roman" w:hAnsi="Times New Roman"/>
          <w:caps w:val="false"/>
          <w:smallCaps w:val="false"/>
          <w:sz w:val="20"/>
        </w:rPr>
        <w:t xml:space="preserve">”). Net proceeds from the </w:t>
      </w:r>
      <w:r>
        <w:rPr>
          <w:rStyle w:val="Emphasis"/>
          <w:rFonts w:ascii="Times New Roman" w:hAnsi="Times New Roman"/>
          <w:caps w:val="false"/>
          <w:smallCaps w:val="false"/>
          <w:sz w:val="20"/>
        </w:rPr>
        <w:t xml:space="preserve">April 2024 </w:t>
      </w:r>
      <w:r>
        <w:rPr>
          <w:rFonts w:ascii="Times New Roman" w:hAnsi="Times New Roman"/>
          <w:caps w:val="false"/>
          <w:smallCaps w:val="false"/>
          <w:sz w:val="20"/>
        </w:rPr>
        <w:t xml:space="preserve">Public Offering were approximately $1.6 million after offering costs of approximately $0.4 million. On </w:t>
      </w:r>
      <w:r>
        <w:rPr>
          <w:rStyle w:val="Emphasis"/>
          <w:rFonts w:ascii="Times New Roman" w:hAnsi="Times New Roman"/>
          <w:caps w:val="false"/>
          <w:smallCaps w:val="false"/>
          <w:sz w:val="20"/>
        </w:rPr>
        <w:t xml:space="preserve">May 23, 2024, </w:t>
      </w: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 xml:space="preserve">April </w:t>
      </w:r>
      <w:r>
        <w:rPr>
          <w:rFonts w:ascii="Times New Roman" w:hAnsi="Times New Roman"/>
          <w:caps w:val="false"/>
          <w:smallCaps w:val="false"/>
          <w:sz w:val="20"/>
        </w:rPr>
        <w:t xml:space="preserve">Underwriters of the previously announced underwritten public offering of the Company exercised their option in accordance with the </w:t>
      </w:r>
      <w:r>
        <w:rPr>
          <w:rStyle w:val="Emphasis"/>
          <w:rFonts w:ascii="Times New Roman" w:hAnsi="Times New Roman"/>
          <w:caps w:val="false"/>
          <w:smallCaps w:val="false"/>
          <w:sz w:val="20"/>
        </w:rPr>
        <w:t xml:space="preserve">April </w:t>
      </w:r>
      <w:r>
        <w:rPr>
          <w:rFonts w:ascii="Times New Roman" w:hAnsi="Times New Roman"/>
          <w:caps w:val="false"/>
          <w:smallCaps w:val="false"/>
          <w:sz w:val="20"/>
        </w:rPr>
        <w:t xml:space="preserve">Underwriting Agreement, dated </w:t>
      </w:r>
      <w:r>
        <w:rPr>
          <w:rStyle w:val="Emphasis"/>
          <w:rFonts w:ascii="Times New Roman" w:hAnsi="Times New Roman"/>
          <w:caps w:val="false"/>
          <w:smallCaps w:val="false"/>
          <w:sz w:val="20"/>
        </w:rPr>
        <w:t xml:space="preserve">April 18, 2024, </w:t>
      </w:r>
      <w:r>
        <w:rPr>
          <w:rFonts w:ascii="Times New Roman" w:hAnsi="Times New Roman"/>
          <w:caps w:val="false"/>
          <w:smallCaps w:val="false"/>
          <w:sz w:val="20"/>
        </w:rPr>
        <w:t>by and between the Company and the Representative, as representative of the several underwriters named therein, to purchase up to an additional 91,050 shares of the Company’s Common Stock, at the public offering price of $3.30 per share (the “</w:t>
      </w:r>
      <w:r>
        <w:rPr>
          <w:rStyle w:val="Emphasis"/>
          <w:rFonts w:ascii="Times New Roman" w:hAnsi="Times New Roman"/>
          <w:caps w:val="false"/>
          <w:smallCaps w:val="false"/>
          <w:sz w:val="20"/>
        </w:rPr>
        <w:t xml:space="preserve"> </w:t>
      </w:r>
      <w:r>
        <w:rPr>
          <w:rStyle w:val="Emphasis"/>
          <w:rFonts w:ascii="Times New Roman" w:hAnsi="Times New Roman"/>
          <w:i/>
          <w:caps w:val="false"/>
          <w:smallCaps w:val="false"/>
          <w:sz w:val="20"/>
        </w:rPr>
        <w:t xml:space="preserve">April </w:t>
      </w:r>
      <w:r>
        <w:rPr>
          <w:rFonts w:ascii="Times New Roman" w:hAnsi="Times New Roman"/>
          <w:i/>
          <w:caps w:val="false"/>
          <w:smallCaps w:val="false"/>
          <w:sz w:val="20"/>
        </w:rPr>
        <w:t>Overallotment Exercise</w:t>
      </w:r>
      <w:r>
        <w:rPr>
          <w:rFonts w:ascii="Times New Roman" w:hAnsi="Times New Roman"/>
          <w:caps w:val="false"/>
          <w:smallCaps w:val="false"/>
          <w:sz w:val="20"/>
        </w:rPr>
        <w:t xml:space="preserve">”). The </w:t>
      </w:r>
      <w:r>
        <w:rPr>
          <w:rStyle w:val="Emphasis"/>
          <w:rFonts w:ascii="Times New Roman" w:hAnsi="Times New Roman"/>
          <w:caps w:val="false"/>
          <w:smallCaps w:val="false"/>
          <w:sz w:val="20"/>
        </w:rPr>
        <w:t xml:space="preserve">April </w:t>
      </w:r>
      <w:r>
        <w:rPr>
          <w:rFonts w:ascii="Times New Roman" w:hAnsi="Times New Roman"/>
          <w:caps w:val="false"/>
          <w:smallCaps w:val="false"/>
          <w:sz w:val="20"/>
        </w:rPr>
        <w:t xml:space="preserve">Over-Allotment Exercise was exercised in full and closed on </w:t>
      </w:r>
      <w:r>
        <w:rPr>
          <w:rStyle w:val="Emphasis"/>
          <w:rFonts w:ascii="Times New Roman" w:hAnsi="Times New Roman"/>
          <w:caps w:val="false"/>
          <w:smallCaps w:val="false"/>
          <w:sz w:val="20"/>
        </w:rPr>
        <w:t>May 23, 2024. </w:t>
      </w:r>
      <w:r>
        <w:rPr>
          <w:rFonts w:ascii="Times New Roman" w:hAnsi="Times New Roman"/>
          <w:caps w:val="false"/>
          <w:smallCaps w:val="false"/>
          <w:sz w:val="20"/>
        </w:rPr>
        <w:t xml:space="preserve">The net cash proceeds to the Company from the </w:t>
      </w:r>
      <w:r>
        <w:rPr>
          <w:rStyle w:val="Emphasis"/>
          <w:rFonts w:ascii="Times New Roman" w:hAnsi="Times New Roman"/>
          <w:caps w:val="false"/>
          <w:smallCaps w:val="false"/>
          <w:sz w:val="20"/>
        </w:rPr>
        <w:t xml:space="preserve">April </w:t>
      </w:r>
      <w:r>
        <w:rPr>
          <w:rFonts w:ascii="Times New Roman" w:hAnsi="Times New Roman"/>
          <w:caps w:val="false"/>
          <w:smallCaps w:val="false"/>
          <w:sz w:val="20"/>
        </w:rPr>
        <w:t>Overallotment Exercise were approximately $0.2 million which include offering costs of less than $0.1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August 28, 2024, </w:t>
      </w:r>
      <w:r>
        <w:rPr>
          <w:rFonts w:ascii="Times New Roman" w:hAnsi="Times New Roman"/>
          <w:caps w:val="false"/>
          <w:smallCaps w:val="false"/>
          <w:sz w:val="20"/>
        </w:rPr>
        <w:t xml:space="preserve">the Company issued 20,000 shares of Common Stock in relation to consulting services performed by a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party. The fair value of the Common Stock on the date of issuance was less than $0.1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During the year ended </w:t>
      </w:r>
      <w:r>
        <w:rPr>
          <w:rStyle w:val="Emphasis"/>
          <w:rFonts w:ascii="Times New Roman" w:hAnsi="Times New Roman"/>
          <w:caps w:val="false"/>
          <w:smallCaps w:val="false"/>
          <w:sz w:val="20"/>
        </w:rPr>
        <w:t>December 31, 2024, </w:t>
      </w:r>
      <w:r>
        <w:rPr>
          <w:rFonts w:ascii="Times New Roman" w:hAnsi="Times New Roman"/>
          <w:caps w:val="false"/>
          <w:smallCaps w:val="false"/>
          <w:sz w:val="20"/>
        </w:rPr>
        <w:t xml:space="preserve">Anson converted $4.2 million of principal and interest of the First Tranche Note into common stock, resulting in the issuances of 3,676,796 shares of Common Stock valued at $5.5 million based on the market price of our common stock at the date of common stock issuance resulting in a loss on conversion of $1.3 million (see Note </w:t>
      </w:r>
      <w:r>
        <w:rPr>
          <w:rStyle w:val="Emphasis"/>
          <w:rFonts w:ascii="Times New Roman" w:hAnsi="Times New Roman"/>
          <w:caps w:val="false"/>
          <w:smallCaps w:val="false"/>
          <w:sz w:val="20"/>
        </w:rPr>
        <w:t>7</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January 27, 2025, </w:t>
      </w:r>
      <w:r>
        <w:rPr>
          <w:rFonts w:ascii="Times New Roman" w:hAnsi="Times New Roman"/>
          <w:caps w:val="false"/>
          <w:smallCaps w:val="false"/>
          <w:sz w:val="20"/>
        </w:rPr>
        <w:t>the Company entered into a securities purchase agreement (the “</w:t>
      </w:r>
      <w:r>
        <w:rPr>
          <w:rFonts w:ascii="Times New Roman" w:hAnsi="Times New Roman"/>
          <w:i/>
          <w:caps w:val="false"/>
          <w:smallCaps w:val="false"/>
          <w:sz w:val="20"/>
        </w:rPr>
        <w:t>RD Purchase Agreement</w:t>
      </w:r>
      <w:r>
        <w:rPr>
          <w:rFonts w:ascii="Times New Roman" w:hAnsi="Times New Roman"/>
          <w:caps w:val="false"/>
          <w:smallCaps w:val="false"/>
          <w:sz w:val="20"/>
        </w:rPr>
        <w:t>”) with the Investors for the sale by the Company of 1,215,278 shares (the “</w:t>
      </w:r>
      <w:r>
        <w:rPr>
          <w:rFonts w:ascii="Times New Roman" w:hAnsi="Times New Roman"/>
          <w:i/>
          <w:caps w:val="false"/>
          <w:smallCaps w:val="false"/>
          <w:sz w:val="20"/>
        </w:rPr>
        <w:t>RD Shares</w:t>
      </w:r>
      <w:r>
        <w:rPr>
          <w:rFonts w:ascii="Times New Roman" w:hAnsi="Times New Roman"/>
          <w:caps w:val="false"/>
          <w:smallCaps w:val="false"/>
          <w:sz w:val="20"/>
        </w:rPr>
        <w:t>”) of Common Stock to the Investors, at a purchase price of $2.88 per share, in a registered direct offering (the “</w:t>
      </w:r>
      <w:r>
        <w:rPr>
          <w:rFonts w:ascii="Times New Roman" w:hAnsi="Times New Roman"/>
          <w:i/>
          <w:caps w:val="false"/>
          <w:smallCaps w:val="false"/>
          <w:sz w:val="20"/>
        </w:rPr>
        <w:t>Registered Direct Offering</w:t>
      </w:r>
      <w:r>
        <w:rPr>
          <w:rFonts w:ascii="Times New Roman" w:hAnsi="Times New Roman"/>
          <w:caps w:val="false"/>
          <w:smallCaps w:val="false"/>
          <w:sz w:val="20"/>
        </w:rPr>
        <w:t>”). Concurrently with the sale of the RD Shares, pursuant to the RD Purchase Agreement the Company also sold to the investors unregistered Common Stock purchase warrants (the “</w:t>
      </w:r>
      <w:r>
        <w:rPr>
          <w:rFonts w:ascii="Times New Roman" w:hAnsi="Times New Roman"/>
          <w:i/>
          <w:caps w:val="false"/>
          <w:smallCaps w:val="false"/>
          <w:sz w:val="20"/>
        </w:rPr>
        <w:t>RD Warrants</w:t>
      </w:r>
      <w:r>
        <w:rPr>
          <w:rFonts w:ascii="Times New Roman" w:hAnsi="Times New Roman"/>
          <w:caps w:val="false"/>
          <w:smallCaps w:val="false"/>
          <w:sz w:val="20"/>
        </w:rPr>
        <w:t>”) to purchase up to an aggregate of 1,215,278 shares of Common Stock (the “</w:t>
      </w:r>
      <w:r>
        <w:rPr>
          <w:rFonts w:ascii="Times New Roman" w:hAnsi="Times New Roman"/>
          <w:i/>
          <w:caps w:val="false"/>
          <w:smallCaps w:val="false"/>
          <w:sz w:val="20"/>
        </w:rPr>
        <w:t>RD Warrant Shares</w:t>
      </w:r>
      <w:r>
        <w:rPr>
          <w:rFonts w:ascii="Times New Roman" w:hAnsi="Times New Roman"/>
          <w:caps w:val="false"/>
          <w:smallCaps w:val="false"/>
          <w:sz w:val="20"/>
        </w:rPr>
        <w:t xml:space="preserve">”), in a private placement. Subject to certain beneficial ownership limitations, the RD Warrants are immediately exercisable upon issuance at an exercise price equal to $2.88 per share of Common Stock, subject to adjustments as provided under the terms of the RD Warrants. The closing of the sales of these securities under the RD Purchase Agreement occurred on or about </w:t>
      </w:r>
      <w:r>
        <w:rPr>
          <w:rStyle w:val="Emphasis"/>
          <w:rFonts w:ascii="Times New Roman" w:hAnsi="Times New Roman"/>
          <w:caps w:val="false"/>
          <w:smallCaps w:val="false"/>
          <w:sz w:val="20"/>
        </w:rPr>
        <w:t>January 29, 2025 (</w:t>
      </w:r>
      <w:r>
        <w:rPr>
          <w:rFonts w:ascii="Times New Roman" w:hAnsi="Times New Roman"/>
          <w:caps w:val="false"/>
          <w:smallCaps w:val="false"/>
          <w:sz w:val="20"/>
        </w:rPr>
        <w:t>the “</w:t>
      </w:r>
      <w:r>
        <w:rPr>
          <w:rFonts w:ascii="Times New Roman" w:hAnsi="Times New Roman"/>
          <w:i/>
          <w:caps w:val="false"/>
          <w:smallCaps w:val="false"/>
          <w:sz w:val="20"/>
        </w:rPr>
        <w:t>RD Closing Date</w:t>
      </w:r>
      <w:r>
        <w:rPr>
          <w:rFonts w:ascii="Times New Roman" w:hAnsi="Times New Roman"/>
          <w:caps w:val="false"/>
          <w:smallCaps w:val="false"/>
          <w:sz w:val="20"/>
        </w:rPr>
        <w:t>”), resulting in net proceeds to the Company of approximately $3.255 million after offering costs. The RD Warrants are exercisable for five years from the RD Closing Date. The Company intends to use the net proceeds from the transactions for general corporate purposes, including the funding of certain capital expenditures.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or around </w:t>
      </w:r>
      <w:r>
        <w:rPr>
          <w:rStyle w:val="Emphasis"/>
          <w:rFonts w:ascii="Times New Roman" w:hAnsi="Times New Roman"/>
          <w:caps w:val="false"/>
          <w:smallCaps w:val="false"/>
          <w:sz w:val="20"/>
        </w:rPr>
        <w:t xml:space="preserve">January 27, 2025, </w:t>
      </w:r>
      <w:r>
        <w:rPr>
          <w:rFonts w:ascii="Times New Roman" w:hAnsi="Times New Roman"/>
          <w:caps w:val="false"/>
          <w:smallCaps w:val="false"/>
          <w:sz w:val="20"/>
        </w:rPr>
        <w:t xml:space="preserve">the Company and Anson entered into a Consent and Waiver Agreement (CWA) related to the RD Purchase Agreement and the Notes. Under this agreement, the investors agreed to waive certain rights and restrictions, including their right to participate in certain future financings, restrictions on the Company issuing specific equity securities, and any potential liquidated damages under the Registration Rights Agreement dated </w:t>
      </w:r>
      <w:r>
        <w:rPr>
          <w:rStyle w:val="Emphasis"/>
          <w:rFonts w:ascii="Times New Roman" w:hAnsi="Times New Roman"/>
          <w:caps w:val="false"/>
          <w:smallCaps w:val="false"/>
          <w:sz w:val="20"/>
        </w:rPr>
        <w:t xml:space="preserve">August 14, 2024. </w:t>
      </w:r>
      <w:r>
        <w:rPr>
          <w:rFonts w:ascii="Times New Roman" w:hAnsi="Times New Roman"/>
          <w:caps w:val="false"/>
          <w:smallCaps w:val="false"/>
          <w:sz w:val="20"/>
        </w:rPr>
        <w:t xml:space="preserve">These waivers are effective through and expired as of </w:t>
      </w:r>
      <w:r>
        <w:rPr>
          <w:rStyle w:val="Emphasis"/>
          <w:rFonts w:ascii="Times New Roman" w:hAnsi="Times New Roman"/>
          <w:caps w:val="false"/>
          <w:smallCaps w:val="false"/>
          <w:sz w:val="20"/>
        </w:rPr>
        <w:t>March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As consideration for these waivers, the Company agreed to issue additional compensation to the investors if the volume-weighted average price (VWAP) of the Company’s common stock is lower than the original purchase price at the time investors submit their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conversion notice for Notes issued in the Second or Third Closing. This compensation includes additional shares of common stock (the "Consideration Shares") and warrants to purchase an equal number of shares (the "Consideration Warrants"). The exercise price of the warrants is based on a VWAP-Based Adjustment, calculated as the greater of (a) the VWAP on the trading day before the conversion notice, or (b) 80% of the closing price on the day before the Registered Direct Offering. As of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 xml:space="preserve">the obligation under this provision has been fully satisfied. On </w:t>
      </w:r>
      <w:r>
        <w:rPr>
          <w:rStyle w:val="Emphasis"/>
          <w:rFonts w:ascii="Times New Roman" w:hAnsi="Times New Roman"/>
          <w:caps w:val="false"/>
          <w:smallCaps w:val="false"/>
          <w:sz w:val="20"/>
        </w:rPr>
        <w:t xml:space="preserve">March 20, 2025, </w:t>
      </w:r>
      <w:r>
        <w:rPr>
          <w:rFonts w:ascii="Times New Roman" w:hAnsi="Times New Roman"/>
          <w:caps w:val="false"/>
          <w:smallCaps w:val="false"/>
          <w:sz w:val="20"/>
        </w:rPr>
        <w:t>following the conversion of less than $0.1 million of the Third Tranche Note into 5,463 shares of common stock, the Company issued 303,819 shares of common stock Consideration Shares and 303,819 of Consideration Warrants to Anson in accordance with the terms of the CWA.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gross proceeds to the Company from the offerings were approximately $3.5 million, before deducting offering expenses of $0.2 million and excluding the proceeds, if any, from the exercise of the RD Warrants. As discussed above, on </w:t>
      </w:r>
      <w:r>
        <w:rPr>
          <w:rStyle w:val="Emphasis"/>
          <w:rFonts w:ascii="Times New Roman" w:hAnsi="Times New Roman"/>
          <w:caps w:val="false"/>
          <w:smallCaps w:val="false"/>
          <w:sz w:val="20"/>
        </w:rPr>
        <w:t xml:space="preserve">January 29, 2025, </w:t>
      </w:r>
      <w:r>
        <w:rPr>
          <w:rFonts w:ascii="Times New Roman" w:hAnsi="Times New Roman"/>
          <w:caps w:val="false"/>
          <w:smallCaps w:val="false"/>
          <w:sz w:val="20"/>
        </w:rPr>
        <w:t xml:space="preserve">in conjunction with the issuance of the RD Shares, the Company issued RD Warrants to purchase up to 1,215,278 shares of the Company’s Common Stock which were classified as a liability. The RD Warrants have an exercise price of $2.88 per share and have a contractual term of five years expiring on </w:t>
      </w:r>
      <w:r>
        <w:rPr>
          <w:rStyle w:val="Emphasis"/>
          <w:rFonts w:ascii="Times New Roman" w:hAnsi="Times New Roman"/>
          <w:caps w:val="false"/>
          <w:smallCaps w:val="false"/>
          <w:sz w:val="20"/>
        </w:rPr>
        <w:t xml:space="preserve">January 29, 2030. </w:t>
      </w:r>
      <w:r>
        <w:rPr>
          <w:rFonts w:ascii="Times New Roman" w:hAnsi="Times New Roman"/>
          <w:caps w:val="false"/>
          <w:smallCaps w:val="false"/>
          <w:sz w:val="20"/>
        </w:rPr>
        <w:t xml:space="preserve">The measurement of fair value of the RD Warrants were determined utilizing a Black-Scholes model considering all relevant assumptions current at the date of issuance (i.e., share price of $2.07, exercise price of $2.88, term of five years, volatility of 115.8%, and risk-free rate of 4.00%). The grant date fair value of these RD Warrants was estimated to be $3.983 million on </w:t>
      </w:r>
      <w:r>
        <w:rPr>
          <w:rStyle w:val="Emphasis"/>
          <w:rFonts w:ascii="Times New Roman" w:hAnsi="Times New Roman"/>
          <w:caps w:val="false"/>
          <w:smallCaps w:val="false"/>
          <w:sz w:val="20"/>
        </w:rPr>
        <w:t xml:space="preserve">January 29, 2025. </w:t>
      </w:r>
      <w:r>
        <w:rPr>
          <w:rFonts w:ascii="Times New Roman" w:hAnsi="Times New Roman"/>
          <w:caps w:val="false"/>
          <w:smallCaps w:val="false"/>
          <w:sz w:val="20"/>
        </w:rPr>
        <w:t xml:space="preserve">As the fair value of the liabilities exceeded the net proceeds received of $3.255 million, the Company recognized the excess of the fair value over the net proceeds received of $3.255 million as a loss upon issuance of RD Shares of $0.7 million which is included in other expense (income) in the condensed consolidated statement of operations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quarter of fiscal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Anson converted $1.3 million of principal and interest of the First Tranche Note into common stock, resulting in the issuance of 1,004,055 shares of Common Stock valued at $2.9 million based on the market price of our common stock at the date of the common stock issuance resulting in a loss on conversion of $1.6 million (See Note </w:t>
      </w:r>
      <w:r>
        <w:rPr>
          <w:rStyle w:val="Emphasis"/>
          <w:rFonts w:ascii="Times New Roman" w:hAnsi="Times New Roman"/>
          <w:caps w:val="false"/>
          <w:smallCaps w:val="false"/>
          <w:sz w:val="20"/>
        </w:rPr>
        <w:t>7</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quarter of fiscal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Anson converted less than $0.1 million of principal and interest of the Third Tranche Note into common stock, resulting in the issuance of 5,463 shares of Common Stock valued at less than $0.1 million based on the market price of our common stock at the date of the common stock issuance resulting in a loss on conversion of less than $0.1 million (See Note </w:t>
      </w:r>
      <w:r>
        <w:rPr>
          <w:rStyle w:val="Emphasis"/>
          <w:rFonts w:ascii="Times New Roman" w:hAnsi="Times New Roman"/>
          <w:caps w:val="false"/>
          <w:smallCaps w:val="false"/>
          <w:sz w:val="20"/>
        </w:rPr>
        <w:t>7</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quarter of fiscal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Anson converted $4.1 million of principal and interest of the Third Tranche Note into common stock, resulting in the issuance of 1,879,406 shares of Common Stock valued at $6.0 million based on the market price of our common stock at the date of the common stock issuance resulting in a loss on conversion of $1.9 million (See Note </w:t>
      </w:r>
      <w:r>
        <w:rPr>
          <w:rStyle w:val="Emphasis"/>
          <w:rFonts w:ascii="Times New Roman" w:hAnsi="Times New Roman"/>
          <w:caps w:val="false"/>
          <w:smallCaps w:val="false"/>
          <w:sz w:val="20"/>
        </w:rPr>
        <w:t>7</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March 20, 2025, </w:t>
      </w:r>
      <w:r>
        <w:rPr>
          <w:rFonts w:ascii="Times New Roman" w:hAnsi="Times New Roman"/>
          <w:caps w:val="false"/>
          <w:smallCaps w:val="false"/>
          <w:sz w:val="20"/>
        </w:rPr>
        <w:t xml:space="preserve">following the conversion of less than $0.1 million of the Third Tranche Note into 5,463 shares of common stock, the Company issued 303,819 shares of common stock Consideration Shares and 303,819 of Consideration Warrants to Anson in accordance with the terms of the CWA. As a result of this adjustment, the exercise price of the RD Warrants was updated to $2.30 as of </w:t>
      </w:r>
      <w:r>
        <w:rPr>
          <w:rStyle w:val="Emphasis"/>
          <w:rFonts w:ascii="Times New Roman" w:hAnsi="Times New Roman"/>
          <w:caps w:val="false"/>
          <w:smallCaps w:val="false"/>
          <w:sz w:val="20"/>
        </w:rPr>
        <w:t xml:space="preserve">March 20, 2025. </w:t>
      </w:r>
      <w:r>
        <w:rPr>
          <w:rFonts w:ascii="Times New Roman" w:hAnsi="Times New Roman"/>
          <w:caps w:val="false"/>
          <w:smallCaps w:val="false"/>
          <w:sz w:val="20"/>
        </w:rPr>
        <w:t xml:space="preserve">Upon conversion or extinguishment, ASC </w:t>
      </w:r>
      <w:r>
        <w:rPr>
          <w:rStyle w:val="Emphasis"/>
          <w:rFonts w:ascii="Times New Roman" w:hAnsi="Times New Roman"/>
          <w:caps w:val="false"/>
          <w:smallCaps w:val="false"/>
          <w:sz w:val="20"/>
        </w:rPr>
        <w:t>470</w:t>
      </w:r>
      <w:r>
        <w:rPr>
          <w:rFonts w:ascii="Times New Roman" w:hAnsi="Times New Roman"/>
          <w:caps w:val="false"/>
          <w:smallCaps w:val="false"/>
          <w:sz w:val="20"/>
        </w:rPr>
        <w:t>-</w:t>
      </w:r>
      <w:r>
        <w:rPr>
          <w:rStyle w:val="Emphasis"/>
          <w:rFonts w:ascii="Times New Roman" w:hAnsi="Times New Roman"/>
          <w:caps w:val="false"/>
          <w:smallCaps w:val="false"/>
          <w:sz w:val="20"/>
        </w:rPr>
        <w:t>50</w:t>
      </w:r>
      <w:r>
        <w:rPr>
          <w:rFonts w:ascii="Times New Roman" w:hAnsi="Times New Roman"/>
          <w:caps w:val="false"/>
          <w:smallCaps w:val="false"/>
          <w:sz w:val="20"/>
        </w:rPr>
        <w:t>-</w:t>
      </w:r>
      <w:r>
        <w:rPr>
          <w:rStyle w:val="Emphasis"/>
          <w:rFonts w:ascii="Times New Roman" w:hAnsi="Times New Roman"/>
          <w:caps w:val="false"/>
          <w:smallCaps w:val="false"/>
          <w:sz w:val="20"/>
        </w:rPr>
        <w:t>40</w:t>
      </w:r>
      <w:r>
        <w:rPr>
          <w:rFonts w:ascii="Times New Roman" w:hAnsi="Times New Roman"/>
          <w:caps w:val="false"/>
          <w:smallCaps w:val="false"/>
          <w:sz w:val="20"/>
        </w:rPr>
        <w:t>-</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requires that any difference between the carrying amount of the debt and the fair value of consideration transferred be recognized as a gain or loss in the statement of operations. The Consideration Shares, being equity-classified, are recognized at fair value with credit to common stock and additional paid in capital. The Consideration Warrants, liability-classified under ASC </w:t>
      </w:r>
      <w:r>
        <w:rPr>
          <w:rStyle w:val="Emphasis"/>
          <w:rFonts w:ascii="Times New Roman" w:hAnsi="Times New Roman"/>
          <w:caps w:val="false"/>
          <w:smallCaps w:val="false"/>
          <w:sz w:val="20"/>
        </w:rPr>
        <w:t>815</w:t>
      </w:r>
      <w:r>
        <w:rPr>
          <w:rFonts w:ascii="Times New Roman" w:hAnsi="Times New Roman"/>
          <w:caps w:val="false"/>
          <w:smallCaps w:val="false"/>
          <w:sz w:val="20"/>
        </w:rPr>
        <w:t>-</w:t>
      </w:r>
      <w:r>
        <w:rPr>
          <w:rStyle w:val="Emphasis"/>
          <w:rFonts w:ascii="Times New Roman" w:hAnsi="Times New Roman"/>
          <w:caps w:val="false"/>
          <w:smallCaps w:val="false"/>
          <w:sz w:val="20"/>
        </w:rPr>
        <w:t>40,</w:t>
      </w:r>
      <w:r>
        <w:rPr>
          <w:rFonts w:ascii="Times New Roman" w:hAnsi="Times New Roman"/>
          <w:caps w:val="false"/>
          <w:smallCaps w:val="false"/>
          <w:sz w:val="20"/>
        </w:rPr>
        <w:t xml:space="preserve"> were initially recognized at fair value, with changes in fair value subsequently recognized through earnings. In accordance with the CWA, the Company recorded loss on issuance of the Consideration shares and the Consideration Warrants in total of $1.277 million recognized within other expense (income)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within accompanying condensed consolidated statements of operations and comprehensive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May 15, 2025, </w:t>
      </w:r>
      <w:r>
        <w:rPr>
          <w:rFonts w:ascii="Times New Roman" w:hAnsi="Times New Roman"/>
          <w:caps w:val="false"/>
          <w:smallCaps w:val="false"/>
          <w:sz w:val="20"/>
        </w:rPr>
        <w:t xml:space="preserve">the Company granted 75,000 shares of fully vested common stock to a vendor in accordance with the vendor agreement. The value of the fully vested shares granted was determined by the value of the stock on the quoted trading price of $2.08 and an aggregate of  approximately $0.2 million was recorded as expense within the accompanying condensed consolidated statement of operations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 ended </w:t>
      </w:r>
      <w:r>
        <w:rPr>
          <w:rStyle w:val="Emphasis"/>
          <w:rFonts w:ascii="Times New Roman" w:hAnsi="Times New Roman"/>
          <w:caps w:val="false"/>
          <w:smallCaps w:val="false"/>
          <w:sz w:val="20"/>
        </w:rPr>
        <w:t>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Common Stock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Substitute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 connection with the Merger in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each warrant to purchase shares of Common Stock of NRx that was outstanding and unexercised immediately prior to the effective time (whether vested or unvested) was assumed by Big Rock Partners Acquisition Corp. (</w:t>
      </w:r>
      <w:r>
        <w:rPr>
          <w:rFonts w:ascii="Times New Roman" w:hAnsi="Times New Roman"/>
          <w:i/>
          <w:caps w:val="false"/>
          <w:smallCaps w:val="false"/>
          <w:sz w:val="20"/>
        </w:rPr>
        <w:t>"BRPA"</w:t>
      </w:r>
      <w:r>
        <w:rPr>
          <w:rFonts w:ascii="Times New Roman" w:hAnsi="Times New Roman"/>
          <w:caps w:val="false"/>
          <w:smallCaps w:val="false"/>
          <w:sz w:val="20"/>
        </w:rPr>
        <w:t>) and converted into a warrant, based on the exchange ratio (of 0.316), that will continue to be governed by substantially the same terms and conditions, including vesting, as were applicable to the former warrant (the “</w:t>
      </w:r>
      <w:r>
        <w:rPr>
          <w:rFonts w:ascii="Times New Roman" w:hAnsi="Times New Roman"/>
          <w:i/>
          <w:caps w:val="false"/>
          <w:smallCaps w:val="false"/>
          <w:sz w:val="20"/>
        </w:rPr>
        <w:t>Substitute Warrants</w:t>
      </w:r>
      <w:r>
        <w:rPr>
          <w:rFonts w:ascii="Times New Roman" w:hAnsi="Times New Roman"/>
          <w:caps w:val="false"/>
          <w:smallCaps w:val="false"/>
          <w:sz w:val="20"/>
        </w:rPr>
        <w:t xml:space="preserve">”). There were 3,792,970 warrants outstanding and unexercised at the effective time. As these Substitute Warrants meet the definition of a derivative as contemplated in FASB ASC Topic </w:t>
      </w:r>
      <w:r>
        <w:rPr>
          <w:rStyle w:val="Emphasis"/>
          <w:rFonts w:ascii="Times New Roman" w:hAnsi="Times New Roman"/>
          <w:caps w:val="false"/>
          <w:smallCaps w:val="false"/>
          <w:sz w:val="20"/>
        </w:rPr>
        <w:t>815,</w:t>
      </w:r>
      <w:r>
        <w:rPr>
          <w:rFonts w:ascii="Times New Roman" w:hAnsi="Times New Roman"/>
          <w:caps w:val="false"/>
          <w:smallCaps w:val="false"/>
          <w:sz w:val="20"/>
        </w:rPr>
        <w:t xml:space="preserve"> based on provisions in the warrant agreement related to the Earnout Shares Milestone and the Earnout Cash Milestone and the contingent right to receive additional shares for these provisions, the Substitute Warrants were recorded as derivative liabilities on the condensed consolidated balance sheet and measured at fair value at inception (on the date of the Merger) and at each reporting date in accordance with FASB ASC Topic </w:t>
      </w:r>
      <w:r>
        <w:rPr>
          <w:rStyle w:val="Emphasis"/>
          <w:rFonts w:ascii="Times New Roman" w:hAnsi="Times New Roman"/>
          <w:caps w:val="false"/>
          <w:smallCaps w:val="false"/>
          <w:sz w:val="20"/>
        </w:rPr>
        <w:t>820,</w:t>
      </w:r>
      <w:r>
        <w:rPr>
          <w:rFonts w:ascii="Times New Roman" w:hAnsi="Times New Roman"/>
          <w:caps w:val="false"/>
          <w:smallCaps w:val="false"/>
          <w:sz w:val="20"/>
        </w:rPr>
        <w:t xml:space="preserve"> with changes in fair value recognized in the statements of operations in the period of change. Refer to Note </w:t>
      </w:r>
      <w:r>
        <w:rPr>
          <w:rStyle w:val="Emphasis"/>
          <w:rFonts w:ascii="Times New Roman" w:hAnsi="Times New Roman"/>
          <w:caps w:val="false"/>
          <w:smallCaps w:val="false"/>
          <w:sz w:val="20"/>
        </w:rPr>
        <w:t>11</w:t>
      </w:r>
      <w:r>
        <w:rPr>
          <w:rFonts w:ascii="Times New Roman" w:hAnsi="Times New Roman"/>
          <w:caps w:val="false"/>
          <w:smallCaps w:val="false"/>
          <w:sz w:val="20"/>
        </w:rPr>
        <w:t xml:space="preserve"> for further discussion of fair value measurement of the warrant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Assumed Public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Prior to the Merger, the Company had 3,450,000 warrants outstanding (the “</w:t>
      </w:r>
      <w:r>
        <w:rPr>
          <w:rFonts w:ascii="Times New Roman" w:hAnsi="Times New Roman"/>
          <w:i/>
          <w:caps w:val="false"/>
          <w:smallCaps w:val="false"/>
          <w:sz w:val="20"/>
        </w:rPr>
        <w:t>Public Warrants</w:t>
      </w:r>
      <w:r>
        <w:rPr>
          <w:rFonts w:ascii="Times New Roman" w:hAnsi="Times New Roman"/>
          <w:caps w:val="false"/>
          <w:smallCaps w:val="false"/>
          <w:sz w:val="20"/>
        </w:rPr>
        <w:t>”) to purchase up to 345,000 shares of Common Stock. Each Public Warrant entitles the holder to purchase one-</w:t>
      </w:r>
      <w:r>
        <w:rPr>
          <w:rStyle w:val="Emphasis"/>
          <w:rFonts w:ascii="Times New Roman" w:hAnsi="Times New Roman"/>
          <w:caps w:val="false"/>
          <w:smallCaps w:val="false"/>
          <w:sz w:val="20"/>
        </w:rPr>
        <w:t>tenth</w:t>
      </w:r>
      <w:r>
        <w:rPr>
          <w:rFonts w:ascii="Times New Roman" w:hAnsi="Times New Roman"/>
          <w:caps w:val="false"/>
          <w:smallCaps w:val="false"/>
          <w:sz w:val="20"/>
        </w:rPr>
        <w:t> share of Common Stock at an exercise price of $115 per share. The Public Warrants became exercisable at the effective time of the Merger and expire </w:t>
      </w:r>
      <w:r>
        <w:rPr>
          <w:rStyle w:val="Emphasis"/>
          <w:rFonts w:ascii="Times New Roman" w:hAnsi="Times New Roman"/>
          <w:caps w:val="false"/>
          <w:smallCaps w:val="false"/>
          <w:sz w:val="20"/>
        </w:rPr>
        <w:t>five</w:t>
      </w:r>
      <w:r>
        <w:rPr>
          <w:rFonts w:ascii="Times New Roman" w:hAnsi="Times New Roman"/>
          <w:caps w:val="false"/>
          <w:smallCaps w:val="false"/>
          <w:sz w:val="20"/>
        </w:rPr>
        <w:t xml:space="preserve"> years after the effective time on or earlier upon their redemption or liquidation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no Public Warrants were exercised. The outstanding balance of these public warrants remains in equity. At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31, 2024, </w:t>
      </w:r>
      <w:r>
        <w:rPr>
          <w:rFonts w:ascii="Times New Roman" w:hAnsi="Times New Roman"/>
          <w:caps w:val="false"/>
          <w:smallCaps w:val="false"/>
          <w:sz w:val="20"/>
        </w:rPr>
        <w:t>there were 3,448,856 Public Warrants outstanding to purchase up to 344,886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Assumed Private Placement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Prior to the Merger, the Company had outstanding 136,250 Private Placement Warrants (the “</w:t>
      </w:r>
      <w:r>
        <w:rPr>
          <w:rFonts w:ascii="Times New Roman" w:hAnsi="Times New Roman"/>
          <w:i/>
          <w:caps w:val="false"/>
          <w:smallCaps w:val="false"/>
          <w:sz w:val="20"/>
        </w:rPr>
        <w:t>Private Placement Warrants</w:t>
      </w:r>
      <w:r>
        <w:rPr>
          <w:rFonts w:ascii="Times New Roman" w:hAnsi="Times New Roman"/>
          <w:caps w:val="false"/>
          <w:smallCaps w:val="false"/>
          <w:sz w:val="20"/>
        </w:rPr>
        <w:t xml:space="preserve">”) to purchase up to 13,625 shares of Common Stock. The Private Placement Warrants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indexed to the Company’s common shares in the manner contemplated by FASB ASC Topic </w:t>
      </w:r>
      <w:r>
        <w:rPr>
          <w:rStyle w:val="Emphasis"/>
          <w:rFonts w:ascii="Times New Roman" w:hAnsi="Times New Roman"/>
          <w:caps w:val="false"/>
          <w:smallCaps w:val="false"/>
          <w:sz w:val="20"/>
        </w:rPr>
        <w:t>815</w:t>
      </w:r>
      <w:r>
        <w:rPr>
          <w:rFonts w:ascii="Times New Roman" w:hAnsi="Times New Roman"/>
          <w:caps w:val="false"/>
          <w:smallCaps w:val="false"/>
          <w:sz w:val="20"/>
        </w:rPr>
        <w:t>-</w:t>
      </w:r>
      <w:r>
        <w:rPr>
          <w:rStyle w:val="Emphasis"/>
          <w:rFonts w:ascii="Times New Roman" w:hAnsi="Times New Roman"/>
          <w:caps w:val="false"/>
          <w:smallCaps w:val="false"/>
          <w:sz w:val="20"/>
        </w:rPr>
        <w:t>40</w:t>
      </w:r>
      <w:r>
        <w:rPr>
          <w:rFonts w:ascii="Times New Roman" w:hAnsi="Times New Roman"/>
          <w:caps w:val="false"/>
          <w:smallCaps w:val="false"/>
          <w:sz w:val="20"/>
        </w:rPr>
        <w:t>-</w:t>
      </w:r>
      <w:r>
        <w:rPr>
          <w:rStyle w:val="Emphasis"/>
          <w:rFonts w:ascii="Times New Roman" w:hAnsi="Times New Roman"/>
          <w:caps w:val="false"/>
          <w:smallCaps w:val="false"/>
          <w:sz w:val="20"/>
        </w:rPr>
        <w:t>15</w:t>
      </w:r>
      <w:r>
        <w:rPr>
          <w:rFonts w:ascii="Times New Roman" w:hAnsi="Times New Roman"/>
          <w:caps w:val="false"/>
          <w:smallCaps w:val="false"/>
          <w:sz w:val="20"/>
        </w:rPr>
        <w:t xml:space="preserve"> because the holder of the instrument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an input into the pricing of a fixed-for-fixed option on equity shares. The Company classifies the Private Placement Warrants as derivative liabilities in its condensed consolidated balance sheets as of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31, 2024. </w:t>
      </w:r>
      <w:r>
        <w:rPr>
          <w:rFonts w:ascii="Times New Roman" w:hAnsi="Times New Roman"/>
          <w:caps w:val="false"/>
          <w:smallCaps w:val="false"/>
          <w:sz w:val="20"/>
        </w:rPr>
        <w:t>The Company measures the fair value of the Private Placement Warrants at the end of each reporting period and recognizes changes in the fair value from the prior period in the Company’s statements of operations for the current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recognized a gain on the change in fair value of the Private Placement Warrants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Refer to Note </w:t>
      </w:r>
      <w:r>
        <w:rPr>
          <w:rStyle w:val="Emphasis"/>
          <w:rFonts w:ascii="Times New Roman" w:hAnsi="Times New Roman"/>
          <w:caps w:val="false"/>
          <w:smallCaps w:val="false"/>
          <w:sz w:val="20"/>
        </w:rPr>
        <w:t>11</w:t>
      </w:r>
      <w:r>
        <w:rPr>
          <w:rFonts w:ascii="Times New Roman" w:hAnsi="Times New Roman"/>
          <w:caps w:val="false"/>
          <w:smallCaps w:val="false"/>
          <w:sz w:val="20"/>
        </w:rPr>
        <w:t xml:space="preserve"> for discussion of the fair value measurement of the Company’s warrant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Investor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As discussed above, on </w:t>
      </w:r>
      <w:r>
        <w:rPr>
          <w:rStyle w:val="Emphasis"/>
          <w:rFonts w:ascii="Times New Roman" w:hAnsi="Times New Roman"/>
          <w:caps w:val="false"/>
          <w:smallCaps w:val="false"/>
          <w:sz w:val="20"/>
        </w:rPr>
        <w:t xml:space="preserve">February 28, 2024, </w:t>
      </w:r>
      <w:r>
        <w:rPr>
          <w:rFonts w:ascii="Times New Roman" w:hAnsi="Times New Roman"/>
          <w:caps w:val="false"/>
          <w:smallCaps w:val="false"/>
          <w:sz w:val="20"/>
        </w:rPr>
        <w:t>in conjunction with the sale of 270,000 shares of the Company’s Common Stock, the Company issued </w:t>
      </w:r>
      <w:r>
        <w:rPr>
          <w:rStyle w:val="Emphasis"/>
          <w:rFonts w:ascii="Times New Roman" w:hAnsi="Times New Roman"/>
          <w:caps w:val="false"/>
          <w:smallCaps w:val="false"/>
          <w:sz w:val="20"/>
        </w:rPr>
        <w:t xml:space="preserve"> February </w:t>
      </w:r>
      <w:r>
        <w:rPr>
          <w:rFonts w:ascii="Times New Roman" w:hAnsi="Times New Roman"/>
          <w:caps w:val="false"/>
          <w:smallCaps w:val="false"/>
          <w:sz w:val="20"/>
        </w:rPr>
        <w:t xml:space="preserve">Warrants to purchase up to 270,000 shares of Common Stock which were classified in stockholder’s equity. The </w:t>
      </w:r>
      <w:r>
        <w:rPr>
          <w:rStyle w:val="Emphasis"/>
          <w:rFonts w:ascii="Times New Roman" w:hAnsi="Times New Roman"/>
          <w:caps w:val="false"/>
          <w:smallCaps w:val="false"/>
          <w:sz w:val="20"/>
        </w:rPr>
        <w:t xml:space="preserve">February </w:t>
      </w:r>
      <w:r>
        <w:rPr>
          <w:rFonts w:ascii="Times New Roman" w:hAnsi="Times New Roman"/>
          <w:caps w:val="false"/>
          <w:smallCaps w:val="false"/>
          <w:sz w:val="20"/>
        </w:rPr>
        <w:t xml:space="preserve">Warrants have an exercise price of $3.80 per share, are initially exercisable beginning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following the date of issuance, and will expire five years from the date of issuance. The measurement of fair value was determined utilizing a Black-Scholes model considering all relevant assumptions current at the date of issuance (i.e., share price of $3.59, exercise price of $3.80, term of 5 years, volatility of 178.10%, risk-free rate of 4.26%, and expected dividend rate of 0%). The allocated fair value of the </w:t>
      </w:r>
      <w:r>
        <w:rPr>
          <w:rStyle w:val="Emphasis"/>
          <w:rFonts w:ascii="Times New Roman" w:hAnsi="Times New Roman"/>
          <w:caps w:val="false"/>
          <w:smallCaps w:val="false"/>
          <w:sz w:val="20"/>
        </w:rPr>
        <w:t xml:space="preserve">February </w:t>
      </w:r>
      <w:r>
        <w:rPr>
          <w:rFonts w:ascii="Times New Roman" w:hAnsi="Times New Roman"/>
          <w:caps w:val="false"/>
          <w:smallCaps w:val="false"/>
          <w:sz w:val="20"/>
        </w:rPr>
        <w:t>Warrants on the grant date was $0.5 million and is recorded within additional paid-in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February 28, 2024, </w:t>
      </w:r>
      <w:r>
        <w:rPr>
          <w:rFonts w:ascii="Times New Roman" w:hAnsi="Times New Roman"/>
          <w:caps w:val="false"/>
          <w:smallCaps w:val="false"/>
          <w:sz w:val="20"/>
        </w:rPr>
        <w:t>the Company issued to the Representative the Underwriter’s Warrant to purchase up to 25,000 shares of Common Stock (the “</w:t>
      </w:r>
      <w:r>
        <w:rPr>
          <w:rStyle w:val="Emphasis"/>
          <w:rFonts w:ascii="Times New Roman" w:hAnsi="Times New Roman"/>
          <w:caps w:val="false"/>
          <w:smallCaps w:val="false"/>
          <w:sz w:val="20"/>
        </w:rPr>
        <w:t xml:space="preserve"> </w:t>
      </w:r>
      <w:r>
        <w:rPr>
          <w:rStyle w:val="Emphasis"/>
          <w:rFonts w:ascii="Times New Roman" w:hAnsi="Times New Roman"/>
          <w:i/>
          <w:caps w:val="false"/>
          <w:smallCaps w:val="false"/>
          <w:sz w:val="20"/>
        </w:rPr>
        <w:t xml:space="preserve">February </w:t>
      </w:r>
      <w:r>
        <w:rPr>
          <w:rFonts w:ascii="Times New Roman" w:hAnsi="Times New Roman"/>
          <w:i/>
          <w:caps w:val="false"/>
          <w:smallCaps w:val="false"/>
          <w:sz w:val="20"/>
        </w:rPr>
        <w:t>Underwriter Warrant Shares</w:t>
      </w:r>
      <w:r>
        <w:rPr>
          <w:rFonts w:ascii="Times New Roman" w:hAnsi="Times New Roman"/>
          <w:caps w:val="false"/>
          <w:smallCaps w:val="false"/>
          <w:sz w:val="20"/>
        </w:rPr>
        <w:t xml:space="preserve">”). The Underwriter’s Warrant is exercisable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following the date of the Underwriting Agreement and terminates on the five-year anniversary of the date of the Underwriting Agreement. The measurement of fair value was determined utilizing a Black-Scholes model considering all relevant assumptions current at the date of issuance (i.e., share price of $3.05, exercise price of $3.30, term of 5 years, volatility of 178.10%, risk-free rate of 4.26%, and expected dividend rate of 0%). The allocated fair value of the Underwriter's Warrants on the grant date was $0.1 million and is recorded as a charge to additional paid-in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March 5, 2024, </w:t>
      </w:r>
      <w:r>
        <w:rPr>
          <w:rFonts w:ascii="Times New Roman" w:hAnsi="Times New Roman"/>
          <w:caps w:val="false"/>
          <w:smallCaps w:val="false"/>
          <w:sz w:val="20"/>
        </w:rPr>
        <w:t xml:space="preserve">the Company issued Underwriter’s Warrant to purchase up to 3,750 shares of Common Stock in relation to the exercise of the </w:t>
      </w:r>
      <w:r>
        <w:rPr>
          <w:rStyle w:val="Emphasis"/>
          <w:rFonts w:ascii="Times New Roman" w:hAnsi="Times New Roman"/>
          <w:caps w:val="false"/>
          <w:smallCaps w:val="false"/>
          <w:sz w:val="20"/>
        </w:rPr>
        <w:t xml:space="preserve">February </w:t>
      </w:r>
      <w:r>
        <w:rPr>
          <w:rFonts w:ascii="Times New Roman" w:hAnsi="Times New Roman"/>
          <w:caps w:val="false"/>
          <w:smallCaps w:val="false"/>
          <w:sz w:val="20"/>
        </w:rPr>
        <w:t>Over-Allotment Option. The measurement of fair value was determined utilizing a Black-Scholes model considering all relevant assumptions current at the date of issuance (i.e., share price of $3.05, exercise price of $3.30, term of 5 years, volatility of 178.10%, risk-free rate of 4.12%, and expected dividend rate of 0%). The allocated fair value of the Underwriter's Warrants on the grant date was less than $0.1 million and is recorded as a charge to additional paid-in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April 19, 2024, </w:t>
      </w:r>
      <w:r>
        <w:rPr>
          <w:rFonts w:ascii="Times New Roman" w:hAnsi="Times New Roman"/>
          <w:caps w:val="false"/>
          <w:smallCaps w:val="false"/>
          <w:sz w:val="20"/>
        </w:rPr>
        <w:t xml:space="preserve">the Company issued to the Representative the </w:t>
      </w:r>
      <w:r>
        <w:rPr>
          <w:rStyle w:val="Emphasis"/>
          <w:rFonts w:ascii="Times New Roman" w:hAnsi="Times New Roman"/>
          <w:caps w:val="false"/>
          <w:smallCaps w:val="false"/>
          <w:sz w:val="20"/>
        </w:rPr>
        <w:t xml:space="preserve">April </w:t>
      </w:r>
      <w:r>
        <w:rPr>
          <w:rFonts w:ascii="Times New Roman" w:hAnsi="Times New Roman"/>
          <w:caps w:val="false"/>
          <w:smallCaps w:val="false"/>
          <w:sz w:val="20"/>
        </w:rPr>
        <w:t>Underwriter’s Warrant to purchase up to 30,350 shares of Common Stock (the “</w:t>
      </w:r>
      <w:r>
        <w:rPr>
          <w:rStyle w:val="Emphasis"/>
          <w:rFonts w:ascii="Times New Roman" w:hAnsi="Times New Roman"/>
          <w:caps w:val="false"/>
          <w:smallCaps w:val="false"/>
          <w:sz w:val="20"/>
        </w:rPr>
        <w:t xml:space="preserve"> </w:t>
      </w:r>
      <w:r>
        <w:rPr>
          <w:rStyle w:val="Emphasis"/>
          <w:rFonts w:ascii="Times New Roman" w:hAnsi="Times New Roman"/>
          <w:i/>
          <w:caps w:val="false"/>
          <w:smallCaps w:val="false"/>
          <w:sz w:val="20"/>
        </w:rPr>
        <w:t xml:space="preserve">April </w:t>
      </w:r>
      <w:r>
        <w:rPr>
          <w:rFonts w:ascii="Times New Roman" w:hAnsi="Times New Roman"/>
          <w:i/>
          <w:caps w:val="false"/>
          <w:smallCaps w:val="false"/>
          <w:sz w:val="20"/>
        </w:rPr>
        <w:t>Underwriter Warrant Shares</w:t>
      </w:r>
      <w:r>
        <w:rPr>
          <w:rFonts w:ascii="Times New Roman" w:hAnsi="Times New Roman"/>
          <w:caps w:val="false"/>
          <w:smallCaps w:val="false"/>
          <w:sz w:val="20"/>
        </w:rPr>
        <w:t xml:space="preserve">”). The </w:t>
      </w:r>
      <w:r>
        <w:rPr>
          <w:rStyle w:val="Emphasis"/>
          <w:rFonts w:ascii="Times New Roman" w:hAnsi="Times New Roman"/>
          <w:caps w:val="false"/>
          <w:smallCaps w:val="false"/>
          <w:sz w:val="20"/>
        </w:rPr>
        <w:t xml:space="preserve">April </w:t>
      </w:r>
      <w:r>
        <w:rPr>
          <w:rFonts w:ascii="Times New Roman" w:hAnsi="Times New Roman"/>
          <w:caps w:val="false"/>
          <w:smallCaps w:val="false"/>
          <w:sz w:val="20"/>
        </w:rPr>
        <w:t xml:space="preserve">Underwriter’s Warrant is exercisable six months following the date of the Underwriting Agreement and terminates on the five-year anniversary of the date of the Underwriting Agreement. The measurement of fair value was determined utilizing a Black-Scholes model considering all relevant assumptions current at the date of issuance (i.e., share price of $3.04, exercise price of $3.63, term of 5 years, volatility of 178.10%, risk-free rate of 4.66%, and expected dividend rate of 0%). The allocated fair value of the </w:t>
      </w:r>
      <w:r>
        <w:rPr>
          <w:rStyle w:val="Emphasis"/>
          <w:rFonts w:ascii="Times New Roman" w:hAnsi="Times New Roman"/>
          <w:caps w:val="false"/>
          <w:smallCaps w:val="false"/>
          <w:sz w:val="20"/>
        </w:rPr>
        <w:t xml:space="preserve">April </w:t>
      </w:r>
      <w:r>
        <w:rPr>
          <w:rFonts w:ascii="Times New Roman" w:hAnsi="Times New Roman"/>
          <w:caps w:val="false"/>
          <w:smallCaps w:val="false"/>
          <w:sz w:val="20"/>
        </w:rPr>
        <w:t>Underwriter's Warrant on the grant date was less than $0.1 million and is recorded as a charge to additional paid-in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May 23, 2024, </w:t>
      </w:r>
      <w:r>
        <w:rPr>
          <w:rFonts w:ascii="Times New Roman" w:hAnsi="Times New Roman"/>
          <w:caps w:val="false"/>
          <w:smallCaps w:val="false"/>
          <w:sz w:val="20"/>
        </w:rPr>
        <w:t xml:space="preserve">the Company issued Underwriter’s Warrant to purchase up to 4,553 shares of Common Stock in relation to the exercise of the </w:t>
      </w:r>
      <w:r>
        <w:rPr>
          <w:rStyle w:val="Emphasis"/>
          <w:rFonts w:ascii="Times New Roman" w:hAnsi="Times New Roman"/>
          <w:caps w:val="false"/>
          <w:smallCaps w:val="false"/>
          <w:sz w:val="20"/>
        </w:rPr>
        <w:t>April </w:t>
      </w:r>
      <w:r>
        <w:rPr>
          <w:rFonts w:ascii="Times New Roman" w:hAnsi="Times New Roman"/>
          <w:caps w:val="false"/>
          <w:smallCaps w:val="false"/>
          <w:sz w:val="20"/>
        </w:rPr>
        <w:t>Over-Allotment Option. The measurement of fair value was determined utilizing a Black-Scholes model considering all relevant assumptions current at the date of issuance (i.e., share price of $3.62, exercise price of $3.63, term of 5 years, volatility of 178.10%, risk-free rate of 4.52%, and expected dividend rate of 0%). The allocated fair value of the Underwriter's Warrants on the grant date was less than $0.1 million and is recorded as a charge to additional paid-in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Alvogen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 conjunction with the amended Alvogen licensing agreement discussed in Note </w:t>
      </w:r>
      <w:r>
        <w:rPr>
          <w:rStyle w:val="Emphasis"/>
          <w:rFonts w:ascii="Times New Roman" w:hAnsi="Times New Roman"/>
          <w:caps w:val="false"/>
          <w:smallCaps w:val="false"/>
          <w:sz w:val="20"/>
        </w:rPr>
        <w:t>6,</w:t>
      </w:r>
      <w:r>
        <w:rPr>
          <w:rFonts w:ascii="Times New Roman" w:hAnsi="Times New Roman"/>
          <w:caps w:val="false"/>
          <w:smallCaps w:val="false"/>
          <w:sz w:val="20"/>
        </w:rPr>
        <w:t xml:space="preserve"> on </w:t>
      </w:r>
      <w:r>
        <w:rPr>
          <w:rStyle w:val="Emphasis"/>
          <w:rFonts w:ascii="Times New Roman" w:hAnsi="Times New Roman"/>
          <w:caps w:val="false"/>
          <w:smallCaps w:val="false"/>
          <w:sz w:val="20"/>
        </w:rPr>
        <w:t xml:space="preserve">February 7, 2024 </w:t>
      </w:r>
      <w:r>
        <w:rPr>
          <w:rFonts w:ascii="Times New Roman" w:hAnsi="Times New Roman"/>
          <w:caps w:val="false"/>
          <w:smallCaps w:val="false"/>
          <w:sz w:val="20"/>
        </w:rPr>
        <w:t xml:space="preserve">the Company issued warrants to purchase up to 419,598 shares of Common Stock. The warrants have an exercise price of $4.00 per share, are exercisable immediately following the date of issuance, will expire three years from the date of issuance, and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also be exercised on a cashless basis if there is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effective registration statement available for the resale of the shares of Common Stock underlying the warrants. The warrants are subject to a beneficial ownership limitation of 4.99% post-exercise, with the exception that the beneficial ownership limitation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waived up to a maximum of 9.99% at the election of the holder, with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less than </w:t>
      </w:r>
      <w:r>
        <w:rPr>
          <w:rStyle w:val="Emphasis"/>
          <w:rFonts w:ascii="Times New Roman" w:hAnsi="Times New Roman"/>
          <w:caps w:val="false"/>
          <w:smallCaps w:val="false"/>
          <w:sz w:val="20"/>
        </w:rPr>
        <w:t>61</w:t>
      </w:r>
      <w:r>
        <w:rPr>
          <w:rFonts w:ascii="Times New Roman" w:hAnsi="Times New Roman"/>
          <w:caps w:val="false"/>
          <w:smallCaps w:val="false"/>
          <w:sz w:val="20"/>
        </w:rPr>
        <w:t xml:space="preserve"> days prior notice. The measurement of fair value was determined utilizing a Black-Scholes model considering all relevant assumptions current at the date of issuance (i.e., share price of $4.10, exercise price of $4.00, term of 3 years, volatility of 138.0%, risk-free rate of 4.2%, and expected dividend rate of 0.0%). The fair value of the warrants on the grant date was $1.3 million and was recorded within additional paid-in capital as of </w:t>
      </w:r>
      <w:r>
        <w:rPr>
          <w:rStyle w:val="Emphasis"/>
          <w:rFonts w:ascii="Times New Roman" w:hAnsi="Times New Roman"/>
          <w:caps w:val="false"/>
          <w:smallCaps w:val="false"/>
          <w:sz w:val="20"/>
        </w:rPr>
        <w:t>March 31, 2024. </w:t>
      </w:r>
      <w:r>
        <w:rPr>
          <w:rFonts w:ascii="Times New Roman" w:hAnsi="Times New Roman"/>
          <w:caps w:val="false"/>
          <w:smallCaps w:val="false"/>
          <w:sz w:val="20"/>
        </w:rPr>
        <w:t xml:space="preserve">Upon termination of the Alvogen Agreement on </w:t>
      </w:r>
      <w:r>
        <w:rPr>
          <w:rStyle w:val="Emphasis"/>
          <w:rFonts w:ascii="Times New Roman" w:hAnsi="Times New Roman"/>
          <w:caps w:val="false"/>
          <w:smallCaps w:val="false"/>
          <w:sz w:val="20"/>
        </w:rPr>
        <w:t xml:space="preserve">June 21, 2024, </w:t>
      </w:r>
      <w:r>
        <w:rPr>
          <w:rFonts w:ascii="Times New Roman" w:hAnsi="Times New Roman"/>
          <w:caps w:val="false"/>
          <w:smallCaps w:val="false"/>
          <w:sz w:val="20"/>
        </w:rPr>
        <w:t>the offsetting amount recorded within additional paid-in capital as an unfunded stock subscription receivable was expensed to research and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Anson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Anson Warrants, originally issued in the Purchase Agreement, are recognized as derivative liabilities in accordance with ASC </w:t>
      </w:r>
      <w:r>
        <w:rPr>
          <w:rStyle w:val="Emphasis"/>
          <w:rFonts w:ascii="Times New Roman" w:hAnsi="Times New Roman"/>
          <w:caps w:val="false"/>
          <w:smallCaps w:val="false"/>
          <w:sz w:val="20"/>
        </w:rPr>
        <w:t>815.</w:t>
      </w:r>
      <w:r>
        <w:rPr>
          <w:rFonts w:ascii="Times New Roman" w:hAnsi="Times New Roman"/>
          <w:caps w:val="false"/>
          <w:smallCaps w:val="false"/>
          <w:sz w:val="20"/>
        </w:rPr>
        <w:t xml:space="preserve"> The Company concluded liability classification was appropriate as certain settlement features included in the Anson Warrants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indexed to the Company's own stock, and therefore preclude equity classification. Accordingly, the Company recognizes the warrant instruments as liabilities at fair value and adjusts the instruments to fair value at each reporting period. The liabilities are subject to re-measurement at each balance sheet date until exercise or expiration, and any change in fair value is recognized in the Company’s condensed consolidated statements of operations. The Anson Warrants were initially measured at fair value using a Black-Scholes model and have subsequently been measured based on the listed market price of such warrants. Warrant liabilities are classified as current liabilities on the Company's condensed consolidated balance sheets. On </w:t>
      </w:r>
      <w:r>
        <w:rPr>
          <w:rStyle w:val="Emphasis"/>
          <w:rFonts w:ascii="Times New Roman" w:hAnsi="Times New Roman"/>
          <w:caps w:val="false"/>
          <w:smallCaps w:val="false"/>
          <w:sz w:val="20"/>
        </w:rPr>
        <w:t xml:space="preserve">August 14, 2024, </w:t>
      </w:r>
      <w:r>
        <w:rPr>
          <w:rFonts w:ascii="Times New Roman" w:hAnsi="Times New Roman"/>
          <w:caps w:val="false"/>
          <w:smallCaps w:val="false"/>
          <w:sz w:val="20"/>
        </w:rPr>
        <w:t xml:space="preserve">in conjunction with the issuance of the First Tranche Notes, the Company issued warrants to purchase up to 1,349,305 shares of the Company’s Common Stock which were classified as a liability. The warrants have an exercise price of $2.4168 per share, subject to adjustment or other settlement provisions, and have a contractual term of five years expiring on </w:t>
      </w:r>
      <w:r>
        <w:rPr>
          <w:rStyle w:val="Emphasis"/>
          <w:rFonts w:ascii="Times New Roman" w:hAnsi="Times New Roman"/>
          <w:caps w:val="false"/>
          <w:smallCaps w:val="false"/>
          <w:sz w:val="20"/>
        </w:rPr>
        <w:t>August 14, 2029. </w:t>
      </w:r>
      <w:r>
        <w:rPr>
          <w:rFonts w:ascii="Times New Roman" w:hAnsi="Times New Roman"/>
          <w:caps w:val="false"/>
          <w:smallCaps w:val="false"/>
          <w:sz w:val="20"/>
        </w:rPr>
        <w:t xml:space="preserve">The measurement of fair value of the Investor Warrants were determined utilizing a Black-Scholes model considering all relevant assumptions current at the date of issuance (i.e., share price of $1.86, exercise price of $2.42, term of five years, volatility of 122%, and risk-free rate of 3.67%, and expected dividend rate of 0%). The grant date fair value of these Investor Warrants was estimated to be $2.1 million on </w:t>
      </w:r>
      <w:r>
        <w:rPr>
          <w:rStyle w:val="Emphasis"/>
          <w:rFonts w:ascii="Times New Roman" w:hAnsi="Times New Roman"/>
          <w:caps w:val="false"/>
          <w:smallCaps w:val="false"/>
          <w:sz w:val="20"/>
        </w:rPr>
        <w:t>August 14,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October 10, 2024, </w:t>
      </w:r>
      <w:r>
        <w:rPr>
          <w:rFonts w:ascii="Times New Roman" w:hAnsi="Times New Roman"/>
          <w:caps w:val="false"/>
          <w:smallCaps w:val="false"/>
          <w:sz w:val="20"/>
        </w:rPr>
        <w:t xml:space="preserve">in conjunction with the issuance of the Second Tranche Notes, the Company issued warrants to purchase up to 1,846,128 shares of the Company’s Common Stock which were classified as a liability. The warrants have an exercise price of $1.7664 per share, subject to adjustment or other settlement provisions, and have a contractual term of five years expiring on </w:t>
      </w:r>
      <w:r>
        <w:rPr>
          <w:rStyle w:val="Emphasis"/>
          <w:rFonts w:ascii="Times New Roman" w:hAnsi="Times New Roman"/>
          <w:caps w:val="false"/>
          <w:smallCaps w:val="false"/>
          <w:sz w:val="20"/>
        </w:rPr>
        <w:t>October 10, 2029. </w:t>
      </w:r>
      <w:r>
        <w:rPr>
          <w:rFonts w:ascii="Times New Roman" w:hAnsi="Times New Roman"/>
          <w:caps w:val="false"/>
          <w:smallCaps w:val="false"/>
          <w:sz w:val="20"/>
        </w:rPr>
        <w:t xml:space="preserve">The measurement of fair value of the Investor Warrants was determined utilizing a Black-Scholes model considering all relevant assumptions current at the date of issuance (i.e., share price of $1.38, exercise price of $1.76, term of five years, volatility of 105%, and risk-free rate of 3.91%, and expected dividend rate of 0%). The grant date fair value of these Second Tranche Investor Warrants was estimated to be $1.9 million on </w:t>
      </w:r>
      <w:r>
        <w:rPr>
          <w:rStyle w:val="Emphasis"/>
          <w:rFonts w:ascii="Times New Roman" w:hAnsi="Times New Roman"/>
          <w:caps w:val="false"/>
          <w:smallCaps w:val="false"/>
          <w:sz w:val="20"/>
        </w:rPr>
        <w:t>October 10,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January 28, 2025, </w:t>
      </w:r>
      <w:r>
        <w:rPr>
          <w:rFonts w:ascii="Times New Roman" w:hAnsi="Times New Roman"/>
          <w:caps w:val="false"/>
          <w:smallCaps w:val="false"/>
          <w:sz w:val="20"/>
        </w:rPr>
        <w:t xml:space="preserve">in conjunction with the issuance of the Third Tranche Notes, the Company issued warrants to purchase up to 862,699 shares of the Company’s Common Stock which were classified as a liability (See Note </w:t>
      </w:r>
      <w:r>
        <w:rPr>
          <w:rStyle w:val="Emphasis"/>
          <w:rFonts w:ascii="Times New Roman" w:hAnsi="Times New Roman"/>
          <w:caps w:val="false"/>
          <w:smallCaps w:val="false"/>
          <w:sz w:val="20"/>
        </w:rPr>
        <w:t>11</w:t>
      </w:r>
      <w:r>
        <w:rPr>
          <w:rFonts w:ascii="Times New Roman" w:hAnsi="Times New Roman"/>
          <w:caps w:val="false"/>
          <w:smallCaps w:val="false"/>
          <w:sz w:val="20"/>
        </w:rPr>
        <w:t xml:space="preserve">). The warrants have an exercise price of $3.78 per share, subject to adjustment or other settlement provisions, and have a contractual term of five years expiring on </w:t>
      </w:r>
      <w:r>
        <w:rPr>
          <w:rStyle w:val="Emphasis"/>
          <w:rFonts w:ascii="Times New Roman" w:hAnsi="Times New Roman"/>
          <w:caps w:val="false"/>
          <w:smallCaps w:val="false"/>
          <w:sz w:val="20"/>
        </w:rPr>
        <w:t xml:space="preserve">January 28, 2030. </w:t>
      </w:r>
      <w:r>
        <w:rPr>
          <w:rFonts w:ascii="Times New Roman" w:hAnsi="Times New Roman"/>
          <w:caps w:val="false"/>
          <w:smallCaps w:val="false"/>
          <w:sz w:val="20"/>
        </w:rPr>
        <w:t xml:space="preserve">The measurement of fair value of the Investor Warrants was determined using a Black-Scholes model considering all relevant assumptions current at the date of issuance (i.e., share price of $3.55, exercise price of $3.78, term of five years, volatility of 113%, risk-free rate of 4.33%, and expected dividend rate of 0%). The grant date fair value of these Third Tranche Investor Warrants was estimated to be $2.5 million on </w:t>
      </w:r>
      <w:r>
        <w:rPr>
          <w:rStyle w:val="Emphasis"/>
          <w:rFonts w:ascii="Times New Roman" w:hAnsi="Times New Roman"/>
          <w:caps w:val="false"/>
          <w:smallCaps w:val="false"/>
          <w:sz w:val="20"/>
        </w:rPr>
        <w:t>January 28,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As discussed above, on </w:t>
      </w:r>
      <w:r>
        <w:rPr>
          <w:rStyle w:val="Emphasis"/>
          <w:rFonts w:ascii="Times New Roman" w:hAnsi="Times New Roman"/>
          <w:caps w:val="false"/>
          <w:smallCaps w:val="false"/>
          <w:sz w:val="20"/>
        </w:rPr>
        <w:t xml:space="preserve">January 29, 2025, </w:t>
      </w:r>
      <w:r>
        <w:rPr>
          <w:rFonts w:ascii="Times New Roman" w:hAnsi="Times New Roman"/>
          <w:caps w:val="false"/>
          <w:smallCaps w:val="false"/>
          <w:sz w:val="20"/>
        </w:rPr>
        <w:t xml:space="preserve">in conjunction with the issuance of the RD Shares, the Company issued RD Warrants to purchase up to 1,215,278 shares of the Company’s Common Stock which were classified as a liability. The RD Warrants have an exercise price of $2.88 per share and have a contractual term of five years expiring on </w:t>
      </w:r>
      <w:r>
        <w:rPr>
          <w:rStyle w:val="Emphasis"/>
          <w:rFonts w:ascii="Times New Roman" w:hAnsi="Times New Roman"/>
          <w:caps w:val="false"/>
          <w:smallCaps w:val="false"/>
          <w:sz w:val="20"/>
        </w:rPr>
        <w:t xml:space="preserve">January 29, 2030. </w:t>
      </w:r>
      <w:r>
        <w:rPr>
          <w:rFonts w:ascii="Times New Roman" w:hAnsi="Times New Roman"/>
          <w:caps w:val="false"/>
          <w:smallCaps w:val="false"/>
          <w:sz w:val="20"/>
        </w:rPr>
        <w:t xml:space="preserve">The measurement of fair value of the RD Warrants were determined utilizing a Black-Scholes model considering all relevant assumptions current at the date of issuance (i.e., share price of $2.07, exercise price of $2.88, term of five years, volatility of 115.8%, and risk-free rate of 4.00%). The grant date fair value of these RD Warrants was estimated to be $3.983 million on </w:t>
      </w:r>
      <w:r>
        <w:rPr>
          <w:rStyle w:val="Emphasis"/>
          <w:rFonts w:ascii="Times New Roman" w:hAnsi="Times New Roman"/>
          <w:caps w:val="false"/>
          <w:smallCaps w:val="false"/>
          <w:sz w:val="20"/>
        </w:rPr>
        <w:t xml:space="preserve">January 29, 2025. </w:t>
      </w:r>
      <w:r>
        <w:rPr>
          <w:rFonts w:ascii="Times New Roman" w:hAnsi="Times New Roman"/>
          <w:caps w:val="false"/>
          <w:smallCaps w:val="false"/>
          <w:sz w:val="20"/>
        </w:rPr>
        <w:t xml:space="preserve">As the fair value of the liabilities exceeded the net proceeds received of $3.255 million, the Company recognized the excess of the fair value over the net proceeds received of $3.255 million as a loss upon issuance of RD Shares of $0.7 million which is included in other expense (income) in the condensed consolidated statement of operations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As discussed above, on </w:t>
      </w:r>
      <w:r>
        <w:rPr>
          <w:rStyle w:val="Emphasis"/>
          <w:rFonts w:ascii="Times New Roman" w:hAnsi="Times New Roman"/>
          <w:caps w:val="false"/>
          <w:smallCaps w:val="false"/>
          <w:sz w:val="20"/>
        </w:rPr>
        <w:t xml:space="preserve">March 20, 2025, </w:t>
      </w:r>
      <w:r>
        <w:rPr>
          <w:rFonts w:ascii="Times New Roman" w:hAnsi="Times New Roman"/>
          <w:caps w:val="false"/>
          <w:smallCaps w:val="false"/>
          <w:sz w:val="20"/>
        </w:rPr>
        <w:t xml:space="preserve">in conjunction with the issuance of the Consideration Shares, the Company issued Consideration Warrants to purchase up to 303,819 shares of the Company’s Common Stock which were classified as a liability. The Consideration Warrants have an exercise price of $2.88 per share and have a contractual term of five years expiring on </w:t>
      </w:r>
      <w:r>
        <w:rPr>
          <w:rStyle w:val="Emphasis"/>
          <w:rFonts w:ascii="Times New Roman" w:hAnsi="Times New Roman"/>
          <w:caps w:val="false"/>
          <w:smallCaps w:val="false"/>
          <w:sz w:val="20"/>
        </w:rPr>
        <w:t>March 20, 2030.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measurement of fair value of the Consideration Warrants were determined utilizing a Black-Scholes model considering all relevant assumptions current at the date of issuance (i.e., share price of $2.07, exercise price of $2.88, term of five years, volatility of 115.8%, and risk-free rate of 4.00%). The grant date fair value of these Consideration Warrants was estimated to be $0.6 million on </w:t>
      </w:r>
      <w:r>
        <w:rPr>
          <w:rStyle w:val="Emphasis"/>
          <w:rFonts w:ascii="Times New Roman" w:hAnsi="Times New Roman"/>
          <w:caps w:val="false"/>
          <w:smallCaps w:val="false"/>
          <w:sz w:val="20"/>
        </w:rPr>
        <w:t>March 20,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 xml:space="preserve">the aggregate fair value of all liability classified warrants, which include Anson Warrants, RD Warrants and Private Placement Warrants, was $16.3 million. The Company recognized a loss on the change in fair value of the liability classified warrants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 xml:space="preserve">of approximately $6.4 million and $3.5 million, respectively. Refer to Note </w:t>
      </w:r>
      <w:r>
        <w:rPr>
          <w:rStyle w:val="Emphasis"/>
          <w:rFonts w:ascii="Times New Roman" w:hAnsi="Times New Roman"/>
          <w:caps w:val="false"/>
          <w:smallCaps w:val="false"/>
          <w:sz w:val="20"/>
        </w:rPr>
        <w:t>11</w:t>
      </w:r>
      <w:r>
        <w:rPr>
          <w:rFonts w:ascii="Times New Roman" w:hAnsi="Times New Roman"/>
          <w:caps w:val="false"/>
          <w:smallCaps w:val="false"/>
          <w:sz w:val="20"/>
        </w:rPr>
        <w:t xml:space="preserve"> for discussion of the fair value measurement of the Company’s warrant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provides the activity for all warrants for the respective periods.</w:t>
      </w:r>
    </w:p>
    <w:p>
      <w:pPr>
        <w:pStyle w:val="TextBody"/>
        <w:bidi w:val="0"/>
        <w:spacing w:before="0" w:after="0"/>
        <w:ind w:left="0" w:right="0" w:hanging="0"/>
        <w:jc w:val="left"/>
        <w:rPr>
          <w:caps w:val="false"/>
          <w:smallCaps w:val="false"/>
        </w:rPr>
      </w:pPr>
      <w:r>
        <w:rPr>
          <w:caps w:val="false"/>
          <w:smallCaps w:val="false"/>
        </w:rPr>
        <w:t> </w:t>
      </w:r>
    </w:p>
    <w:tbl>
      <w:tblPr>
        <w:tblW w:w="7184" w:type="dxa"/>
        <w:jc w:val="left"/>
        <w:tblInd w:w="0" w:type="dxa"/>
        <w:tblLayout w:type="fixed"/>
        <w:tblCellMar>
          <w:top w:w="0" w:type="dxa"/>
          <w:left w:w="0" w:type="dxa"/>
          <w:bottom w:w="0" w:type="dxa"/>
          <w:right w:w="0" w:type="dxa"/>
        </w:tblCellMar>
      </w:tblPr>
      <w:tblGrid>
        <w:gridCol w:w="3065"/>
        <w:gridCol w:w="60"/>
        <w:gridCol w:w="60"/>
        <w:gridCol w:w="845"/>
        <w:gridCol w:w="80"/>
        <w:gridCol w:w="60"/>
        <w:gridCol w:w="129"/>
        <w:gridCol w:w="821"/>
        <w:gridCol w:w="60"/>
        <w:gridCol w:w="60"/>
        <w:gridCol w:w="167"/>
        <w:gridCol w:w="648"/>
        <w:gridCol w:w="60"/>
        <w:gridCol w:w="60"/>
        <w:gridCol w:w="257"/>
        <w:gridCol w:w="692"/>
        <w:gridCol w:w="60"/>
      </w:tblGrid>
      <w:tr>
        <w:trPr/>
        <w:tc>
          <w:tcPr>
            <w:tcW w:w="30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64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Aggregate </w:t>
            </w:r>
          </w:p>
        </w:tc>
        <w:tc>
          <w:tcPr>
            <w:tcW w:w="60" w:type="dxa"/>
            <w:tcBorders/>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center"/>
              <w:rPr/>
            </w:pPr>
            <w:r>
              <w:rPr>
                <w:rStyle w:val="Emphasis"/>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50"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Weighted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15"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Weighted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9"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Intrinsic</w:t>
            </w:r>
          </w:p>
        </w:tc>
        <w:tc>
          <w:tcPr>
            <w:tcW w:w="60" w:type="dxa"/>
            <w:tcBorders/>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center"/>
              <w:rPr/>
            </w:pPr>
            <w:r>
              <w:rPr>
                <w:rStyle w:val="Emphasis"/>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50"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Average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15"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Average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9"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Value</w:t>
            </w:r>
          </w:p>
        </w:tc>
        <w:tc>
          <w:tcPr>
            <w:tcW w:w="60" w:type="dxa"/>
            <w:tcBorders/>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Total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Warrants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Remaining</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Term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Exercise</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(in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thousands)</w:t>
            </w:r>
          </w:p>
        </w:tc>
        <w:tc>
          <w:tcPr>
            <w:tcW w:w="60" w:type="dxa"/>
            <w:tcBorders/>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as of December 31,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3,321,499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8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w:t>
            </w:r>
          </w:p>
        </w:tc>
        <w:tc>
          <w:tcPr>
            <w:tcW w:w="60"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3,948,484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8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6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ind w:left="0" w:right="0" w:hanging="0"/>
              <w:jc w:val="left"/>
              <w:rPr/>
            </w:pPr>
            <w:r>
              <w:rPr/>
              <w:t> </w:t>
            </w:r>
          </w:p>
        </w:tc>
        <w:tc>
          <w:tcPr>
            <w:tcW w:w="692"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Expired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(96,417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as of December 31, 2024</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7,173,766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w:t>
            </w:r>
          </w:p>
        </w:tc>
        <w:tc>
          <w:tcPr>
            <w:tcW w:w="60" w:type="dxa"/>
            <w:tcBorders/>
            <w:shd w:fill="FFFFFF" w:val="clear"/>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2,381,796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8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6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ind w:left="0" w:right="0" w:hanging="0"/>
              <w:jc w:val="left"/>
              <w:rPr/>
            </w:pPr>
            <w:r>
              <w:rPr/>
              <w:t> </w:t>
            </w:r>
          </w:p>
        </w:tc>
        <w:tc>
          <w:tcPr>
            <w:tcW w:w="692"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Expired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(19,340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as of June 30,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9,536,222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530</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10.</w:t>
      </w:r>
      <w:r>
        <w:rPr>
          <w:rFonts w:ascii="Times New Roman" w:hAnsi="Times New Roman"/>
          <w:b/>
          <w:caps w:val="false"/>
          <w:smallCaps w:val="false"/>
          <w:sz w:val="20"/>
        </w:rPr>
        <w:t xml:space="preserve"> Stock-Based Compensation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Style w:val="Emphasis"/>
          <w:rFonts w:ascii="Times New Roman" w:hAnsi="Times New Roman"/>
          <w:i/>
          <w:caps w:val="false"/>
          <w:smallCaps w:val="false"/>
          <w:sz w:val="20"/>
        </w:rPr>
        <w:t>2016</w:t>
      </w:r>
      <w:r>
        <w:rPr>
          <w:rFonts w:ascii="Times New Roman" w:hAnsi="Times New Roman"/>
          <w:i/>
          <w:caps w:val="false"/>
          <w:smallCaps w:val="false"/>
          <w:sz w:val="20"/>
        </w:rPr>
        <w:t xml:space="preserve"> Omnibus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Prior to the Merger, NRx maintained its </w:t>
      </w:r>
      <w:r>
        <w:rPr>
          <w:rStyle w:val="Emphasis"/>
          <w:rFonts w:ascii="Times New Roman" w:hAnsi="Times New Roman"/>
          <w:caps w:val="false"/>
          <w:smallCaps w:val="false"/>
          <w:sz w:val="20"/>
        </w:rPr>
        <w:t>2016</w:t>
      </w:r>
      <w:r>
        <w:rPr>
          <w:rFonts w:ascii="Times New Roman" w:hAnsi="Times New Roman"/>
          <w:caps w:val="false"/>
          <w:smallCaps w:val="false"/>
          <w:sz w:val="20"/>
        </w:rPr>
        <w:t xml:space="preserve"> Omnibus Incentive Plan (the “</w:t>
      </w:r>
      <w:r>
        <w:rPr>
          <w:rStyle w:val="Emphasis"/>
          <w:rFonts w:ascii="Times New Roman" w:hAnsi="Times New Roman"/>
          <w:i/>
          <w:caps w:val="false"/>
          <w:smallCaps w:val="false"/>
          <w:sz w:val="20"/>
        </w:rPr>
        <w:t>2016</w:t>
      </w:r>
      <w:r>
        <w:rPr>
          <w:rFonts w:ascii="Times New Roman" w:hAnsi="Times New Roman"/>
          <w:i/>
          <w:caps w:val="false"/>
          <w:smallCaps w:val="false"/>
          <w:sz w:val="20"/>
        </w:rPr>
        <w:t xml:space="preserve"> Plan</w:t>
      </w:r>
      <w:r>
        <w:rPr>
          <w:rFonts w:ascii="Times New Roman" w:hAnsi="Times New Roman"/>
          <w:caps w:val="false"/>
          <w:smallCaps w:val="false"/>
          <w:sz w:val="20"/>
        </w:rPr>
        <w:t xml:space="preserve">”), under which NeuroRx granted incentive stock options, restricted stock awards, other stock-based awards, or other cash-based awards to employees, directors, and non-employee consultants. The maximum aggregate shares of Common Stock that were subject to awards and issuable under the </w:t>
      </w:r>
      <w:r>
        <w:rPr>
          <w:rStyle w:val="Emphasis"/>
          <w:rFonts w:ascii="Times New Roman" w:hAnsi="Times New Roman"/>
          <w:caps w:val="false"/>
          <w:smallCaps w:val="false"/>
          <w:sz w:val="20"/>
        </w:rPr>
        <w:t>2016</w:t>
      </w:r>
      <w:r>
        <w:rPr>
          <w:rFonts w:ascii="Times New Roman" w:hAnsi="Times New Roman"/>
          <w:caps w:val="false"/>
          <w:smallCaps w:val="false"/>
          <w:sz w:val="20"/>
        </w:rPr>
        <w:t xml:space="preserve"> Plan was 347,200.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connection with the Merger, each option of NeuroRx that was outstanding and unexercised immediately prior to the Effective Time (whether vested or unvested) was assumed by BRPA and converted into an option to acquire an adjusted number of shares of Common Stock at an adjusted exercise price per share, based on the Exchange Ratio (of 0.316:1).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Upon the closing of the Merger, the outstanding and unexercised NeuroRx stock options became options to purchase an aggregate 289,542 shares of the Company’s Common Stock at an average exercise price of $51.00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Style w:val="Emphasis"/>
          <w:rFonts w:ascii="Times New Roman" w:hAnsi="Times New Roman"/>
          <w:i/>
          <w:caps w:val="false"/>
          <w:smallCaps w:val="false"/>
          <w:sz w:val="20"/>
        </w:rPr>
        <w:t>2021</w:t>
      </w:r>
      <w:r>
        <w:rPr>
          <w:rFonts w:ascii="Times New Roman" w:hAnsi="Times New Roman"/>
          <w:i/>
          <w:caps w:val="false"/>
          <w:smallCaps w:val="false"/>
          <w:sz w:val="20"/>
        </w:rPr>
        <w:t xml:space="preserve"> Omnibus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As of </w:t>
      </w:r>
      <w:r>
        <w:rPr>
          <w:rStyle w:val="Emphasis"/>
          <w:rFonts w:ascii="Times New Roman" w:hAnsi="Times New Roman"/>
          <w:caps w:val="false"/>
          <w:smallCaps w:val="false"/>
          <w:sz w:val="20"/>
        </w:rPr>
        <w:t xml:space="preserve"> June 30, 2025, </w:t>
      </w:r>
      <w:r>
        <w:rPr>
          <w:rFonts w:ascii="Times New Roman" w:hAnsi="Times New Roman"/>
          <w:caps w:val="false"/>
          <w:smallCaps w:val="false"/>
          <w:sz w:val="20"/>
        </w:rPr>
        <w:t xml:space="preserve">1,050,809 shares of Common Stock are authorized for issuance pursuant to awards under the Company’s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Omnibus Incentive Plan (the “</w:t>
      </w:r>
      <w:r>
        <w:rPr>
          <w:rStyle w:val="Emphasis"/>
          <w:rFonts w:ascii="Times New Roman" w:hAnsi="Times New Roman"/>
          <w:i/>
          <w:caps w:val="false"/>
          <w:smallCaps w:val="false"/>
          <w:sz w:val="20"/>
        </w:rPr>
        <w:t>2021</w:t>
      </w:r>
      <w:r>
        <w:rPr>
          <w:rFonts w:ascii="Times New Roman" w:hAnsi="Times New Roman"/>
          <w:i/>
          <w:caps w:val="false"/>
          <w:smallCaps w:val="false"/>
          <w:sz w:val="20"/>
        </w:rPr>
        <w:t xml:space="preserve"> Plan</w:t>
      </w:r>
      <w:r>
        <w:rPr>
          <w:rFonts w:ascii="Times New Roman" w:hAnsi="Times New Roman"/>
          <w:caps w:val="false"/>
          <w:smallCaps w:val="false"/>
          <w:sz w:val="20"/>
        </w:rPr>
        <w:t xml:space="preserve">”). As of </w:t>
      </w:r>
      <w:r>
        <w:rPr>
          <w:rStyle w:val="Emphasis"/>
          <w:rFonts w:ascii="Times New Roman" w:hAnsi="Times New Roman"/>
          <w:caps w:val="false"/>
          <w:smallCaps w:val="false"/>
          <w:sz w:val="20"/>
        </w:rPr>
        <w:t xml:space="preserve">January 1, 2025, </w:t>
      </w:r>
      <w:r>
        <w:rPr>
          <w:rFonts w:ascii="Times New Roman" w:hAnsi="Times New Roman"/>
          <w:caps w:val="false"/>
          <w:smallCaps w:val="false"/>
          <w:sz w:val="20"/>
        </w:rPr>
        <w:t xml:space="preserve">95,528 shares were added to the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Plan under an evergreen feature that automatically increases the reserve with additional shares of Common Stock for future issuance under the Incentive Plan each calendar year, beginning </w:t>
      </w:r>
      <w:r>
        <w:rPr>
          <w:rStyle w:val="Emphasis"/>
          <w:rFonts w:ascii="Times New Roman" w:hAnsi="Times New Roman"/>
          <w:caps w:val="false"/>
          <w:smallCaps w:val="false"/>
          <w:sz w:val="20"/>
        </w:rPr>
        <w:t xml:space="preserve">January 1, 2022 </w:t>
      </w:r>
      <w:r>
        <w:rPr>
          <w:rFonts w:ascii="Times New Roman" w:hAnsi="Times New Roman"/>
          <w:caps w:val="false"/>
          <w:smallCaps w:val="false"/>
          <w:sz w:val="20"/>
        </w:rPr>
        <w:t xml:space="preserve">and ending on and including </w:t>
      </w:r>
      <w:r>
        <w:rPr>
          <w:rStyle w:val="Emphasis"/>
          <w:rFonts w:ascii="Times New Roman" w:hAnsi="Times New Roman"/>
          <w:caps w:val="false"/>
          <w:smallCaps w:val="false"/>
          <w:sz w:val="20"/>
        </w:rPr>
        <w:t xml:space="preserve">January 1, 2031, </w:t>
      </w:r>
      <w:r>
        <w:rPr>
          <w:rFonts w:ascii="Times New Roman" w:hAnsi="Times New Roman"/>
          <w:caps w:val="false"/>
          <w:smallCaps w:val="false"/>
          <w:sz w:val="20"/>
        </w:rPr>
        <w:t xml:space="preserve">equal to the lesser of (A) 1% of the shares of Common Stock outstanding on the final day of the immediately preceding calendar year or (B) a smaller number of shares determined by the Board. On </w:t>
      </w:r>
      <w:r>
        <w:rPr>
          <w:rStyle w:val="Emphasis"/>
          <w:rFonts w:ascii="Times New Roman" w:hAnsi="Times New Roman"/>
          <w:caps w:val="false"/>
          <w:smallCaps w:val="false"/>
          <w:sz w:val="20"/>
        </w:rPr>
        <w:t xml:space="preserve">December 28, 2023, </w:t>
      </w: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amendment to the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Omnibus Plan was executed which increased the maximum number of shares (i) available for issuance under the Plan by an additional 200,000 shares, and (ii)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delivered pursuant to the exercise of Incentive Stock Options granted under the Plan to be equal to </w:t>
      </w:r>
      <w:r>
        <w:rPr>
          <w:rStyle w:val="Emphasis"/>
          <w:rFonts w:ascii="Times New Roman" w:hAnsi="Times New Roman"/>
          <w:caps w:val="false"/>
          <w:smallCaps w:val="false"/>
          <w:sz w:val="20"/>
        </w:rPr>
        <w:t>100%</w:t>
      </w:r>
      <w:r>
        <w:rPr>
          <w:rFonts w:ascii="Times New Roman" w:hAnsi="Times New Roman"/>
          <w:caps w:val="false"/>
          <w:smallCaps w:val="false"/>
          <w:sz w:val="20"/>
        </w:rPr>
        <w:t xml:space="preserve"> of the Share Pool. As of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 xml:space="preserve">an aggregate 1,117,099 shares have been awarded net of forfeitures, and 18,085 shares remain available for issuance under the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Plan. The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Plan permits the granting of incentive stock options, restricted stock awards, other stock-based awards or other cash-based awards to employees, directors, and non-employee consultants.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Option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fair value of each employee and non-employee stock option grant is estimated on the date of grant using the Black-Scholes option-pricing model. The Company is a public company and has limited company-specific historical and implied volatility information. Therefore, it estimates its expected stock volatility based on the limited company-specific historical volatility and implied volatility. The expected term of the Company’s stock options for employees has been determined utilizing the “simplified” method for awards. The risk-free interest rate is determined by reference to the U.S. Treasury yield curve. Expected dividend yield is zero based on the fact that the Company has never paid cash dividends and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expect to pay any cash dividends in the foreseeable future. Additionally, certain options granted contain terms that require all unvested options to immediately vest a) upon the approval of an NDA by the FDA for </w:t>
      </w:r>
      <w:r>
        <w:rPr>
          <w:rStyle w:val="Emphasis"/>
          <w:rFonts w:ascii="Times New Roman" w:hAnsi="Times New Roman"/>
          <w:caps w:val="false"/>
          <w:smallCaps w:val="false"/>
          <w:sz w:val="20"/>
        </w:rPr>
        <w:t>NRX</w:t>
        <w:noBreakHyphen/>
        <w:t>101,</w:t>
      </w:r>
      <w:r>
        <w:rPr>
          <w:rFonts w:ascii="Times New Roman" w:hAnsi="Times New Roman"/>
          <w:caps w:val="false"/>
          <w:smallCaps w:val="false"/>
          <w:sz w:val="20"/>
        </w:rPr>
        <w:t xml:space="preserve"> or b) immediately preceding a change in control of the Company, whichever occurs first.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February 7, 2025, </w:t>
      </w:r>
      <w:r>
        <w:rPr>
          <w:rFonts w:ascii="Times New Roman" w:hAnsi="Times New Roman"/>
          <w:caps w:val="false"/>
          <w:smallCaps w:val="false"/>
          <w:sz w:val="20"/>
        </w:rPr>
        <w:t xml:space="preserve">the Company issued 50,000 stock options. These shares have a vesting term of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years, an expiration date of ten years from the grant date, and were valued at approximately $0.1 million as of the grant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April 9, 2025, </w:t>
      </w:r>
      <w:r>
        <w:rPr>
          <w:rFonts w:ascii="Times New Roman" w:hAnsi="Times New Roman"/>
          <w:caps w:val="false"/>
          <w:smallCaps w:val="false"/>
          <w:sz w:val="20"/>
        </w:rPr>
        <w:t>the Company issued 497,000 stock options. These shares have a vesting term of three years, an expiration date of ten years from the grant date, and were valued at approximately $0.6 million as of the grant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stock options granted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were valued utilizing the Black-Scholes options pricing model with the following inputs: $1.78-2.94 of stock price, 3.91%-4.31% risk-free rate, 127%-126.76% volatility, 0% dividend rate, and the expected term of 3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 w:hAnsi="Times New Roman"/>
          <w:caps w:val="false"/>
          <w:smallCaps w:val="false"/>
          <w:sz w:val="20"/>
        </w:rPr>
        <w:t xml:space="preserve">The following table summarizes the Company’s employee and non-employee stock option activity under the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Plan for the following periods:</w:t>
      </w:r>
    </w:p>
    <w:p>
      <w:pPr>
        <w:pStyle w:val="TextBody"/>
        <w:bidi w:val="0"/>
        <w:spacing w:before="0" w:after="0"/>
        <w:ind w:left="0" w:right="0" w:hanging="0"/>
        <w:jc w:val="left"/>
        <w:rPr>
          <w:caps w:val="false"/>
          <w:smallCaps w:val="false"/>
        </w:rPr>
      </w:pPr>
      <w:r>
        <w:rPr>
          <w:caps w:val="false"/>
          <w:smallCaps w:val="false"/>
        </w:rPr>
        <w:t> </w:t>
      </w:r>
    </w:p>
    <w:tbl>
      <w:tblPr>
        <w:tblW w:w="8397" w:type="dxa"/>
        <w:jc w:val="left"/>
        <w:tblInd w:w="0" w:type="dxa"/>
        <w:tblLayout w:type="fixed"/>
        <w:tblCellMar>
          <w:top w:w="0" w:type="dxa"/>
          <w:left w:w="0" w:type="dxa"/>
          <w:bottom w:w="0" w:type="dxa"/>
          <w:right w:w="0" w:type="dxa"/>
        </w:tblCellMar>
      </w:tblPr>
      <w:tblGrid>
        <w:gridCol w:w="4145"/>
        <w:gridCol w:w="60"/>
        <w:gridCol w:w="71"/>
        <w:gridCol w:w="893"/>
        <w:gridCol w:w="80"/>
        <w:gridCol w:w="60"/>
        <w:gridCol w:w="179"/>
        <w:gridCol w:w="695"/>
        <w:gridCol w:w="60"/>
        <w:gridCol w:w="60"/>
        <w:gridCol w:w="135"/>
        <w:gridCol w:w="860"/>
        <w:gridCol w:w="60"/>
        <w:gridCol w:w="60"/>
        <w:gridCol w:w="297"/>
        <w:gridCol w:w="622"/>
        <w:gridCol w:w="60"/>
      </w:tblGrid>
      <w:tr>
        <w:trPr/>
        <w:tc>
          <w:tcPr>
            <w:tcW w:w="41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Number of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Weighted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average</w:t>
              <w:br/>
              <w:t>exercise</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average</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remaining</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contractual</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life (in</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Aggregate</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intrinsic</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value (in</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thousands)</w:t>
            </w:r>
          </w:p>
        </w:tc>
        <w:tc>
          <w:tcPr>
            <w:tcW w:w="60" w:type="dxa"/>
            <w:tcBorders/>
            <w:vAlign w:val="center"/>
          </w:tcPr>
          <w:p>
            <w:pPr>
              <w:pStyle w:val="TableContents"/>
              <w:bidi w:val="0"/>
              <w:spacing w:before="0" w:after="283"/>
              <w:jc w:val="left"/>
              <w:rPr/>
            </w:pPr>
            <w:r>
              <w:rPr/>
              <w:t> </w:t>
            </w:r>
          </w:p>
        </w:tc>
      </w:tr>
      <w:tr>
        <w:trPr/>
        <w:tc>
          <w:tcPr>
            <w:tcW w:w="41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as of December 31, 2023</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8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264,983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8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9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w:t>
            </w:r>
          </w:p>
        </w:tc>
        <w:tc>
          <w:tcPr>
            <w:tcW w:w="60" w:type="dxa"/>
            <w:tcBorders/>
            <w:shd w:fill="CCEEFF" w:val="clear"/>
            <w:vAlign w:val="center"/>
          </w:tcPr>
          <w:p>
            <w:pPr>
              <w:pStyle w:val="TableContents"/>
              <w:bidi w:val="0"/>
              <w:spacing w:before="0" w:after="283"/>
              <w:jc w:val="left"/>
              <w:rPr/>
            </w:pPr>
            <w:r>
              <w:rPr/>
              <w:t> </w:t>
            </w:r>
          </w:p>
        </w:tc>
      </w:tr>
      <w:tr>
        <w:trPr/>
        <w:tc>
          <w:tcPr>
            <w:tcW w:w="41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Options granted</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893"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86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ind w:left="0" w:right="0" w:hanging="0"/>
              <w:jc w:val="left"/>
              <w:rPr/>
            </w:pPr>
            <w:r>
              <w:rPr/>
              <w:t> </w:t>
            </w:r>
          </w:p>
        </w:tc>
        <w:tc>
          <w:tcPr>
            <w:tcW w:w="622"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r>
      <w:tr>
        <w:trPr/>
        <w:tc>
          <w:tcPr>
            <w:tcW w:w="41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Forfeited/Expire</w:t>
            </w:r>
          </w:p>
        </w:tc>
        <w:tc>
          <w:tcPr>
            <w:tcW w:w="60" w:type="dxa"/>
            <w:tcBorders/>
            <w:shd w:fill="CCEEFF" w:val="clear"/>
            <w:vAlign w:val="center"/>
          </w:tcPr>
          <w:p>
            <w:pPr>
              <w:pStyle w:val="TableContents"/>
              <w:bidi w:val="0"/>
              <w:spacing w:before="0" w:after="283"/>
              <w:jc w:val="left"/>
              <w:rPr/>
            </w:pPr>
            <w:r>
              <w:rPr/>
              <w:t> </w:t>
            </w:r>
          </w:p>
        </w:tc>
        <w:tc>
          <w:tcPr>
            <w:tcW w:w="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(143,150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7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r>
      <w:tr>
        <w:trPr/>
        <w:tc>
          <w:tcPr>
            <w:tcW w:w="41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as of December 31, 2024</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8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121,833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8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ind w:left="0" w:right="0" w:hanging="0"/>
              <w:jc w:val="left"/>
              <w:rPr/>
            </w:pPr>
            <w:r>
              <w:rPr/>
              <w:t> </w:t>
            </w:r>
          </w:p>
        </w:tc>
        <w:tc>
          <w:tcPr>
            <w:tcW w:w="62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41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Options granted</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8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547,000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8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 </w:t>
            </w:r>
          </w:p>
        </w:tc>
        <w:tc>
          <w:tcPr>
            <w:tcW w:w="622"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r>
      <w:tr>
        <w:trPr/>
        <w:tc>
          <w:tcPr>
            <w:tcW w:w="41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Forfeited/Expire</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8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(5,380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86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ind w:left="0" w:right="0" w:hanging="0"/>
              <w:jc w:val="left"/>
              <w:rPr/>
            </w:pPr>
            <w:r>
              <w:rPr/>
              <w:t> </w:t>
            </w:r>
          </w:p>
        </w:tc>
        <w:tc>
          <w:tcPr>
            <w:tcW w:w="622"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r>
      <w:tr>
        <w:trPr/>
        <w:tc>
          <w:tcPr>
            <w:tcW w:w="41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as of June 30, 2025</w:t>
            </w:r>
          </w:p>
        </w:tc>
        <w:tc>
          <w:tcPr>
            <w:tcW w:w="60" w:type="dxa"/>
            <w:tcBorders/>
            <w:shd w:fill="CCEEFF" w:val="clear"/>
            <w:vAlign w:val="center"/>
          </w:tcPr>
          <w:p>
            <w:pPr>
              <w:pStyle w:val="TableContents"/>
              <w:bidi w:val="0"/>
              <w:spacing w:before="0" w:after="283"/>
              <w:jc w:val="left"/>
              <w:rPr/>
            </w:pPr>
            <w:r>
              <w:rPr/>
              <w:t> </w:t>
            </w:r>
          </w:p>
        </w:tc>
        <w:tc>
          <w:tcPr>
            <w:tcW w:w="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663,453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41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Options vested and exercisable as of June 30, 2025</w:t>
            </w:r>
          </w:p>
        </w:tc>
        <w:tc>
          <w:tcPr>
            <w:tcW w:w="60" w:type="dxa"/>
            <w:tcBorders/>
            <w:shd w:fill="FFFFFF" w:val="clear"/>
            <w:vAlign w:val="center"/>
          </w:tcPr>
          <w:p>
            <w:pPr>
              <w:pStyle w:val="TableContents"/>
              <w:bidi w:val="0"/>
              <w:spacing w:before="0" w:after="283"/>
              <w:jc w:val="left"/>
              <w:rPr/>
            </w:pPr>
            <w:r>
              <w:rPr/>
              <w:t> </w:t>
            </w:r>
          </w:p>
        </w:tc>
        <w:tc>
          <w:tcPr>
            <w:tcW w:w="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119,281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Stock-based compensation expense related to stock options was less than $0.1 million and $0.1 million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respectively. Stock-based compensation expense related to stock options was less than $0.1 million and approximately $0.3 million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At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the total unrecognized compensation related to unvested employee and non-employee stock option awards granted was $0.7 million, which the Company expects to recognize over a weighted-average period of approximately 2.96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Restricted Stock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presents the Company’s Restricted Stock Activity:</w:t>
      </w:r>
    </w:p>
    <w:p>
      <w:pPr>
        <w:pStyle w:val="TextBody"/>
        <w:bidi w:val="0"/>
        <w:spacing w:before="0" w:after="0"/>
        <w:ind w:left="0" w:right="0" w:hanging="0"/>
        <w:jc w:val="left"/>
        <w:rPr>
          <w:caps w:val="false"/>
          <w:smallCaps w:val="false"/>
        </w:rPr>
      </w:pPr>
      <w:r>
        <w:rPr>
          <w:caps w:val="false"/>
          <w:smallCaps w:val="false"/>
        </w:rPr>
        <w:t> </w:t>
      </w:r>
    </w:p>
    <w:tbl>
      <w:tblPr>
        <w:tblW w:w="5929" w:type="dxa"/>
        <w:jc w:val="left"/>
        <w:tblInd w:w="0" w:type="dxa"/>
        <w:tblLayout w:type="fixed"/>
        <w:tblCellMar>
          <w:top w:w="0" w:type="dxa"/>
          <w:left w:w="0" w:type="dxa"/>
          <w:bottom w:w="0" w:type="dxa"/>
          <w:right w:w="0" w:type="dxa"/>
        </w:tblCellMar>
      </w:tblPr>
      <w:tblGrid>
        <w:gridCol w:w="3620"/>
        <w:gridCol w:w="60"/>
        <w:gridCol w:w="60"/>
        <w:gridCol w:w="695"/>
        <w:gridCol w:w="80"/>
        <w:gridCol w:w="60"/>
        <w:gridCol w:w="319"/>
        <w:gridCol w:w="975"/>
        <w:gridCol w:w="60"/>
      </w:tblGrid>
      <w:tr>
        <w:trPr/>
        <w:tc>
          <w:tcPr>
            <w:tcW w:w="3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Awards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Average Grant</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Date Fair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Value</w:t>
            </w:r>
          </w:p>
        </w:tc>
        <w:tc>
          <w:tcPr>
            <w:tcW w:w="60" w:type="dxa"/>
            <w:tcBorders/>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as of December 31, 2023 (unvested)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124,166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1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5.20</w:t>
            </w:r>
          </w:p>
        </w:tc>
        <w:tc>
          <w:tcPr>
            <w:tcW w:w="60"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Vested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(90,833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31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4.64</w:t>
            </w:r>
          </w:p>
        </w:tc>
        <w:tc>
          <w:tcPr>
            <w:tcW w:w="60"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Forfeited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(33,333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31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5.20</w:t>
            </w:r>
          </w:p>
        </w:tc>
        <w:tc>
          <w:tcPr>
            <w:tcW w:w="60"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as of December 31, 2024 (unvested)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1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5"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Vested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1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Forfeited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1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as of June 30, 2025 (unvested)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July 12, 2022, </w:t>
      </w:r>
      <w:r>
        <w:rPr>
          <w:rFonts w:ascii="Times New Roman" w:hAnsi="Times New Roman"/>
          <w:caps w:val="false"/>
          <w:smallCaps w:val="false"/>
          <w:sz w:val="20"/>
        </w:rPr>
        <w:t>the Board granted an award of 100,000 restricted shares of the Company (“</w:t>
      </w:r>
      <w:r>
        <w:rPr>
          <w:rFonts w:ascii="Times New Roman" w:hAnsi="Times New Roman"/>
          <w:i/>
          <w:caps w:val="false"/>
          <w:smallCaps w:val="false"/>
          <w:sz w:val="20"/>
        </w:rPr>
        <w:t>Restricted Stock</w:t>
      </w:r>
      <w:r>
        <w:rPr>
          <w:rFonts w:ascii="Times New Roman" w:hAnsi="Times New Roman"/>
          <w:caps w:val="false"/>
          <w:smallCaps w:val="false"/>
          <w:sz w:val="20"/>
        </w:rPr>
        <w:t>”) as an inducement to the newly appointed CEO, pursuant to a separate Restricted Stock Award Agreement (the “</w:t>
      </w:r>
      <w:r>
        <w:rPr>
          <w:rFonts w:ascii="Times New Roman" w:hAnsi="Times New Roman"/>
          <w:i/>
          <w:caps w:val="false"/>
          <w:smallCaps w:val="false"/>
          <w:sz w:val="20"/>
        </w:rPr>
        <w:t>RSA</w:t>
      </w:r>
      <w:r>
        <w:rPr>
          <w:rFonts w:ascii="Times New Roman" w:hAnsi="Times New Roman"/>
          <w:caps w:val="false"/>
          <w:smallCaps w:val="false"/>
          <w:sz w:val="20"/>
        </w:rPr>
        <w:t>”). The Restricted Stock vested in approximately equal installments over </w:t>
      </w:r>
      <w:r>
        <w:rPr>
          <w:rStyle w:val="Emphasis"/>
          <w:rFonts w:ascii="Times New Roman" w:hAnsi="Times New Roman"/>
          <w:caps w:val="false"/>
          <w:smallCaps w:val="false"/>
          <w:sz w:val="20"/>
        </w:rPr>
        <w:t>three</w:t>
      </w:r>
      <w:r>
        <w:rPr>
          <w:rFonts w:ascii="Times New Roman" w:hAnsi="Times New Roman"/>
          <w:caps w:val="false"/>
          <w:smallCaps w:val="false"/>
          <w:sz w:val="20"/>
        </w:rPr>
        <w:t> (3) years from the grant date, subject to continued service through the applicable vesting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December 28, 2023, </w:t>
      </w:r>
      <w:r>
        <w:rPr>
          <w:rFonts w:ascii="Times New Roman" w:hAnsi="Times New Roman"/>
          <w:caps w:val="false"/>
          <w:smallCaps w:val="false"/>
          <w:sz w:val="20"/>
        </w:rPr>
        <w:t>the Company granted 57,500 RSAs to a consultant for services provided. The RSAs vested after six months from the grant date. The shares were valued on the grant date based on the quoted price of $4.60 or approximately $0.3 million which was amortized over the vesting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 w:hAnsi="Times New Roman"/>
          <w:caps w:val="false"/>
          <w:smallCaps w:val="false"/>
          <w:sz w:val="20"/>
        </w:rPr>
        <w:t xml:space="preserve">Stock-based compensation expense related to RSAs was $0 and less than $0.1 million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respectively. Stock-based compensation expense related to RSAs was $0 and less than $0.1 million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October 2024, </w:t>
      </w:r>
      <w:r>
        <w:rPr>
          <w:rFonts w:ascii="Times New Roman" w:hAnsi="Times New Roman"/>
          <w:caps w:val="false"/>
          <w:smallCaps w:val="false"/>
          <w:sz w:val="20"/>
        </w:rPr>
        <w:t xml:space="preserve">the Company's CEO announced his resignation and as a result, all unvested RSAs were forfeited. Accordingly, the Company does not expect to recognize any further stock-based compensation expense for the balance of unvested RSAs as of </w:t>
      </w:r>
      <w:r>
        <w:rPr>
          <w:rStyle w:val="Emphasis"/>
          <w:rFonts w:ascii="Times New Roman" w:hAnsi="Times New Roman"/>
          <w:caps w:val="false"/>
          <w:smallCaps w:val="false"/>
          <w:sz w:val="20"/>
        </w:rPr>
        <w:t>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summarizes the Company’s recognition of stock-based compensation for the following periods (in thousands):</w:t>
      </w:r>
    </w:p>
    <w:p>
      <w:pPr>
        <w:pStyle w:val="TextBody"/>
        <w:bidi w:val="0"/>
        <w:spacing w:before="0" w:after="0"/>
        <w:ind w:left="0" w:right="0" w:hanging="0"/>
        <w:jc w:val="left"/>
        <w:rPr>
          <w:caps w:val="false"/>
          <w:smallCaps w:val="false"/>
        </w:rPr>
      </w:pPr>
      <w:r>
        <w:rPr>
          <w:caps w:val="false"/>
          <w:smallCaps w:val="false"/>
        </w:rPr>
        <w:t> </w:t>
      </w:r>
    </w:p>
    <w:tbl>
      <w:tblPr>
        <w:tblW w:w="6849" w:type="dxa"/>
        <w:jc w:val="left"/>
        <w:tblInd w:w="0" w:type="dxa"/>
        <w:tblLayout w:type="fixed"/>
        <w:tblCellMar>
          <w:top w:w="0" w:type="dxa"/>
          <w:left w:w="0" w:type="dxa"/>
          <w:bottom w:w="0" w:type="dxa"/>
          <w:right w:w="0" w:type="dxa"/>
        </w:tblCellMar>
      </w:tblPr>
      <w:tblGrid>
        <w:gridCol w:w="3350"/>
        <w:gridCol w:w="60"/>
        <w:gridCol w:w="267"/>
        <w:gridCol w:w="491"/>
        <w:gridCol w:w="128"/>
        <w:gridCol w:w="128"/>
        <w:gridCol w:w="267"/>
        <w:gridCol w:w="491"/>
        <w:gridCol w:w="60"/>
        <w:gridCol w:w="60"/>
        <w:gridCol w:w="199"/>
        <w:gridCol w:w="366"/>
        <w:gridCol w:w="95"/>
        <w:gridCol w:w="95"/>
        <w:gridCol w:w="199"/>
        <w:gridCol w:w="533"/>
        <w:gridCol w:w="60"/>
      </w:tblGrid>
      <w:tr>
        <w:trPr/>
        <w:tc>
          <w:tcPr>
            <w:tcW w:w="3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7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Three months ended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8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60" w:type="dxa"/>
            <w:tcBorders/>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5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28"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ind w:left="0" w:right="0" w:hanging="0"/>
              <w:jc w:val="left"/>
              <w:rPr/>
            </w:pPr>
            <w:r>
              <w:rPr/>
              <w:t> </w:t>
            </w:r>
          </w:p>
        </w:tc>
        <w:tc>
          <w:tcPr>
            <w:tcW w:w="75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9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ind w:left="0" w:right="0" w:hanging="0"/>
              <w:jc w:val="left"/>
              <w:rPr/>
            </w:pPr>
            <w:r>
              <w:rPr/>
              <w:t> </w:t>
            </w:r>
          </w:p>
        </w:tc>
        <w:tc>
          <w:tcPr>
            <w:tcW w:w="7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379" w:type="dxa"/>
            <w:gridSpan w:val="14"/>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60" w:type="dxa"/>
            <w:tcBorders/>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366"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53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FFFFFF" w:val="clear"/>
            <w:vAlign w:val="center"/>
          </w:tcPr>
          <w:p>
            <w:pPr>
              <w:pStyle w:val="TableContents"/>
              <w:bidi w:val="0"/>
              <w:spacing w:before="0" w:after="283"/>
              <w:ind w:left="0" w:right="0" w:hanging="0"/>
              <w:jc w:val="left"/>
              <w:rPr/>
            </w:pPr>
            <w:r>
              <w:rPr/>
              <w:t> </w:t>
            </w:r>
          </w:p>
        </w:tc>
        <w:tc>
          <w:tcPr>
            <w:tcW w:w="26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w:t>
            </w:r>
          </w:p>
        </w:tc>
        <w:tc>
          <w:tcPr>
            <w:tcW w:w="128"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26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19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283</w:t>
            </w:r>
          </w:p>
        </w:tc>
        <w:tc>
          <w:tcPr>
            <w:tcW w:w="60"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2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128"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2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w:t>
            </w:r>
          </w:p>
        </w:tc>
        <w:tc>
          <w:tcPr>
            <w:tcW w:w="60"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stock-based compensation expense</w:t>
            </w:r>
          </w:p>
        </w:tc>
        <w:tc>
          <w:tcPr>
            <w:tcW w:w="60" w:type="dxa"/>
            <w:tcBorders/>
            <w:shd w:fill="FFFFFF" w:val="clear"/>
            <w:vAlign w:val="center"/>
          </w:tcPr>
          <w:p>
            <w:pPr>
              <w:pStyle w:val="TableContents"/>
              <w:bidi w:val="0"/>
              <w:spacing w:before="0" w:after="283"/>
              <w:ind w:left="0" w:right="0" w:hanging="0"/>
              <w:jc w:val="left"/>
              <w:rPr/>
            </w:pPr>
            <w:r>
              <w:rPr/>
              <w:t> </w:t>
            </w:r>
          </w:p>
        </w:tc>
        <w:tc>
          <w:tcPr>
            <w:tcW w:w="26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9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w:t>
            </w:r>
          </w:p>
        </w:tc>
        <w:tc>
          <w:tcPr>
            <w:tcW w:w="128"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26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9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6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19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3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11.</w:t>
      </w:r>
      <w:r>
        <w:rPr>
          <w:rFonts w:ascii="Times New Roman" w:hAnsi="Times New Roman"/>
          <w:b/>
          <w:caps w:val="false"/>
          <w:smallCaps w:val="false"/>
          <w:sz w:val="20"/>
        </w:rPr>
        <w:t xml:space="preserve"> Fair Value Measurements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Fair value measurements discussed herein are based upon certain market assumptions and pertinent information available to management as of and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The carrying amount of accounts payable approximated fair value as they are short term in nature. The fair value of stock options and warrants issued for services, and warrants issued with the Convertible Notes are estimated based on the Black-Scholes model. The fair value of the convertible notes payable was estimated utilizing a Monte Carlo simulation.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Fair Value on a Recurring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follows the guidance in ASC </w:t>
      </w:r>
      <w:r>
        <w:rPr>
          <w:rStyle w:val="Emphasis"/>
          <w:rFonts w:ascii="Times New Roman" w:hAnsi="Times New Roman"/>
          <w:caps w:val="false"/>
          <w:smallCaps w:val="false"/>
          <w:sz w:val="20"/>
        </w:rPr>
        <w:t>820</w:t>
      </w:r>
      <w:r>
        <w:rPr>
          <w:rFonts w:ascii="Times New Roman" w:hAnsi="Times New Roman"/>
          <w:caps w:val="false"/>
          <w:smallCaps w:val="false"/>
          <w:sz w:val="20"/>
        </w:rPr>
        <w:t xml:space="preserve"> for its financial assets and liabilities that are re-measured and reported at fair value at each reporting period, and non-financial assets and liabilities that are re-measured and reported at fair value at least annually. The estimated fair value of the money market account represents a 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measurement. The estimated fair value of the warrant liabilities and convertible note payable represent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measurements. The following table presents information about the Company’s assets and liabilities that are measured at fair value on a recurring basis at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31, 2024, </w:t>
      </w:r>
      <w:r>
        <w:rPr>
          <w:rFonts w:ascii="Times New Roman" w:hAnsi="Times New Roman"/>
          <w:caps w:val="false"/>
          <w:smallCaps w:val="false"/>
          <w:sz w:val="20"/>
        </w:rPr>
        <w:t>and indicates the fair value hierarchy of the valuation inputs the Company utilized to determine such fair value (in thousands):</w:t>
      </w:r>
    </w:p>
    <w:p>
      <w:pPr>
        <w:pStyle w:val="TextBody"/>
        <w:bidi w:val="0"/>
        <w:spacing w:before="0" w:after="0"/>
        <w:ind w:left="0" w:right="0" w:hanging="0"/>
        <w:jc w:val="left"/>
        <w:rPr>
          <w:caps w:val="false"/>
          <w:smallCaps w:val="false"/>
        </w:rPr>
      </w:pPr>
      <w:r>
        <w:rPr>
          <w:caps w:val="false"/>
          <w:smallCaps w:val="false"/>
        </w:rPr>
        <w:t> </w:t>
      </w:r>
    </w:p>
    <w:tbl>
      <w:tblPr>
        <w:tblW w:w="7503" w:type="dxa"/>
        <w:jc w:val="left"/>
        <w:tblInd w:w="0" w:type="dxa"/>
        <w:tblLayout w:type="fixed"/>
        <w:tblCellMar>
          <w:top w:w="0" w:type="dxa"/>
          <w:left w:w="0" w:type="dxa"/>
          <w:bottom w:w="28" w:type="dxa"/>
          <w:right w:w="0" w:type="dxa"/>
        </w:tblCellMar>
      </w:tblPr>
      <w:tblGrid>
        <w:gridCol w:w="4460"/>
        <w:gridCol w:w="60"/>
        <w:gridCol w:w="162"/>
        <w:gridCol w:w="338"/>
        <w:gridCol w:w="60"/>
        <w:gridCol w:w="60"/>
        <w:gridCol w:w="176"/>
        <w:gridCol w:w="833"/>
        <w:gridCol w:w="60"/>
        <w:gridCol w:w="60"/>
        <w:gridCol w:w="240"/>
        <w:gridCol w:w="934"/>
        <w:gridCol w:w="60"/>
      </w:tblGrid>
      <w:tr>
        <w:trPr/>
        <w:tc>
          <w:tcPr>
            <w:tcW w:w="446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Description</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50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Level</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00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tcMar>
              <w:bottom w:w="0" w:type="dxa"/>
            </w:tcMar>
            <w:vAlign w:val="center"/>
          </w:tcPr>
          <w:p>
            <w:pPr>
              <w:pStyle w:val="TableContents"/>
              <w:bidi w:val="0"/>
              <w:spacing w:before="0" w:after="283"/>
              <w:jc w:val="left"/>
              <w:rPr/>
            </w:pPr>
            <w:r>
              <w:rPr/>
              <w:t> </w:t>
            </w:r>
          </w:p>
        </w:tc>
      </w:tr>
      <w:tr>
        <w:trPr/>
        <w:tc>
          <w:tcPr>
            <w:tcW w:w="44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2" w:type="dxa"/>
            <w:tcBorders/>
            <w:tcMar>
              <w:bottom w:w="0" w:type="dxa"/>
            </w:tcMar>
            <w:vAlign w:val="center"/>
          </w:tcPr>
          <w:p>
            <w:pPr>
              <w:pStyle w:val="TableContents"/>
              <w:bidi w:val="0"/>
              <w:spacing w:before="0" w:after="283"/>
              <w:jc w:val="left"/>
              <w:rPr/>
            </w:pPr>
            <w:r>
              <w:rPr/>
              <w:t> </w:t>
            </w:r>
          </w:p>
        </w:tc>
        <w:tc>
          <w:tcPr>
            <w:tcW w:w="338"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009" w:type="dxa"/>
            <w:gridSpan w:val="2"/>
            <w:tcBorders/>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40" w:type="dxa"/>
            <w:tcBorders/>
            <w:tcMar>
              <w:bottom w:w="0" w:type="dxa"/>
            </w:tcMar>
            <w:vAlign w:val="center"/>
          </w:tcPr>
          <w:p>
            <w:pPr>
              <w:pStyle w:val="TableContents"/>
              <w:bidi w:val="0"/>
              <w:spacing w:before="0" w:after="283"/>
              <w:jc w:val="left"/>
              <w:rPr/>
            </w:pPr>
            <w:r>
              <w:rPr/>
              <w:t> </w:t>
            </w:r>
          </w:p>
        </w:tc>
        <w:tc>
          <w:tcPr>
            <w:tcW w:w="934"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446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 w:type="dxa"/>
            <w:tcBorders/>
            <w:shd w:fill="CCEEFF" w:val="clear"/>
            <w:tcMar>
              <w:bottom w:w="0" w:type="dxa"/>
            </w:tcMar>
            <w:vAlign w:val="center"/>
          </w:tcPr>
          <w:p>
            <w:pPr>
              <w:pStyle w:val="TableContents"/>
              <w:bidi w:val="0"/>
              <w:spacing w:before="0" w:after="283"/>
              <w:jc w:val="left"/>
              <w:rPr/>
            </w:pPr>
            <w:r>
              <w:rPr/>
              <w:t> </w:t>
            </w:r>
          </w:p>
        </w:tc>
        <w:tc>
          <w:tcPr>
            <w:tcW w:w="33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pPr>
            <w:r>
              <w:rPr/>
              <w:t> </w:t>
            </w:r>
          </w:p>
        </w:tc>
        <w:tc>
          <w:tcPr>
            <w:tcW w:w="83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0" w:type="dxa"/>
            <w:tcBorders/>
            <w:shd w:fill="CCEEFF" w:val="clear"/>
            <w:tcMar>
              <w:bottom w:w="0" w:type="dxa"/>
            </w:tcMar>
            <w:vAlign w:val="center"/>
          </w:tcPr>
          <w:p>
            <w:pPr>
              <w:pStyle w:val="TableContents"/>
              <w:bidi w:val="0"/>
              <w:spacing w:before="0" w:after="283"/>
              <w:jc w:val="left"/>
              <w:rPr/>
            </w:pPr>
            <w:r>
              <w:rPr/>
              <w:t> </w:t>
            </w:r>
          </w:p>
        </w:tc>
        <w:tc>
          <w:tcPr>
            <w:tcW w:w="93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4460"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Money Market Account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2" w:type="dxa"/>
            <w:tcBorders/>
            <w:shd w:fill="FFFFFF" w:val="clear"/>
            <w:tcMar>
              <w:bottom w:w="0" w:type="dxa"/>
            </w:tcMar>
            <w:vAlign w:val="center"/>
          </w:tcPr>
          <w:p>
            <w:pPr>
              <w:pStyle w:val="TableContents"/>
              <w:bidi w:val="0"/>
              <w:spacing w:before="0" w:after="283"/>
              <w:ind w:left="0" w:right="0" w:hanging="0"/>
              <w:jc w:val="left"/>
              <w:rPr/>
            </w:pPr>
            <w:r>
              <w:rPr/>
              <w:t> </w:t>
            </w:r>
          </w:p>
        </w:tc>
        <w:tc>
          <w:tcPr>
            <w:tcW w:w="338" w:type="dxa"/>
            <w:tcBorders/>
            <w:shd w:fill="FFFFFF" w:val="clear"/>
            <w:tcMar>
              <w:bottom w:w="0" w:type="dxa"/>
            </w:tcMar>
            <w:vAlign w:val="center"/>
          </w:tcPr>
          <w:p>
            <w:pPr>
              <w:pStyle w:val="TableContents"/>
              <w:bidi w:val="0"/>
              <w:spacing w:before="0" w:after="283"/>
              <w:ind w:left="0" w:right="0" w:hanging="0"/>
              <w:jc w:val="center"/>
              <w:rPr/>
            </w:pPr>
            <w:r>
              <w:rPr>
                <w:rStyle w:val="Emphasis"/>
                <w:rFonts w:ascii="Times New Roman;Times;serif" w:hAnsi="Times New Roman;Times;serif"/>
                <w:sz w:val="20"/>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76"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40"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487</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44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 w:type="dxa"/>
            <w:tcBorders/>
            <w:shd w:fill="CCEEFF" w:val="clear"/>
            <w:tcMar>
              <w:bottom w:w="0" w:type="dxa"/>
            </w:tcMar>
            <w:vAlign w:val="center"/>
          </w:tcPr>
          <w:p>
            <w:pPr>
              <w:pStyle w:val="TableContents"/>
              <w:bidi w:val="0"/>
              <w:spacing w:before="0" w:after="283"/>
              <w:jc w:val="left"/>
              <w:rPr/>
            </w:pPr>
            <w:r>
              <w:rPr/>
              <w:t> </w:t>
            </w:r>
          </w:p>
        </w:tc>
        <w:tc>
          <w:tcPr>
            <w:tcW w:w="338"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pPr>
            <w:r>
              <w:rPr/>
              <w:t> </w:t>
            </w:r>
          </w:p>
        </w:tc>
        <w:tc>
          <w:tcPr>
            <w:tcW w:w="83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0" w:type="dxa"/>
            <w:tcBorders/>
            <w:shd w:fill="CCEEFF" w:val="clear"/>
            <w:tcMar>
              <w:bottom w:w="0" w:type="dxa"/>
            </w:tcMar>
            <w:vAlign w:val="center"/>
          </w:tcPr>
          <w:p>
            <w:pPr>
              <w:pStyle w:val="TableContents"/>
              <w:bidi w:val="0"/>
              <w:spacing w:before="0" w:after="283"/>
              <w:jc w:val="left"/>
              <w:rPr/>
            </w:pPr>
            <w:r>
              <w:rPr/>
              <w:t> </w:t>
            </w:r>
          </w:p>
        </w:tc>
        <w:tc>
          <w:tcPr>
            <w:tcW w:w="93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446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2" w:type="dxa"/>
            <w:tcBorders/>
            <w:shd w:fill="FFFFFF" w:val="clear"/>
            <w:tcMar>
              <w:bottom w:w="0" w:type="dxa"/>
            </w:tcMar>
            <w:vAlign w:val="center"/>
          </w:tcPr>
          <w:p>
            <w:pPr>
              <w:pStyle w:val="TableContents"/>
              <w:bidi w:val="0"/>
              <w:spacing w:before="0" w:after="283"/>
              <w:jc w:val="left"/>
              <w:rPr/>
            </w:pPr>
            <w:r>
              <w:rPr/>
              <w:t> </w:t>
            </w:r>
          </w:p>
        </w:tc>
        <w:tc>
          <w:tcPr>
            <w:tcW w:w="338"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 w:type="dxa"/>
            <w:tcBorders/>
            <w:shd w:fill="FFFFFF" w:val="clear"/>
            <w:tcMar>
              <w:bottom w:w="0" w:type="dxa"/>
            </w:tcMar>
            <w:vAlign w:val="center"/>
          </w:tcPr>
          <w:p>
            <w:pPr>
              <w:pStyle w:val="TableContents"/>
              <w:bidi w:val="0"/>
              <w:spacing w:before="0" w:after="283"/>
              <w:jc w:val="left"/>
              <w:rPr/>
            </w:pPr>
            <w:r>
              <w:rPr/>
              <w:t> </w:t>
            </w:r>
          </w:p>
        </w:tc>
        <w:tc>
          <w:tcPr>
            <w:tcW w:w="83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0" w:type="dxa"/>
            <w:tcBorders/>
            <w:shd w:fill="FFFFFF" w:val="clear"/>
            <w:tcMar>
              <w:bottom w:w="0" w:type="dxa"/>
            </w:tcMar>
            <w:vAlign w:val="center"/>
          </w:tcPr>
          <w:p>
            <w:pPr>
              <w:pStyle w:val="TableContents"/>
              <w:bidi w:val="0"/>
              <w:spacing w:before="0" w:after="283"/>
              <w:jc w:val="left"/>
              <w:rPr/>
            </w:pPr>
            <w:r>
              <w:rPr/>
              <w:t> </w:t>
            </w:r>
          </w:p>
        </w:tc>
        <w:tc>
          <w:tcPr>
            <w:tcW w:w="93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4460"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Warrant liabilities (Note 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 w:type="dxa"/>
            <w:tcBorders/>
            <w:shd w:fill="CCEEFF" w:val="clear"/>
            <w:tcMar>
              <w:bottom w:w="0" w:type="dxa"/>
            </w:tcMar>
            <w:vAlign w:val="center"/>
          </w:tcPr>
          <w:p>
            <w:pPr>
              <w:pStyle w:val="TableContents"/>
              <w:bidi w:val="0"/>
              <w:spacing w:before="0" w:after="283"/>
              <w:ind w:left="0" w:right="0" w:hanging="0"/>
              <w:jc w:val="left"/>
              <w:rPr/>
            </w:pPr>
            <w:r>
              <w:rPr/>
              <w:t> </w:t>
            </w:r>
          </w:p>
        </w:tc>
        <w:tc>
          <w:tcPr>
            <w:tcW w:w="338" w:type="dxa"/>
            <w:tcBorders/>
            <w:shd w:fill="CCEEFF" w:val="clear"/>
            <w:tcMar>
              <w:bottom w:w="0" w:type="dxa"/>
            </w:tcMar>
            <w:vAlign w:val="center"/>
          </w:tcPr>
          <w:p>
            <w:pPr>
              <w:pStyle w:val="TableContents"/>
              <w:bidi w:val="0"/>
              <w:spacing w:before="0" w:after="283"/>
              <w:ind w:left="0" w:right="0" w:hanging="0"/>
              <w:jc w:val="center"/>
              <w:rPr/>
            </w:pPr>
            <w:r>
              <w:rPr>
                <w:rStyle w:val="Emphasis"/>
                <w:rFonts w:ascii="Times New Roman;Times;serif" w:hAnsi="Times New Roman;Times;serif"/>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76"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16,266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4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5,639</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4460"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Convertible note payable and accrued interest (Note 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2" w:type="dxa"/>
            <w:tcBorders/>
            <w:shd w:fill="FFFFFF" w:val="clear"/>
            <w:tcMar>
              <w:bottom w:w="0" w:type="dxa"/>
            </w:tcMar>
            <w:vAlign w:val="center"/>
          </w:tcPr>
          <w:p>
            <w:pPr>
              <w:pStyle w:val="TableContents"/>
              <w:bidi w:val="0"/>
              <w:spacing w:before="0" w:after="283"/>
              <w:ind w:left="0" w:right="0" w:hanging="0"/>
              <w:jc w:val="left"/>
              <w:rPr/>
            </w:pPr>
            <w:r>
              <w:rPr/>
              <w:t> </w:t>
            </w:r>
          </w:p>
        </w:tc>
        <w:tc>
          <w:tcPr>
            <w:tcW w:w="338" w:type="dxa"/>
            <w:tcBorders/>
            <w:shd w:fill="FFFFFF" w:val="clear"/>
            <w:tcMar>
              <w:bottom w:w="0" w:type="dxa"/>
            </w:tcMar>
            <w:vAlign w:val="center"/>
          </w:tcPr>
          <w:p>
            <w:pPr>
              <w:pStyle w:val="TableContents"/>
              <w:bidi w:val="0"/>
              <w:spacing w:before="0" w:after="283"/>
              <w:ind w:left="0" w:right="0" w:hanging="0"/>
              <w:jc w:val="center"/>
              <w:rPr/>
            </w:pPr>
            <w:r>
              <w:rPr>
                <w:rStyle w:val="Emphasis"/>
                <w:rFonts w:ascii="Times New Roman;Times;serif" w:hAnsi="Times New Roman;Times;serif"/>
                <w:sz w:val="20"/>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76"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9,854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40"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6,257</w:t>
            </w:r>
          </w:p>
        </w:tc>
        <w:tc>
          <w:tcPr>
            <w:tcW w:w="6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Convertible Note Payable - Anson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significant inputs used in the Monte Carlo simulation to measure the Anson note liability that is categorized within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of the fair value hierarchy are as follows:</w:t>
      </w:r>
    </w:p>
    <w:p>
      <w:pPr>
        <w:pStyle w:val="TextBody"/>
        <w:bidi w:val="0"/>
        <w:spacing w:before="0" w:after="0"/>
        <w:ind w:left="0" w:right="0" w:hanging="0"/>
        <w:jc w:val="left"/>
        <w:rPr>
          <w:caps w:val="false"/>
          <w:smallCaps w:val="false"/>
        </w:rPr>
      </w:pPr>
      <w:r>
        <w:rPr>
          <w:caps w:val="false"/>
          <w:smallCaps w:val="false"/>
        </w:rPr>
        <w:t> </w:t>
      </w:r>
    </w:p>
    <w:tbl>
      <w:tblPr>
        <w:tblW w:w="5300" w:type="dxa"/>
        <w:jc w:val="left"/>
        <w:tblInd w:w="0" w:type="dxa"/>
        <w:tblLayout w:type="fixed"/>
        <w:tblCellMar>
          <w:top w:w="0" w:type="dxa"/>
          <w:left w:w="0" w:type="dxa"/>
          <w:bottom w:w="0" w:type="dxa"/>
          <w:right w:w="0" w:type="dxa"/>
        </w:tblCellMar>
      </w:tblPr>
      <w:tblGrid>
        <w:gridCol w:w="3665"/>
        <w:gridCol w:w="60"/>
        <w:gridCol w:w="60"/>
        <w:gridCol w:w="650"/>
        <w:gridCol w:w="140"/>
        <w:gridCol w:w="650"/>
        <w:gridCol w:w="75"/>
      </w:tblGrid>
      <w:tr>
        <w:trPr/>
        <w:tc>
          <w:tcPr>
            <w:tcW w:w="3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00" w:type="dxa"/>
            <w:gridSpan w:val="4"/>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75" w:type="dxa"/>
            <w:tcBorders/>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00"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75" w:type="dxa"/>
            <w:tcBorders/>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price on valuation date</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40" w:type="dxa"/>
            <w:gridSpan w:val="3"/>
            <w:tcBorders/>
            <w:shd w:fill="CCEEFF" w:val="clear"/>
            <w:vAlign w:val="center"/>
          </w:tcPr>
          <w:p>
            <w:pPr>
              <w:pStyle w:val="TableContents"/>
              <w:bidi w:val="0"/>
              <w:spacing w:before="0" w:after="283"/>
              <w:ind w:left="0" w:right="0" w:hanging="0"/>
              <w:jc w:val="center"/>
              <w:rPr/>
            </w:pPr>
            <w:r>
              <w:rPr>
                <w:rStyle w:val="Emphasis"/>
                <w:rFonts w:ascii="Times New Roman;Times;serif" w:hAnsi="Times New Roman;Times;serif"/>
                <w:sz w:val="20"/>
              </w:rPr>
              <w:t>$3.26</w:t>
            </w:r>
          </w:p>
        </w:tc>
        <w:tc>
          <w:tcPr>
            <w:tcW w:w="75"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Time to expiration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0.54</w:t>
            </w:r>
          </w:p>
        </w:tc>
        <w:tc>
          <w:tcPr>
            <w:tcW w:w="140" w:type="dxa"/>
            <w:tcBorders/>
            <w:shd w:fill="FFFFFF" w:val="clear"/>
            <w:vAlign w:val="center"/>
          </w:tcPr>
          <w:p>
            <w:pPr>
              <w:pStyle w:val="TableContents"/>
              <w:bidi w:val="0"/>
              <w:spacing w:before="0" w:after="283"/>
              <w:ind w:left="0" w:right="0" w:hanging="0"/>
              <w:jc w:val="center"/>
              <w:rPr/>
            </w:pPr>
            <w:r>
              <w:rPr/>
              <w:t>–</w:t>
            </w:r>
          </w:p>
        </w:tc>
        <w:tc>
          <w:tcPr>
            <w:tcW w:w="65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0.83</w:t>
            </w:r>
          </w:p>
        </w:tc>
        <w:tc>
          <w:tcPr>
            <w:tcW w:w="75" w:type="dxa"/>
            <w:tcBorders/>
            <w:shd w:fill="FFFFFF" w:val="cle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debt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40" w:type="dxa"/>
            <w:gridSpan w:val="3"/>
            <w:tcBorders/>
            <w:shd w:fill="CCEEFF" w:val="clear"/>
            <w:vAlign w:val="center"/>
          </w:tcPr>
          <w:p>
            <w:pPr>
              <w:pStyle w:val="TableContents"/>
              <w:bidi w:val="0"/>
              <w:spacing w:before="0" w:after="283"/>
              <w:ind w:left="0" w:right="0" w:hanging="0"/>
              <w:jc w:val="center"/>
              <w:rPr/>
            </w:pPr>
            <w:r>
              <w:rPr>
                <w:rStyle w:val="Emphasis"/>
                <w:rFonts w:ascii="Times New Roman;Times;serif" w:hAnsi="Times New Roman;Times;serif"/>
                <w:sz w:val="20"/>
              </w:rPr>
              <w:t>12.66%</w:t>
            </w:r>
          </w:p>
        </w:tc>
        <w:tc>
          <w:tcPr>
            <w:tcW w:w="75"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Equity volatility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117.5%</w:t>
            </w:r>
          </w:p>
        </w:tc>
        <w:tc>
          <w:tcPr>
            <w:tcW w:w="140" w:type="dxa"/>
            <w:tcBorders/>
            <w:shd w:fill="FFFFFF" w:val="clear"/>
            <w:vAlign w:val="center"/>
          </w:tcPr>
          <w:p>
            <w:pPr>
              <w:pStyle w:val="TableContents"/>
              <w:bidi w:val="0"/>
              <w:spacing w:before="0" w:after="283"/>
              <w:ind w:left="0" w:right="0" w:hanging="0"/>
              <w:jc w:val="center"/>
              <w:rPr/>
            </w:pPr>
            <w:r>
              <w:rPr/>
              <w:t>–</w:t>
            </w:r>
          </w:p>
        </w:tc>
        <w:tc>
          <w:tcPr>
            <w:tcW w:w="65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138.0%</w:t>
            </w:r>
          </w:p>
        </w:tc>
        <w:tc>
          <w:tcPr>
            <w:tcW w:w="75" w:type="dxa"/>
            <w:tcBorders/>
            <w:shd w:fill="FFFFFF" w:val="cle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Risk-free rate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40" w:type="dxa"/>
            <w:gridSpan w:val="3"/>
            <w:tcBorders/>
            <w:shd w:fill="CCEEFF" w:val="clear"/>
            <w:vAlign w:val="center"/>
          </w:tcPr>
          <w:p>
            <w:pPr>
              <w:pStyle w:val="TableContents"/>
              <w:bidi w:val="0"/>
              <w:spacing w:before="0" w:after="283"/>
              <w:ind w:left="0" w:right="0" w:hanging="0"/>
              <w:jc w:val="center"/>
              <w:rPr/>
            </w:pPr>
            <w:r>
              <w:rPr>
                <w:rStyle w:val="Emphasis"/>
                <w:rFonts w:ascii="Times New Roman;Times;serif" w:hAnsi="Times New Roman;Times;serif"/>
                <w:sz w:val="20"/>
              </w:rPr>
              <w:t>4.07%</w:t>
            </w:r>
          </w:p>
        </w:tc>
        <w:tc>
          <w:tcPr>
            <w:tcW w:w="75"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Probability of credit default prior to maturity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40" w:type="dxa"/>
            <w:gridSpan w:val="3"/>
            <w:tcBorders/>
            <w:shd w:fill="FFFFFF" w:val="clear"/>
            <w:vAlign w:val="center"/>
          </w:tcPr>
          <w:p>
            <w:pPr>
              <w:pStyle w:val="TableContents"/>
              <w:bidi w:val="0"/>
              <w:spacing w:before="0" w:after="283"/>
              <w:ind w:left="0" w:right="0" w:hanging="0"/>
              <w:jc w:val="center"/>
              <w:rPr/>
            </w:pPr>
            <w:r>
              <w:rPr>
                <w:rStyle w:val="Emphasis"/>
                <w:rFonts w:ascii="Times New Roman;Times;serif" w:hAnsi="Times New Roman;Times;serif"/>
                <w:sz w:val="20"/>
              </w:rPr>
              <w:t>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following table sets forth a summary of the changes in the fair value of the Anson Note categorized within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of the fair value hierarchy (in thousands):</w:t>
      </w:r>
    </w:p>
    <w:p>
      <w:pPr>
        <w:pStyle w:val="TextBody"/>
        <w:bidi w:val="0"/>
        <w:spacing w:before="0" w:after="0"/>
        <w:ind w:left="0" w:right="0" w:hanging="0"/>
        <w:jc w:val="left"/>
        <w:rPr>
          <w:caps w:val="false"/>
          <w:smallCaps w:val="false"/>
        </w:rPr>
      </w:pPr>
      <w:r>
        <w:rPr>
          <w:caps w:val="false"/>
          <w:smallCaps w:val="false"/>
        </w:rPr>
        <w:t> </w:t>
      </w:r>
    </w:p>
    <w:tbl>
      <w:tblPr>
        <w:tblW w:w="6320" w:type="dxa"/>
        <w:jc w:val="left"/>
        <w:tblInd w:w="0" w:type="dxa"/>
        <w:tblLayout w:type="fixed"/>
        <w:tblCellMar>
          <w:top w:w="0" w:type="dxa"/>
          <w:left w:w="0" w:type="dxa"/>
          <w:bottom w:w="0" w:type="dxa"/>
          <w:right w:w="0" w:type="dxa"/>
        </w:tblCellMar>
      </w:tblPr>
      <w:tblGrid>
        <w:gridCol w:w="5510"/>
        <w:gridCol w:w="60"/>
        <w:gridCol w:w="125"/>
        <w:gridCol w:w="545"/>
        <w:gridCol w:w="80"/>
      </w:tblGrid>
      <w:tr>
        <w:trPr/>
        <w:tc>
          <w:tcPr>
            <w:tcW w:w="55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 of Anson Notes as of December 31, 2024</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6,257</w:t>
            </w:r>
          </w:p>
        </w:tc>
        <w:tc>
          <w:tcPr>
            <w:tcW w:w="80" w:type="dxa"/>
            <w:tcBorders/>
            <w:shd w:fill="CCEEFF" w:val="clear"/>
            <w:vAlign w:val="center"/>
          </w:tcPr>
          <w:p>
            <w:pPr>
              <w:pStyle w:val="TableContents"/>
              <w:bidi w:val="0"/>
              <w:spacing w:before="0" w:after="283"/>
              <w:jc w:val="left"/>
              <w:rPr/>
            </w:pPr>
            <w:r>
              <w:rPr/>
              <w:t> </w:t>
            </w:r>
          </w:p>
        </w:tc>
      </w:tr>
      <w:tr>
        <w:trPr/>
        <w:tc>
          <w:tcPr>
            <w:tcW w:w="55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 of Anson III Note at issuance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2,522</w:t>
            </w:r>
          </w:p>
        </w:tc>
        <w:tc>
          <w:tcPr>
            <w:tcW w:w="80" w:type="dxa"/>
            <w:tcBorders/>
            <w:shd w:fill="FFFFFF" w:val="clear"/>
            <w:vAlign w:val="center"/>
          </w:tcPr>
          <w:p>
            <w:pPr>
              <w:pStyle w:val="TableContents"/>
              <w:bidi w:val="0"/>
              <w:spacing w:before="0" w:after="283"/>
              <w:jc w:val="left"/>
              <w:rPr/>
            </w:pPr>
            <w:r>
              <w:rPr/>
              <w:t> </w:t>
            </w:r>
          </w:p>
        </w:tc>
      </w:tr>
      <w:tr>
        <w:trPr/>
        <w:tc>
          <w:tcPr>
            <w:tcW w:w="55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Conversion and repayments of principal and interest (shares)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5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 adjustment through earnings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965</w:t>
            </w:r>
          </w:p>
        </w:tc>
        <w:tc>
          <w:tcPr>
            <w:tcW w:w="80" w:type="dxa"/>
            <w:tcBorders/>
            <w:shd w:fill="FFFFFF" w:val="clear"/>
            <w:vAlign w:val="center"/>
          </w:tcPr>
          <w:p>
            <w:pPr>
              <w:pStyle w:val="TableContents"/>
              <w:bidi w:val="0"/>
              <w:spacing w:before="0" w:after="283"/>
              <w:jc w:val="left"/>
              <w:rPr/>
            </w:pPr>
            <w:r>
              <w:rPr/>
              <w:t> </w:t>
            </w:r>
          </w:p>
        </w:tc>
      </w:tr>
      <w:tr>
        <w:trPr/>
        <w:tc>
          <w:tcPr>
            <w:tcW w:w="55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 of Anson Notes as of March 31, 2025</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8,397</w:t>
            </w:r>
          </w:p>
        </w:tc>
        <w:tc>
          <w:tcPr>
            <w:tcW w:w="80" w:type="dxa"/>
            <w:tcBorders/>
            <w:shd w:fill="CCEEFF" w:val="clear"/>
            <w:vAlign w:val="center"/>
          </w:tcPr>
          <w:p>
            <w:pPr>
              <w:pStyle w:val="TableContents"/>
              <w:bidi w:val="0"/>
              <w:spacing w:before="0" w:after="283"/>
              <w:jc w:val="left"/>
              <w:rPr/>
            </w:pPr>
            <w:r>
              <w:rPr/>
              <w:t> </w:t>
            </w:r>
          </w:p>
        </w:tc>
      </w:tr>
      <w:tr>
        <w:trPr/>
        <w:tc>
          <w:tcPr>
            <w:tcW w:w="55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Conversion and repayments of principal and interest (shares)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(4,108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5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 adjustment through earnings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5,565</w:t>
            </w:r>
          </w:p>
        </w:tc>
        <w:tc>
          <w:tcPr>
            <w:tcW w:w="80" w:type="dxa"/>
            <w:tcBorders/>
            <w:shd w:fill="CCEEFF" w:val="clear"/>
            <w:vAlign w:val="center"/>
          </w:tcPr>
          <w:p>
            <w:pPr>
              <w:pStyle w:val="TableContents"/>
              <w:bidi w:val="0"/>
              <w:spacing w:before="0" w:after="283"/>
              <w:jc w:val="left"/>
              <w:rPr/>
            </w:pPr>
            <w:r>
              <w:rPr/>
              <w:t> </w:t>
            </w:r>
          </w:p>
        </w:tc>
      </w:tr>
      <w:tr>
        <w:trPr/>
        <w:tc>
          <w:tcPr>
            <w:tcW w:w="55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 of Anson Notes as of June 30, 2025</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9,854</w:t>
            </w:r>
          </w:p>
        </w:tc>
        <w:tc>
          <w:tcPr>
            <w:tcW w:w="80" w:type="dxa"/>
            <w:tcBorders/>
            <w:shd w:fill="FFFFFF" w:val="clear"/>
            <w:vAlign w:val="center"/>
          </w:tcPr>
          <w:p>
            <w:pPr>
              <w:pStyle w:val="TableContents"/>
              <w:bidi w:val="0"/>
              <w:spacing w:before="0" w:after="283"/>
              <w:jc w:val="left"/>
              <w:rPr/>
            </w:pPr>
            <w:r>
              <w:rPr/>
              <w:t> </w:t>
            </w:r>
          </w:p>
        </w:tc>
      </w:tr>
      <w:tr>
        <w:trPr/>
        <w:tc>
          <w:tcPr>
            <w:tcW w:w="55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5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Convertible note payable - current portion as of June 30, 2025</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9,854</w:t>
            </w:r>
          </w:p>
        </w:tc>
        <w:tc>
          <w:tcPr>
            <w:tcW w:w="80" w:type="dxa"/>
            <w:tcBorders/>
            <w:shd w:fill="FFFFFF" w:val="clear"/>
            <w:vAlign w:val="center"/>
          </w:tcPr>
          <w:p>
            <w:pPr>
              <w:pStyle w:val="TableContents"/>
              <w:bidi w:val="0"/>
              <w:spacing w:before="0" w:after="283"/>
              <w:jc w:val="left"/>
              <w:rPr/>
            </w:pPr>
            <w:r>
              <w:rPr/>
              <w:t> </w:t>
            </w:r>
          </w:p>
        </w:tc>
      </w:tr>
      <w:tr>
        <w:trPr/>
        <w:tc>
          <w:tcPr>
            <w:tcW w:w="55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Convertible note payable, net of current portion as of June 30, 2025</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Warrant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utilizes a Black-Scholes model approach to value its liability-classified warrants at each reporting period, with changes in fair value recognized in the condensed consolidated statements of operations. The estimated fair value of the warrant liabilities is determined using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inputs. There were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transfers between levels within the fair value hierarchy during the periods presented. Inherent in a Black Scholes options pricing model are assumptions related to expected share-price volatility, expected life, risk-free interest rate and dividend yield. The Company estimates the volatility of its Common Stock based on historical volatility that matches the expected remaining life of the warrants. The risk-free interest rate is based on the U.S. Treasury </w:t>
      </w:r>
      <w:r>
        <w:rPr>
          <w:rStyle w:val="Emphasis"/>
          <w:rFonts w:ascii="Times New Roman" w:hAnsi="Times New Roman"/>
          <w:caps w:val="false"/>
          <w:smallCaps w:val="false"/>
          <w:sz w:val="20"/>
        </w:rPr>
        <w:t>zero</w:t>
      </w:r>
      <w:r>
        <w:rPr>
          <w:rFonts w:ascii="Times New Roman" w:hAnsi="Times New Roman"/>
          <w:caps w:val="false"/>
          <w:smallCaps w:val="false"/>
          <w:sz w:val="20"/>
        </w:rPr>
        <w:t>-coupon yield curve on the grant date for a maturity similar to the expected remaining life of the warrants. The expected life of the warrants is assumed to be equivalent to their remaining contractual term. The dividend rate is based on the historical rate, which the Company anticipates remaining at zero.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weighted-average significant inputs used in the Black-Scholes model to measure the warrant liabilities that are categorized within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of the fair value hierarchy are as follows:</w:t>
      </w:r>
    </w:p>
    <w:p>
      <w:pPr>
        <w:pStyle w:val="TextBody"/>
        <w:bidi w:val="0"/>
        <w:spacing w:before="0" w:after="0"/>
        <w:ind w:left="0" w:right="0" w:hanging="0"/>
        <w:jc w:val="left"/>
        <w:rPr>
          <w:caps w:val="false"/>
          <w:smallCaps w:val="false"/>
        </w:rPr>
      </w:pPr>
      <w:r>
        <w:rPr>
          <w:caps w:val="false"/>
          <w:smallCaps w:val="false"/>
        </w:rPr>
        <w:t> </w:t>
      </w:r>
    </w:p>
    <w:tbl>
      <w:tblPr>
        <w:tblW w:w="5549" w:type="dxa"/>
        <w:jc w:val="left"/>
        <w:tblInd w:w="0" w:type="dxa"/>
        <w:tblLayout w:type="fixed"/>
        <w:tblCellMar>
          <w:top w:w="0" w:type="dxa"/>
          <w:left w:w="0" w:type="dxa"/>
          <w:bottom w:w="0" w:type="dxa"/>
          <w:right w:w="0" w:type="dxa"/>
        </w:tblCellMar>
      </w:tblPr>
      <w:tblGrid>
        <w:gridCol w:w="2405"/>
        <w:gridCol w:w="60"/>
        <w:gridCol w:w="60"/>
        <w:gridCol w:w="755"/>
        <w:gridCol w:w="140"/>
        <w:gridCol w:w="650"/>
        <w:gridCol w:w="60"/>
        <w:gridCol w:w="60"/>
        <w:gridCol w:w="290"/>
        <w:gridCol w:w="884"/>
        <w:gridCol w:w="185"/>
      </w:tblGrid>
      <w:tr>
        <w:trPr/>
        <w:tc>
          <w:tcPr>
            <w:tcW w:w="24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05"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185" w:type="dxa"/>
            <w:tcBorders/>
            <w:vAlign w:val="center"/>
          </w:tcPr>
          <w:p>
            <w:pPr>
              <w:pStyle w:val="TableContents"/>
              <w:bidi w:val="0"/>
              <w:spacing w:before="0" w:after="283"/>
              <w:jc w:val="left"/>
              <w:rPr/>
            </w:pPr>
            <w:r>
              <w:rPr/>
              <w:t> </w:t>
            </w:r>
          </w:p>
        </w:tc>
      </w:tr>
      <w:tr>
        <w:trPr/>
        <w:tc>
          <w:tcPr>
            <w:tcW w:w="24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price on valuation date</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45" w:type="dxa"/>
            <w:gridSpan w:val="3"/>
            <w:tcBorders/>
            <w:shd w:fill="CCEEFF" w:val="clear"/>
            <w:vAlign w:val="center"/>
          </w:tcPr>
          <w:p>
            <w:pPr>
              <w:pStyle w:val="TableContents"/>
              <w:bidi w:val="0"/>
              <w:spacing w:before="0" w:after="283"/>
              <w:ind w:left="0" w:right="0" w:hanging="0"/>
              <w:jc w:val="center"/>
              <w:rPr/>
            </w:pPr>
            <w:r>
              <w:rPr>
                <w:rStyle w:val="Emphasis"/>
                <w:rFonts w:ascii="Times New Roman;Times;serif" w:hAnsi="Times New Roman;Times;serif"/>
                <w:sz w:val="20"/>
              </w:rPr>
              <w:t>$3.26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9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w:t>
            </w:r>
          </w:p>
        </w:tc>
        <w:tc>
          <w:tcPr>
            <w:tcW w:w="185" w:type="dxa"/>
            <w:tcBorders/>
            <w:shd w:fill="CCEEFF" w:val="clear"/>
            <w:vAlign w:val="center"/>
          </w:tcPr>
          <w:p>
            <w:pPr>
              <w:pStyle w:val="TableContents"/>
              <w:bidi w:val="0"/>
              <w:spacing w:before="0" w:after="283"/>
              <w:jc w:val="left"/>
              <w:rPr/>
            </w:pPr>
            <w:r>
              <w:rPr/>
              <w:t> </w:t>
            </w:r>
          </w:p>
        </w:tc>
      </w:tr>
      <w:tr>
        <w:trPr/>
        <w:tc>
          <w:tcPr>
            <w:tcW w:w="24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Exercise price per share</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$1.77</w:t>
            </w:r>
          </w:p>
        </w:tc>
        <w:tc>
          <w:tcPr>
            <w:tcW w:w="140" w:type="dxa"/>
            <w:tcBorders/>
            <w:shd w:fill="FFFFFF" w:val="clear"/>
            <w:vAlign w:val="center"/>
          </w:tcPr>
          <w:p>
            <w:pPr>
              <w:pStyle w:val="TableContents"/>
              <w:bidi w:val="0"/>
              <w:spacing w:before="0" w:after="283"/>
              <w:ind w:left="0" w:right="0" w:hanging="0"/>
              <w:jc w:val="center"/>
              <w:rPr/>
            </w:pPr>
            <w:r>
              <w:rPr/>
              <w:t>–</w:t>
            </w:r>
          </w:p>
        </w:tc>
        <w:tc>
          <w:tcPr>
            <w:tcW w:w="650"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11.50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w:t>
            </w:r>
          </w:p>
        </w:tc>
        <w:tc>
          <w:tcPr>
            <w:tcW w:w="185" w:type="dxa"/>
            <w:tcBorders/>
            <w:shd w:fill="FFFFFF" w:val="clear"/>
            <w:vAlign w:val="center"/>
          </w:tcPr>
          <w:p>
            <w:pPr>
              <w:pStyle w:val="TableContents"/>
              <w:bidi w:val="0"/>
              <w:spacing w:before="0" w:after="283"/>
              <w:jc w:val="left"/>
              <w:rPr/>
            </w:pPr>
            <w:r>
              <w:rPr/>
              <w:t> </w:t>
            </w:r>
          </w:p>
        </w:tc>
      </w:tr>
      <w:tr>
        <w:trPr/>
        <w:tc>
          <w:tcPr>
            <w:tcW w:w="24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life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0.90</w:t>
            </w:r>
          </w:p>
        </w:tc>
        <w:tc>
          <w:tcPr>
            <w:tcW w:w="140" w:type="dxa"/>
            <w:tcBorders/>
            <w:shd w:fill="CCEEFF" w:val="clear"/>
            <w:vAlign w:val="center"/>
          </w:tcPr>
          <w:p>
            <w:pPr>
              <w:pStyle w:val="TableContents"/>
              <w:bidi w:val="0"/>
              <w:spacing w:before="0" w:after="283"/>
              <w:ind w:left="0" w:right="0" w:hanging="0"/>
              <w:jc w:val="center"/>
              <w:rPr/>
            </w:pPr>
            <w:r>
              <w:rPr/>
              <w:t>–</w:t>
            </w:r>
          </w:p>
        </w:tc>
        <w:tc>
          <w:tcPr>
            <w:tcW w:w="650"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4.58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4.69</w:t>
            </w:r>
          </w:p>
        </w:tc>
        <w:tc>
          <w:tcPr>
            <w:tcW w:w="185" w:type="dxa"/>
            <w:tcBorders/>
            <w:shd w:fill="CCEEFF" w:val="clear"/>
            <w:vAlign w:val="center"/>
          </w:tcPr>
          <w:p>
            <w:pPr>
              <w:pStyle w:val="TableContents"/>
              <w:bidi w:val="0"/>
              <w:spacing w:before="0" w:after="283"/>
              <w:jc w:val="left"/>
              <w:rPr/>
            </w:pPr>
            <w:r>
              <w:rPr/>
              <w:t> </w:t>
            </w:r>
          </w:p>
        </w:tc>
      </w:tr>
      <w:tr>
        <w:trPr/>
        <w:tc>
          <w:tcPr>
            <w:tcW w:w="24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Volatility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123.50%</w:t>
            </w:r>
          </w:p>
        </w:tc>
        <w:tc>
          <w:tcPr>
            <w:tcW w:w="140" w:type="dxa"/>
            <w:tcBorders/>
            <w:shd w:fill="FFFFFF" w:val="clear"/>
            <w:vAlign w:val="center"/>
          </w:tcPr>
          <w:p>
            <w:pPr>
              <w:pStyle w:val="TableContents"/>
              <w:bidi w:val="0"/>
              <w:spacing w:before="0" w:after="283"/>
              <w:ind w:left="0" w:right="0" w:hanging="0"/>
              <w:jc w:val="center"/>
              <w:rPr/>
            </w:pPr>
            <w:r>
              <w:rPr/>
              <w:t>–</w:t>
            </w:r>
          </w:p>
        </w:tc>
        <w:tc>
          <w:tcPr>
            <w:tcW w:w="650"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162.1%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Risk-free rate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3.77%</w:t>
            </w:r>
          </w:p>
        </w:tc>
        <w:tc>
          <w:tcPr>
            <w:tcW w:w="140" w:type="dxa"/>
            <w:tcBorders/>
            <w:shd w:fill="CCEEFF" w:val="clear"/>
            <w:vAlign w:val="center"/>
          </w:tcPr>
          <w:p>
            <w:pPr>
              <w:pStyle w:val="TableContents"/>
              <w:bidi w:val="0"/>
              <w:spacing w:before="0" w:after="283"/>
              <w:ind w:left="0" w:right="0" w:hanging="0"/>
              <w:jc w:val="center"/>
              <w:rPr/>
            </w:pPr>
            <w:r>
              <w:rPr/>
              <w:t>–</w:t>
            </w:r>
          </w:p>
        </w:tc>
        <w:tc>
          <w:tcPr>
            <w:tcW w:w="650"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4.10%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 yield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45" w:type="dxa"/>
            <w:gridSpan w:val="3"/>
            <w:tcBorders/>
            <w:shd w:fill="FFFFFF" w:val="clear"/>
            <w:vAlign w:val="center"/>
          </w:tcPr>
          <w:p>
            <w:pPr>
              <w:pStyle w:val="TableContents"/>
              <w:bidi w:val="0"/>
              <w:spacing w:before="0" w:after="283"/>
              <w:ind w:left="0" w:right="0" w:hanging="0"/>
              <w:jc w:val="center"/>
              <w:rPr/>
            </w:pPr>
            <w:r>
              <w:rPr>
                <w:rStyle w:val="Emphasis"/>
                <w:rFonts w:ascii="Times New Roman;Times;serif" w:hAnsi="Times New Roman;Times;serif"/>
                <w:sz w:val="20"/>
              </w:rPr>
              <w:t>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 of warrants</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$0.09</w:t>
            </w:r>
          </w:p>
        </w:tc>
        <w:tc>
          <w:tcPr>
            <w:tcW w:w="140" w:type="dxa"/>
            <w:tcBorders/>
            <w:shd w:fill="CCEEFF" w:val="clear"/>
            <w:vAlign w:val="center"/>
          </w:tcPr>
          <w:p>
            <w:pPr>
              <w:pStyle w:val="TableContents"/>
              <w:bidi w:val="0"/>
              <w:spacing w:before="0" w:after="283"/>
              <w:ind w:left="0" w:right="0" w:hanging="0"/>
              <w:jc w:val="center"/>
              <w:rPr/>
            </w:pPr>
            <w:r>
              <w:rPr/>
              <w:t>–</w:t>
            </w:r>
          </w:p>
        </w:tc>
        <w:tc>
          <w:tcPr>
            <w:tcW w:w="650"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3.24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9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w:t>
            </w:r>
          </w:p>
        </w:tc>
        <w:tc>
          <w:tcPr>
            <w:tcW w:w="18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reconciliation of warrant liabilities is included below (in thousands):</w:t>
      </w:r>
    </w:p>
    <w:p>
      <w:pPr>
        <w:pStyle w:val="TextBody"/>
        <w:bidi w:val="0"/>
        <w:spacing w:before="0" w:after="0"/>
        <w:ind w:left="0" w:right="0" w:hanging="0"/>
        <w:jc w:val="left"/>
        <w:rPr>
          <w:caps w:val="false"/>
          <w:smallCaps w:val="false"/>
        </w:rPr>
      </w:pPr>
      <w:r>
        <w:rPr>
          <w:caps w:val="false"/>
          <w:smallCaps w:val="false"/>
        </w:rPr>
        <w:t> </w:t>
      </w:r>
    </w:p>
    <w:tbl>
      <w:tblPr>
        <w:tblW w:w="3275" w:type="dxa"/>
        <w:jc w:val="left"/>
        <w:tblInd w:w="0" w:type="dxa"/>
        <w:tblLayout w:type="fixed"/>
        <w:tblCellMar>
          <w:top w:w="0" w:type="dxa"/>
          <w:left w:w="0" w:type="dxa"/>
          <w:bottom w:w="0" w:type="dxa"/>
          <w:right w:w="0" w:type="dxa"/>
        </w:tblCellMar>
      </w:tblPr>
      <w:tblGrid>
        <w:gridCol w:w="2720"/>
        <w:gridCol w:w="60"/>
        <w:gridCol w:w="125"/>
        <w:gridCol w:w="290"/>
        <w:gridCol w:w="80"/>
      </w:tblGrid>
      <w:tr>
        <w:trPr/>
        <w:tc>
          <w:tcPr>
            <w:tcW w:w="27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as of December 31, 2023</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80" w:type="dxa"/>
            <w:tcBorders/>
            <w:shd w:fill="CCEEFF" w:val="clear"/>
            <w:vAlign w:val="center"/>
          </w:tcPr>
          <w:p>
            <w:pPr>
              <w:pStyle w:val="TableContents"/>
              <w:bidi w:val="0"/>
              <w:spacing w:before="0" w:after="283"/>
              <w:jc w:val="left"/>
              <w:rPr/>
            </w:pPr>
            <w:r>
              <w:rPr/>
              <w:t> </w:t>
            </w:r>
          </w:p>
        </w:tc>
      </w:tr>
      <w:tr>
        <w:trPr/>
        <w:tc>
          <w:tcPr>
            <w:tcW w:w="272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upon re-measurement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80" w:type="dxa"/>
            <w:tcBorders/>
            <w:shd w:fill="FFFFFF" w:val="clear"/>
            <w:vAlign w:val="center"/>
          </w:tcPr>
          <w:p>
            <w:pPr>
              <w:pStyle w:val="TableContents"/>
              <w:bidi w:val="0"/>
              <w:spacing w:before="0" w:after="283"/>
              <w:jc w:val="left"/>
              <w:rPr/>
            </w:pPr>
            <w:r>
              <w:rPr/>
              <w:t> </w:t>
            </w:r>
          </w:p>
        </w:tc>
      </w:tr>
      <w:tr>
        <w:trPr/>
        <w:tc>
          <w:tcPr>
            <w:tcW w:w="27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as of March 31, 2024</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2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80" w:type="dxa"/>
            <w:tcBorders/>
            <w:shd w:fill="CCEEFF" w:val="clear"/>
            <w:vAlign w:val="center"/>
          </w:tcPr>
          <w:p>
            <w:pPr>
              <w:pStyle w:val="TableContents"/>
              <w:bidi w:val="0"/>
              <w:spacing w:before="0" w:after="283"/>
              <w:jc w:val="left"/>
              <w:rPr/>
            </w:pPr>
            <w:r>
              <w:rPr/>
              <w:t> </w:t>
            </w:r>
          </w:p>
        </w:tc>
      </w:tr>
      <w:tr>
        <w:trPr/>
        <w:tc>
          <w:tcPr>
            <w:tcW w:w="272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upon re-measurement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as of June 30, 2024</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4235" w:type="dxa"/>
        <w:jc w:val="left"/>
        <w:tblInd w:w="0" w:type="dxa"/>
        <w:tblLayout w:type="fixed"/>
        <w:tblCellMar>
          <w:top w:w="0" w:type="dxa"/>
          <w:left w:w="0" w:type="dxa"/>
          <w:bottom w:w="0" w:type="dxa"/>
          <w:right w:w="0" w:type="dxa"/>
        </w:tblCellMar>
      </w:tblPr>
      <w:tblGrid>
        <w:gridCol w:w="3380"/>
        <w:gridCol w:w="60"/>
        <w:gridCol w:w="125"/>
        <w:gridCol w:w="590"/>
        <w:gridCol w:w="80"/>
      </w:tblGrid>
      <w:tr>
        <w:trPr/>
        <w:tc>
          <w:tcPr>
            <w:tcW w:w="33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as of December 31, 2024</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5,639</w:t>
            </w:r>
          </w:p>
        </w:tc>
        <w:tc>
          <w:tcPr>
            <w:tcW w:w="80"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Initial recognition of issuance of warrants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7,109</w:t>
            </w:r>
          </w:p>
        </w:tc>
        <w:tc>
          <w:tcPr>
            <w:tcW w:w="80"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warrant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as of March 31, 2025</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9,852</w:t>
            </w:r>
          </w:p>
        </w:tc>
        <w:tc>
          <w:tcPr>
            <w:tcW w:w="80"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warrant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6,414</w:t>
            </w:r>
          </w:p>
        </w:tc>
        <w:tc>
          <w:tcPr>
            <w:tcW w:w="80"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as of June 30, 2025</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16,266</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12.</w:t>
      </w:r>
      <w:r>
        <w:rPr>
          <w:rFonts w:ascii="Times New Roman" w:hAnsi="Times New Roman"/>
          <w:b/>
          <w:caps w:val="false"/>
          <w:smallCaps w:val="false"/>
          <w:sz w:val="20"/>
        </w:rPr>
        <w:t xml:space="preserve"> Segment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operates as a single operating and reportable segment, consistent with the manner in which the Chief Executive Officer, designated as the Chief Operating Decision Maker (“</w:t>
      </w:r>
      <w:r>
        <w:rPr>
          <w:rFonts w:ascii="Times New Roman" w:hAnsi="Times New Roman"/>
          <w:i/>
          <w:caps w:val="false"/>
          <w:smallCaps w:val="false"/>
          <w:sz w:val="20"/>
        </w:rPr>
        <w:t>CODM</w:t>
      </w:r>
      <w:r>
        <w:rPr>
          <w:rFonts w:ascii="Times New Roman" w:hAnsi="Times New Roman"/>
          <w:caps w:val="false"/>
          <w:smallCaps w:val="false"/>
          <w:sz w:val="20"/>
        </w:rPr>
        <w:t>”) of the Company, evaluates the Company’s performance and allocates resources. The Company’s operations solely consist of the development of novel therapeutics for the treatment of central nervous system disorders including suicidal depression, chronic pain, and post-traumatic stress disorder (“</w:t>
      </w:r>
      <w:r>
        <w:rPr>
          <w:rFonts w:ascii="Times New Roman" w:hAnsi="Times New Roman"/>
          <w:i/>
          <w:caps w:val="false"/>
          <w:smallCaps w:val="false"/>
          <w:sz w:val="20"/>
        </w:rPr>
        <w:t>PTSD</w:t>
      </w:r>
      <w:r>
        <w:rPr>
          <w:rFonts w:ascii="Times New Roman" w:hAnsi="Times New Roman"/>
          <w:caps w:val="false"/>
          <w:smallCaps w:val="false"/>
          <w:sz w:val="20"/>
        </w:rPr>
        <w:t>”) and now schizophrenia.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did not generate any revenue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 xml:space="preserve">or the year ended </w:t>
      </w:r>
      <w:r>
        <w:rPr>
          <w:rStyle w:val="Emphasis"/>
          <w:rFonts w:ascii="Times New Roman" w:hAnsi="Times New Roman"/>
          <w:caps w:val="false"/>
          <w:smallCaps w:val="false"/>
          <w:sz w:val="20"/>
        </w:rPr>
        <w:t xml:space="preserve">December 31, 2024. </w:t>
      </w:r>
      <w:r>
        <w:rPr>
          <w:rFonts w:ascii="Times New Roman" w:hAnsi="Times New Roman"/>
          <w:caps w:val="false"/>
          <w:smallCaps w:val="false"/>
          <w:sz w:val="20"/>
        </w:rPr>
        <w:t>The CODM evaluates performance based on operating expenses and monitors key expense categories related to the Company’s research and development activities, as well as general and administrative functions. As the Company is currently in the pre-revenue phase, the associated expenses above are drivers.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30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 w:hAnsi="Times New Roman"/>
          <w:caps w:val="false"/>
          <w:smallCaps w:val="false"/>
          <w:sz w:val="20"/>
        </w:rPr>
        <w:t xml:space="preserve">The CODM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separately evaluate performance by geographic region or product line, as the Company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yet commenced commercial operations and has limited operations due to the current liquidity and funding of the Company. The Company’s operations are conducted solely within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Significant Segment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All of the Company’s assets relate to this single operating segment, see the accompanying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All of the Company’s operating expenses, which consists of research and development and general and administrative expenses, relate to this single operating segment, see the accompanying statements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reconciles the loss from operations to total loss:</w:t>
      </w:r>
    </w:p>
    <w:p>
      <w:pPr>
        <w:pStyle w:val="TextBody"/>
        <w:bidi w:val="0"/>
        <w:spacing w:before="0" w:after="0"/>
        <w:ind w:left="0" w:right="0" w:hanging="0"/>
        <w:jc w:val="left"/>
        <w:rPr>
          <w:caps w:val="false"/>
          <w:smallCaps w:val="false"/>
        </w:rPr>
      </w:pPr>
      <w:r>
        <w:rPr>
          <w:caps w:val="false"/>
          <w:smallCaps w:val="false"/>
        </w:rPr>
        <w:t> </w:t>
      </w:r>
    </w:p>
    <w:tbl>
      <w:tblPr>
        <w:tblW w:w="7856" w:type="dxa"/>
        <w:jc w:val="left"/>
        <w:tblInd w:w="0" w:type="dxa"/>
        <w:tblLayout w:type="fixed"/>
        <w:tblCellMar>
          <w:top w:w="0" w:type="dxa"/>
          <w:left w:w="0" w:type="dxa"/>
          <w:bottom w:w="0" w:type="dxa"/>
          <w:right w:w="0" w:type="dxa"/>
        </w:tblCellMar>
      </w:tblPr>
      <w:tblGrid>
        <w:gridCol w:w="4070"/>
        <w:gridCol w:w="60"/>
        <w:gridCol w:w="143"/>
        <w:gridCol w:w="746"/>
        <w:gridCol w:w="91"/>
        <w:gridCol w:w="68"/>
        <w:gridCol w:w="143"/>
        <w:gridCol w:w="625"/>
        <w:gridCol w:w="80"/>
        <w:gridCol w:w="60"/>
        <w:gridCol w:w="125"/>
        <w:gridCol w:w="650"/>
        <w:gridCol w:w="80"/>
        <w:gridCol w:w="60"/>
        <w:gridCol w:w="125"/>
        <w:gridCol w:w="650"/>
        <w:gridCol w:w="80"/>
      </w:tblGrid>
      <w:tr>
        <w:trPr/>
        <w:tc>
          <w:tcPr>
            <w:tcW w:w="40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1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For the three months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ended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9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six months</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ended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80" w:type="dxa"/>
            <w:tcBorders/>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Expense Category</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91"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ind w:left="0" w:right="0" w:hanging="0"/>
              <w:jc w:val="left"/>
              <w:rPr/>
            </w:pPr>
            <w:r>
              <w:rPr/>
              <w:t> </w:t>
            </w:r>
          </w:p>
        </w:tc>
        <w:tc>
          <w:tcPr>
            <w:tcW w:w="76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from operations</w:t>
            </w:r>
          </w:p>
        </w:tc>
        <w:tc>
          <w:tcPr>
            <w:tcW w:w="60" w:type="dxa"/>
            <w:tcBorders/>
            <w:shd w:fill="CCEEFF" w:val="clear"/>
            <w:vAlign w:val="center"/>
          </w:tcPr>
          <w:p>
            <w:pPr>
              <w:pStyle w:val="TableContents"/>
              <w:bidi w:val="0"/>
              <w:spacing w:before="0" w:after="283"/>
              <w:ind w:left="0" w:right="0" w:hanging="0"/>
              <w:jc w:val="left"/>
              <w:rPr/>
            </w:pPr>
            <w:r>
              <w:rPr/>
              <w:t> </w:t>
            </w:r>
          </w:p>
        </w:tc>
        <w:tc>
          <w:tcPr>
            <w:tcW w:w="14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(3,730</w:t>
            </w:r>
          </w:p>
        </w:tc>
        <w:tc>
          <w:tcPr>
            <w:tcW w:w="9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 w:type="dxa"/>
            <w:tcBorders/>
            <w:shd w:fill="CCEEFF" w:val="clear"/>
            <w:vAlign w:val="center"/>
          </w:tcPr>
          <w:p>
            <w:pPr>
              <w:pStyle w:val="TableContents"/>
              <w:bidi w:val="0"/>
              <w:spacing w:before="0" w:after="283"/>
              <w:ind w:left="0" w:right="0" w:hanging="0"/>
              <w:jc w:val="left"/>
              <w:rPr/>
            </w:pPr>
            <w:r>
              <w:rPr/>
              <w:t> </w:t>
            </w:r>
          </w:p>
        </w:tc>
        <w:tc>
          <w:tcPr>
            <w:tcW w:w="14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(7,050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(7,577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(13,048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0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7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9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6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0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7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6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w:t>
            </w:r>
          </w:p>
        </w:tc>
        <w:tc>
          <w:tcPr>
            <w:tcW w:w="80"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convertible notes payable</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7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5,565</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6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341</w:t>
            </w:r>
          </w:p>
        </w:tc>
        <w:tc>
          <w:tcPr>
            <w:tcW w:w="80"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warrant liabilities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7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6,414</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6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0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issuance of the Registered Direct Offering</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7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6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sz w:val="20"/>
              </w:rPr>
              <w:t>c</w:t>
            </w:r>
            <w:r>
              <w:rPr>
                <w:rFonts w:ascii="Times New Roman;Times;serif" w:hAnsi="Times New Roman;Times;serif"/>
                <w:caps w:val="false"/>
                <w:smallCaps w:val="false"/>
                <w:sz w:val="20"/>
              </w:rPr>
              <w:t>onvertible note default penalties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7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6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849</w:t>
            </w:r>
          </w:p>
        </w:tc>
        <w:tc>
          <w:tcPr>
            <w:tcW w:w="80"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Loss on Considerations Shares and Warrants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7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6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convertible note conversions</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1,874</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(17,581</w:t>
            </w:r>
          </w:p>
        </w:tc>
        <w:tc>
          <w:tcPr>
            <w:tcW w:w="9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 w:type="dxa"/>
            <w:tcBorders/>
            <w:shd w:fill="FFFFFF" w:val="clear"/>
            <w:vAlign w:val="center"/>
          </w:tcPr>
          <w:p>
            <w:pPr>
              <w:pStyle w:val="TableContents"/>
              <w:bidi w:val="0"/>
              <w:spacing w:before="0" w:after="283"/>
              <w:ind w:left="0" w:right="0" w:hanging="0"/>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(7,897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(23,092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(14,425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Long-lived assets consist of property, plant, and equipment, net which are included in other assets in the balance sheet as they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material. Long-lived assets by year are as follows:</w:t>
      </w:r>
    </w:p>
    <w:p>
      <w:pPr>
        <w:pStyle w:val="TextBody"/>
        <w:bidi w:val="0"/>
        <w:spacing w:before="0" w:after="0"/>
        <w:ind w:left="0" w:right="0" w:hanging="0"/>
        <w:jc w:val="left"/>
        <w:rPr>
          <w:caps w:val="false"/>
          <w:smallCaps w:val="false"/>
        </w:rPr>
      </w:pPr>
      <w:r>
        <w:rPr>
          <w:caps w:val="false"/>
          <w:smallCaps w:val="false"/>
        </w:rPr>
        <w:t> </w:t>
      </w:r>
    </w:p>
    <w:tbl>
      <w:tblPr>
        <w:tblW w:w="5273" w:type="dxa"/>
        <w:jc w:val="left"/>
        <w:tblInd w:w="0" w:type="dxa"/>
        <w:tblLayout w:type="fixed"/>
        <w:tblCellMar>
          <w:top w:w="0" w:type="dxa"/>
          <w:left w:w="0" w:type="dxa"/>
          <w:bottom w:w="28" w:type="dxa"/>
          <w:right w:w="0" w:type="dxa"/>
        </w:tblCellMar>
      </w:tblPr>
      <w:tblGrid>
        <w:gridCol w:w="2165"/>
        <w:gridCol w:w="60"/>
        <w:gridCol w:w="358"/>
        <w:gridCol w:w="831"/>
        <w:gridCol w:w="80"/>
        <w:gridCol w:w="60"/>
        <w:gridCol w:w="492"/>
        <w:gridCol w:w="1147"/>
        <w:gridCol w:w="80"/>
      </w:tblGrid>
      <w:tr>
        <w:trPr/>
        <w:tc>
          <w:tcPr>
            <w:tcW w:w="216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2025</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63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 2024</w:t>
            </w:r>
          </w:p>
        </w:tc>
        <w:tc>
          <w:tcPr>
            <w:tcW w:w="80" w:type="dxa"/>
            <w:tcBorders/>
            <w:tcMar>
              <w:bottom w:w="0" w:type="dxa"/>
            </w:tcMar>
            <w:vAlign w:val="center"/>
          </w:tcPr>
          <w:p>
            <w:pPr>
              <w:pStyle w:val="TableContents"/>
              <w:bidi w:val="0"/>
              <w:spacing w:before="0" w:after="283"/>
              <w:jc w:val="left"/>
              <w:rPr/>
            </w:pPr>
            <w:r>
              <w:rPr/>
              <w:t> </w:t>
            </w:r>
          </w:p>
        </w:tc>
      </w:tr>
      <w:tr>
        <w:trPr/>
        <w:tc>
          <w:tcPr>
            <w:tcW w:w="216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Computers, cost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358"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92"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47"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216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depreciation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8"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31"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492"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147"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16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equipment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358"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92"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47"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8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13.</w:t>
      </w:r>
      <w:r>
        <w:rPr>
          <w:rFonts w:ascii="Times New Roman" w:hAnsi="Times New Roman"/>
          <w:b/>
          <w:caps w:val="false"/>
          <w:smallCaps w:val="false"/>
          <w:sz w:val="20"/>
        </w:rPr>
        <w:t xml:space="preserve">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recorded no provision or benefit for income tax expense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For all periods presented, the pretax losses incurred by the Company received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corresponding tax benefit because the Company concluded that it is more likely than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that the Company will be unable to realize the value of any resulting deferred tax assets. The Company will continue to assess its position in future periods to determine if it is appropriate to reduce a portion of its valuation allowance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14.</w:t>
      </w:r>
      <w:r>
        <w:rPr>
          <w:rFonts w:ascii="Times New Roman" w:hAnsi="Times New Roman"/>
          <w:b/>
          <w:caps w:val="false"/>
          <w:smallCaps w:val="false"/>
          <w:sz w:val="20"/>
        </w:rPr>
        <w:t xml:space="preserve"> 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Glytech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The Company licenses patents that are owned by Glytech, LLC (“</w:t>
      </w:r>
      <w:r>
        <w:rPr>
          <w:rFonts w:ascii="Times New Roman" w:hAnsi="Times New Roman"/>
          <w:i/>
          <w:caps w:val="false"/>
          <w:smallCaps w:val="false"/>
          <w:sz w:val="20"/>
        </w:rPr>
        <w:t>Glytech</w:t>
      </w:r>
      <w:r>
        <w:rPr>
          <w:rFonts w:ascii="Times New Roman" w:hAnsi="Times New Roman"/>
          <w:caps w:val="false"/>
          <w:smallCaps w:val="false"/>
          <w:sz w:val="20"/>
        </w:rPr>
        <w:t>”), pursuant to a license agreement (the “</w:t>
      </w:r>
      <w:r>
        <w:rPr>
          <w:rFonts w:ascii="Times New Roman" w:hAnsi="Times New Roman"/>
          <w:i/>
          <w:caps w:val="false"/>
          <w:smallCaps w:val="false"/>
          <w:sz w:val="20"/>
        </w:rPr>
        <w:t>Glytech Agreement</w:t>
      </w:r>
      <w:r>
        <w:rPr>
          <w:rFonts w:ascii="Times New Roman" w:hAnsi="Times New Roman"/>
          <w:caps w:val="false"/>
          <w:smallCaps w:val="false"/>
          <w:sz w:val="20"/>
        </w:rPr>
        <w:t xml:space="preserve">”). Glytech is owned by Daniel Javitt, a co-founder and former director of the Company. The Glytech Agreement requires that the Company pay Glytech for ongoing scientific support and also reimburse Glytech for expenses of obtaining and maintaining patents that are licensed to the Company.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June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the Company paid Glytech $0.0 million and $0.1 million, respectively, for continuing technology support services and reimbursed expenses.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June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the Company paid Glytech $0.0 million and $0.1 million, respectively, for continuing technology support services and reimbursed expenses. These support services are ongoing.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31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 w:hAnsi="Times New Roman"/>
          <w:caps w:val="false"/>
          <w:smallCaps w:val="false"/>
          <w:sz w:val="20"/>
        </w:rPr>
        <w:t xml:space="preserve">The Fourth Amendment to the Glytech Agreement, effective as of </w:t>
      </w:r>
      <w:r>
        <w:rPr>
          <w:rStyle w:val="Emphasis"/>
          <w:rFonts w:ascii="Times New Roman" w:hAnsi="Times New Roman"/>
          <w:caps w:val="false"/>
          <w:smallCaps w:val="false"/>
          <w:sz w:val="20"/>
        </w:rPr>
        <w:t>December 31,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includes an equity value-triggered transfer of Excluded Technology from Glytech to the Company. The Excluded Technology is defined in the Glytech Agreement as any technology, and any know-how related thereto, covered in the licensed patents that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recite either D-cycloserine or lurasidone individually or jointly. This definition would cover pharmaceutical formulations, including some that the Company considers “pipeline” or “future product” opportunities, that contain a combination of pharmaceutical components different from those contained in NRX-</w:t>
      </w:r>
      <w:r>
        <w:rPr>
          <w:rStyle w:val="Emphasis"/>
          <w:rFonts w:ascii="Times New Roman" w:hAnsi="Times New Roman"/>
          <w:caps w:val="false"/>
          <w:smallCaps w:val="false"/>
          <w:sz w:val="20"/>
        </w:rPr>
        <w:t>100</w:t>
      </w:r>
      <w:r>
        <w:rPr>
          <w:rFonts w:ascii="Times New Roman" w:hAnsi="Times New Roman"/>
          <w:caps w:val="false"/>
          <w:smallCaps w:val="false"/>
          <w:sz w:val="20"/>
        </w:rPr>
        <w:t xml:space="preserve"> and NRX-</w:t>
      </w:r>
      <w:r>
        <w:rPr>
          <w:rStyle w:val="Emphasis"/>
          <w:rFonts w:ascii="Times New Roman" w:hAnsi="Times New Roman"/>
          <w:caps w:val="false"/>
          <w:smallCaps w:val="false"/>
          <w:sz w:val="20"/>
        </w:rPr>
        <w:t>101.</w:t>
      </w:r>
      <w:r>
        <w:rPr>
          <w:rFonts w:ascii="Times New Roman" w:hAnsi="Times New Roman"/>
          <w:caps w:val="false"/>
          <w:smallCaps w:val="false"/>
          <w:sz w:val="20"/>
        </w:rPr>
        <w:t xml:space="preserve"> On </w:t>
      </w:r>
      <w:r>
        <w:rPr>
          <w:rStyle w:val="Emphasis"/>
          <w:rFonts w:ascii="Times New Roman" w:hAnsi="Times New Roman"/>
          <w:caps w:val="false"/>
          <w:smallCaps w:val="false"/>
          <w:sz w:val="20"/>
        </w:rPr>
        <w:t xml:space="preserve">November 6, 2022 </w:t>
      </w:r>
      <w:r>
        <w:rPr>
          <w:rFonts w:ascii="Times New Roman" w:hAnsi="Times New Roman"/>
          <w:caps w:val="false"/>
          <w:smallCaps w:val="false"/>
          <w:sz w:val="20"/>
        </w:rPr>
        <w:t xml:space="preserve">the Glytech Agreement was amended whereby Glytech agreed to transfer and assign the remainder of the Licensed Technology and the Excluded Technology to the Company for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additional consideration at any time upon receipt of written notice from the Company if, on or prior to </w:t>
      </w:r>
      <w:r>
        <w:rPr>
          <w:rStyle w:val="Emphasis"/>
          <w:rFonts w:ascii="Times New Roman" w:hAnsi="Times New Roman"/>
          <w:caps w:val="false"/>
          <w:smallCaps w:val="false"/>
          <w:sz w:val="20"/>
        </w:rPr>
        <w:t>June 30, 2024, (</w:t>
      </w:r>
      <w:r>
        <w:rPr>
          <w:rFonts w:ascii="Times New Roman" w:hAnsi="Times New Roman"/>
          <w:caps w:val="false"/>
          <w:smallCaps w:val="false"/>
          <w:sz w:val="20"/>
        </w:rPr>
        <w:t>i) the value of the Glytech equity holdings in the Company (the “</w:t>
      </w:r>
      <w:r>
        <w:rPr>
          <w:rFonts w:ascii="Times New Roman" w:hAnsi="Times New Roman"/>
          <w:i/>
          <w:caps w:val="false"/>
          <w:smallCaps w:val="false"/>
          <w:sz w:val="20"/>
        </w:rPr>
        <w:t>Glytech Equity</w:t>
      </w:r>
      <w:r>
        <w:rPr>
          <w:rFonts w:ascii="Times New Roman" w:hAnsi="Times New Roman"/>
          <w:caps w:val="false"/>
          <w:smallCaps w:val="false"/>
          <w:sz w:val="20"/>
        </w:rPr>
        <w:t xml:space="preserve">”) has an aggregate liquidity value of at least $50 million for </w:t>
      </w:r>
      <w:r>
        <w:rPr>
          <w:rStyle w:val="Emphasis"/>
          <w:rFonts w:ascii="Times New Roman" w:hAnsi="Times New Roman"/>
          <w:caps w:val="false"/>
          <w:smallCaps w:val="false"/>
          <w:sz w:val="20"/>
        </w:rPr>
        <w:t>twenty</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w:t>
      </w:r>
      <w:r>
        <w:rPr>
          <w:rFonts w:ascii="Times New Roman" w:hAnsi="Times New Roman"/>
          <w:caps w:val="false"/>
          <w:smallCaps w:val="false"/>
          <w:sz w:val="20"/>
        </w:rPr>
        <w:t xml:space="preserve">) consecutive trading days immediately preceding any given date and (ii) there are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legal or contractual restrictions on selling all of the securities represented by the Glytech Equity then applicable to Glytech (or reasonably foreseeable to be applicable to Glytech within the following </w:t>
      </w:r>
      <w:r>
        <w:rPr>
          <w:rStyle w:val="Emphasis"/>
          <w:rFonts w:ascii="Times New Roman" w:hAnsi="Times New Roman"/>
          <w:caps w:val="false"/>
          <w:smallCaps w:val="false"/>
          <w:sz w:val="20"/>
        </w:rPr>
        <w:t>twenty</w:t>
      </w:r>
      <w:r>
        <w:rPr>
          <w:rFonts w:ascii="Times New Roman" w:hAnsi="Times New Roman"/>
          <w:caps w:val="false"/>
          <w:smallCaps w:val="false"/>
          <w:sz w:val="20"/>
        </w:rPr>
        <w:t xml:space="preserve"> trading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Consulting Agreement with Dr. Jonathan Javitt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Chief Scientist of the Company, Dr. Jonathan Javitt, is a major shareholder in the Company and a member of the Board of Directors. Therefore, his services are deemed to be a related party transaction. He served the Company on a full-time basis as CEO under an employment agreement with the Company until </w:t>
      </w:r>
      <w:r>
        <w:rPr>
          <w:rStyle w:val="Emphasis"/>
          <w:rFonts w:ascii="Times New Roman" w:hAnsi="Times New Roman"/>
          <w:caps w:val="false"/>
          <w:smallCaps w:val="false"/>
          <w:sz w:val="20"/>
        </w:rPr>
        <w:t xml:space="preserve">March 8, 2022 </w:t>
      </w:r>
      <w:r>
        <w:rPr>
          <w:rFonts w:ascii="Times New Roman" w:hAnsi="Times New Roman"/>
          <w:caps w:val="false"/>
          <w:smallCaps w:val="false"/>
          <w:sz w:val="20"/>
        </w:rPr>
        <w:t xml:space="preserve">and currently serves under a Consulting Agreement with the Company as Chief Scientist thereafter and received compensation of $0.3 million and $0.2 million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respectively, and received compensation of $0.6 million and $0.4 million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March 29, 2023, </w:t>
      </w:r>
      <w:r>
        <w:rPr>
          <w:rFonts w:ascii="Times New Roman" w:hAnsi="Times New Roman"/>
          <w:caps w:val="false"/>
          <w:smallCaps w:val="false"/>
          <w:sz w:val="20"/>
        </w:rPr>
        <w:t xml:space="preserve">the Consulting Agreement dated </w:t>
      </w:r>
      <w:r>
        <w:rPr>
          <w:rStyle w:val="Emphasis"/>
          <w:rFonts w:ascii="Times New Roman" w:hAnsi="Times New Roman"/>
          <w:caps w:val="false"/>
          <w:smallCaps w:val="false"/>
          <w:sz w:val="20"/>
        </w:rPr>
        <w:t>March 8, 2022 (</w:t>
      </w:r>
      <w:r>
        <w:rPr>
          <w:rFonts w:ascii="Times New Roman" w:hAnsi="Times New Roman"/>
          <w:caps w:val="false"/>
          <w:smallCaps w:val="false"/>
          <w:sz w:val="20"/>
        </w:rPr>
        <w:t>the “</w:t>
      </w:r>
      <w:r>
        <w:rPr>
          <w:rFonts w:ascii="Times New Roman" w:hAnsi="Times New Roman"/>
          <w:i/>
          <w:caps w:val="false"/>
          <w:smallCaps w:val="false"/>
          <w:sz w:val="20"/>
        </w:rPr>
        <w:t>Javitt Consulting Agreement</w:t>
      </w:r>
      <w:r>
        <w:rPr>
          <w:rFonts w:ascii="Times New Roman" w:hAnsi="Times New Roman"/>
          <w:caps w:val="false"/>
          <w:smallCaps w:val="false"/>
          <w:sz w:val="20"/>
        </w:rPr>
        <w:t xml:space="preserve">”) between the Company and Dr. Jonathan Javitt was amended to extend the term of the Agreement until </w:t>
      </w:r>
      <w:r>
        <w:rPr>
          <w:rStyle w:val="Emphasis"/>
          <w:rFonts w:ascii="Times New Roman" w:hAnsi="Times New Roman"/>
          <w:caps w:val="false"/>
          <w:smallCaps w:val="false"/>
          <w:sz w:val="20"/>
        </w:rPr>
        <w:t xml:space="preserve">March 8, 2024 </w:t>
      </w:r>
      <w:r>
        <w:rPr>
          <w:rFonts w:ascii="Times New Roman" w:hAnsi="Times New Roman"/>
          <w:caps w:val="false"/>
          <w:smallCaps w:val="false"/>
          <w:sz w:val="20"/>
        </w:rPr>
        <w:t xml:space="preserve">with automatic annual renewals thereafter unless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party or the other provides notice of non-renewal. The amendment also provided for payment at the rate of $0.6 million per year, payable monthly (i.e., less than $0.1 million per month), and a performance-based annual bonus with a minimum target of $0.3 million, at the discretion of the Board and upon satisfactory performance of the services. The annual discretionary bonus for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if 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approved by the board in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and is payable in </w:t>
      </w:r>
      <w:r>
        <w:rPr>
          <w:rStyle w:val="Emphasis"/>
          <w:rFonts w:ascii="Times New Roman" w:hAnsi="Times New Roman"/>
          <w:caps w:val="false"/>
          <w:smallCaps w:val="false"/>
          <w:sz w:val="20"/>
        </w:rPr>
        <w:t xml:space="preserve">March 2024, </w:t>
      </w:r>
      <w:r>
        <w:rPr>
          <w:rFonts w:ascii="Times New Roman" w:hAnsi="Times New Roman"/>
          <w:caps w:val="false"/>
          <w:smallCaps w:val="false"/>
          <w:sz w:val="20"/>
        </w:rPr>
        <w:t xml:space="preserve">will be pro-rated from the start of the extension period and is subject to Dr. Javitt’s continued engagement by the Company. The annual discretionary bonus for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if 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approved by the board in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and is payable in </w:t>
      </w:r>
      <w:r>
        <w:rPr>
          <w:rStyle w:val="Emphasis"/>
          <w:rFonts w:ascii="Times New Roman" w:hAnsi="Times New Roman"/>
          <w:caps w:val="false"/>
          <w:smallCaps w:val="false"/>
          <w:sz w:val="20"/>
        </w:rPr>
        <w:t xml:space="preserve">March 2025, </w:t>
      </w:r>
      <w:r>
        <w:rPr>
          <w:rFonts w:ascii="Times New Roman" w:hAnsi="Times New Roman"/>
          <w:caps w:val="false"/>
          <w:smallCaps w:val="false"/>
          <w:sz w:val="20"/>
        </w:rPr>
        <w:t xml:space="preserve">will be pro-rated from the start of the extension period and is subject to Dr. Javitt’s continued engagement by the Company. As of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31, 2024, </w:t>
      </w:r>
      <w:r>
        <w:rPr>
          <w:rFonts w:ascii="Times New Roman" w:hAnsi="Times New Roman"/>
          <w:caps w:val="false"/>
          <w:smallCaps w:val="false"/>
          <w:sz w:val="20"/>
        </w:rPr>
        <w:t>the annual discretionary bonus of $0.2 million and $0.2 million is accrued and included within accrued and other current liabilities on the condensed consolidated balance sheets,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Javitt Amendment also provides, subject to the approval of the Board of Directors, for a grant of 50,000 shares of restricted stock of the Company under the Company’s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Omnibus Incentive Plan. The restrictions are performance based, and half of the restricted shares (25,000) shall have the restrictions removed on the New Drug Application Date (as defined below) and the remaining half (25,000) will have the restrictions removed on the New Drug Approval Date (as defined below). As of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 xml:space="preserve">the Board of Directors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approved the grant of restricted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The term “New Drug Application Date” means the date upon which the FDA files the Company’s new drug application for the Antidepressant Drug Regimen (as defined below) for review. The term “New Drug Approval Date” means date upon which the FDA has both approved the Company’s Antidepressant Drug Regimen and listed the Company’s Antidepressant Drug Regimen in the FDA’s “Orange Book”. The term “Antidepressant Drug Regimen” means NRX-</w:t>
      </w:r>
      <w:r>
        <w:rPr>
          <w:rStyle w:val="Emphasis"/>
          <w:rFonts w:ascii="Times New Roman" w:hAnsi="Times New Roman"/>
          <w:caps w:val="false"/>
          <w:smallCaps w:val="false"/>
          <w:sz w:val="20"/>
        </w:rPr>
        <w:t>101,</w:t>
      </w:r>
      <w:r>
        <w:rPr>
          <w:rFonts w:ascii="Times New Roman" w:hAnsi="Times New Roman"/>
          <w:caps w:val="false"/>
          <w:smallCaps w:val="false"/>
          <w:sz w:val="20"/>
        </w:rPr>
        <w:t xml:space="preserve"> a proprietary fixed-dose combination capsule of d-cycloserine and Lurasidone, administered for sequential weeks of daily oral treatment following patient stabilization using a single infusion of NRX-</w:t>
      </w:r>
      <w:r>
        <w:rPr>
          <w:rStyle w:val="Emphasis"/>
          <w:rFonts w:ascii="Times New Roman" w:hAnsi="Times New Roman"/>
          <w:caps w:val="false"/>
          <w:smallCaps w:val="false"/>
          <w:sz w:val="20"/>
        </w:rPr>
        <w:t>100</w:t>
      </w:r>
      <w:r>
        <w:rPr>
          <w:rFonts w:ascii="Times New Roman" w:hAnsi="Times New Roman"/>
          <w:caps w:val="false"/>
          <w:smallCaps w:val="false"/>
          <w:sz w:val="20"/>
        </w:rPr>
        <w:t xml:space="preserve"> (ketamine) or another standard of care therapy.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Consulting Agreement with Zachary Javitt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Zachary Javitt is the son of Dr. Jonathan Javitt. Zachary Javitt provides services related to website, IT, and marketing support under the supervision of the Company’s CEO who is responsible for assuring that the services are provided on financial terms that are at market. The Company paid this family member a total of less than $0.1 million and less than $0.1 million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respectively. The Company paid this family member a total of $0.1 million and less than $0.1 million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respectively. These services are ongoing.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Included in accounts payable were $0.2 million and less than $0.1 million due to the above related parties as of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31, 2024, </w:t>
      </w:r>
      <w:r>
        <w:rPr>
          <w:rFonts w:ascii="Times New Roman" w:hAnsi="Times New Roman"/>
          <w:caps w:val="false"/>
          <w:smallCaps w:val="false"/>
          <w:sz w:val="20"/>
        </w:rPr>
        <w:t>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15.</w:t>
      </w:r>
      <w:r>
        <w:rPr>
          <w:rFonts w:ascii="Times New Roman" w:hAnsi="Times New Roman"/>
          <w:b/>
          <w:caps w:val="false"/>
          <w:smallCaps w:val="false"/>
          <w:sz w:val="20"/>
        </w:rPr>
        <w:t xml:space="preserve"> Subsequent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From </w:t>
      </w:r>
      <w:r>
        <w:rPr>
          <w:rStyle w:val="Emphasis"/>
          <w:rFonts w:ascii="Times New Roman" w:hAnsi="Times New Roman"/>
          <w:caps w:val="false"/>
          <w:smallCaps w:val="false"/>
          <w:sz w:val="20"/>
        </w:rPr>
        <w:t xml:space="preserve">July 9, 2025 </w:t>
      </w:r>
      <w:r>
        <w:rPr>
          <w:rFonts w:ascii="Times New Roman" w:hAnsi="Times New Roman"/>
          <w:caps w:val="false"/>
          <w:smallCaps w:val="false"/>
          <w:sz w:val="20"/>
        </w:rPr>
        <w:t xml:space="preserve">through </w:t>
      </w:r>
      <w:r>
        <w:rPr>
          <w:rStyle w:val="Emphasis"/>
          <w:rFonts w:ascii="Times New Roman" w:hAnsi="Times New Roman"/>
          <w:caps w:val="false"/>
          <w:smallCaps w:val="false"/>
          <w:sz w:val="20"/>
        </w:rPr>
        <w:t xml:space="preserve">August 14, 2025, </w:t>
      </w:r>
      <w:r>
        <w:rPr>
          <w:rFonts w:ascii="Times New Roman" w:hAnsi="Times New Roman"/>
          <w:caps w:val="false"/>
          <w:smallCaps w:val="false"/>
          <w:sz w:val="20"/>
        </w:rPr>
        <w:t>the Company sold an aggregate of 231,489 shares of its common stock shares for approximately $0.7 million, net of less than $0.02 million in offering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Item 2. Management</w:t>
      </w:r>
      <w:r>
        <w:rPr>
          <w:rFonts w:ascii="Times New Roman" w:hAnsi="Times New Roman"/>
          <w:caps w:val="false"/>
          <w:smallCaps w:val="false"/>
          <w:sz w:val="20"/>
        </w:rPr>
        <w:t>’</w:t>
      </w:r>
      <w:r>
        <w:rPr>
          <w:rFonts w:ascii="Times New Roman" w:hAnsi="Times New Roman"/>
          <w:b/>
          <w:caps w:val="false"/>
          <w:smallCaps w:val="false"/>
          <w:sz w:val="20"/>
        </w:rPr>
        <w: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You should read the following discussion and analysis of NRx Pharmaceuticals</w:t>
      </w:r>
      <w:r>
        <w:rPr>
          <w:rFonts w:ascii="Times New Roman" w:hAnsi="Times New Roman"/>
          <w:caps w:val="false"/>
          <w:smallCaps w:val="false"/>
          <w:sz w:val="20"/>
        </w:rPr>
        <w:t xml:space="preserve">’ </w:t>
      </w:r>
      <w:r>
        <w:rPr>
          <w:rFonts w:ascii="Times New Roman" w:hAnsi="Times New Roman"/>
          <w:i/>
          <w:caps w:val="false"/>
          <w:smallCaps w:val="false"/>
          <w:sz w:val="20"/>
        </w:rPr>
        <w:t>financial condition and plan of operations together with NRx Pharmaceuticals' condensed consolidated financial statements and the related notes appearing elsewhere herein. In addition to historical information, this discussion and analysis contains forward looking statements that involve risks, uncertainties and assumptions. NRx Pharmaceuticals</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actual results may differ materially from those discussed below. Factors that could cause or contribute to such differences include, but are not limited to, those identified below, and those discussed in the section entitled </w:t>
      </w:r>
      <w:r>
        <w:rPr>
          <w:rFonts w:ascii="Times New Roman" w:hAnsi="Times New Roman"/>
          <w:caps w:val="false"/>
          <w:smallCaps w:val="false"/>
          <w:sz w:val="20"/>
        </w:rPr>
        <w:t>“</w:t>
      </w:r>
      <w:r>
        <w:rPr>
          <w:rFonts w:ascii="Times New Roman" w:hAnsi="Times New Roman"/>
          <w:i/>
          <w:caps w:val="false"/>
          <w:smallCaps w:val="false"/>
          <w:sz w:val="20"/>
        </w:rPr>
        <w:t>Risk Factors</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included elsewhere herein. All references to </w:t>
      </w:r>
      <w:r>
        <w:rPr>
          <w:rFonts w:ascii="Times New Roman" w:hAnsi="Times New Roman"/>
          <w:caps w:val="false"/>
          <w:smallCaps w:val="false"/>
          <w:sz w:val="20"/>
        </w:rPr>
        <w:t>“</w:t>
      </w:r>
      <w:r>
        <w:rPr>
          <w:rFonts w:ascii="Times New Roman" w:hAnsi="Times New Roman"/>
          <w:i/>
          <w:caps w:val="false"/>
          <w:smallCaps w:val="false"/>
          <w:sz w:val="20"/>
        </w:rPr>
        <w:t>Note,</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followed by a number reference from 1 to 15 herein, refer to the applicable corresponding numbered footnotes to these condensed consolidated </w:t>
      </w:r>
      <w:r>
        <w:rPr>
          <w:rFonts w:ascii="Times New Roman" w:hAnsi="Times New Roman"/>
          <w:caps w:val="false"/>
          <w:smallCaps w:val="false"/>
          <w:sz w:val="20"/>
        </w:rPr>
        <w:t>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NRx Pharmaceuticals, Inc. (Nasdaq: NRXP) (“</w:t>
      </w:r>
      <w:r>
        <w:rPr>
          <w:rFonts w:ascii="Times New Roman" w:hAnsi="Times New Roman"/>
          <w:i/>
          <w:caps w:val="false"/>
          <w:smallCaps w:val="false"/>
          <w:sz w:val="20"/>
        </w:rPr>
        <w:t>NRx</w:t>
      </w:r>
      <w:r>
        <w:rPr>
          <w:rFonts w:ascii="Times New Roman" w:hAnsi="Times New Roman"/>
          <w:caps w:val="false"/>
          <w:smallCaps w:val="false"/>
          <w:sz w:val="20"/>
        </w:rPr>
        <w:t>”, the “</w:t>
      </w:r>
      <w:r>
        <w:rPr>
          <w:rFonts w:ascii="Times New Roman" w:hAnsi="Times New Roman"/>
          <w:i/>
          <w:caps w:val="false"/>
          <w:smallCaps w:val="false"/>
          <w:sz w:val="20"/>
        </w:rPr>
        <w:t>Company</w:t>
      </w:r>
      <w:r>
        <w:rPr>
          <w:rFonts w:ascii="Times New Roman" w:hAnsi="Times New Roman"/>
          <w:caps w:val="false"/>
          <w:smallCaps w:val="false"/>
          <w:sz w:val="20"/>
        </w:rPr>
        <w:t>”, “</w:t>
      </w:r>
      <w:r>
        <w:rPr>
          <w:rFonts w:ascii="Times New Roman" w:hAnsi="Times New Roman"/>
          <w:i/>
          <w:caps w:val="false"/>
          <w:smallCaps w:val="false"/>
          <w:sz w:val="20"/>
        </w:rPr>
        <w:t>we</w:t>
      </w:r>
      <w:r>
        <w:rPr>
          <w:rFonts w:ascii="Times New Roman" w:hAnsi="Times New Roman"/>
          <w:caps w:val="false"/>
          <w:smallCaps w:val="false"/>
          <w:sz w:val="20"/>
        </w:rPr>
        <w:t>”, “</w:t>
      </w:r>
      <w:r>
        <w:rPr>
          <w:rFonts w:ascii="Times New Roman" w:hAnsi="Times New Roman"/>
          <w:i/>
          <w:caps w:val="false"/>
          <w:smallCaps w:val="false"/>
          <w:sz w:val="20"/>
        </w:rPr>
        <w:t>us</w:t>
      </w:r>
      <w:r>
        <w:rPr>
          <w:rFonts w:ascii="Times New Roman" w:hAnsi="Times New Roman"/>
          <w:caps w:val="false"/>
          <w:smallCaps w:val="false"/>
          <w:sz w:val="20"/>
        </w:rPr>
        <w:t>” or “</w:t>
      </w:r>
      <w:r>
        <w:rPr>
          <w:rFonts w:ascii="Times New Roman" w:hAnsi="Times New Roman"/>
          <w:i/>
          <w:caps w:val="false"/>
          <w:smallCaps w:val="false"/>
          <w:sz w:val="20"/>
        </w:rPr>
        <w:t>our</w:t>
      </w:r>
      <w:r>
        <w:rPr>
          <w:rFonts w:ascii="Times New Roman" w:hAnsi="Times New Roman"/>
          <w:caps w:val="false"/>
          <w:smallCaps w:val="false"/>
          <w:sz w:val="20"/>
        </w:rPr>
        <w:t>”) is a clinical-stage bio-pharmaceutical company which develops and will distribute, through its wholly-owned operating subsidiary, NeuroRx, Inc., (“</w:t>
      </w:r>
      <w:r>
        <w:rPr>
          <w:rFonts w:ascii="Times New Roman" w:hAnsi="Times New Roman"/>
          <w:i/>
          <w:caps w:val="false"/>
          <w:smallCaps w:val="false"/>
          <w:sz w:val="20"/>
        </w:rPr>
        <w:t>NeuroRx</w:t>
      </w:r>
      <w:r>
        <w:rPr>
          <w:rFonts w:ascii="Times New Roman" w:hAnsi="Times New Roman"/>
          <w:caps w:val="false"/>
          <w:smallCaps w:val="false"/>
          <w:sz w:val="20"/>
        </w:rPr>
        <w:t>”), novel therapeutics for the treatment of central nervous system disorders including suicidal depression, chronic pain, and post-traumatic stress disorder (“</w:t>
      </w:r>
      <w:r>
        <w:rPr>
          <w:rFonts w:ascii="Times New Roman" w:hAnsi="Times New Roman"/>
          <w:i/>
          <w:caps w:val="false"/>
          <w:smallCaps w:val="false"/>
          <w:sz w:val="20"/>
        </w:rPr>
        <w:t>PTSD</w:t>
      </w:r>
      <w:r>
        <w:rPr>
          <w:rFonts w:ascii="Times New Roman" w:hAnsi="Times New Roman"/>
          <w:caps w:val="false"/>
          <w:smallCaps w:val="false"/>
          <w:sz w:val="20"/>
        </w:rPr>
        <w:t>”) and schizophrenia. All of our current drug development activities are focused drugs that modulate on the N-methyl-D-aspartate (“</w:t>
      </w:r>
      <w:r>
        <w:rPr>
          <w:rFonts w:ascii="Times New Roman" w:hAnsi="Times New Roman"/>
          <w:i/>
          <w:caps w:val="false"/>
          <w:smallCaps w:val="false"/>
          <w:sz w:val="20"/>
        </w:rPr>
        <w:t>NMDA</w:t>
      </w:r>
      <w:r>
        <w:rPr>
          <w:rFonts w:ascii="Times New Roman" w:hAnsi="Times New Roman"/>
          <w:caps w:val="false"/>
          <w:smallCaps w:val="false"/>
          <w:sz w:val="20"/>
        </w:rPr>
        <w:t>”) receptor in the brain and nervous system, a neurochemical pathway that has been disclosed in detail in our annual filings. The Company has two lead drug candidates – NRX-100, a preservative-free formulation of ketamine for intravenous infusion, and NRX-101, an oral fixed dose combination of D-cycloserine and lurasidone. NRX-100 and NRX-101 are in the process of submission for Food and Drug Administration (“</w:t>
      </w:r>
      <w:r>
        <w:rPr>
          <w:rFonts w:ascii="Times New Roman" w:hAnsi="Times New Roman"/>
          <w:i/>
          <w:caps w:val="false"/>
          <w:smallCaps w:val="false"/>
          <w:sz w:val="20"/>
        </w:rPr>
        <w:t>FDA</w:t>
      </w:r>
      <w:r>
        <w:rPr>
          <w:rFonts w:ascii="Times New Roman" w:hAnsi="Times New Roman"/>
          <w:caps w:val="false"/>
          <w:smallCaps w:val="false"/>
          <w:sz w:val="20"/>
        </w:rPr>
        <w:t>”) approval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3"/>
        <w:gridCol w:w="9992"/>
      </w:tblGrid>
      <w:tr>
        <w:trPr/>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9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 Abbreviated New Drug Application (“</w:t>
            </w:r>
            <w:r>
              <w:rPr>
                <w:rFonts w:ascii="Times New Roman;Times;serif" w:hAnsi="Times New Roman;Times;serif"/>
                <w:i/>
                <w:caps w:val="false"/>
                <w:smallCaps w:val="false"/>
                <w:sz w:val="20"/>
              </w:rPr>
              <w:t>ANDA</w:t>
            </w:r>
            <w:r>
              <w:rPr>
                <w:rFonts w:ascii="Times New Roman;Times;serif" w:hAnsi="Times New Roman;Times;serif"/>
                <w:caps w:val="false"/>
                <w:smallCaps w:val="false"/>
                <w:sz w:val="20"/>
              </w:rPr>
              <w:t>”) for NRX-100 was filed, with Priority Review requested, during the second quarter of 2025 with a first response received August 13, 2025.</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2"/>
        <w:gridCol w:w="10013"/>
      </w:tblGrid>
      <w:tr>
        <w:trPr/>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1001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 New Drug Application (“</w:t>
            </w:r>
            <w:r>
              <w:rPr>
                <w:rFonts w:ascii="Times New Roman;Times;serif" w:hAnsi="Times New Roman;Times;serif"/>
                <w:i/>
                <w:caps w:val="false"/>
                <w:smallCaps w:val="false"/>
                <w:sz w:val="20"/>
              </w:rPr>
              <w:t>NDA</w:t>
            </w:r>
            <w:r>
              <w:rPr>
                <w:rFonts w:ascii="Times New Roman;Times;serif" w:hAnsi="Times New Roman;Times;serif"/>
                <w:caps w:val="false"/>
                <w:smallCaps w:val="false"/>
                <w:sz w:val="20"/>
              </w:rPr>
              <w:t>”) for NRX-100, originally initiated during the fourth quarter of 2024, is expected to be completed in September 2025. This follows the Company’s successful application for a waiver under the Prescription Drug User Fee Act ("</w:t>
            </w:r>
            <w:r>
              <w:rPr>
                <w:rFonts w:ascii="Times New Roman;Times;serif" w:hAnsi="Times New Roman;Times;serif"/>
                <w:i/>
                <w:caps w:val="false"/>
                <w:smallCaps w:val="false"/>
                <w:sz w:val="20"/>
              </w:rPr>
              <w:t>PDUFA</w:t>
            </w:r>
            <w:r>
              <w:rPr>
                <w:rFonts w:ascii="Times New Roman;Times;serif" w:hAnsi="Times New Roman;Times;serif"/>
                <w:caps w:val="false"/>
                <w:smallCaps w:val="false"/>
                <w:sz w:val="20"/>
              </w:rPr>
              <w:t>"), which is expected to save the Company approximately $4.3 million in filing fees and grant of Fast Track Designation for NRX-100 for “Treatment of Suicidal Ideation in Patients with Depression, including Bipolar Depression. The Company has applied to receive a Commissioner’s National Priority Voucher (CNPV), which could significantly reduce review time.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2"/>
        <w:gridCol w:w="10013"/>
      </w:tblGrid>
      <w:tr>
        <w:trPr/>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w:t>
            </w:r>
          </w:p>
        </w:tc>
        <w:tc>
          <w:tcPr>
            <w:tcW w:w="1001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An NDA filing for NRX-101 has been initiated with the transmission of the Module 3 manufacturing file to publishing. The drug was previously awarded Breakthrough Therapy Designation and accordingly the Company is requesting rolling review of the NDA. Breakthrough Therapy Designation is granted by the FDA to facilitate the development, and expedite the review of drugs to treat serious conditions meet an unmet medical need, and have demonstrated preliminary evidence of efficacy as determined by the FDA. The Company anticipates decision dates from the FDA for both its NDA applications potentially as early as year-end 2025 (NRX-100) and the first quarter of 2026 (NRX-101).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February 2024, NRx incorporated HOPE Therapeutics, Inc. (“</w:t>
      </w:r>
      <w:r>
        <w:rPr>
          <w:rFonts w:ascii="Times New Roman" w:hAnsi="Times New Roman"/>
          <w:i/>
          <w:caps w:val="false"/>
          <w:smallCaps w:val="false"/>
          <w:sz w:val="20"/>
        </w:rPr>
        <w:t>HOPE</w:t>
      </w:r>
      <w:r>
        <w:rPr>
          <w:rFonts w:ascii="Times New Roman" w:hAnsi="Times New Roman"/>
          <w:caps w:val="false"/>
          <w:smallCaps w:val="false"/>
          <w:sz w:val="20"/>
        </w:rPr>
        <w:t>”), a medical care delivery organization focused on providing cutting-edge, comprehensive interventional psychiatric treatment of the above conditions with the most effective treatments available, including NMDA-targeted and other neuroplastic drugs, such as ketamine, Spravato and NRX-101, neuromodulatory devices, such as Transcranial Magnetic Stimulation (“</w:t>
      </w:r>
      <w:r>
        <w:rPr>
          <w:rFonts w:ascii="Times New Roman" w:hAnsi="Times New Roman"/>
          <w:i/>
          <w:caps w:val="false"/>
          <w:smallCaps w:val="false"/>
          <w:sz w:val="20"/>
        </w:rPr>
        <w:t>TMS</w:t>
      </w:r>
      <w:r>
        <w:rPr>
          <w:rFonts w:ascii="Times New Roman" w:hAnsi="Times New Roman"/>
          <w:caps w:val="false"/>
          <w:smallCaps w:val="false"/>
          <w:sz w:val="20"/>
        </w:rPr>
        <w:t>”), digital therapeutics, and medication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NeuroRx is organized as a traditional research and development (“</w:t>
      </w:r>
      <w:r>
        <w:rPr>
          <w:rFonts w:ascii="Times New Roman" w:hAnsi="Times New Roman"/>
          <w:i/>
          <w:caps w:val="false"/>
          <w:smallCaps w:val="false"/>
          <w:sz w:val="20"/>
        </w:rPr>
        <w:t>R&amp;D</w:t>
      </w:r>
      <w:r>
        <w:rPr>
          <w:rFonts w:ascii="Times New Roman" w:hAnsi="Times New Roman"/>
          <w:caps w:val="false"/>
          <w:smallCaps w:val="false"/>
          <w:sz w:val="20"/>
        </w:rPr>
        <w:t>”) company, whereas HOPE is organized as a medical care delivery company intended to own and/or operate clinics that serve patients with suicidal depression, PTSD, and other serious Central Nervous System (“CNS”) disorders. Management’s plan, through the establishment of HOPE, is to transform NRx from a pre-revenue biotechnology company to a revenue-generating enterprise that continues to develop life-saving drugs and technologies through NeuroRx, while also treating patients through HOPE.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During the second quarter of 2025 and in the subsequent period, key achievements by the Company in support of its overall mission to improve and save the lives of patients affected by central nervous system disorders including suicidal depression, chronic pain, post-traumatic stress disorder and schizophrenia include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33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720" w:right="0" w:hanging="0"/>
        <w:jc w:val="both"/>
        <w:rPr>
          <w:rFonts w:ascii="Times New Roman" w:hAnsi="Times New Roman"/>
          <w:b/>
          <w:caps w:val="false"/>
          <w:smallCaps w:val="false"/>
          <w:sz w:val="20"/>
        </w:rPr>
      </w:pPr>
      <w:r>
        <w:rPr>
          <w:rFonts w:ascii="Times New Roman" w:hAnsi="Times New Roman"/>
          <w:b/>
          <w:caps w:val="false"/>
          <w:smallCaps w:val="false"/>
          <w:sz w:val="20"/>
        </w:rPr>
        <w:t>Drug Development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Grant of Fast Track Designation for NRX-100 from the FDA for all indications and types of depression and related disorders based on its potential to satisfy an unmet medical need. This designation represents an approximately 10-fold expansion of the addressable market to 13 million Americans, compared to the original Fast Track Designation issued in 2017 for bipolar depression alone. The Designation letter contains a specific finding that NRX-100 addresses an “unmet medical need.” This is a specific qualifying requirement for the Commissioner’s National Priority Voucher Program.</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Filing of an ANDA for NRX-100 (preservative-free intravenous ketamine).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Filing of Commissioner’s National Priority Voucher application for intravenous ketamine (NRX-100).</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Submission of stability data for NRX-100 to the manufacturing data on file with FDA sufficient to support three years of room temperature shelf stability for NRX-100.</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Submission of draft labeling for NRX-100 in the treatment of suicidal depression based on the Fast Track Designation received.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Completion of a toxicology assessment of Benzethonium Chloride, documenting its lack of “Generally Recognized as Safe” (GRAS) status and lack of safety data to support its use in intravenous presentations of ketamine.</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Filing of a Citizen’s Petition with the U.S. Food and Drug Administration to seek the removal of benzethonium chloride, a toxic preservative, from all ketamine products for intravenous administration.</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Filing of a patent application for NRX-100, the Company’s proprietary preservative-free formulation of intravenous ketamine.</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Receipt of filing fee waiver from the FDA for NRX-100.</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Filing of module 3 manufacturing data to support a New Drug Application for NRX-101 in the treatment of patients with suicidal bipolar depression and akathisia despite treatment with already-approved medication.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b/>
          <w:caps w:val="false"/>
          <w:smallCaps w:val="false"/>
          <w:sz w:val="20"/>
        </w:rPr>
      </w:pPr>
      <w:r>
        <w:rPr>
          <w:rFonts w:ascii="Times New Roman" w:hAnsi="Times New Roman"/>
          <w:b/>
          <w:caps w:val="false"/>
          <w:smallCaps w:val="false"/>
          <w:sz w:val="20"/>
        </w:rPr>
        <w:t>Interventional Psychiatry Clinics (HOPE Therapeutics)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Execution of </w:t>
            </w:r>
            <w:r>
              <w:rPr>
                <w:rFonts w:ascii="Times New Roman;Times;serif" w:hAnsi="Times New Roman;Times;serif"/>
                <w:caps w:val="false"/>
                <w:smallCaps w:val="false"/>
                <w:sz w:val="20"/>
              </w:rPr>
              <w:t>d</w:t>
            </w:r>
            <w:r>
              <w:rPr>
                <w:rFonts w:ascii="Times New Roman;Times;serif" w:hAnsi="Times New Roman;Times;serif"/>
                <w:caps w:val="false"/>
                <w:smallCaps w:val="false"/>
                <w:sz w:val="20"/>
              </w:rPr>
              <w:t xml:space="preserve">efinitive Purchase Agreement and </w:t>
            </w:r>
            <w:r>
              <w:rPr>
                <w:rFonts w:ascii="Times New Roman;Times;serif" w:hAnsi="Times New Roman;Times;serif"/>
                <w:caps w:val="false"/>
                <w:smallCaps w:val="false"/>
                <w:sz w:val="20"/>
              </w:rPr>
              <w:t>r</w:t>
            </w:r>
            <w:r>
              <w:rPr>
                <w:rFonts w:ascii="Times New Roman;Times;serif" w:hAnsi="Times New Roman;Times;serif"/>
                <w:caps w:val="false"/>
                <w:smallCaps w:val="false"/>
                <w:sz w:val="20"/>
              </w:rPr>
              <w:t>eceipt of final regulatory clearance from Florida’s Agency for Health Care Administration (“</w:t>
            </w:r>
            <w:r>
              <w:rPr>
                <w:rFonts w:ascii="Times New Roman;Times;serif" w:hAnsi="Times New Roman;Times;serif"/>
                <w:i/>
                <w:caps w:val="false"/>
                <w:smallCaps w:val="false"/>
                <w:sz w:val="20"/>
              </w:rPr>
              <w:t>ACHA</w:t>
            </w:r>
            <w:r>
              <w:rPr>
                <w:rFonts w:ascii="Times New Roman;Times;serif" w:hAnsi="Times New Roman;Times;serif"/>
                <w:caps w:val="false"/>
                <w:smallCaps w:val="false"/>
                <w:sz w:val="20"/>
              </w:rPr>
              <w:t>”) to proceed with closing the acquisition of Dura Medical.</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Execution of binding letter of intent to acquire the </w:t>
            </w:r>
            <w:r>
              <w:rPr>
                <w:rFonts w:ascii="Times New Roman;Times;serif" w:hAnsi="Times New Roman;Times;serif"/>
                <w:caps w:val="false"/>
                <w:smallCaps w:val="false"/>
                <w:sz w:val="20"/>
              </w:rPr>
              <w:t>a</w:t>
            </w:r>
            <w:r>
              <w:rPr>
                <w:rFonts w:ascii="Times New Roman;Times;serif" w:hAnsi="Times New Roman;Times;serif"/>
                <w:caps w:val="false"/>
                <w:smallCaps w:val="false"/>
                <w:sz w:val="20"/>
              </w:rPr>
              <w:t>ssets of NeuroSpa TMS of Tampa, FL.</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Execution of a binding letter of intent to acquire a 49% interest in Cohen and Associates, LLC.</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Receipt of approval pending legal stipulations for $7.8 million of debt financing to support the acquisition of Dura Medical, NeuroSpa TMS, and Cohen Psychiatry.</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Execution of a definitive purchase agreement, subject to standard closing conditions and agreement between the parties regarding the resolution of ongoing discussions, to purchase the non-clinical assets of Kadima Neuropsychiatry Institute.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Execution of a non-binding term sheet for a strategic investment from a global medical device manufacturer into HOPE.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Development of NRX-101 for Suicidal Treatment-Resistant Suicidal Bipolar Depression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May 5, 2024, the Company announced final data from the recently completed phase 2b/3 trial of NRX-101 in suicidal bipolar depression, with a significantly improved safety profile as demonstrated by a statistically significant reduction in akathisia, an adverse event considered by many experts to be a precursor to suicide. Given the vital need for safer medications in this at-risk population, we plan to submit an NDA to the US FDA for treatment of bipolar depression patients at risk of akathisia, based on these data as well as additional data from our STABIL-B trial.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jc w:val="center"/>
        <w:rPr/>
      </w:pPr>
      <w:r>
        <w:rPr/>
        <w:drawing>
          <wp:inline distT="0" distB="0" distL="0" distR="0">
            <wp:extent cx="5705475" cy="2362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705475" cy="236220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Trial participants had identical mean scores on the BARS at baseline with subsequent decrease in the NRX-101 treated group versus an increase in the lurasidone-treated group, yielding a 76% relative mean difference between the groups. The difference was apparent at the first post-randomization visit and continued throughout the trial. (Fig 1) Over the 42 days of observation, an effect size of .37 was identified with a statistically significant P value of 0.025 on the Mixed Model for Repeated Measures methodology agreed to with FDA in the 2018 Special Protocol Agreement. Akathisia as ascertained by a 1 point increase in the BARS was seen in 11% of participants randomized to lurasidone (comparable to previous reports in the literature) and seen in only 2% of those treated with NRX-101, an akathisia level that was previously reported for the placebo arm of the lurasidone registration trial.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Akathisia was a prespecified key safety endpoint of the Company’s clinical trial. Hence this finding is not a “post-hoc” observation. As previously noted, this clinical trial of 91 participants with suicidal bipolar depression who were not pre-treated with ketamine demonstrated that NRX-101 and lurasidone were comparable in their antidepressant effect. A 33% but statistically non-significant sustained decrease in suicidality was also seen favoring NRX-101. As noted above, improved antidepressant efficacy is not required to seek drug accelerated drug approval based on a statistically-significant safety benefit.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34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results released on May 24 are consistent with and amplify the results of the Company’s previously published STABIL-B trial (Fig 2 below). In both trials a meaningful reduction in Akathisia was seen, which was statistically significant in the current trial (P&lt;.025) and near significant (P=0.11) in the STABIL-B with similar effect sizes The STABIL-B additionally demonstrated a statistically-significant reduction in suicidality on the Columbia Suicide Severity Rating Scale (C-SSRS).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jc w:val="center"/>
        <w:rPr/>
      </w:pPr>
      <w:r>
        <w:rPr/>
        <w:drawing>
          <wp:inline distT="0" distB="0" distL="0" distR="0">
            <wp:extent cx="5686425" cy="13811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686425" cy="13811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 Nierenberg A, Lavin P, Javitt DC, et. al. NRX-101 vs lurasidone for the maintenance of initial stabilization after ketamine in patients with severe bipolar depression with acute suicidal ideation and behavior; a randomized prospective phase 2 trial. Int J Bipolar Dis 2023;11:28-38, doi.org/10.1186/s40345-023-00308-5.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Reduced suicidality associated with the administration of D-cycloserine has additionally been demonstrated by Chen and Coworkers.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Figure 2: Results from published STABIL-B Trial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Incorporation of HOPE Therapeutics and progress towards an NDA for HTX-100 (IV ketamine) in the treatment of suicidal depression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the first quarter of fiscal 2024, the Company incorporated HOPE Therapeutics as a wholly-owned subsidiary and engaged its auditors who in August 2024 completed an audit of its financial statements which will be necessary for the intended spin-off of HOPE to the Company’s shareholders. Intravenous ketamine has now become a standard of care for acute treatment of suicidal depression, in the absence of an FDA-labeled product. Intranasal Esketamine is approved by the FDA (SPRAVATO®), but has not demonstrated a benefit on suicidality and is not approved for use in patients with bipolar depression. Attempts to use intranasal racemic ketamine for suicidal depression have failed.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has formed data-sharing partnerships to license clinical trial data from a French Government-funded trial and two National Institute of Health (NIH)-funded trials all of which demonstrate efficacy of racemic Intravenous ketamine against depression and two of which demonstrate statistically significant benefit vs suicidality. The Company’s role is to reformat these data into the required presentation required for review by the FDA.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contrast to nasal ketamine, Intravenous racemic ketamine demonstrates dramatic and immediate reduction of suicidality in patients with both Major Depressive Disorder and Bipolar Depression. Grunebaum and colleagues demonstrated a rapid and statistically significant reduction in Suicidal Ideation at day 1 (p=0.0003) and in depression (P=0.0234), as measured by the Profile of Mood States among patients randomized to IV Ketamine compared to those randomized to midazolam. This trial was published in the American Journal of Psychiatry . Abbar and colleagues similarly published 84% remission from suicidality on the C-SSRS in patients treated with ketamine, vs. 28% in those treated with placebo (P&lt;.0001). This trial was published in the British Medical Journal.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November 2023, the Company initiated manufacture of ketamine together with Nephron Pharmaceuticals, Inc. to develop a single patient presentation of ketamine. Stability and sterility data deemed sufficient to establish three year room temperature shelf life were obtained. Demonstrating the ability to manufacture drug product, and prove its stability, are critical components of the drug approval process with the US FDA.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long-term challenge with ketamine is that the current formulation (KETALAR®) is highly acidic. While it is suitable for intravenous use, it cannot be administered subcutaneously. In March 2024 the Company demonstrated the formulation of a pH neutral patentable form of IV ketamine that it anticipates will have widespread applicability both in treatment of depression and chronic pain.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35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Treatment of Urinary Tract Infection (</w:t>
      </w:r>
      <w:r>
        <w:rPr>
          <w:rFonts w:ascii="Times New Roman" w:hAnsi="Times New Roman"/>
          <w:caps w:val="false"/>
          <w:smallCaps w:val="false"/>
          <w:sz w:val="20"/>
        </w:rPr>
        <w:t>“</w:t>
      </w:r>
      <w:r>
        <w:rPr>
          <w:rFonts w:ascii="Times New Roman" w:hAnsi="Times New Roman"/>
          <w:b/>
          <w:i/>
          <w:caps w:val="false"/>
          <w:smallCaps w:val="false"/>
          <w:sz w:val="20"/>
        </w:rPr>
        <w:t>UTI</w:t>
      </w:r>
      <w:r>
        <w:rPr>
          <w:rFonts w:ascii="Times New Roman" w:hAnsi="Times New Roman"/>
          <w:caps w:val="false"/>
          <w:smallCaps w:val="false"/>
          <w:sz w:val="20"/>
        </w:rPr>
        <w:t>”</w:t>
      </w:r>
      <w:r>
        <w:rPr>
          <w:rFonts w:ascii="Times New Roman" w:hAnsi="Times New Roman"/>
          <w:b/>
          <w:caps w:val="false"/>
          <w:smallCaps w:val="false"/>
          <w:sz w:val="20"/>
        </w:rPr>
        <w:t>) and Urosepsis: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Although treatment of UTI is quite different from use of NRX-101 to treat Central Nervous System disorders, D-cycloserine was originally developed as an antibiotic because of its role in disrupting the cell wall of certain pathogens. During Q3 2023, NRx tested NRX-101 and its components against resistant pathogens that appear on the Congressionally mandated QIDP list and proved in vitro effectiveness against antibiotic-resistant </w:t>
      </w:r>
      <w:r>
        <w:rPr>
          <w:rFonts w:ascii="Times New Roman" w:hAnsi="Times New Roman"/>
          <w:i/>
          <w:caps w:val="false"/>
          <w:smallCaps w:val="false"/>
          <w:sz w:val="20"/>
        </w:rPr>
        <w:t xml:space="preserve">E. coli, Pseudomonas, and Acinetobacter. </w:t>
      </w:r>
      <w:r>
        <w:rPr>
          <w:rFonts w:ascii="Times New Roman" w:hAnsi="Times New Roman"/>
          <w:caps w:val="false"/>
          <w:smallCaps w:val="false"/>
          <w:sz w:val="20"/>
        </w:rPr>
        <w:t>Accordingly, NRx was granted QIDP designation, Fast Track Designation, and Priority Review by the US FDA in January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recent years, increased antibiotic resistance to common pathogens that cause urinary tract infections and urosepsis (i.e., sepsis originating in the urinary tract) has resulted in a marked increase in cUTI, hospitalization, and death from urosepsis. The US Center for Disease Control and Prevention reports that more than 1.7 million Americans contract sepsis each year, of whom at least 350,000 die during their hospitalization or are discharged to hospice (CDC Sepsis Ref.). There are approximately three million patients per year who contract cUTI in the U.S. annually (Lodise, et. al.). Additionally, should NRX-101 succeed in clinical trials, the Company will consider developing a follow-on product that is anticipated to achieve another 20 years of patent exclusivity.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A key challenge in the treatment of cUTI is the tendency of advanced antibiotics to cause C. Difficile infection, which is fatal in 10% of those who contract it over the age of 65 and results in prolonged hospitalization in many more. The Company recently announced data demonstrating that NRX-101 does not compromise the intestinal microbiome, unlike common antibiotics including Clindamycin and Ciprofloxacin. Should these findings be documented in human patients, NRX-101 would represent the only treatment for cUTI that does not cause </w:t>
      </w:r>
      <w:r>
        <w:rPr>
          <w:rFonts w:ascii="Times New Roman" w:hAnsi="Times New Roman"/>
          <w:i/>
          <w:caps w:val="false"/>
          <w:smallCaps w:val="false"/>
          <w:sz w:val="20"/>
        </w:rPr>
        <w:t xml:space="preserve">C. Difficile </w:t>
      </w:r>
      <w:r>
        <w:rPr>
          <w:rFonts w:ascii="Times New Roman" w:hAnsi="Times New Roman"/>
          <w:caps w:val="false"/>
          <w:smallCaps w:val="false"/>
          <w:sz w:val="20"/>
        </w:rPr>
        <w:t>infection.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Activities surrounding this development program, as well as chronic pain, are on hold into 2026 as the Company focuses on its nearer term, more significant development programs.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Recent Developments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May 2025, the Company reinstated the At the Market Offering and increased the maximum aggregate offering amount and filed a prospectus supplement under the Offering Agreement for an aggregate of $20,000,000. During the three months ended June 30, 2025 the Company sold an aggregate of 399,078 of its common stock shares for approximately $1.0 million, net of less than $0.02 million in offering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executed a term sheet with a publicly-traded strategic investor to provide additional capital to support the expansion of HOPE clinics. In addition, management is negotiating with several commercial lenders to provide additional financing to support the acquisition of additional clinics on standard commercial loan terms. Although no assurances can be given, and assuming we’re able to consummate the proposed financings, management believes that we will have sufficient financing to consummate our previously announced acquisitions, execute our business plan and achieve our projected revenue objectives.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Drug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NRX-100 – Preservative-Free Ketamine: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described in previous filings, we have undertaken two paths to market for NRX-100: a generic-approval path under an Abbreviated New Drug Application (ANDA) to address the current generic market for ketamine and an innovative drug path under a New Drug Application (NDA) to develop ketamine for use in treating suicidal depression.  The ANDA market is estimated at $750 million today and we anticipate entering this market in early 2026. There is one ketamine-based drug currently marketed for treatment of depression and its manufacturer recently reported $1.3 billion in 2024 sales. With recent positive changes in the regulatory environment, we similarly anticipate entering the innovative market for ketamine in early-mid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proprietary, preservative free formulation is the subject of a US patent filing that has potential to confer market exclusivity. In addition, we have filed a Citizens Petition (Sapko, M. T., Panicucci, R., &amp; Javitt, J. (2025). Toxicological Evaluation of Benzethonium Chloride in Ketamine Formulations. Zenodo. </w:t>
      </w:r>
      <w:r>
        <w:rPr>
          <w:rFonts w:ascii="Times New Roman" w:hAnsi="Times New Roman"/>
          <w:caps w:val="false"/>
          <w:smallCaps w:val="false"/>
          <w:sz w:val="20"/>
          <w:u w:val="single"/>
        </w:rPr>
        <w:t>https://doi.org/10.5281/zenodo.16883346</w:t>
      </w:r>
      <w:r>
        <w:rPr>
          <w:rFonts w:ascii="Times New Roman" w:hAnsi="Times New Roman"/>
          <w:caps w:val="false"/>
          <w:smallCaps w:val="false"/>
          <w:sz w:val="20"/>
        </w:rPr>
        <w:t>) with FDA noting that the Benzethonium Chloride (BZT) preservative in ketamine is not Generally Recognized as Safe (GRAS) and has not been demonstrated to be safe in the context of this product. Historically, BZT was added to ketamine to enable multidose use and multi-patient use from a single vial. Those uses are no longer common in US healthcare facilities. We have performed an extensive review of the toxicology literature around BZT and determined that FDA no longer allows BZT to be used in hand cleansers and topical antiseptics. BZT is part of a class of quaternary amines that have been shown to be toxic to corneal and conjunctival cells. A related compound in this class, Benzalkonium Chloride, has been removed from many eyedrops because of this demonstrated toxicity. The toxicology review link suggests that while single dose administration of preserved ketamine is generally thought of as safe, the cumulative dose of BZT with repeated intravenous administration may approach a toxicologically-concerning exposure to this compound.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36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general, we anticipate that a preservative-free form of ketamine will be welcomed by physicians and patients, which may enable NRX-100 to gain a larger share of the existing ketamine market than would be available to an undifferentiated product. However, should the Citizens Petition be granted the share of the generic market captured by NRX-100 could be considerably higher.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path to New Drug Approval of Ketamine for treatment of depression was substantially augmented on August 8, 2025 by award of an expanded Fast Track Designation (FTD) to NRX-100 by the FDA Division of Psychiatry Products. In 2017, FDA awarded FTD to NRX-100 in association with NRX-101 for the treatment of suicidal bipolar depression. FDA subsequently requested in 2018 that the Company establish a separate Investigative New Drug file for NRX-100 and the Company complied. Last week, FDA gave a far broader Fast Track Designation to NRX-100, designating it for “Treatment of suicidal ideation in depression, including bipolar depression,” According to the US Centers for Disease Control (CDC), 13 million Americans develop suicidal ideation each year, with 1.5 million attempting suicide and an American dying of suicide every 11 minutes.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FDA further augmented the potential path to market of NRX-100 by establishing the Commissioner’s National Priority Voucher Program (CNPV).  The key criteria are shown below, taken from the FDA website. To receive a CNPV, a product must meet at least one of the criteria below. Management believes that NRX-100 meets all five criteria.</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Addressing a U.S. public health crisis. An example could include developing a universal flu vaccine that could provide broad protection against multiple strains of influenza, including those with pandemic potential.</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Delivering more innovative cures for the American people. The focus for this priority is transformative impact that far outstrips the threshold for breakthrough therapy designation. Examples could include creating a novel immunotherapy that reprograms the body’s immune system to fight multiple diseases; or transforming mental health care through a novel treatment for PTSD.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Addressing a large unmet medical need. This includes a condition that available therapies do not adequately diagnose or treat, including drugs to treat or prevent rare diseases or addressing America’s chronic disease crisis.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Onshoring drug development and manufacturing to advance the health interests of Americans and strengthen U.S. supply chain resiliency. Examples could include companies with new manufacturing establishments that shift manufacturing of essential medicines (such as generic sterile injectables) from foreign facilities to the U.S.; or a clinical trial that maintains robust U.S. enrollment to support generalizability for Americans against the U.S. standard of care.</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Increasing affordability. This could include a company that lowers the U.S. price of a drug or drugs consistent with Most Favored Nation pricing or reduces other downstream medical utilization to lower overall healthcare costs.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Receipt of a CNPV affords a substantially faster review time of 1-2 months vs. 10-12 months, enhanced communication throughout the review process, a multidisciplinary team-based evaluation, and potential for accelerated approval if the applicable requirements are met. Key to this process is determination that the candidate product meets a large, unmet medical need. That determination was specifically made in the case of NRX-100 by the Division of Psychiatry Products and included in the Fast Track Determination letter. There is an additional feature to the CNPV that may limit eligibility to a relatively few drugs. The CNPV requires that a Company’s module 3 manufacturing data be on file. These data were initially filed for NRX-100 in December 2024 and the stability data were updated in July 2025 to support three years of room temperature shelf stability.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NRx intends to seek Accelerated Approval of NRX-100. The data that have been licensed from the Government of France and Columbia University demonstrate that intravenous ketamine is superior to placebo and to active placebo in reducing suicidal ideation and depression within hours and has an effect duration of about a week. The PCORI-funded trial of ketamine vs. ECT demonstrates non-inferiority to ECT on depression over a 6 month period. The Company believes that these data are sufficient for an FDA grant of initial market access subject to confirmatory data.  However, longer term data are desirable for a drug that may ultimately be used in millions of patients each year. Additional detail regarding established ketamine efficacy data is noted below.</w:t>
      </w:r>
    </w:p>
    <w:p>
      <w:pPr>
        <w:pStyle w:val="TextBody"/>
        <w:bidi w:val="0"/>
        <w:spacing w:before="0" w:after="0"/>
        <w:ind w:left="0" w:right="0" w:hanging="0"/>
        <w:jc w:val="both"/>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drawing>
          <wp:inline distT="0" distB="0" distL="0" distR="0">
            <wp:extent cx="4448175" cy="24955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448175" cy="2495550"/>
                    </a:xfrm>
                    <a:prstGeom prst="rect">
                      <a:avLst/>
                    </a:prstGeom>
                  </pic:spPr>
                </pic:pic>
              </a:graphicData>
            </a:graphic>
          </wp:inline>
        </w:drawing>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37 </w:t>
      </w:r>
    </w:p>
    <w:p>
      <w:pPr>
        <w:pStyle w:val="HorizontalLine"/>
        <w:bidi w:val="0"/>
        <w:jc w:val="center"/>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to the experimental data shown above, the Company will be presenting Real World Data from two sources that capture medical record information from approximately 60,000 and 120,000 patients, respectively. An example drawn from the first 20,000 such patients examined is depicted below and suggests that the effect of ketamine seen in Real World Data are consistent with the smaller, but better controlled results observed in randomized clinical trials.</w:t>
      </w:r>
    </w:p>
    <w:p>
      <w:pPr>
        <w:pStyle w:val="TextBody"/>
        <w:bidi w:val="0"/>
        <w:spacing w:before="0" w:after="0"/>
        <w:ind w:left="0" w:right="0" w:hanging="0"/>
        <w:jc w:val="center"/>
        <w:rPr/>
      </w:pPr>
      <w:r>
        <w:rPr/>
        <w:t> </w:t>
      </w:r>
    </w:p>
    <w:p>
      <w:pPr>
        <w:pStyle w:val="TextBody"/>
        <w:bidi w:val="0"/>
        <w:jc w:val="center"/>
        <w:rPr/>
      </w:pPr>
      <w:r>
        <w:rPr/>
        <w:drawing>
          <wp:inline distT="0" distB="0" distL="0" distR="0">
            <wp:extent cx="1779270" cy="99822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779270" cy="99822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Under the accelerated approval pathway, a Company is obligated to provide confirmatory data of safety and efficacy within five years of accelerated approval. In this case, NRx has contracted with the sponsors of a 450-person randomized non-inferiority trial of intravenous racemic ketamine compared to intranasal S-ketamine. The Company hypothesizes that NRX-100 will prove to be non-inferior to intranasal S-ketamine in reducing symptoms of depression and may prove superior in reducing symptoms of suicidality.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NRX-100 Path to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Both the ANDA and NDA pathways rely on the completion of the Module 3 manufacturing file. The Abbreviated New Drug Application (ANDA) for NRX-100 was received by FDA on June 13, 2025. On August 13, 2025, NRx Pharmaceuticals received a letter from the FDA in response to the Company’s Abbreviated New Drug Approval (ANDA) application for NRX-100 as enumerated in the Form 8-K filed August 15, 2025. The Company will respond to the comments and resubmit the ANDA in cooperation with FDA. Management believes that the guidance received by the FDA is a routine part of the regulatory process, provides a clear path to market for preservative-free ketamine, and will not result in any undue delay.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NRX-101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Clinical progress related to NRX-101 is documented in recently-filed forms 10-K and 10-Q. During Q2 2025 and in subsequent events, management has focused on preparing the New Drug Application of NRX-101, submitting more than 80,000 pages of manufacturing, non-clinical, and clinical material in July 2025. Breakthrough Therapy Designation was awarded to NRX-101 by the FDA in 2018.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noted previously, NRX-101 demonstrated a statistically-significant benefit in reduction of suicidality and reduction of akathisia in a randomized, well-controlled trial against lurasidone. These findings confirm the initial results reported in the Company’s STABIL-B trial. The Company anticipates filing an NDA for Accelerated Approval of NRX-101 for treatment of “Suicidal Bipolar Depression in patients with Akathisia and Active Suicidal Ideation despite standard of care therapy.” NRX-101 is the only oral medicine that has ever been demonstrated in two randomized trials to reduce active suicidality and akathisia, to the Company’s knowledge. The Company is in active discussion with an academic medical center that has already demonstrated leadership in the successful phase 2 trial to conduct the confirmatory research required post Accelerated Approval under an already-funded national multicenter trial. The Company is currently applying for a PDUFA fee waiver from FDA on the grounds of overwhelming public health need.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Recent evidence suggests that NRX-101 may confer a significant added advantage to the clinical results of Transcranial Magnetic Stimulation (Cole J, et.al. Efficacy of Adjunctive D-Cycloserine to Intermittent Theta-Burst Stimulation for Major Depressive Disorder: A Randomized Clinical Trial. JAMA Psychiatry. 2022;79(12):1153–1161. doi:10.1001/jamapsychiatry.2022.3255). The Company is initiating an expanded-access protocol to make NRX-101 available for this application and is organizing a phase 2b/3 randomized clinical trial to confirm this finding.</w:t>
      </w:r>
    </w:p>
    <w:p>
      <w:pPr>
        <w:pStyle w:val="TextBody"/>
        <w:bidi w:val="0"/>
        <w:spacing w:before="0" w:after="0"/>
        <w:ind w:left="0" w:right="0" w:hanging="0"/>
        <w:jc w:val="center"/>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Since inception, the Company has incurred significant operating losses. For the three months ended June 30, 2025 and 2024, the Company’s net loss was $17,581 million and $7.9 million, respectively. For the six months ended June 30, 2025 and 2024, the Company’s net loss was $23.1 million and $14.4 million, respectively. As of June 30, 2025, the Company had an accumulated deficit of $301.4 million, a stockholders’ deficit of $35.6 million and a working capital deficit of $35.9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38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80"/>
        <w:jc w:val="both"/>
        <w:rPr>
          <w:rFonts w:ascii="Times New Roman" w:hAnsi="Times New Roman"/>
          <w:caps w:val="false"/>
          <w:smallCaps w:val="false"/>
          <w:sz w:val="20"/>
        </w:rPr>
      </w:pPr>
      <w:r>
        <w:rPr>
          <w:rFonts w:ascii="Times New Roman" w:hAnsi="Times New Roman"/>
          <w:caps w:val="false"/>
          <w:smallCaps w:val="false"/>
          <w:sz w:val="20"/>
        </w:rPr>
        <w:t>The Company’s ongoing clinical activities continue to generate losses and net cash outflows from operations. The Company plans to pursue additional equity or debt financing or refinancing opportunities in 2025 to fund ongoing clinical activities, to meet obligations under its current debt arrangements and for the general corporate purposes of the Company. Such arrangements may take the form of loans, equity offerings, strategic agreements, licensing agreements, joint ventures or other agreements. The sale of equity could result in additional dilution to the Company’s existing shareholders. The Company cannot make any assurances that additional financing will be available to it and, if available, on acceptable terms, or that it will be able to refinance its existing debt obligations which could negatively impact the Company’s business and operations and could also lead to a reduction in the Company’s operations. We will continue to carefully monitor the impact of our continuing operations on our working capital needs and debt repayment obligations. As such, the Company has concluded that substantial doubt exists about the Company’s ability to continue as a going concern for a period of at least twelve months from the date of issuance of these condensed consolidated financial statements. The Company may raise substantial additional funds, and if it does so, it may do so through one or more of the following: issuance of additional debt or equity and/or the completion of a licensing or other commercial transaction for one of the Company’s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80"/>
        <w:jc w:val="both"/>
        <w:rPr>
          <w:rFonts w:ascii="Times New Roman" w:hAnsi="Times New Roman"/>
          <w:caps w:val="false"/>
          <w:smallCaps w:val="false"/>
          <w:sz w:val="20"/>
        </w:rPr>
      </w:pPr>
      <w:r>
        <w:rPr>
          <w:rFonts w:ascii="Times New Roman" w:hAnsi="Times New Roman"/>
          <w:caps w:val="false"/>
          <w:smallCaps w:val="false"/>
          <w:sz w:val="20"/>
        </w:rPr>
        <w:t>The accompanying condensed consolidated financial statements have been prepared on a going concern basis, which contemplates the realization of assets and satisfaction of liabilities in the ordinary course of business. The condensed consolidated financial statements do not include any adjustments relating to the recoverability and classification of recorded asset amounts or the amounts and classification of liabilities that may be necessary if the Company is unable to continue as a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Components of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Operating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Research and development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Company’s research and development expense consists primarily of costs associated with the Company’s clinical trials, salaries, payroll taxes, employee benefits, and equity-based compensation charges for those individuals involved in ongoing research and development efforts. Research and development costs are expensed as incurred. Advance payments for goods and services that will be used in future research and development activities are expensed when the activity has been performed or when the goods have been received.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General and administrative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General and administrative expense consists primarily of salaries, stock-based compensation, consultant fees, and professional fees for legal and accounting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Settlement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Settlement expense during the six months ended June 30, 2025 consists of deductibles related to insurance claims.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Results of operations for the three months ended June 30,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sets forth the Company’s selected statements of operations data for the following periods (in thousands):</w:t>
      </w:r>
    </w:p>
    <w:p>
      <w:pPr>
        <w:pStyle w:val="TextBody"/>
        <w:bidi w:val="0"/>
        <w:spacing w:before="0" w:after="0"/>
        <w:ind w:left="0" w:right="0" w:hanging="0"/>
        <w:jc w:val="left"/>
        <w:rPr>
          <w:caps w:val="false"/>
          <w:smallCaps w:val="false"/>
        </w:rPr>
      </w:pPr>
      <w:r>
        <w:rPr>
          <w:caps w:val="false"/>
          <w:smallCaps w:val="false"/>
        </w:rPr>
        <w:t> </w:t>
      </w:r>
    </w:p>
    <w:tbl>
      <w:tblPr>
        <w:tblW w:w="7422" w:type="dxa"/>
        <w:jc w:val="left"/>
        <w:tblInd w:w="0" w:type="dxa"/>
        <w:tblLayout w:type="fixed"/>
        <w:tblCellMar>
          <w:top w:w="0" w:type="dxa"/>
          <w:left w:w="0" w:type="dxa"/>
          <w:bottom w:w="0" w:type="dxa"/>
          <w:right w:w="0" w:type="dxa"/>
        </w:tblCellMar>
      </w:tblPr>
      <w:tblGrid>
        <w:gridCol w:w="3950"/>
        <w:gridCol w:w="60"/>
        <w:gridCol w:w="195"/>
        <w:gridCol w:w="1017"/>
        <w:gridCol w:w="125"/>
        <w:gridCol w:w="93"/>
        <w:gridCol w:w="195"/>
        <w:gridCol w:w="852"/>
        <w:gridCol w:w="80"/>
        <w:gridCol w:w="60"/>
        <w:gridCol w:w="125"/>
        <w:gridCol w:w="590"/>
        <w:gridCol w:w="80"/>
      </w:tblGrid>
      <w:tr>
        <w:trPr/>
        <w:tc>
          <w:tcPr>
            <w:tcW w:w="39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47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80" w:type="dxa"/>
            <w:tcBorders/>
            <w:vAlign w:val="center"/>
          </w:tcPr>
          <w:p>
            <w:pPr>
              <w:pStyle w:val="TableContents"/>
              <w:bidi w:val="0"/>
              <w:spacing w:before="0" w:after="283"/>
              <w:jc w:val="left"/>
              <w:rPr/>
            </w:pPr>
            <w:r>
              <w:rPr/>
              <w:t> </w:t>
            </w:r>
          </w:p>
        </w:tc>
      </w:tr>
      <w:tr>
        <w:trPr/>
        <w:tc>
          <w:tcPr>
            <w:tcW w:w="39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25"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ind w:left="0" w:right="0" w:hanging="0"/>
              <w:jc w:val="left"/>
              <w:rPr/>
            </w:pPr>
            <w:r>
              <w:rPr/>
              <w:t> </w:t>
            </w:r>
          </w:p>
        </w:tc>
        <w:tc>
          <w:tcPr>
            <w:tcW w:w="10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Dollars</w:t>
            </w:r>
          </w:p>
        </w:tc>
        <w:tc>
          <w:tcPr>
            <w:tcW w:w="80" w:type="dxa"/>
            <w:tcBorders/>
            <w:vAlign w:val="center"/>
          </w:tcPr>
          <w:p>
            <w:pPr>
              <w:pStyle w:val="TableContents"/>
              <w:bidi w:val="0"/>
              <w:spacing w:before="0" w:after="283"/>
              <w:jc w:val="left"/>
              <w:rPr/>
            </w:pPr>
            <w:r>
              <w:rPr/>
              <w:t> </w:t>
            </w:r>
          </w:p>
        </w:tc>
      </w:tr>
      <w:tr>
        <w:trPr/>
        <w:tc>
          <w:tcPr>
            <w:tcW w:w="39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477"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FFFFFF" w:val="clear"/>
            <w:vAlign w:val="center"/>
          </w:tcPr>
          <w:p>
            <w:pPr>
              <w:pStyle w:val="TableContents"/>
              <w:bidi w:val="0"/>
              <w:spacing w:before="0" w:after="283"/>
              <w:ind w:left="0" w:right="0" w:hanging="0"/>
              <w:jc w:val="left"/>
              <w:rPr/>
            </w:pPr>
            <w:r>
              <w:rPr/>
              <w:t> </w:t>
            </w:r>
          </w:p>
        </w:tc>
        <w:tc>
          <w:tcPr>
            <w:tcW w:w="19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987</w:t>
            </w:r>
          </w:p>
        </w:tc>
        <w:tc>
          <w:tcPr>
            <w:tcW w:w="125"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ind w:left="0" w:right="0" w:hanging="0"/>
              <w:jc w:val="left"/>
              <w:rPr/>
            </w:pPr>
            <w:r>
              <w:rPr/>
              <w:t> </w:t>
            </w:r>
          </w:p>
        </w:tc>
        <w:tc>
          <w:tcPr>
            <w:tcW w:w="19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2,804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10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2,743</w:t>
            </w:r>
          </w:p>
        </w:tc>
        <w:tc>
          <w:tcPr>
            <w:tcW w:w="125"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8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3,730</w:t>
            </w:r>
          </w:p>
        </w:tc>
        <w:tc>
          <w:tcPr>
            <w:tcW w:w="125"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9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(3,320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5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from operations</w:t>
            </w:r>
          </w:p>
        </w:tc>
        <w:tc>
          <w:tcPr>
            <w:tcW w:w="60" w:type="dxa"/>
            <w:tcBorders/>
            <w:shd w:fill="CCEEFF" w:val="clear"/>
            <w:vAlign w:val="center"/>
          </w:tcPr>
          <w:p>
            <w:pPr>
              <w:pStyle w:val="TableContents"/>
              <w:bidi w:val="0"/>
              <w:spacing w:before="0" w:after="283"/>
              <w:ind w:left="0" w:right="0" w:hanging="0"/>
              <w:jc w:val="left"/>
              <w:rPr/>
            </w:pPr>
            <w:r>
              <w:rPr/>
              <w:t> </w:t>
            </w:r>
          </w:p>
        </w:tc>
        <w:tc>
          <w:tcPr>
            <w:tcW w:w="19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(3,730</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 w:type="dxa"/>
            <w:tcBorders/>
            <w:shd w:fill="CCEEFF" w:val="clear"/>
            <w:vAlign w:val="center"/>
          </w:tcPr>
          <w:p>
            <w:pPr>
              <w:pStyle w:val="TableContents"/>
              <w:bidi w:val="0"/>
              <w:spacing w:before="0" w:after="283"/>
              <w:ind w:left="0" w:right="0" w:hanging="0"/>
              <w:jc w:val="left"/>
              <w:rPr/>
            </w:pPr>
            <w:r>
              <w:rPr/>
              <w:t> </w:t>
            </w:r>
          </w:p>
        </w:tc>
        <w:tc>
          <w:tcPr>
            <w:tcW w:w="19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(7,050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3,320</w:t>
            </w:r>
          </w:p>
        </w:tc>
        <w:tc>
          <w:tcPr>
            <w:tcW w:w="80"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17"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 (income):</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9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 w:type="dxa"/>
            <w:tcBorders/>
            <w:shd w:fill="FFFFFF" w:val="clear"/>
            <w:vAlign w:val="center"/>
          </w:tcPr>
          <w:p>
            <w:pPr>
              <w:pStyle w:val="TableContents"/>
              <w:bidi w:val="0"/>
              <w:spacing w:before="0" w:after="283"/>
              <w:ind w:left="0" w:right="0" w:hanging="0"/>
              <w:jc w:val="left"/>
              <w:rPr/>
            </w:pPr>
            <w:r>
              <w:rPr/>
              <w:t> </w:t>
            </w:r>
          </w:p>
        </w:tc>
        <w:tc>
          <w:tcPr>
            <w:tcW w:w="19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80"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Convertible note default penalty</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1017" w:type="dxa"/>
            <w:tcBorders/>
            <w:shd w:fill="CCEEFF" w:val="clear"/>
            <w:vAlign w:val="center"/>
          </w:tcPr>
          <w:p>
            <w:pPr>
              <w:pStyle w:val="TableContents"/>
              <w:bidi w:val="0"/>
              <w:spacing w:before="0" w:after="283"/>
              <w:ind w:left="0" w:right="0" w:hanging="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8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convertible note payable</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10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5,565</w:t>
            </w:r>
          </w:p>
        </w:tc>
        <w:tc>
          <w:tcPr>
            <w:tcW w:w="125"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8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5,542</w:t>
            </w:r>
          </w:p>
        </w:tc>
        <w:tc>
          <w:tcPr>
            <w:tcW w:w="80"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warrant liabilities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10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6,414</w:t>
            </w:r>
          </w:p>
        </w:tc>
        <w:tc>
          <w:tcPr>
            <w:tcW w:w="125"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8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6,432</w:t>
            </w:r>
          </w:p>
        </w:tc>
        <w:tc>
          <w:tcPr>
            <w:tcW w:w="80"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convertible note conversion</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1,874</w:t>
            </w:r>
          </w:p>
        </w:tc>
        <w:tc>
          <w:tcPr>
            <w:tcW w:w="125"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9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1,874</w:t>
            </w:r>
          </w:p>
        </w:tc>
        <w:tc>
          <w:tcPr>
            <w:tcW w:w="80"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expense</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13,851</w:t>
            </w:r>
          </w:p>
        </w:tc>
        <w:tc>
          <w:tcPr>
            <w:tcW w:w="125"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13,004</w:t>
            </w:r>
          </w:p>
        </w:tc>
        <w:tc>
          <w:tcPr>
            <w:tcW w:w="80"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before tax</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(17,581</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 w:type="dxa"/>
            <w:tcBorders/>
            <w:shd w:fill="FFFFFF" w:val="clear"/>
            <w:vAlign w:val="center"/>
          </w:tcPr>
          <w:p>
            <w:pPr>
              <w:pStyle w:val="TableContents"/>
              <w:bidi w:val="0"/>
              <w:spacing w:before="0" w:after="283"/>
              <w:jc w:val="left"/>
              <w:rPr/>
            </w:pPr>
            <w:r>
              <w:rPr/>
              <w:t> </w:t>
            </w:r>
          </w:p>
        </w:tc>
        <w:tc>
          <w:tcPr>
            <w:tcW w:w="19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(7,897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(9,684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19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(17,581</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 w:type="dxa"/>
            <w:tcBorders/>
            <w:shd w:fill="CCEEFF" w:val="clear"/>
            <w:vAlign w:val="center"/>
          </w:tcPr>
          <w:p>
            <w:pPr>
              <w:pStyle w:val="TableContents"/>
              <w:bidi w:val="0"/>
              <w:spacing w:before="0" w:after="283"/>
              <w:ind w:left="0" w:right="0" w:hanging="0"/>
              <w:jc w:val="left"/>
              <w:rPr/>
            </w:pPr>
            <w:r>
              <w:rPr/>
              <w:t> </w:t>
            </w:r>
          </w:p>
        </w:tc>
        <w:tc>
          <w:tcPr>
            <w:tcW w:w="19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(7,897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(9,684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39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Operating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Research and development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the three months ended June 30, 2025, the Company recorded $1.0 million of research and development expense, as compared to approximately $2.8 million for the three months ended June 30, 2024. The decrease of $1.8 million is related primarily due to the conclusion of the phase 2 study related to NRX-101 and the Company's cash conservation efforts, specifically to reduction in $0.4 million in clinical costs, $1.5 million in other regulatory and process development costs, and less than $0.1 million in payroll and payroll related expenses. The research and development expense for each of the three months ended June 30, 2025 and 2024, includes less than $0.1 million of non-cash stock-based compensation.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General and administrative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the three months ended June 30, 2025, the Company recorded $2.7 million of general and administrative expense, as compared to approximately $4.2 million for the three months ended June 30, 2024. The decrease of $1.5 million is related primarily to a decrease of $1.2 million in consultant and legal fees, $0.1 million in insurance expense and $0.2 million in employee expenses and other general and admin expenses. General and administrative expense includes less than $0.1 million of non-cash stock-based compensation for both of the three months ended June 30,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Other expense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Interest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the three months ended June 30, 2025, the Company recorded less than $0.1 million of interest income, as compared to less than $0.1 million of interest income for the three months ended June 30,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Convertible note default penalty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the three months ended June 30, 2025, the Company recorded $0 million of a default penalty, as compared to $0.8 million of a default penalty for the three months ended June 30, 2024. The decrease is due to alleged default in connection with the convertible note during the three months ended June 30,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Change in fair value of convertible notes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three months ended June 30, 2025, the Company recorded a loss of $5.6 million related to the change in fair value of the convertible notes payable which are accounted for under the fair value option. For the three months ended June 30, 2024, the Company recorded a loss of less than $0.1 million related to the change in fair value of the convertible note payable which is accounted for under the fair value 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40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 xml:space="preserve">Change in fair value of warrant liabilities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the three months ended June 30, 2025, the Company recorded a loss of $6.4 million related to the change in fair value of the warrant liabilities, as compared to a gain of less than $0.1 million for the three months ended June 30, 2024. The increase in loss during the three months ended June 30, 2025 was attributed to the warrants issued in conjunction with the First, Second and Third Tranches of the Anson Notes as well as increase in the Company’s stock prices.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Loss on convertible note 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the three months ended June 30, 2025, the Company recorded a loss of $1.9 million related to convertible note conversion, as compared to $0 during the three months ended June 30, 2024. These conversions were calculated as the difference between the conversion price per the terms of the Anson agreement (See Note 7) relative to the fair value of the common stock on the date of 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Results of operations for the six months ended June 30,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sets forth the Company’s selected statements of operations data for the following periods (in thousands):</w:t>
      </w:r>
    </w:p>
    <w:p>
      <w:pPr>
        <w:pStyle w:val="TextBody"/>
        <w:bidi w:val="0"/>
        <w:spacing w:before="0" w:after="0"/>
        <w:ind w:left="0" w:right="0" w:hanging="0"/>
        <w:jc w:val="left"/>
        <w:rPr>
          <w:caps w:val="false"/>
          <w:smallCaps w:val="false"/>
        </w:rPr>
      </w:pPr>
      <w:r>
        <w:rPr>
          <w:caps w:val="false"/>
          <w:smallCaps w:val="false"/>
        </w:rPr>
        <w:t> </w:t>
      </w:r>
    </w:p>
    <w:tbl>
      <w:tblPr>
        <w:tblW w:w="7302" w:type="dxa"/>
        <w:jc w:val="left"/>
        <w:tblInd w:w="0" w:type="dxa"/>
        <w:tblLayout w:type="fixed"/>
        <w:tblCellMar>
          <w:top w:w="0" w:type="dxa"/>
          <w:left w:w="0" w:type="dxa"/>
          <w:bottom w:w="0" w:type="dxa"/>
          <w:right w:w="0" w:type="dxa"/>
        </w:tblCellMar>
      </w:tblPr>
      <w:tblGrid>
        <w:gridCol w:w="4070"/>
        <w:gridCol w:w="60"/>
        <w:gridCol w:w="165"/>
        <w:gridCol w:w="861"/>
        <w:gridCol w:w="106"/>
        <w:gridCol w:w="79"/>
        <w:gridCol w:w="165"/>
        <w:gridCol w:w="861"/>
        <w:gridCol w:w="80"/>
        <w:gridCol w:w="60"/>
        <w:gridCol w:w="125"/>
        <w:gridCol w:w="590"/>
        <w:gridCol w:w="80"/>
      </w:tblGrid>
      <w:tr>
        <w:trPr/>
        <w:tc>
          <w:tcPr>
            <w:tcW w:w="40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3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80" w:type="dxa"/>
            <w:tcBorders/>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06"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ind w:left="0" w:right="0" w:hanging="0"/>
              <w:jc w:val="left"/>
              <w:rPr/>
            </w:pPr>
            <w:r>
              <w:rPr/>
              <w:t> </w:t>
            </w:r>
          </w:p>
        </w:tc>
        <w:tc>
          <w:tcPr>
            <w:tcW w:w="10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Dollars</w:t>
            </w:r>
          </w:p>
        </w:tc>
        <w:tc>
          <w:tcPr>
            <w:tcW w:w="80" w:type="dxa"/>
            <w:tcBorders/>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37"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FFFFFF" w:val="clear"/>
            <w:vAlign w:val="center"/>
          </w:tcPr>
          <w:p>
            <w:pPr>
              <w:pStyle w:val="TableContents"/>
              <w:bidi w:val="0"/>
              <w:spacing w:before="0" w:after="283"/>
              <w:ind w:left="0" w:right="0" w:hanging="0"/>
              <w:jc w:val="left"/>
              <w:rPr/>
            </w:pPr>
            <w:r>
              <w:rPr/>
              <w:t> </w:t>
            </w:r>
          </w:p>
        </w:tc>
        <w:tc>
          <w:tcPr>
            <w:tcW w:w="16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1,791</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16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4,552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0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8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5,686</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8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0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Settlement Expense</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80"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7,577</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(5,471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07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from operations</w:t>
            </w:r>
          </w:p>
        </w:tc>
        <w:tc>
          <w:tcPr>
            <w:tcW w:w="60" w:type="dxa"/>
            <w:tcBorders/>
            <w:shd w:fill="FFFFFF" w:val="clear"/>
            <w:vAlign w:val="center"/>
          </w:tcPr>
          <w:p>
            <w:pPr>
              <w:pStyle w:val="TableContents"/>
              <w:bidi w:val="0"/>
              <w:spacing w:before="0" w:after="283"/>
              <w:ind w:left="0" w:right="0" w:hanging="0"/>
              <w:jc w:val="left"/>
              <w:rPr/>
            </w:pPr>
            <w:r>
              <w:rPr/>
              <w:t> </w:t>
            </w:r>
          </w:p>
        </w:tc>
        <w:tc>
          <w:tcPr>
            <w:tcW w:w="1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(7,577</w:t>
            </w:r>
          </w:p>
        </w:tc>
        <w:tc>
          <w:tcPr>
            <w:tcW w:w="10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9" w:type="dxa"/>
            <w:tcBorders/>
            <w:shd w:fill="FFFFFF" w:val="clear"/>
            <w:vAlign w:val="center"/>
          </w:tcPr>
          <w:p>
            <w:pPr>
              <w:pStyle w:val="TableContents"/>
              <w:bidi w:val="0"/>
              <w:spacing w:before="0" w:after="283"/>
              <w:ind w:left="0" w:right="0" w:hanging="0"/>
              <w:jc w:val="left"/>
              <w:rPr/>
            </w:pPr>
            <w:r>
              <w:rPr/>
              <w:t> </w:t>
            </w:r>
          </w:p>
        </w:tc>
        <w:tc>
          <w:tcPr>
            <w:tcW w:w="1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(13,048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5,471</w:t>
            </w:r>
          </w:p>
        </w:tc>
        <w:tc>
          <w:tcPr>
            <w:tcW w:w="80"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expense(income):</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6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10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9" w:type="dxa"/>
            <w:tcBorders/>
            <w:shd w:fill="CCEEFF" w:val="clear"/>
            <w:vAlign w:val="center"/>
          </w:tcPr>
          <w:p>
            <w:pPr>
              <w:pStyle w:val="TableContents"/>
              <w:bidi w:val="0"/>
              <w:spacing w:before="0" w:after="283"/>
              <w:ind w:left="0" w:right="0" w:hanging="0"/>
              <w:jc w:val="left"/>
              <w:rPr/>
            </w:pPr>
            <w:r>
              <w:rPr/>
              <w:t> </w:t>
            </w:r>
          </w:p>
        </w:tc>
        <w:tc>
          <w:tcPr>
            <w:tcW w:w="16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w:t>
            </w:r>
          </w:p>
        </w:tc>
        <w:tc>
          <w:tcPr>
            <w:tcW w:w="80"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861" w:type="dxa"/>
            <w:tcBorders/>
            <w:shd w:fill="FFFFFF" w:val="clear"/>
            <w:vAlign w:val="center"/>
          </w:tcPr>
          <w:p>
            <w:pPr>
              <w:pStyle w:val="TableContents"/>
              <w:bidi w:val="0"/>
              <w:spacing w:before="0" w:after="283"/>
              <w:ind w:left="0" w:right="0" w:hanging="0"/>
              <w:jc w:val="right"/>
              <w:rPr/>
            </w:pPr>
            <w:r>
              <w:rPr/>
              <w:t>—</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8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0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Convertible note default penalty</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861" w:type="dxa"/>
            <w:tcBorders/>
            <w:shd w:fill="CCEEFF" w:val="clear"/>
            <w:vAlign w:val="center"/>
          </w:tcPr>
          <w:p>
            <w:pPr>
              <w:pStyle w:val="TableContents"/>
              <w:bidi w:val="0"/>
              <w:spacing w:before="0" w:after="283"/>
              <w:ind w:left="0" w:right="0" w:hanging="0"/>
              <w:jc w:val="right"/>
              <w:rPr/>
            </w:pPr>
            <w:r>
              <w:rPr/>
              <w:t>—</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8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0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convertible note payable</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8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6,530</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8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6,189</w:t>
            </w:r>
          </w:p>
        </w:tc>
        <w:tc>
          <w:tcPr>
            <w:tcW w:w="80"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warrant liabilities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8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3,518</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8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3,527</w:t>
            </w:r>
          </w:p>
        </w:tc>
        <w:tc>
          <w:tcPr>
            <w:tcW w:w="80"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issuance of the Registered Direct Offering</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8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729</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861"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729</w:t>
            </w:r>
          </w:p>
        </w:tc>
        <w:tc>
          <w:tcPr>
            <w:tcW w:w="80"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Considerations Shares and Warrants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8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1,277</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861"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1,277</w:t>
            </w:r>
          </w:p>
        </w:tc>
        <w:tc>
          <w:tcPr>
            <w:tcW w:w="80"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convertible note conversion</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3,467</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3,467</w:t>
            </w:r>
          </w:p>
        </w:tc>
        <w:tc>
          <w:tcPr>
            <w:tcW w:w="80"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(income) expense</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15,515</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14,139</w:t>
            </w:r>
          </w:p>
        </w:tc>
        <w:tc>
          <w:tcPr>
            <w:tcW w:w="80"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before tax</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(23,092</w:t>
            </w:r>
          </w:p>
        </w:tc>
        <w:tc>
          <w:tcPr>
            <w:tcW w:w="10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9" w:type="dxa"/>
            <w:tcBorders/>
            <w:shd w:fill="FFFFFF" w:val="clear"/>
            <w:vAlign w:val="center"/>
          </w:tcPr>
          <w:p>
            <w:pPr>
              <w:pStyle w:val="TableContents"/>
              <w:bidi w:val="0"/>
              <w:spacing w:before="0" w:after="283"/>
              <w:jc w:val="left"/>
              <w:rPr/>
            </w:pPr>
            <w:r>
              <w:rPr/>
              <w:t> </w:t>
            </w:r>
          </w:p>
        </w:tc>
        <w:tc>
          <w:tcPr>
            <w:tcW w:w="1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(14,425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(8,667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0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(23,092</w:t>
            </w:r>
          </w:p>
        </w:tc>
        <w:tc>
          <w:tcPr>
            <w:tcW w:w="10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9" w:type="dxa"/>
            <w:tcBorders/>
            <w:shd w:fill="CCEEFF" w:val="clear"/>
            <w:vAlign w:val="center"/>
          </w:tcPr>
          <w:p>
            <w:pPr>
              <w:pStyle w:val="TableContents"/>
              <w:bidi w:val="0"/>
              <w:spacing w:before="0" w:after="283"/>
              <w:ind w:left="0" w:right="0" w:hanging="0"/>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(14,425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(8,667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Operating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Research and development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the six months ended June 30, 2025, the Company recorded $1.8 million of research and development expense, as compared to approximately $4.6 million for the six months ended June 30, 2024. The decrease of $2.8 million is related primarily due to the conclusion of the phase 2 study related to NRX-101 and the Company's cash conservation efforts, $0.8 million in clinical costs, $1.5 million in other regulatory and process development costs, and $0.5 million in regulatory and process consultants fees. The research and development expense for each of the six months ended June 30, 2025 and 2024, respectively, includes less than $0.1 million of non-cash stock-based compensation.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41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General and administrative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the six months ended June 30, 2025, the Company recorded $5.7 million of general and administrative expense, as compared to approximately $8.5 million for the six months ended June 30, 2024. The decrease of $2.8 million is related primarily to a decrease of $2.1 million in consultant fees, $0.2 million in insurance expense,  and $0.6 million in employee expenses and other general and admin expenses, partially offset by an increase of $0.1 million in legal expense. General and administrative expense includes $0.2 million and $0.3 million of non-cash stock-based compensation for the six months ended June 30, 2025 and 2024,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Settlement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Settlement expense during the six months ended June 30, 2025 consists of $0.1 million of deductibles related to insurance claims, as compared to $0 during the six months ended June 30,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Other expense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Interest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the six months ended June 30, 2025, the Company recorded less than $0.1 million of interest income, as compared to less than $0.1 million of interest income for the six months ended June 30,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Interest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the six months ended June 30, 2025, the Company recorded $0 of interest expense, as compared to $0.2 million of interest expense for the six months ended June 30, 2024. The decrease of $0.2 million is due to premiums for cash payments on the convertible note for the six months ended June 30,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Convertible note default penalty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the six months ended June 30, 2025, the Company recorded $0 million of a default penalty, as compared $0.8 million of a default penalty for the six months ended June 30, 2024. The decrease is due to alleged default in connection with the convertible note in 2024 and no such event of default during the six months ended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Change in fair value of convertible notes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six months ended June 30, 2025, the Company recorded a loss of $6.5 million related to the change in fair value of the convertible notes payable which are accounted for under the fair value option. For the six months ended June 30, 2024, the Company recorded loss of $0.3 million related to the change in fair value of the convertible note payable which is accounted for under the fair value 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 xml:space="preserve">Change in fair value of warrant liabilities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the six months ended June 30, 2025, the Company recorded a loss of $3.5 million related to the change in fair value of the warrant liabilities, as compared to a gain of less than $0.1 million for the six months ended June 30, 2024. The increase in loss during the six months ended June 30, 2025 was attributed to the warrants issued in conjunction with the First, Second and Third Tranches of the Anson Notes as well as increase in the Company’s fair value of its common shares.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Loss on issuance of Registered Direct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the six months ended June 30, 2025, the Company recorded a loss of $0.7 million related to the issuance of Registered Direct Offering, as compared to $0 during the six months ended June 30, 2024. As the fair value of the warrant liabilities issued in the Registered Direct Offering exceeded the net proceeds received of $3.255 million, the Company recognized the excess of the fair value over the net proceeds received of $3.255 million as a loss upon issuance of RD Shares of $0.7 million which is included in other expense (income) in the condensed consolidated statement of operations for the period ended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Loss on Considerations shares and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the six months ended June 30, 2025, the Company recorded a loss of $1.2 million related to the loss on issuance of Consideration Shares and Warrants, as compared to $0 during the six months ended June 30,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42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Loss on convertible note 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the three months ended June 30, 2025, the Company recorded a loss of $3.5 million related to convertible note conversion, as compared to $0 during the six months ended June 30, 2024. These conversions were calculated as the difference between the conversion price per the terms of the Anson agreement (See Note 7) relative to the fair value of the common stock on the date of 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has generated no revenues, has incurred operating losses since inception, expects to continue to incur significant operating losses for the foreseeable future and may never become profitable. Until such time as the Company is able to establish a revenue stream from the sale of its therapeutic products, it is dependent upon obtaining necessary equity and/or debt financing to continue operations. The Company cannot make any assurances that sales of NRX-101 will commence in the near term or that additional financings will be available to it on acceptable terms or at all. This could negatively impact our business and operations and could also lead to the reduction of our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At-The Market Offering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April 15, 2024, the Company increased the maximum aggregate offering amount of the shares of common stock issuable under that certain At the Market Offering Agreement, dated August 14, 2023 (the “Offering Agreement”), with H.C. Wainwright &amp; Co., and filed a prospectus supplement under the Offering Agreement for an aggregate of $4.9 million (the “ATM Offering”). On August 14, 2024, the Company reduced the amount to under the Offering Agreement to $0 and suspended the ATM Offering. On April 17, 2025, the Company reinstated the ATM Offering and filed a prospectus supplement under the Offering Agreement for an aggregate of $20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Through June 30, 2025, the Company received aggregate net cash proceeds to the Company from the ATM Offering of approximately $2.8 million.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presents selected financial information and statistics for each of the periods shown below:</w:t>
      </w:r>
    </w:p>
    <w:p>
      <w:pPr>
        <w:pStyle w:val="TextBody"/>
        <w:bidi w:val="0"/>
        <w:spacing w:before="0" w:after="0"/>
        <w:ind w:left="0" w:right="0" w:hanging="0"/>
        <w:jc w:val="left"/>
        <w:rPr>
          <w:caps w:val="false"/>
          <w:smallCaps w:val="false"/>
        </w:rPr>
      </w:pPr>
      <w:r>
        <w:rPr>
          <w:caps w:val="false"/>
          <w:smallCaps w:val="false"/>
        </w:rPr>
        <w:t> </w:t>
      </w:r>
    </w:p>
    <w:tbl>
      <w:tblPr>
        <w:tblW w:w="6104" w:type="dxa"/>
        <w:jc w:val="left"/>
        <w:tblInd w:w="0" w:type="dxa"/>
        <w:tblLayout w:type="fixed"/>
        <w:tblCellMar>
          <w:top w:w="0" w:type="dxa"/>
          <w:left w:w="0" w:type="dxa"/>
          <w:bottom w:w="0" w:type="dxa"/>
          <w:right w:w="0" w:type="dxa"/>
        </w:tblCellMar>
      </w:tblPr>
      <w:tblGrid>
        <w:gridCol w:w="3830"/>
        <w:gridCol w:w="60"/>
        <w:gridCol w:w="125"/>
        <w:gridCol w:w="650"/>
        <w:gridCol w:w="80"/>
        <w:gridCol w:w="60"/>
        <w:gridCol w:w="196"/>
        <w:gridCol w:w="1023"/>
        <w:gridCol w:w="80"/>
      </w:tblGrid>
      <w:tr>
        <w:trPr/>
        <w:tc>
          <w:tcPr>
            <w:tcW w:w="3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December 31,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Sheet Data:</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8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1,443</w:t>
            </w:r>
          </w:p>
        </w:tc>
        <w:tc>
          <w:tcPr>
            <w:tcW w:w="80" w:type="dxa"/>
            <w:tcBorders/>
            <w:shd w:fill="FFFFFF" w:val="clear"/>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4,838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ind w:left="0" w:right="0" w:hanging="0"/>
              <w:jc w:val="left"/>
              <w:rPr/>
            </w:pPr>
            <w:r>
              <w:rPr/>
              <w:t> </w:t>
            </w:r>
          </w:p>
        </w:tc>
        <w:tc>
          <w:tcPr>
            <w:tcW w:w="10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3,651</w:t>
            </w:r>
          </w:p>
        </w:tc>
        <w:tc>
          <w:tcPr>
            <w:tcW w:w="80" w:type="dxa"/>
            <w:tcBorders/>
            <w:shd w:fill="CCEEFF" w:val="clear"/>
            <w:vAlign w:val="center"/>
          </w:tcPr>
          <w:p>
            <w:pPr>
              <w:pStyle w:val="TableContents"/>
              <w:bidi w:val="0"/>
              <w:spacing w:before="0" w:after="283"/>
              <w:jc w:val="left"/>
              <w:rPr/>
            </w:pPr>
            <w:r>
              <w:rPr/>
              <w:t> </w:t>
            </w:r>
          </w:p>
        </w:tc>
      </w:tr>
      <w:tr>
        <w:trPr/>
        <w:tc>
          <w:tcPr>
            <w:tcW w:w="38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Convertible notes payable and accrued interest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9,854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ind w:left="0" w:right="0" w:hanging="0"/>
              <w:jc w:val="left"/>
              <w:rPr/>
            </w:pPr>
            <w:r>
              <w:rPr/>
              <w:t> </w:t>
            </w:r>
          </w:p>
        </w:tc>
        <w:tc>
          <w:tcPr>
            <w:tcW w:w="10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6,257</w:t>
            </w:r>
          </w:p>
        </w:tc>
        <w:tc>
          <w:tcPr>
            <w:tcW w:w="80" w:type="dxa"/>
            <w:tcBorders/>
            <w:shd w:fill="FFFFFF" w:val="clear"/>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40,453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ind w:left="0" w:right="0" w:hanging="0"/>
              <w:jc w:val="left"/>
              <w:rPr/>
            </w:pPr>
            <w:r>
              <w:rPr/>
              <w:t> </w:t>
            </w:r>
          </w:p>
        </w:tc>
        <w:tc>
          <w:tcPr>
            <w:tcW w:w="10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26,874</w:t>
            </w:r>
          </w:p>
        </w:tc>
        <w:tc>
          <w:tcPr>
            <w:tcW w:w="80" w:type="dxa"/>
            <w:tcBorders/>
            <w:shd w:fill="CCEEFF" w:val="clear"/>
            <w:vAlign w:val="center"/>
          </w:tcPr>
          <w:p>
            <w:pPr>
              <w:pStyle w:val="TableContents"/>
              <w:bidi w:val="0"/>
              <w:spacing w:before="0" w:after="283"/>
              <w:jc w:val="left"/>
              <w:rPr/>
            </w:pPr>
            <w:r>
              <w:rPr/>
              <w:t> </w:t>
            </w:r>
          </w:p>
        </w:tc>
      </w:tr>
      <w:tr>
        <w:trPr/>
        <w:tc>
          <w:tcPr>
            <w:tcW w:w="38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stockholders' deficit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(35,615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ind w:left="0" w:right="0" w:hanging="0"/>
              <w:jc w:val="left"/>
              <w:rPr/>
            </w:pPr>
            <w:r>
              <w:rPr/>
              <w:t> </w:t>
            </w:r>
          </w:p>
        </w:tc>
        <w:tc>
          <w:tcPr>
            <w:tcW w:w="10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(23,223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4991" w:type="dxa"/>
        <w:jc w:val="left"/>
        <w:tblInd w:w="0" w:type="dxa"/>
        <w:tblLayout w:type="fixed"/>
        <w:tblCellMar>
          <w:top w:w="0" w:type="dxa"/>
          <w:left w:w="0" w:type="dxa"/>
          <w:bottom w:w="0" w:type="dxa"/>
          <w:right w:w="0" w:type="dxa"/>
        </w:tblCellMar>
      </w:tblPr>
      <w:tblGrid>
        <w:gridCol w:w="3365"/>
        <w:gridCol w:w="60"/>
        <w:gridCol w:w="125"/>
        <w:gridCol w:w="548"/>
        <w:gridCol w:w="80"/>
        <w:gridCol w:w="60"/>
        <w:gridCol w:w="125"/>
        <w:gridCol w:w="548"/>
        <w:gridCol w:w="80"/>
      </w:tblGrid>
      <w:tr>
        <w:trPr/>
        <w:tc>
          <w:tcPr>
            <w:tcW w:w="3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8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80" w:type="dxa"/>
            <w:tcBorders/>
            <w:vAlign w:val="center"/>
          </w:tcPr>
          <w:p>
            <w:pPr>
              <w:pStyle w:val="TableContents"/>
              <w:bidi w:val="0"/>
              <w:spacing w:before="0" w:after="283"/>
              <w:jc w:val="left"/>
              <w:rPr/>
            </w:pPr>
            <w:r>
              <w:rPr/>
              <w:t> </w:t>
            </w:r>
          </w:p>
        </w:tc>
      </w:tr>
      <w:tr>
        <w:trPr/>
        <w:tc>
          <w:tcPr>
            <w:tcW w:w="3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7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7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vAlign w:val="center"/>
          </w:tcPr>
          <w:p>
            <w:pPr>
              <w:pStyle w:val="TableContents"/>
              <w:bidi w:val="0"/>
              <w:spacing w:before="0" w:after="283"/>
              <w:jc w:val="left"/>
              <w:rPr/>
            </w:pPr>
            <w:r>
              <w:rPr/>
              <w:t> </w:t>
            </w:r>
          </w:p>
        </w:tc>
      </w:tr>
      <w:tr>
        <w:trPr/>
        <w:tc>
          <w:tcPr>
            <w:tcW w:w="3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86"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80" w:type="dxa"/>
            <w:tcBorders/>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Statement of Cash Flow Data:</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operating activities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(7,508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(6,233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8"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8"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8,975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3,536</w:t>
            </w:r>
          </w:p>
        </w:tc>
        <w:tc>
          <w:tcPr>
            <w:tcW w:w="80"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increase (decrease) in cash</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(2,697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Operating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80"/>
        <w:jc w:val="both"/>
        <w:rPr>
          <w:rFonts w:ascii="Times New Roman" w:hAnsi="Times New Roman"/>
          <w:caps w:val="false"/>
          <w:smallCaps w:val="false"/>
          <w:sz w:val="20"/>
        </w:rPr>
      </w:pPr>
      <w:r>
        <w:rPr>
          <w:rFonts w:ascii="Times New Roman" w:hAnsi="Times New Roman"/>
          <w:caps w:val="false"/>
          <w:smallCaps w:val="false"/>
          <w:sz w:val="20"/>
        </w:rPr>
        <w:t>During the six months ended June 30, 2025, operating activities used approximately $7.5 million of cash, primarily resulting from a net loss of $23.1 million partially offset by net non-cash losses of $16.1 million, including $6.5 million in change in fair value of convertible promissory notes, $0.2 million of stock-based compensation, $3.5 million loss in convertible note conversion, $1.2 million of  loss on Consideration Shares and Warrants, $0.4 million in debt issuance costs, $0.7 million in loss on issuance of Register Direct offering, $3.5 million loss in change in fair value of warrant liabilities and changes in operating assets and liabilities of $0.5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80"/>
        <w:jc w:val="both"/>
        <w:rPr>
          <w:rFonts w:ascii="Times New Roman" w:hAnsi="Times New Roman"/>
          <w:caps w:val="false"/>
          <w:smallCaps w:val="false"/>
          <w:sz w:val="20"/>
        </w:rPr>
      </w:pPr>
      <w:r>
        <w:rPr>
          <w:rFonts w:ascii="Times New Roman" w:hAnsi="Times New Roman"/>
          <w:caps w:val="false"/>
          <w:smallCaps w:val="false"/>
          <w:sz w:val="20"/>
        </w:rPr>
        <w:t>During the six months ended June 30, 2024, operating activities used approximately $6.2 million of cash, primarily resulting from a net loss of $14.4 million partially offset by (a) net non-cash losses of $2.9 million, including $0.3 million in change in fair value of convertible promissory note, and $0.3 million of stock-based compensation, $1.3 million of contract costs related to Alvogen termination, $0.8 million of default penalties, and (b) changes in operating assets and liabilities of $5.3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Investing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During the six months ended June 30, 2025 and 2024, there was no cash used in investing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Financing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80"/>
        <w:jc w:val="both"/>
        <w:rPr>
          <w:rFonts w:ascii="Times New Roman" w:hAnsi="Times New Roman"/>
          <w:caps w:val="false"/>
          <w:smallCaps w:val="false"/>
          <w:sz w:val="20"/>
        </w:rPr>
      </w:pPr>
      <w:r>
        <w:rPr>
          <w:rFonts w:ascii="Times New Roman" w:hAnsi="Times New Roman"/>
          <w:caps w:val="false"/>
          <w:smallCaps w:val="false"/>
          <w:sz w:val="20"/>
        </w:rPr>
        <w:t>During the six months ended June 30, 2025, financing activities provided $9.0 million of cash resulting from $3.3 million in proceeds from issuance of common stock and warrants related to the RD Offering and $5.0 million in proceeds from the Anson Notes, $1.0 million in proceeds from issuance of common stock in connection with ATM offering, offset by $0.3 million in repayments of and by $0.4 million of proceeds from insurance notes, and $0.4 million in debt issuance costs due to the fair value election on Anson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43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580"/>
        <w:jc w:val="both"/>
        <w:rPr>
          <w:rFonts w:ascii="Times New Roman" w:hAnsi="Times New Roman"/>
          <w:caps w:val="false"/>
          <w:smallCaps w:val="false"/>
          <w:sz w:val="20"/>
        </w:rPr>
      </w:pPr>
      <w:r>
        <w:rPr>
          <w:rFonts w:ascii="Times New Roman" w:hAnsi="Times New Roman"/>
          <w:caps w:val="false"/>
          <w:smallCaps w:val="false"/>
          <w:sz w:val="20"/>
        </w:rPr>
        <w:t>During the six months ended June 30, 2024, financing activities provided $3.5 million of cash resulting from $1.0 million in proceeds from issuance of Common Stock and warrants issued in a private placement, and $4.7 million in proceeds from issuance of Common Stock and warrants offset by $2.2 million in repayments of the convertible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Contractual Obligations and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See Note 7, Debt, and Note 8, Commitments and Contingencies, of the notes to the Company’s condensed consolidated financial statements as of and for the three months ended June 30, 2025 included elsewhere in this report for further discussion of the Company’s commitments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Milestone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80"/>
        <w:jc w:val="both"/>
        <w:rPr>
          <w:rFonts w:ascii="Times New Roman" w:hAnsi="Times New Roman"/>
          <w:caps w:val="false"/>
          <w:smallCaps w:val="false"/>
          <w:sz w:val="20"/>
        </w:rPr>
      </w:pPr>
      <w:r>
        <w:rPr>
          <w:rFonts w:ascii="Times New Roman" w:hAnsi="Times New Roman"/>
          <w:caps w:val="false"/>
          <w:smallCaps w:val="false"/>
          <w:sz w:val="20"/>
        </w:rPr>
        <w:t>Pursuant to the legal settlement with Sarah Herzog Memorial Hospital Ezrat Nashim (“</w:t>
      </w:r>
      <w:r>
        <w:rPr>
          <w:rFonts w:ascii="Times New Roman" w:hAnsi="Times New Roman"/>
          <w:i/>
          <w:caps w:val="false"/>
          <w:smallCaps w:val="false"/>
          <w:sz w:val="20"/>
        </w:rPr>
        <w:t>SHMH</w:t>
      </w:r>
      <w:r>
        <w:rPr>
          <w:rFonts w:ascii="Times New Roman" w:hAnsi="Times New Roman"/>
          <w:caps w:val="false"/>
          <w:smallCaps w:val="false"/>
          <w:sz w:val="20"/>
        </w:rPr>
        <w:t>”) in September 2018, which included the license of intellectual property rights from SHMH, an ongoing royalty of 1% to 2.5% of NRX-101 gross sales is due to SHMH, together with milestone payments of $0.3 million, upon completion of phase 3 trials and commercial sale of NRX-101. The milestone payments for developmental and commercial milestones range from $0.1 million to $0.8 million. Annual maintenance fees are up to $0.2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Off-Balance Sheet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is not party to any off-balance sheet transactions. The Company has no guarantees or obligations other than those which arise out of normal business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Critical Accounting Policies and Significant Judgments and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80"/>
        <w:jc w:val="both"/>
        <w:rPr>
          <w:rFonts w:ascii="Times New Roman" w:hAnsi="Times New Roman"/>
          <w:caps w:val="false"/>
          <w:smallCaps w:val="false"/>
          <w:sz w:val="20"/>
        </w:rPr>
      </w:pPr>
      <w:r>
        <w:rPr>
          <w:rFonts w:ascii="Times New Roman" w:hAnsi="Times New Roman"/>
          <w:caps w:val="false"/>
          <w:smallCaps w:val="false"/>
          <w:sz w:val="20"/>
        </w:rPr>
        <w:t>The Company's management’s discussion and analysis of its financial condition and results of operations is based on its financial statements, which have been prepared in accordance with generally accepted accounting principles in the United States of America (“GAAP”). The preparation of these financial statements requires NRx Pharmaceuticals to make estimates, judgments and assumptions that affect the reported amounts of assets and liabilities, disclosure of contingent assets and liabilities as of the date of the balance sheet and the reported amounts of expenses during the reporting period. In accordance with GAAP, NRx Pharmaceuticals evaluates its estimates and judgments on an ongoing basis. The most critical estimates relate to stock-based compensation, the valuation of warrants, and the valuation of convertible notes payable. NRx Pharmaceuticals bases its estimates and assumptions on current facts, historical experiences, and various other factors that NRx Pharmaceuticals believes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80"/>
        <w:jc w:val="both"/>
        <w:rPr>
          <w:rFonts w:ascii="Times New Roman" w:hAnsi="Times New Roman"/>
          <w:caps w:val="false"/>
          <w:smallCaps w:val="false"/>
          <w:sz w:val="20"/>
        </w:rPr>
      </w:pPr>
      <w:r>
        <w:rPr>
          <w:rFonts w:ascii="Times New Roman" w:hAnsi="Times New Roman"/>
          <w:caps w:val="false"/>
          <w:smallCaps w:val="false"/>
          <w:sz w:val="20"/>
        </w:rPr>
        <w:t>The Company defines its critical accounting policies as those accounting principles that require it to make subjective estimates and judgments about matters that are uncertain and are likely to have a material impact on its financial condition and results of operations, as well as the specific manner in which the Company applies those principles. While its significant accounting policies are more fully described in Note 3 to its financial statements, the Company believes the following are the critical accounting policies used in the preparation of its financial statements that require significant estimates and judgments.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Stock-based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80"/>
        <w:jc w:val="both"/>
        <w:rPr>
          <w:rFonts w:ascii="Times New Roman" w:hAnsi="Times New Roman"/>
          <w:caps w:val="false"/>
          <w:smallCaps w:val="false"/>
          <w:sz w:val="20"/>
        </w:rPr>
      </w:pPr>
      <w:r>
        <w:rPr>
          <w:rFonts w:ascii="Times New Roman" w:hAnsi="Times New Roman"/>
          <w:caps w:val="false"/>
          <w:smallCaps w:val="false"/>
          <w:sz w:val="20"/>
        </w:rPr>
        <w:t>We measure stock option awards granted to employees and directors based on the fair value of the award on the date of the grant and recognize compensation expense of those awards over the requisite service period, which is generally the vesting period of the respective award. For restricted stock awards, the grant date fair value is the fair market value per share as of the grant date based on the closing trading price for the Company’s stock. The straight-line method of expense recognition is applied to awards with service-only conditions. We account for forfeitures as they 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80"/>
        <w:jc w:val="both"/>
        <w:rPr>
          <w:rFonts w:ascii="Times New Roman" w:hAnsi="Times New Roman"/>
          <w:caps w:val="false"/>
          <w:smallCaps w:val="false"/>
          <w:sz w:val="20"/>
        </w:rPr>
      </w:pPr>
      <w:r>
        <w:rPr>
          <w:rFonts w:ascii="Times New Roman" w:hAnsi="Times New Roman"/>
          <w:caps w:val="false"/>
          <w:smallCaps w:val="false"/>
          <w:sz w:val="20"/>
        </w:rPr>
        <w:t>We estimate the fair value of each stock option award using the Black-Scholes option-pricing model, which uses as inputs the fair value of our common stock and assumptions we make for the volatility of our common stock, the expected term of our stock-based awards, the risk-free interest rate for a period that approximates the expected term of our stock-based awards, and our expected dividend yield. Therefore, we estimate our expected volatility based on the implied volatility of publicly traded warrants on our common stock and historical volatility of a set of our publicly traded peer companies. We estimate the expected term of our options using the "simplified" method for awards that qualify as "plain-vanilla" options. The risk-free interest rate is determined by reference to the U.S. Treasury yield curve in effect at the time of grant of the award for time periods approximately equal to the expected term of the award. Expected dividend yield is based on the fact that we have never paid cash dividends on common stock and do not expect to pay any cash dividends in the foreseeable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44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580"/>
        <w:jc w:val="both"/>
        <w:rPr>
          <w:rFonts w:ascii="Times New Roman" w:hAnsi="Times New Roman"/>
          <w:caps w:val="false"/>
          <w:smallCaps w:val="false"/>
          <w:sz w:val="20"/>
        </w:rPr>
      </w:pPr>
      <w:r>
        <w:rPr>
          <w:rFonts w:ascii="Times New Roman" w:hAnsi="Times New Roman"/>
          <w:caps w:val="false"/>
          <w:smallCaps w:val="false"/>
          <w:sz w:val="20"/>
        </w:rPr>
        <w:t>The assumptions used in determining the fair value of stock-based awards represent reasonable estimates, but the estimates involve inherent uncertainties and the application of our judgment. As a result, if factors change and we use significantly different assumptions or estimates, our stock-based compensation expense could be materially different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Warrant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80"/>
        <w:jc w:val="both"/>
        <w:rPr>
          <w:rFonts w:ascii="Times New Roman" w:hAnsi="Times New Roman"/>
          <w:caps w:val="false"/>
          <w:smallCaps w:val="false"/>
          <w:sz w:val="20"/>
        </w:rPr>
      </w:pPr>
      <w:r>
        <w:rPr>
          <w:rFonts w:ascii="Times New Roman" w:hAnsi="Times New Roman"/>
          <w:caps w:val="false"/>
          <w:smallCaps w:val="false"/>
          <w:sz w:val="20"/>
        </w:rPr>
        <w:t>We account for warrants as either equity-classified or liability-classified instruments based on an assessment of the warrant’s specific terms and applicable authoritative guidance in ASC 480, Distinguishing Liabilities from Equity (“</w:t>
      </w:r>
      <w:r>
        <w:rPr>
          <w:rFonts w:ascii="Times New Roman" w:hAnsi="Times New Roman"/>
          <w:i/>
          <w:caps w:val="false"/>
          <w:smallCaps w:val="false"/>
          <w:sz w:val="20"/>
        </w:rPr>
        <w:t>ASC 480</w:t>
      </w:r>
      <w:r>
        <w:rPr>
          <w:rFonts w:ascii="Times New Roman" w:hAnsi="Times New Roman"/>
          <w:caps w:val="false"/>
          <w:smallCaps w:val="false"/>
          <w:sz w:val="20"/>
        </w:rPr>
        <w:t>”) and ASC 815, Derivatives and Hedging (“</w:t>
      </w:r>
      <w:r>
        <w:rPr>
          <w:rFonts w:ascii="Times New Roman" w:hAnsi="Times New Roman"/>
          <w:i/>
          <w:caps w:val="false"/>
          <w:smallCaps w:val="false"/>
          <w:sz w:val="20"/>
        </w:rPr>
        <w:t>ASC 815</w:t>
      </w:r>
      <w:r>
        <w:rPr>
          <w:rFonts w:ascii="Times New Roman" w:hAnsi="Times New Roman"/>
          <w:caps w:val="false"/>
          <w:smallCaps w:val="false"/>
          <w:sz w:val="20"/>
        </w:rPr>
        <w:t>”).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stock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80"/>
        <w:jc w:val="both"/>
        <w:rPr>
          <w:rFonts w:ascii="Times New Roman" w:hAnsi="Times New Roman"/>
          <w:caps w:val="false"/>
          <w:smallCaps w:val="false"/>
          <w:sz w:val="20"/>
        </w:rPr>
      </w:pPr>
      <w:r>
        <w:rPr>
          <w:rFonts w:ascii="Times New Roman" w:hAnsi="Times New Roman"/>
          <w:caps w:val="false"/>
          <w:smallCaps w:val="false"/>
          <w:sz w:val="20"/>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or date of modification, and each balance sheet date thereafter. Changes in the estimated fair value of the warrants are recognized as a non-cash gain or loss on the statements of operations. The fair value of the Private Placement Warrants, Anson Warrants, Consideration Warrants, and Anson Registered Direct Offering Warrants were estimated using a Black Scholes valuation approach and the fair value of the Substitute Warrants was estimated using a modified Black Scholes valuation approach which applies a probability factor based on the earnout cash milestone and earnout shares milestone probabilities of achievement at each reporting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Convertible Notes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80"/>
        <w:jc w:val="both"/>
        <w:rPr>
          <w:rFonts w:ascii="Times New Roman" w:hAnsi="Times New Roman"/>
          <w:caps w:val="false"/>
          <w:smallCaps w:val="false"/>
          <w:sz w:val="20"/>
        </w:rPr>
      </w:pPr>
      <w:r>
        <w:rPr>
          <w:rFonts w:ascii="Times New Roman" w:hAnsi="Times New Roman"/>
          <w:caps w:val="false"/>
          <w:smallCaps w:val="false"/>
          <w:sz w:val="20"/>
        </w:rPr>
        <w:t>As permitted under Financial Accounting Standards Board (“</w:t>
      </w:r>
      <w:r>
        <w:rPr>
          <w:rFonts w:ascii="Times New Roman" w:hAnsi="Times New Roman"/>
          <w:i/>
          <w:caps w:val="false"/>
          <w:smallCaps w:val="false"/>
          <w:sz w:val="20"/>
        </w:rPr>
        <w:t>FASB</w:t>
      </w:r>
      <w:r>
        <w:rPr>
          <w:rFonts w:ascii="Times New Roman" w:hAnsi="Times New Roman"/>
          <w:caps w:val="false"/>
          <w:smallCaps w:val="false"/>
          <w:sz w:val="20"/>
        </w:rPr>
        <w:t>”) Accounting Standards Codification (“</w:t>
      </w:r>
      <w:r>
        <w:rPr>
          <w:rFonts w:ascii="Times New Roman" w:hAnsi="Times New Roman"/>
          <w:i/>
          <w:caps w:val="false"/>
          <w:smallCaps w:val="false"/>
          <w:sz w:val="20"/>
        </w:rPr>
        <w:t>ASC</w:t>
      </w:r>
      <w:r>
        <w:rPr>
          <w:rFonts w:ascii="Times New Roman" w:hAnsi="Times New Roman"/>
          <w:caps w:val="false"/>
          <w:smallCaps w:val="false"/>
          <w:sz w:val="20"/>
        </w:rPr>
        <w:t>”) Topic 825, Financial Instruments (“</w:t>
      </w:r>
      <w:r>
        <w:rPr>
          <w:rFonts w:ascii="Times New Roman" w:hAnsi="Times New Roman"/>
          <w:i/>
          <w:caps w:val="false"/>
          <w:smallCaps w:val="false"/>
          <w:sz w:val="20"/>
        </w:rPr>
        <w:t>ASC 825</w:t>
      </w:r>
      <w:r>
        <w:rPr>
          <w:rFonts w:ascii="Times New Roman" w:hAnsi="Times New Roman"/>
          <w:caps w:val="false"/>
          <w:smallCaps w:val="false"/>
          <w:sz w:val="20"/>
        </w:rPr>
        <w:t>”), the Company elects to account for its convertible promissory notes, which meets the required criteria, at fair value at inception and at each subsequent reporting date. Subsequent changes in fair value are recorded as a component of non-operating loss in the condensed consolidated statements of operations. As a result of electing the fair value option, direct costs and fees related to the convertible promissory notes are expensed as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80"/>
        <w:jc w:val="both"/>
        <w:rPr>
          <w:rFonts w:ascii="Times New Roman" w:hAnsi="Times New Roman"/>
          <w:caps w:val="false"/>
          <w:smallCaps w:val="false"/>
          <w:sz w:val="20"/>
        </w:rPr>
      </w:pPr>
      <w:r>
        <w:rPr>
          <w:rFonts w:ascii="Times New Roman" w:hAnsi="Times New Roman"/>
          <w:caps w:val="false"/>
          <w:smallCaps w:val="false"/>
          <w:sz w:val="20"/>
        </w:rPr>
        <w:t>The Company estimates the fair value of the convertible notes payable using a Monte Carlo simulation model, which uses as inputs the fair value of our common stock and estimates for the equity volatility and volume volatility of our common stock, the time to expiration (i.e. expected termination date) of the convertible note, the risk-free interest rate for a period that approximates the time to expiration, and probability of default. Therefore, we estimate our expected future equity and volume volatility based on the historical volatility of both our common stock utilizing a lookback period consistent with the time to expiration. The time to expiration is based on the contractual maturity date, giving consideration to the mandatory and potential accelerated redemptions beginning six months from the issuance date. The risk-free interest rate is determined by reference to the U.S. Treasury yield curve in effect at the time of measurement for time periods approximately equal to the time to expiration. Probability of default is estimated using Bloomberg's Default Risk function which uses our financial information to calculate a default risk specific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80"/>
        <w:jc w:val="both"/>
        <w:rPr>
          <w:rFonts w:ascii="Times New Roman" w:hAnsi="Times New Roman"/>
          <w:caps w:val="false"/>
          <w:smallCaps w:val="false"/>
          <w:sz w:val="20"/>
        </w:rPr>
      </w:pPr>
      <w:r>
        <w:rPr>
          <w:rFonts w:ascii="Times New Roman" w:hAnsi="Times New Roman"/>
          <w:caps w:val="false"/>
          <w:smallCaps w:val="false"/>
          <w:sz w:val="20"/>
        </w:rPr>
        <w:t>The assumptions used in determining the fair value of the convertible note payable represent reasonable estimates, but the estimates involve inherent uncertainties and the application of our judgment. As a result, if factors change and we use significantly different assumptions or estimates, the change in fair value of the convertible note payable recorded to other (income) expense could be materially different in the future.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3. Quantitative and Qualitative Disclosures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As a smaller reporting company, we are not required to provide the information required by this Item.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45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Item 4.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(a)</w:t>
      </w:r>
      <w:r>
        <w:rPr>
          <w:rFonts w:ascii="Times New Roman" w:hAnsi="Times New Roman"/>
          <w:caps w:val="false"/>
          <w:smallCaps w:val="false"/>
          <w:sz w:val="20"/>
        </w:rPr>
        <w:t> </w:t>
      </w:r>
      <w:r>
        <w:rPr>
          <w:rFonts w:ascii="Times New Roman" w:hAnsi="Times New Roman"/>
          <w:b/>
          <w:caps w:val="false"/>
          <w:smallCaps w:val="false"/>
          <w:sz w:val="20"/>
        </w:rPr>
        <w:t>Evaluation of Disclosure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maintain “disclosure controls and procedures,” as such term is defined under Rule 13a-15(e) promulgated under the Exchange Act, designed to ensure that information required to be disclosed in our reports filed pursuant to the Exchange Act is recorded, processed, summarized and reported within the time periods specified in the SEC’s rules and forms, and that such information is accumulated and communicated to our management, including our principal executive officer and our principal financial officer, as appropriate to allow timely decisions regarding required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designing and evaluating the disclosure controls and procedures, we recognized that any controls and procedures, no matter how well designed and operated, can provide only reasonable assurance of achieving the desired control objectives, and we were required to apply our judgment in evaluating the cost-benefit relationship of possible controls and procedures. We have carried out an evaluation as of June 30, 2025 under the supervision, and with the participation, of our management, including our Chief Executive Officer (who serves as our principal executive officer) and our Chief Financial Officer (who serves as our principal financial officer), of the effectiveness of the design and operation of our disclosure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Based on that evaluation, our Chief Executive Officer and Chief Financial Officer concluded that our disclosure controls and procedures were effective as of June 30, 2025 in providing reasonable assurance of achieving the desired control objectives.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(b)</w:t>
      </w:r>
      <w:r>
        <w:rPr>
          <w:rFonts w:ascii="Times New Roman" w:hAnsi="Times New Roman"/>
          <w:caps w:val="false"/>
          <w:smallCaps w:val="false"/>
          <w:sz w:val="20"/>
        </w:rPr>
        <w:t> </w:t>
      </w:r>
      <w:r>
        <w:rPr>
          <w:rFonts w:ascii="Times New Roman" w:hAnsi="Times New Roman"/>
          <w:b/>
          <w:caps w:val="false"/>
          <w:smallCaps w:val="false"/>
          <w:sz w:val="20"/>
        </w:rPr>
        <w:t>Changes in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There were no changes in the Company’s internal controls over financial reporting that occurred during the three months ended June 30, 2025 that have materially affected, or are reasonably likely to materially affect, the Company’s internal control over financial reporting. The Company continues to review its disclosure controls and procedures, including its internal control over financial reporting, and may from time to time make changes aimed at enhancing their effectiveness and to ensure that the Company’s systems evolve with its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 xml:space="preserve">PART II </w:t>
      </w:r>
      <w:r>
        <w:rPr>
          <w:rFonts w:ascii="Times New Roman" w:hAnsi="Times New Roman"/>
          <w:caps w:val="false"/>
          <w:smallCaps w:val="false"/>
          <w:sz w:val="20"/>
        </w:rPr>
        <w:t xml:space="preserve">– </w:t>
      </w:r>
      <w:r>
        <w:rPr>
          <w:rFonts w:ascii="Times New Roman" w:hAnsi="Times New Roman"/>
          <w:b/>
          <w:caps w:val="false"/>
          <w:smallCaps w:val="false"/>
          <w:sz w:val="20"/>
        </w:rPr>
        <w:t>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1.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is, from time to time, involved in various legal proceedings incidental to the conduct of our business. Historically, the outcome of nearly all such legal proceedings has not, in the aggregate, had a material adverse effect on our business, financial condition, results of operations or liquidity. See Note 8, Commitments and Contingencies, of the notes to the Company’s unaudited condensed consolidated financial statements as of and for the three and six months ended June 30, 2025 (“</w:t>
      </w:r>
      <w:r>
        <w:rPr>
          <w:rFonts w:ascii="Times New Roman" w:hAnsi="Times New Roman"/>
          <w:i/>
          <w:caps w:val="false"/>
          <w:smallCaps w:val="false"/>
          <w:sz w:val="20"/>
        </w:rPr>
        <w:t>Note 8</w:t>
      </w:r>
      <w:r>
        <w:rPr>
          <w:rFonts w:ascii="Times New Roman" w:hAnsi="Times New Roman"/>
          <w:caps w:val="false"/>
          <w:smallCaps w:val="false"/>
          <w:sz w:val="20"/>
        </w:rPr>
        <w:t>”) included elsewhere in this report for further discussion of certain legal proceedings in which we are involved.  Other than as set forth below and/or in Note 8, there are no additional pending or threatened legal proceedings at this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May 9, 2025, Hope Therapeutics, Inc. entered into the Kadima Purchase Agreement (the “</w:t>
      </w:r>
      <w:r>
        <w:rPr>
          <w:rFonts w:ascii="Times New Roman" w:hAnsi="Times New Roman"/>
          <w:i/>
          <w:caps w:val="false"/>
          <w:smallCaps w:val="false"/>
          <w:sz w:val="20"/>
        </w:rPr>
        <w:t>Agreement</w:t>
      </w:r>
      <w:r>
        <w:rPr>
          <w:rFonts w:ascii="Times New Roman" w:hAnsi="Times New Roman"/>
          <w:caps w:val="false"/>
          <w:smallCaps w:val="false"/>
          <w:sz w:val="20"/>
        </w:rPr>
        <w:t>”), with HTX Management Company, LLC, Kadima Neuropsychiatry Institute, Medical Corp., Kadima Holdings, Inc., and David Feifel, M.D., PH.D. (collectively, “</w:t>
      </w:r>
      <w:r>
        <w:rPr>
          <w:rFonts w:ascii="Times New Roman" w:hAnsi="Times New Roman"/>
          <w:i/>
          <w:caps w:val="false"/>
          <w:smallCaps w:val="false"/>
          <w:sz w:val="20"/>
        </w:rPr>
        <w:t>Kadima</w:t>
      </w:r>
      <w:r>
        <w:rPr>
          <w:rFonts w:ascii="Times New Roman" w:hAnsi="Times New Roman"/>
          <w:caps w:val="false"/>
          <w:smallCaps w:val="false"/>
          <w:sz w:val="20"/>
        </w:rPr>
        <w:t>”), pursuant to which the Company agreed to purchase, and Kadima agreed to sell, on the Closing Date, as defined in the Agreement, certain assets of Kadima, subject to the satisfaction of certain closing conditions (the “</w:t>
      </w:r>
      <w:r>
        <w:rPr>
          <w:rFonts w:ascii="Times New Roman" w:hAnsi="Times New Roman"/>
          <w:i/>
          <w:caps w:val="false"/>
          <w:smallCaps w:val="false"/>
          <w:sz w:val="20"/>
        </w:rPr>
        <w:t>Acquisition</w:t>
      </w:r>
      <w:r>
        <w:rPr>
          <w:rFonts w:ascii="Times New Roman" w:hAnsi="Times New Roman"/>
          <w:caps w:val="false"/>
          <w:smallCaps w:val="false"/>
          <w:sz w:val="20"/>
        </w:rPr>
        <w:t>”).  As of the date of this Report, the parties have not closed the Acquisition due to ongoing discussion between the parties, and, while no assurances can be given, remain in active discussions to either i) close the Acquisition per the terms of the Agreement, or ii) pursue potential alternative outcomes mutually agreeable to the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46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1A.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have disclosed the risk factors that materially affect our business, financial condition or results of operations under the heading “Risk Factors” in our Annual Report on Form 10-K for the year ended December 31, 2024 filed with the SEC on March 14, 2025 (the “</w:t>
      </w:r>
      <w:r>
        <w:rPr>
          <w:rFonts w:ascii="Times New Roman" w:hAnsi="Times New Roman"/>
          <w:i/>
          <w:caps w:val="false"/>
          <w:smallCaps w:val="false"/>
          <w:sz w:val="20"/>
        </w:rPr>
        <w:t>Annual Report on Form 10-K</w:t>
      </w:r>
      <w:r>
        <w:rPr>
          <w:rFonts w:ascii="Times New Roman" w:hAnsi="Times New Roman"/>
          <w:caps w:val="false"/>
          <w:smallCaps w:val="false"/>
          <w:sz w:val="20"/>
        </w:rPr>
        <w:t>”). There have been no material changes from the risk factors previously disclosed. You should carefully consider the risk factors set forth in the Annual Report on Form 10-K and other information set forth elsewhere in this Quarterly Report on Form 10-Q. You should be aware that these risk factors and other information may not describe every risk that we face. Additional risks and uncertainties not currently known to us, or that we currently deem to be immaterial, or may not be able to assess, also may materially adversely affect our business, financial condition and/or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There is no assurance that the Agreement with Kadima Neuropsychiatry Institute will close or that even if we close the Acquisition that we will realize the anticipated benefits.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May 9, 2025, Hope Therapeutics, Inc. entered into an Asset Purchase and Contribution Agreement (the “</w:t>
      </w:r>
      <w:r>
        <w:rPr>
          <w:rFonts w:ascii="Times New Roman" w:hAnsi="Times New Roman"/>
          <w:i/>
          <w:caps w:val="false"/>
          <w:smallCaps w:val="false"/>
          <w:sz w:val="20"/>
        </w:rPr>
        <w:t>Agreement</w:t>
      </w:r>
      <w:r>
        <w:rPr>
          <w:rFonts w:ascii="Times New Roman" w:hAnsi="Times New Roman"/>
          <w:caps w:val="false"/>
          <w:smallCaps w:val="false"/>
          <w:sz w:val="20"/>
        </w:rPr>
        <w:t>”), with HTX Management Company, LLC, Kadima Neuropsychiatry Institute, Medical Corp., Kadima Holdings, Inc., and David Feifel, M.D., PH.D. (collectively, “</w:t>
      </w:r>
      <w:r>
        <w:rPr>
          <w:rFonts w:ascii="Times New Roman" w:hAnsi="Times New Roman"/>
          <w:i/>
          <w:caps w:val="false"/>
          <w:smallCaps w:val="false"/>
          <w:sz w:val="20"/>
        </w:rPr>
        <w:t>Kadima</w:t>
      </w:r>
      <w:r>
        <w:rPr>
          <w:rFonts w:ascii="Times New Roman" w:hAnsi="Times New Roman"/>
          <w:caps w:val="false"/>
          <w:smallCaps w:val="false"/>
          <w:sz w:val="20"/>
        </w:rPr>
        <w:t>”), pursuant to which the Company agreed to purchase, and Kadima agreed to sell, on the Closing Date, as defined in the Agreement, certain assets of Kadima, subject to the satisfaction of certain closing conditions (the “</w:t>
      </w:r>
      <w:r>
        <w:rPr>
          <w:rFonts w:ascii="Times New Roman" w:hAnsi="Times New Roman"/>
          <w:i/>
          <w:caps w:val="false"/>
          <w:smallCaps w:val="false"/>
          <w:sz w:val="20"/>
        </w:rPr>
        <w:t>Acquisition</w:t>
      </w:r>
      <w:r>
        <w:rPr>
          <w:rFonts w:ascii="Times New Roman" w:hAnsi="Times New Roman"/>
          <w:caps w:val="false"/>
          <w:smallCaps w:val="false"/>
          <w:sz w:val="20"/>
        </w:rPr>
        <w:t>”).  As of the date of this Report, the parties have not closed the Acquisition due to ongoing discussions between the parties and, while no assurances can be given, remain in active discussions to either i) close the Acquisition per the terms of the Agreement, or ii) pursue potential alternative outcomes mutually agreeable to the parties.  Even if the transactions contemplated by the Agreement are completed, the acquisition of the assets being purchased thereunder may not materialize into revenue and generate the financial and strategic benefits we expected.  The failure to close the Acquisition would negatively impact our revenues and return on investment. In addition, should the Acquisition close, we may face operational challenges and unforeseen liabilities that may negatively impact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While we have entered into definitive transaction documents with Kadima Neuropsychiatry Institute and Dura Medical, we cannot assure you that the transactions will be consummated or, if consummated, that they will be consummated on the terms set forth in such definitive documentation or that they will be accretive to stockholder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previously reported by the Company, we entered into definitive purchase agreements with each of Kadima and Dura Medical pursuant to which we agreed to explore an acquisition of each of the clinics. We have also announced the entry into, and negotiations for, letters of intent with potential strategic investors (the “</w:t>
      </w:r>
      <w:r>
        <w:rPr>
          <w:rFonts w:ascii="Times New Roman" w:hAnsi="Times New Roman"/>
          <w:i/>
          <w:caps w:val="false"/>
          <w:smallCaps w:val="false"/>
          <w:sz w:val="20"/>
        </w:rPr>
        <w:t>LOI</w:t>
      </w:r>
      <w:r>
        <w:rPr>
          <w:rFonts w:ascii="Times New Roman" w:hAnsi="Times New Roman"/>
          <w:caps w:val="false"/>
          <w:smallCaps w:val="false"/>
          <w:sz w:val="20"/>
        </w:rPr>
        <w:t>’</w:t>
      </w:r>
      <w:r>
        <w:rPr>
          <w:rFonts w:ascii="Times New Roman" w:hAnsi="Times New Roman"/>
          <w:i/>
          <w:caps w:val="false"/>
          <w:smallCaps w:val="false"/>
          <w:sz w:val="20"/>
        </w:rPr>
        <w:t>s</w:t>
      </w:r>
      <w:r>
        <w:rPr>
          <w:rFonts w:ascii="Times New Roman" w:hAnsi="Times New Roman"/>
          <w:caps w:val="false"/>
          <w:smallCaps w:val="false"/>
          <w:sz w:val="20"/>
        </w:rPr>
        <w:t>”), to partially fund our planned acquisitions of Kadima and Dura Medical, the first step in creating our planned international network of interventional psychiatry clinics.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currently have not finalized the commitments to finance the proposed acquisitions. Further, even if we are able to complete the financing(s), no assurances can be given that the terms will be favorable to our stockholders, that the transaction(s) will be completed in the time frame or in the manner currently anticipated, or that we will recognize the anticipated benefits of the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2. Unregistered Sales of Equity Securities and 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 unregistered sales of equity securities occurred during the three months ended June 30, 2025, that were not previously reported.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47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3. Defaults Upon Senior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No defaults upon senior securities occurred during the three months ended June 30, 2025, that were not previously reported.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4. Mine Safety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caps w:val="false"/>
          <w:smallCaps w:val="false"/>
          <w:sz w:val="20"/>
        </w:rPr>
        <w:t xml:space="preserve">Item </w:t>
      </w:r>
      <w:r>
        <w:rPr>
          <w:rStyle w:val="Emphasis"/>
          <w:rFonts w:ascii="Times New Roman" w:hAnsi="Times New Roman"/>
          <w:b/>
          <w:caps w:val="false"/>
          <w:smallCaps w:val="false"/>
          <w:sz w:val="20"/>
        </w:rPr>
        <w:t>5.</w:t>
      </w:r>
      <w:r>
        <w:rPr>
          <w:rFonts w:ascii="Times New Roman" w:hAnsi="Times New Roman"/>
          <w:b/>
          <w:caps w:val="false"/>
          <w:smallCaps w:val="false"/>
          <w:sz w:val="20"/>
        </w:rPr>
        <w:t xml:space="preserve">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None of our directors or executive officers adopted or terminated a 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trading arrangement or a non-Rule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trading arrangement during the quarter ended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 xml:space="preserve">as such terms are defined under Item </w:t>
      </w:r>
      <w:r>
        <w:rPr>
          <w:rStyle w:val="Emphasis"/>
          <w:rFonts w:ascii="Times New Roman" w:hAnsi="Times New Roman"/>
          <w:caps w:val="false"/>
          <w:smallCaps w:val="false"/>
          <w:sz w:val="20"/>
        </w:rPr>
        <w:t>408</w:t>
      </w:r>
      <w:r>
        <w:rPr>
          <w:rFonts w:ascii="Times New Roman" w:hAnsi="Times New Roman"/>
          <w:caps w:val="false"/>
          <w:smallCaps w:val="false"/>
          <w:sz w:val="20"/>
        </w:rPr>
        <w:t xml:space="preserve">(a) of Regulation S-K. Additionally, we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adopt or terminate a Rule </w:t>
      </w:r>
      <w:r>
        <w:rPr>
          <w:rStyle w:val="Emphasis"/>
          <w:rFonts w:ascii="Times New Roman" w:hAnsi="Times New Roman"/>
          <w:caps w:val="false"/>
          <w:smallCaps w:val="false"/>
          <w:sz w:val="20"/>
        </w:rPr>
        <w:t>10b5–1</w:t>
      </w:r>
      <w:r>
        <w:rPr>
          <w:rFonts w:ascii="Times New Roman" w:hAnsi="Times New Roman"/>
          <w:caps w:val="false"/>
          <w:smallCaps w:val="false"/>
          <w:sz w:val="20"/>
        </w:rPr>
        <w:t xml:space="preserve"> trading arrangement during the quarter ended </w:t>
      </w:r>
      <w:r>
        <w:rPr>
          <w:rStyle w:val="Emphasis"/>
          <w:rFonts w:ascii="Times New Roman" w:hAnsi="Times New Roman"/>
          <w:caps w:val="false"/>
          <w:smallCaps w:val="false"/>
          <w:sz w:val="20"/>
        </w:rPr>
        <w:t>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6.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10"/>
        <w:gridCol w:w="60"/>
        <w:gridCol w:w="9435"/>
      </w:tblGrid>
      <w:tr>
        <w:trPr/>
        <w:tc>
          <w:tcPr>
            <w:tcW w:w="710"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Exhibit </w:t>
            </w:r>
          </w:p>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Number</w:t>
            </w:r>
          </w:p>
        </w:tc>
        <w:tc>
          <w:tcPr>
            <w:tcW w:w="60" w:type="dxa"/>
            <w:tcBorders/>
            <w:tcMar>
              <w:bottom w:w="0" w:type="dxa"/>
            </w:tcMar>
            <w:vAlign w:val="center"/>
          </w:tcPr>
          <w:p>
            <w:pPr>
              <w:pStyle w:val="TableContents"/>
              <w:bidi w:val="0"/>
              <w:spacing w:before="0" w:after="283"/>
              <w:jc w:val="both"/>
              <w:rPr/>
            </w:pPr>
            <w:r>
              <w:rPr/>
              <w:t> </w:t>
            </w:r>
          </w:p>
        </w:tc>
        <w:tc>
          <w:tcPr>
            <w:tcW w:w="943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Description</w:t>
            </w:r>
          </w:p>
        </w:tc>
      </w:tr>
      <w:tr>
        <w:trPr/>
        <w:tc>
          <w:tcPr>
            <w:tcW w:w="710"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both"/>
              <w:rPr/>
            </w:pPr>
            <w:r>
              <w:rPr/>
              <w:t> </w:t>
            </w:r>
          </w:p>
        </w:tc>
        <w:tc>
          <w:tcPr>
            <w:tcW w:w="9435" w:type="dxa"/>
            <w:tcBorders/>
            <w:tcMar>
              <w:bottom w:w="0" w:type="dxa"/>
            </w:tcMar>
            <w:vAlign w:val="center"/>
          </w:tcPr>
          <w:p>
            <w:pPr>
              <w:pStyle w:val="TableContents"/>
              <w:bidi w:val="0"/>
              <w:spacing w:before="0" w:after="283"/>
              <w:jc w:val="both"/>
              <w:rPr/>
            </w:pPr>
            <w:r>
              <w:rPr/>
              <w:t> </w:t>
            </w:r>
          </w:p>
        </w:tc>
      </w:tr>
      <w:tr>
        <w:trPr/>
        <w:tc>
          <w:tcPr>
            <w:tcW w:w="710" w:type="dxa"/>
            <w:tcBorders/>
            <w:tcMar>
              <w:bottom w:w="0" w:type="dxa"/>
            </w:tcMar>
            <w:vAlign w:val="center"/>
          </w:tcPr>
          <w:p>
            <w:pPr>
              <w:pStyle w:val="TableContents"/>
              <w:bidi w:val="0"/>
              <w:spacing w:before="0" w:after="283"/>
              <w:jc w:val="left"/>
              <w:rPr/>
            </w:pPr>
            <w:r>
              <w:rPr/>
              <w:t>10.1+</w:t>
            </w:r>
          </w:p>
        </w:tc>
        <w:tc>
          <w:tcPr>
            <w:tcW w:w="60" w:type="dxa"/>
            <w:tcBorders/>
            <w:tcMar>
              <w:bottom w:w="0" w:type="dxa"/>
            </w:tcMar>
            <w:vAlign w:val="center"/>
          </w:tcPr>
          <w:p>
            <w:pPr>
              <w:pStyle w:val="TableContents"/>
              <w:bidi w:val="0"/>
              <w:spacing w:before="0" w:after="283"/>
              <w:jc w:val="both"/>
              <w:rPr/>
            </w:pPr>
            <w:r>
              <w:rPr/>
              <w:t> </w:t>
            </w:r>
          </w:p>
        </w:tc>
        <w:tc>
          <w:tcPr>
            <w:tcW w:w="9435" w:type="dxa"/>
            <w:tcBorders/>
            <w:tcMar>
              <w:bottom w:w="0" w:type="dxa"/>
            </w:tcMar>
            <w:vAlign w:val="center"/>
          </w:tcPr>
          <w:p>
            <w:pPr>
              <w:pStyle w:val="TableContents"/>
              <w:bidi w:val="0"/>
              <w:spacing w:before="0" w:after="283"/>
              <w:jc w:val="both"/>
              <w:rPr/>
            </w:pPr>
            <w:hyperlink r:id="rId6">
              <w:r>
                <w:rPr>
                  <w:rStyle w:val="InternetLink"/>
                </w:rPr>
                <w:t>Asset Purchase and Contribution Agreement, dated as of May 9, 2025, by and among Hope Therapeutics, Inc. and the signatories thereto (incorporated by reference to Exhibit 10.6 to the Company’s Quarterly Report on Form 10-Q, filed on May 15, 2025.</w:t>
              </w:r>
            </w:hyperlink>
          </w:p>
        </w:tc>
      </w:tr>
      <w:tr>
        <w:trPr/>
        <w:tc>
          <w:tcPr>
            <w:tcW w:w="710" w:type="dxa"/>
            <w:tcBorders/>
            <w:tcMar>
              <w:bottom w:w="0" w:type="dxa"/>
            </w:tcMar>
            <w:vAlign w:val="center"/>
          </w:tcPr>
          <w:p>
            <w:pPr>
              <w:pStyle w:val="TableContents"/>
              <w:bidi w:val="0"/>
              <w:spacing w:before="0" w:after="283"/>
              <w:jc w:val="left"/>
              <w:rPr/>
            </w:pPr>
            <w:r>
              <w:rPr/>
              <w:t>10.2+</w:t>
            </w:r>
          </w:p>
        </w:tc>
        <w:tc>
          <w:tcPr>
            <w:tcW w:w="60" w:type="dxa"/>
            <w:tcBorders/>
            <w:tcMar>
              <w:bottom w:w="0" w:type="dxa"/>
            </w:tcMar>
            <w:vAlign w:val="center"/>
          </w:tcPr>
          <w:p>
            <w:pPr>
              <w:pStyle w:val="TableContents"/>
              <w:bidi w:val="0"/>
              <w:spacing w:before="0" w:after="283"/>
              <w:jc w:val="both"/>
              <w:rPr/>
            </w:pPr>
            <w:r>
              <w:rPr/>
              <w:t> </w:t>
            </w:r>
          </w:p>
        </w:tc>
        <w:tc>
          <w:tcPr>
            <w:tcW w:w="9435" w:type="dxa"/>
            <w:tcBorders/>
            <w:tcMar>
              <w:bottom w:w="0" w:type="dxa"/>
            </w:tcMar>
            <w:vAlign w:val="center"/>
          </w:tcPr>
          <w:p>
            <w:pPr>
              <w:pStyle w:val="TableContents"/>
              <w:bidi w:val="0"/>
              <w:spacing w:before="0" w:after="283"/>
              <w:jc w:val="both"/>
              <w:rPr/>
            </w:pPr>
            <w:hyperlink r:id="rId7">
              <w:r>
                <w:rPr>
                  <w:rStyle w:val="InternetLink"/>
                </w:rPr>
                <w:t>Membership Interest Purchase and Contribution Agreement, by and among Hope Therapeutics, Inc. and the signatories thereto (incorporated by reference to Exhibit 10.7 to the Company’s Quarterly Report on Form 10-Q, filed on May 15, 2025.</w:t>
              </w:r>
            </w:hyperlink>
          </w:p>
        </w:tc>
      </w:tr>
      <w:tr>
        <w:trPr/>
        <w:tc>
          <w:tcPr>
            <w:tcW w:w="710" w:type="dxa"/>
            <w:tcBorders/>
            <w:tcMar>
              <w:bottom w:w="0" w:type="dxa"/>
            </w:tcMar>
            <w:vAlign w:val="center"/>
          </w:tcPr>
          <w:p>
            <w:pPr>
              <w:pStyle w:val="TableContents"/>
              <w:bidi w:val="0"/>
              <w:spacing w:before="0" w:after="0"/>
              <w:ind w:left="160" w:right="0" w:hanging="160"/>
              <w:jc w:val="both"/>
              <w:rPr>
                <w:rFonts w:ascii="Times New Roman" w:hAnsi="Times New Roman"/>
                <w:caps w:val="false"/>
                <w:smallCaps w:val="false"/>
                <w:sz w:val="20"/>
              </w:rPr>
            </w:pPr>
            <w:r>
              <w:rPr>
                <w:rFonts w:ascii="Times New Roman" w:hAnsi="Times New Roman"/>
                <w:caps w:val="false"/>
                <w:smallCaps w:val="false"/>
                <w:sz w:val="20"/>
              </w:rPr>
              <w:t>31.1*</w:t>
            </w:r>
          </w:p>
        </w:tc>
        <w:tc>
          <w:tcPr>
            <w:tcW w:w="60" w:type="dxa"/>
            <w:tcBorders/>
            <w:tcMar>
              <w:bottom w:w="0" w:type="dxa"/>
            </w:tcMar>
            <w:vAlign w:val="center"/>
          </w:tcPr>
          <w:p>
            <w:pPr>
              <w:pStyle w:val="TableContents"/>
              <w:bidi w:val="0"/>
              <w:spacing w:before="0" w:after="283"/>
              <w:jc w:val="both"/>
              <w:rPr/>
            </w:pPr>
            <w:r>
              <w:rPr/>
              <w:t> </w:t>
            </w:r>
          </w:p>
        </w:tc>
        <w:tc>
          <w:tcPr>
            <w:tcW w:w="9435" w:type="dxa"/>
            <w:tcBorders/>
            <w:tcMar>
              <w:bottom w:w="0" w:type="dxa"/>
            </w:tcMar>
            <w:vAlign w:val="center"/>
          </w:tcPr>
          <w:p>
            <w:pPr>
              <w:pStyle w:val="TableContents"/>
              <w:bidi w:val="0"/>
              <w:spacing w:before="0" w:after="0"/>
              <w:ind w:left="0" w:right="0" w:hanging="0"/>
              <w:jc w:val="both"/>
              <w:rPr/>
            </w:pPr>
            <w:hyperlink w:anchor="ex_847161.htm">
              <w:r>
                <w:rPr>
                  <w:rStyle w:val="InternetLink"/>
                  <w:rFonts w:ascii="Times New Roman" w:hAnsi="Times New Roman"/>
                  <w:caps w:val="false"/>
                  <w:smallCaps w:val="false"/>
                  <w:sz w:val="20"/>
                </w:rPr>
                <w:t>Certification of Principal Executive Officer pursuant to Section 302 of the Sarbanes-Oxley Act of 2002.</w:t>
              </w:r>
            </w:hyperlink>
          </w:p>
        </w:tc>
      </w:tr>
      <w:tr>
        <w:trPr/>
        <w:tc>
          <w:tcPr>
            <w:tcW w:w="710" w:type="dxa"/>
            <w:tcBorders/>
            <w:tcMar>
              <w:bottom w:w="0" w:type="dxa"/>
            </w:tcMar>
            <w:vAlign w:val="center"/>
          </w:tcPr>
          <w:p>
            <w:pPr>
              <w:pStyle w:val="TableContents"/>
              <w:bidi w:val="0"/>
              <w:spacing w:before="0" w:after="0"/>
              <w:ind w:left="160" w:right="0" w:hanging="160"/>
              <w:jc w:val="both"/>
              <w:rPr>
                <w:rFonts w:ascii="Times New Roman" w:hAnsi="Times New Roman"/>
                <w:caps w:val="false"/>
                <w:smallCaps w:val="false"/>
                <w:sz w:val="20"/>
              </w:rPr>
            </w:pPr>
            <w:r>
              <w:rPr>
                <w:rFonts w:ascii="Times New Roman" w:hAnsi="Times New Roman"/>
                <w:caps w:val="false"/>
                <w:smallCaps w:val="false"/>
                <w:sz w:val="20"/>
              </w:rPr>
              <w:t>31.2*</w:t>
            </w:r>
          </w:p>
        </w:tc>
        <w:tc>
          <w:tcPr>
            <w:tcW w:w="60" w:type="dxa"/>
            <w:tcBorders/>
            <w:tcMar>
              <w:bottom w:w="0" w:type="dxa"/>
            </w:tcMar>
            <w:vAlign w:val="center"/>
          </w:tcPr>
          <w:p>
            <w:pPr>
              <w:pStyle w:val="TableContents"/>
              <w:bidi w:val="0"/>
              <w:spacing w:before="0" w:after="283"/>
              <w:jc w:val="both"/>
              <w:rPr/>
            </w:pPr>
            <w:r>
              <w:rPr/>
              <w:t> </w:t>
            </w:r>
          </w:p>
        </w:tc>
        <w:tc>
          <w:tcPr>
            <w:tcW w:w="9435" w:type="dxa"/>
            <w:tcBorders/>
            <w:tcMar>
              <w:bottom w:w="0" w:type="dxa"/>
            </w:tcMar>
            <w:vAlign w:val="center"/>
          </w:tcPr>
          <w:p>
            <w:pPr>
              <w:pStyle w:val="TableContents"/>
              <w:bidi w:val="0"/>
              <w:spacing w:before="0" w:after="0"/>
              <w:ind w:left="0" w:right="0" w:hanging="0"/>
              <w:jc w:val="both"/>
              <w:rPr/>
            </w:pPr>
            <w:hyperlink w:anchor="ex_847160.htm">
              <w:r>
                <w:rPr>
                  <w:rStyle w:val="InternetLink"/>
                  <w:rFonts w:ascii="Times New Roman" w:hAnsi="Times New Roman"/>
                  <w:caps w:val="false"/>
                  <w:smallCaps w:val="false"/>
                  <w:sz w:val="20"/>
                </w:rPr>
                <w:t>Certification of Principal Financial Officer pursuant to Section 302 of the Sarbanes-Oxley Act of 2002.</w:t>
              </w:r>
            </w:hyperlink>
          </w:p>
        </w:tc>
      </w:tr>
      <w:tr>
        <w:trPr/>
        <w:tc>
          <w:tcPr>
            <w:tcW w:w="710" w:type="dxa"/>
            <w:tcBorders/>
            <w:tcMar>
              <w:bottom w:w="0" w:type="dxa"/>
            </w:tcMar>
            <w:vAlign w:val="center"/>
          </w:tcPr>
          <w:p>
            <w:pPr>
              <w:pStyle w:val="TableContents"/>
              <w:bidi w:val="0"/>
              <w:spacing w:before="0" w:after="0"/>
              <w:ind w:left="160" w:right="0" w:hanging="160"/>
              <w:jc w:val="both"/>
              <w:rPr>
                <w:rFonts w:ascii="Times New Roman" w:hAnsi="Times New Roman"/>
                <w:caps w:val="false"/>
                <w:smallCaps w:val="false"/>
                <w:sz w:val="20"/>
              </w:rPr>
            </w:pPr>
            <w:r>
              <w:rPr>
                <w:rFonts w:ascii="Times New Roman" w:hAnsi="Times New Roman"/>
                <w:caps w:val="false"/>
                <w:smallCaps w:val="false"/>
                <w:sz w:val="20"/>
              </w:rPr>
              <w:t>32.1**</w:t>
            </w:r>
          </w:p>
        </w:tc>
        <w:tc>
          <w:tcPr>
            <w:tcW w:w="60" w:type="dxa"/>
            <w:tcBorders/>
            <w:tcMar>
              <w:bottom w:w="0" w:type="dxa"/>
            </w:tcMar>
            <w:vAlign w:val="center"/>
          </w:tcPr>
          <w:p>
            <w:pPr>
              <w:pStyle w:val="TableContents"/>
              <w:bidi w:val="0"/>
              <w:spacing w:before="0" w:after="283"/>
              <w:jc w:val="both"/>
              <w:rPr/>
            </w:pPr>
            <w:r>
              <w:rPr/>
              <w:t> </w:t>
            </w:r>
          </w:p>
        </w:tc>
        <w:tc>
          <w:tcPr>
            <w:tcW w:w="9435" w:type="dxa"/>
            <w:tcBorders/>
            <w:tcMar>
              <w:bottom w:w="0" w:type="dxa"/>
            </w:tcMar>
            <w:vAlign w:val="center"/>
          </w:tcPr>
          <w:p>
            <w:pPr>
              <w:pStyle w:val="TableContents"/>
              <w:bidi w:val="0"/>
              <w:spacing w:before="0" w:after="0"/>
              <w:ind w:left="0" w:right="0" w:hanging="0"/>
              <w:jc w:val="both"/>
              <w:rPr/>
            </w:pPr>
            <w:hyperlink w:anchor="ex_847159.htm">
              <w:r>
                <w:rPr>
                  <w:rStyle w:val="InternetLink"/>
                  <w:rFonts w:ascii="Times New Roman" w:hAnsi="Times New Roman"/>
                  <w:caps w:val="false"/>
                  <w:smallCaps w:val="false"/>
                  <w:sz w:val="20"/>
                </w:rPr>
                <w:t>Certification of Principal Executive Officer pursuant to Section 906 of the Sarbanes-Oxley Act of 2002.</w:t>
              </w:r>
            </w:hyperlink>
          </w:p>
        </w:tc>
      </w:tr>
      <w:tr>
        <w:trPr/>
        <w:tc>
          <w:tcPr>
            <w:tcW w:w="710" w:type="dxa"/>
            <w:tcBorders/>
            <w:tcMar>
              <w:bottom w:w="0" w:type="dxa"/>
            </w:tcMar>
            <w:vAlign w:val="center"/>
          </w:tcPr>
          <w:p>
            <w:pPr>
              <w:pStyle w:val="TableContents"/>
              <w:bidi w:val="0"/>
              <w:spacing w:before="0" w:after="0"/>
              <w:ind w:left="160" w:right="0" w:hanging="160"/>
              <w:jc w:val="both"/>
              <w:rPr>
                <w:rFonts w:ascii="Times New Roman" w:hAnsi="Times New Roman"/>
                <w:caps w:val="false"/>
                <w:smallCaps w:val="false"/>
                <w:sz w:val="20"/>
              </w:rPr>
            </w:pPr>
            <w:r>
              <w:rPr>
                <w:rFonts w:ascii="Times New Roman" w:hAnsi="Times New Roman"/>
                <w:caps w:val="false"/>
                <w:smallCaps w:val="false"/>
                <w:sz w:val="20"/>
              </w:rPr>
              <w:t>32.2**</w:t>
            </w:r>
          </w:p>
        </w:tc>
        <w:tc>
          <w:tcPr>
            <w:tcW w:w="60" w:type="dxa"/>
            <w:tcBorders/>
            <w:tcMar>
              <w:bottom w:w="0" w:type="dxa"/>
            </w:tcMar>
            <w:vAlign w:val="center"/>
          </w:tcPr>
          <w:p>
            <w:pPr>
              <w:pStyle w:val="TableContents"/>
              <w:bidi w:val="0"/>
              <w:spacing w:before="0" w:after="283"/>
              <w:jc w:val="both"/>
              <w:rPr/>
            </w:pPr>
            <w:r>
              <w:rPr/>
              <w:t> </w:t>
            </w:r>
          </w:p>
        </w:tc>
        <w:tc>
          <w:tcPr>
            <w:tcW w:w="9435" w:type="dxa"/>
            <w:tcBorders/>
            <w:tcMar>
              <w:bottom w:w="0" w:type="dxa"/>
            </w:tcMar>
            <w:vAlign w:val="center"/>
          </w:tcPr>
          <w:p>
            <w:pPr>
              <w:pStyle w:val="TableContents"/>
              <w:bidi w:val="0"/>
              <w:spacing w:before="0" w:after="0"/>
              <w:ind w:left="0" w:right="0" w:hanging="0"/>
              <w:jc w:val="both"/>
              <w:rPr/>
            </w:pPr>
            <w:hyperlink w:anchor="ex_847158.htm">
              <w:r>
                <w:rPr>
                  <w:rStyle w:val="InternetLink"/>
                  <w:rFonts w:ascii="Times New Roman" w:hAnsi="Times New Roman"/>
                  <w:caps w:val="false"/>
                  <w:smallCaps w:val="false"/>
                  <w:sz w:val="20"/>
                </w:rPr>
                <w:t>Certification of Principal Financial Officer pursuant to Section 906 of the Sarbanes-Oxley Act of 2002.</w:t>
              </w:r>
            </w:hyperlink>
          </w:p>
        </w:tc>
      </w:tr>
      <w:tr>
        <w:trPr/>
        <w:tc>
          <w:tcPr>
            <w:tcW w:w="710" w:type="dxa"/>
            <w:tcBorders/>
            <w:tcMar>
              <w:bottom w:w="0" w:type="dxa"/>
            </w:tcMar>
            <w:vAlign w:val="center"/>
          </w:tcPr>
          <w:p>
            <w:pPr>
              <w:pStyle w:val="TableContents"/>
              <w:bidi w:val="0"/>
              <w:spacing w:before="0" w:after="0"/>
              <w:ind w:left="160" w:right="0" w:hanging="160"/>
              <w:jc w:val="both"/>
              <w:rPr>
                <w:rFonts w:ascii="Times New Roman" w:hAnsi="Times New Roman"/>
                <w:caps w:val="false"/>
                <w:smallCaps w:val="false"/>
                <w:sz w:val="20"/>
              </w:rPr>
            </w:pPr>
            <w:r>
              <w:rPr>
                <w:rFonts w:ascii="Times New Roman" w:hAnsi="Times New Roman"/>
                <w:caps w:val="false"/>
                <w:smallCaps w:val="false"/>
                <w:sz w:val="20"/>
              </w:rPr>
              <w:t>101†</w:t>
            </w:r>
          </w:p>
        </w:tc>
        <w:tc>
          <w:tcPr>
            <w:tcW w:w="60" w:type="dxa"/>
            <w:tcBorders/>
            <w:tcMar>
              <w:bottom w:w="0" w:type="dxa"/>
            </w:tcMar>
            <w:vAlign w:val="center"/>
          </w:tcPr>
          <w:p>
            <w:pPr>
              <w:pStyle w:val="TableContents"/>
              <w:bidi w:val="0"/>
              <w:spacing w:before="0" w:after="283"/>
              <w:jc w:val="both"/>
              <w:rPr/>
            </w:pPr>
            <w:r>
              <w:rPr/>
              <w:t> </w:t>
            </w:r>
          </w:p>
        </w:tc>
        <w:tc>
          <w:tcPr>
            <w:tcW w:w="9435"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Interactive data files pursuant to Rule 405 of Regulation S-T formatted in Inline XBRL: (i) Condensed Consolidated Balance Sheets; (ii) Unaudited Condensed Consolidated Statements of Operations; (iii) Unaudited Condensed Consolidated Statements of Changes in Stockholders' Equity (Deficit); (iv) Unaudited Condensed Consolidated Statements of Cash Flows; and (v) Notes to Unaudited Financial Statements.</w:t>
            </w:r>
          </w:p>
        </w:tc>
      </w:tr>
      <w:tr>
        <w:trPr/>
        <w:tc>
          <w:tcPr>
            <w:tcW w:w="710" w:type="dxa"/>
            <w:tcBorders/>
            <w:tcMar>
              <w:bottom w:w="0" w:type="dxa"/>
            </w:tcMar>
            <w:vAlign w:val="center"/>
          </w:tcPr>
          <w:p>
            <w:pPr>
              <w:pStyle w:val="TableContents"/>
              <w:bidi w:val="0"/>
              <w:spacing w:before="0" w:after="0"/>
              <w:ind w:left="160" w:right="0" w:hanging="160"/>
              <w:jc w:val="both"/>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tcMar>
              <w:bottom w:w="0" w:type="dxa"/>
            </w:tcMar>
            <w:vAlign w:val="center"/>
          </w:tcPr>
          <w:p>
            <w:pPr>
              <w:pStyle w:val="TableContents"/>
              <w:bidi w:val="0"/>
              <w:spacing w:before="0" w:after="283"/>
              <w:jc w:val="both"/>
              <w:rPr/>
            </w:pPr>
            <w:r>
              <w:rPr/>
              <w:t> </w:t>
            </w:r>
          </w:p>
        </w:tc>
        <w:tc>
          <w:tcPr>
            <w:tcW w:w="9435"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Cover Page Interactive Data File (formatted in iXBRL and contained in Exhibit 101)</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1004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Filed herewith.</w:t>
            </w:r>
          </w:p>
        </w:tc>
      </w:tr>
      <w:tr>
        <w:trPr/>
        <w:tc>
          <w:tcPr>
            <w:tcW w:w="1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1004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certification is being furnished solely to accompany this Quarterly Report pursuant to 18 U.S.C. Section 1350, and is not being filed for purposes of Section 18 of the Securities Exchange Act of 1934, as amended, and is not to be incorporated by reference into any filing of the registrant, whether made before or after the date hereof, regardless of any general incorporation language in such filing.</w:t>
            </w:r>
          </w:p>
        </w:tc>
      </w:tr>
      <w:tr>
        <w:trPr/>
        <w:tc>
          <w:tcPr>
            <w:tcW w:w="16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4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accordance with Rule 406T of Regulation S-T, the XBRL-related information in Exhibit 101 to this Quarterly Report on Form 10-Q is deemed not filed or part of a registration statement or prospectus for purposes of sections 11 or 12 of the Securities Act, is deemed not filed for purposes of section 18 of the Exchange Act, and otherwise is not subject to liability under these sections.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48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955" w:type="dxa"/>
        <w:jc w:val="left"/>
        <w:tblInd w:w="0" w:type="dxa"/>
        <w:tblLayout w:type="fixed"/>
        <w:tblCellMar>
          <w:top w:w="0" w:type="dxa"/>
          <w:left w:w="0" w:type="dxa"/>
          <w:bottom w:w="0" w:type="dxa"/>
          <w:right w:w="0" w:type="dxa"/>
        </w:tblCellMar>
      </w:tblPr>
      <w:tblGrid>
        <w:gridCol w:w="1865"/>
        <w:gridCol w:w="320"/>
        <w:gridCol w:w="3770"/>
      </w:tblGrid>
      <w:tr>
        <w:trPr/>
        <w:tc>
          <w:tcPr>
            <w:tcW w:w="1865" w:type="dxa"/>
            <w:tcBorders/>
            <w:vAlign w:val="center"/>
          </w:tcPr>
          <w:p>
            <w:pPr>
              <w:pStyle w:val="TableContents"/>
              <w:bidi w:val="0"/>
              <w:spacing w:before="0" w:after="283"/>
              <w:jc w:val="left"/>
              <w:rPr/>
            </w:pPr>
            <w:r>
              <w:rPr/>
              <w:t> </w:t>
            </w:r>
          </w:p>
        </w:tc>
        <w:tc>
          <w:tcPr>
            <w:tcW w:w="4090" w:type="dxa"/>
            <w:gridSpan w:val="2"/>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NRX PHARMACEUTICALS, INC.</w:t>
            </w:r>
          </w:p>
        </w:tc>
      </w:tr>
      <w:tr>
        <w:trPr/>
        <w:tc>
          <w:tcPr>
            <w:tcW w:w="1865" w:type="dxa"/>
            <w:tcBorders/>
            <w:vAlign w:val="center"/>
          </w:tcPr>
          <w:p>
            <w:pPr>
              <w:pStyle w:val="TableContents"/>
              <w:bidi w:val="0"/>
              <w:spacing w:before="0" w:after="283"/>
              <w:jc w:val="left"/>
              <w:rPr/>
            </w:pPr>
            <w:r>
              <w:rPr/>
              <w:t> </w:t>
            </w:r>
          </w:p>
        </w:tc>
        <w:tc>
          <w:tcPr>
            <w:tcW w:w="4090" w:type="dxa"/>
            <w:gridSpan w:val="2"/>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Date: August 15, 2025</w:t>
            </w:r>
          </w:p>
        </w:tc>
        <w:tc>
          <w:tcPr>
            <w:tcW w:w="3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By:</w:t>
            </w:r>
          </w:p>
        </w:tc>
        <w:tc>
          <w:tcPr>
            <w:tcW w:w="377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 Jonathan Javitt</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7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Chairman and Interim Chief Executive Officer</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770" w:type="dxa"/>
            <w:tcBorders/>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i/>
                <w:caps w:val="false"/>
                <w:smallCaps w:val="false"/>
                <w:sz w:val="20"/>
              </w:rPr>
              <w:t xml:space="preserve">(Principal Executive Officer)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 xml:space="preserve">49 </w:t>
      </w:r>
    </w:p>
    <w:p>
      <w:pPr>
        <w:pStyle w:val="TextBody"/>
        <w:bidi w:val="0"/>
        <w:spacing w:before="0" w:after="0"/>
        <w:ind w:left="0" w:right="0" w:hanging="0"/>
        <w:jc w:val="left"/>
        <w:rPr>
          <w:caps w:val="false"/>
          <w:smallCaps w:val="false"/>
        </w:rPr>
      </w:pPr>
      <w:bookmarkStart w:id="2" w:name="ex_847161.htm"/>
      <w:bookmarkStart w:id="3" w:name="ksex_847161"/>
      <w:bookmarkEnd w:id="2"/>
      <w:bookmarkEnd w:id="3"/>
      <w:r>
        <w:rPr>
          <w:caps w:val="false"/>
          <w:smallCaps w:val="false"/>
        </w:rPr>
        <w:t> </w:t>
      </w:r>
      <w:r>
        <w:br w:type="page"/>
      </w:r>
    </w:p>
    <w:p>
      <w:pPr>
        <w:pStyle w:val="TextBody"/>
        <w:bidi w:val="0"/>
        <w:spacing w:before="0" w:after="0"/>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Exhibit 31.1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OF THE CHIEF EXECUTIVE OFFICER</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PURSUANT TO RULE 13a-14(a) AND 15d-14(a),</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ADOPTED PURSUANT TO SECTION 302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Jonathan Javitt, Interim Chief Executive Officer of NRx Pharmaceuticals, Inc., certify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100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 have reviewed this Quarterly Report on Form 10-Q of NRx Pharmaceuticals, Inc. (the “Registrant”);</w:t>
            </w:r>
          </w:p>
        </w:tc>
      </w:tr>
      <w:tr>
        <w:trPr/>
        <w:tc>
          <w:tcPr>
            <w:tcW w:w="140" w:type="dxa"/>
            <w:tcBorders/>
            <w:vAlign w:val="center"/>
          </w:tcPr>
          <w:p>
            <w:pPr>
              <w:pStyle w:val="TableContents"/>
              <w:bidi w:val="0"/>
              <w:spacing w:before="0" w:after="283"/>
              <w:jc w:val="left"/>
              <w:rPr/>
            </w:pPr>
            <w:r>
              <w:rPr/>
              <w:t> </w:t>
            </w:r>
          </w:p>
        </w:tc>
        <w:tc>
          <w:tcPr>
            <w:tcW w:w="10065" w:type="dxa"/>
            <w:tcBorders/>
            <w:vAlign w:val="center"/>
          </w:tcPr>
          <w:p>
            <w:pPr>
              <w:pStyle w:val="TableContents"/>
              <w:bidi w:val="0"/>
              <w:spacing w:before="0" w:after="0"/>
              <w:ind w:left="0" w:right="0" w:hanging="0"/>
              <w:jc w:val="left"/>
              <w:rPr/>
            </w:pPr>
            <w:r>
              <w:rPr/>
              <w:t> </w:t>
            </w:r>
          </w:p>
        </w:tc>
      </w:tr>
      <w:tr>
        <w:trPr/>
        <w:tc>
          <w:tcPr>
            <w:tcW w:w="14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100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tc>
      </w:tr>
      <w:tr>
        <w:trPr/>
        <w:tc>
          <w:tcPr>
            <w:tcW w:w="140" w:type="dxa"/>
            <w:tcBorders/>
            <w:vAlign w:val="center"/>
          </w:tcPr>
          <w:p>
            <w:pPr>
              <w:pStyle w:val="TableContents"/>
              <w:bidi w:val="0"/>
              <w:spacing w:before="0" w:after="283"/>
              <w:jc w:val="left"/>
              <w:rPr/>
            </w:pPr>
            <w:r>
              <w:rPr/>
              <w:t> </w:t>
            </w:r>
          </w:p>
        </w:tc>
        <w:tc>
          <w:tcPr>
            <w:tcW w:w="10065" w:type="dxa"/>
            <w:tcBorders/>
            <w:vAlign w:val="center"/>
          </w:tcPr>
          <w:p>
            <w:pPr>
              <w:pStyle w:val="TableContents"/>
              <w:bidi w:val="0"/>
              <w:spacing w:before="0" w:after="0"/>
              <w:ind w:left="0" w:right="0" w:hanging="0"/>
              <w:jc w:val="left"/>
              <w:rPr/>
            </w:pPr>
            <w:r>
              <w:rPr/>
              <w:t> </w:t>
            </w:r>
          </w:p>
        </w:tc>
      </w:tr>
      <w:tr>
        <w:trPr/>
        <w:tc>
          <w:tcPr>
            <w:tcW w:w="14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100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Quarterly Report;</w:t>
            </w:r>
          </w:p>
        </w:tc>
      </w:tr>
      <w:tr>
        <w:trPr/>
        <w:tc>
          <w:tcPr>
            <w:tcW w:w="140" w:type="dxa"/>
            <w:tcBorders/>
            <w:vAlign w:val="center"/>
          </w:tcPr>
          <w:p>
            <w:pPr>
              <w:pStyle w:val="TableContents"/>
              <w:bidi w:val="0"/>
              <w:spacing w:before="0" w:after="283"/>
              <w:jc w:val="left"/>
              <w:rPr/>
            </w:pPr>
            <w:r>
              <w:rPr/>
              <w:t> </w:t>
            </w:r>
          </w:p>
        </w:tc>
        <w:tc>
          <w:tcPr>
            <w:tcW w:w="10065" w:type="dxa"/>
            <w:tcBorders/>
            <w:vAlign w:val="center"/>
          </w:tcPr>
          <w:p>
            <w:pPr>
              <w:pStyle w:val="TableContents"/>
              <w:bidi w:val="0"/>
              <w:spacing w:before="0" w:after="0"/>
              <w:ind w:left="0" w:right="0" w:hanging="0"/>
              <w:jc w:val="left"/>
              <w:rPr/>
            </w:pPr>
            <w:r>
              <w:rPr/>
              <w:t> </w:t>
            </w:r>
          </w:p>
        </w:tc>
      </w:tr>
      <w:tr>
        <w:trPr/>
        <w:tc>
          <w:tcPr>
            <w:tcW w:w="14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100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Quarterly Report is being prepared;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c>
          <w:tcPr>
            <w:tcW w:w="1006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5605" w:type="dxa"/>
        <w:jc w:val="left"/>
        <w:tblInd w:w="0" w:type="dxa"/>
        <w:tblLayout w:type="fixed"/>
        <w:tblCellMar>
          <w:top w:w="0" w:type="dxa"/>
          <w:left w:w="0" w:type="dxa"/>
          <w:bottom w:w="0" w:type="dxa"/>
          <w:right w:w="0" w:type="dxa"/>
        </w:tblCellMar>
      </w:tblPr>
      <w:tblGrid>
        <w:gridCol w:w="1850"/>
        <w:gridCol w:w="3755"/>
      </w:tblGrid>
      <w:tr>
        <w:trPr/>
        <w:tc>
          <w:tcPr>
            <w:tcW w:w="18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15, 2025</w:t>
            </w:r>
          </w:p>
        </w:tc>
        <w:tc>
          <w:tcPr>
            <w:tcW w:w="375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Jonathan Javitt</w:t>
            </w:r>
          </w:p>
        </w:tc>
      </w:tr>
      <w:tr>
        <w:trPr/>
        <w:tc>
          <w:tcPr>
            <w:tcW w:w="1850"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Jonathan Javitt</w:t>
            </w:r>
          </w:p>
        </w:tc>
      </w:tr>
      <w:tr>
        <w:trPr/>
        <w:tc>
          <w:tcPr>
            <w:tcW w:w="1850"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Chairman and Interim Chief Executive Officer</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bookmarkStart w:id="4" w:name="ex_847160.htm"/>
      <w:bookmarkStart w:id="5" w:name="ksex_847160"/>
      <w:bookmarkEnd w:id="4"/>
      <w:bookmarkEnd w:id="5"/>
      <w:r>
        <w:rPr>
          <w:caps w:val="false"/>
          <w:smallCaps w:val="false"/>
        </w:rPr>
        <w:t> </w:t>
      </w:r>
      <w:r>
        <w:br w:type="page"/>
      </w:r>
    </w:p>
    <w:p>
      <w:pPr>
        <w:pStyle w:val="TextBody"/>
        <w:bidi w:val="0"/>
        <w:spacing w:before="0" w:after="0"/>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Exhibit 31.2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OF THE ACTING CHIEF FINANCIAL OFFICER</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PURSUANT TO RULE 13a-14(a) AND 15d-14(a),</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ADOPTED PURSUANT TO SECTION 302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Michael Abrams, Chief Financial Officer of NRx Pharmaceuticals, Inc., certify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100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 have reviewed this Quarterly Report on Form 10-Q of NRx Pharmaceuticals, Inc. (the “Registrant”);</w:t>
            </w:r>
          </w:p>
        </w:tc>
      </w:tr>
      <w:tr>
        <w:trPr/>
        <w:tc>
          <w:tcPr>
            <w:tcW w:w="140" w:type="dxa"/>
            <w:tcBorders/>
            <w:vAlign w:val="center"/>
          </w:tcPr>
          <w:p>
            <w:pPr>
              <w:pStyle w:val="TableContents"/>
              <w:bidi w:val="0"/>
              <w:spacing w:before="0" w:after="283"/>
              <w:jc w:val="left"/>
              <w:rPr/>
            </w:pPr>
            <w:r>
              <w:rPr/>
              <w:t> </w:t>
            </w:r>
          </w:p>
        </w:tc>
        <w:tc>
          <w:tcPr>
            <w:tcW w:w="10065" w:type="dxa"/>
            <w:tcBorders/>
            <w:vAlign w:val="center"/>
          </w:tcPr>
          <w:p>
            <w:pPr>
              <w:pStyle w:val="TableContents"/>
              <w:bidi w:val="0"/>
              <w:spacing w:before="0" w:after="0"/>
              <w:ind w:left="0" w:right="0" w:hanging="0"/>
              <w:jc w:val="left"/>
              <w:rPr/>
            </w:pPr>
            <w:r>
              <w:rPr/>
              <w:t> </w:t>
            </w:r>
          </w:p>
        </w:tc>
      </w:tr>
      <w:tr>
        <w:trPr/>
        <w:tc>
          <w:tcPr>
            <w:tcW w:w="14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100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tc>
      </w:tr>
      <w:tr>
        <w:trPr/>
        <w:tc>
          <w:tcPr>
            <w:tcW w:w="140" w:type="dxa"/>
            <w:tcBorders/>
            <w:vAlign w:val="center"/>
          </w:tcPr>
          <w:p>
            <w:pPr>
              <w:pStyle w:val="TableContents"/>
              <w:bidi w:val="0"/>
              <w:spacing w:before="0" w:after="283"/>
              <w:jc w:val="left"/>
              <w:rPr/>
            </w:pPr>
            <w:r>
              <w:rPr/>
              <w:t> </w:t>
            </w:r>
          </w:p>
        </w:tc>
        <w:tc>
          <w:tcPr>
            <w:tcW w:w="10065" w:type="dxa"/>
            <w:tcBorders/>
            <w:vAlign w:val="center"/>
          </w:tcPr>
          <w:p>
            <w:pPr>
              <w:pStyle w:val="TableContents"/>
              <w:bidi w:val="0"/>
              <w:spacing w:before="0" w:after="0"/>
              <w:ind w:left="0" w:right="0" w:hanging="0"/>
              <w:jc w:val="left"/>
              <w:rPr/>
            </w:pPr>
            <w:r>
              <w:rPr/>
              <w:t> </w:t>
            </w:r>
          </w:p>
        </w:tc>
      </w:tr>
      <w:tr>
        <w:trPr/>
        <w:tc>
          <w:tcPr>
            <w:tcW w:w="14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100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Quarterly Report;</w:t>
            </w:r>
          </w:p>
        </w:tc>
      </w:tr>
      <w:tr>
        <w:trPr/>
        <w:tc>
          <w:tcPr>
            <w:tcW w:w="140" w:type="dxa"/>
            <w:tcBorders/>
            <w:vAlign w:val="center"/>
          </w:tcPr>
          <w:p>
            <w:pPr>
              <w:pStyle w:val="TableContents"/>
              <w:bidi w:val="0"/>
              <w:spacing w:before="0" w:after="283"/>
              <w:jc w:val="left"/>
              <w:rPr/>
            </w:pPr>
            <w:r>
              <w:rPr/>
              <w:t> </w:t>
            </w:r>
          </w:p>
        </w:tc>
        <w:tc>
          <w:tcPr>
            <w:tcW w:w="10065" w:type="dxa"/>
            <w:tcBorders/>
            <w:vAlign w:val="center"/>
          </w:tcPr>
          <w:p>
            <w:pPr>
              <w:pStyle w:val="TableContents"/>
              <w:bidi w:val="0"/>
              <w:spacing w:before="0" w:after="0"/>
              <w:ind w:left="0" w:right="0" w:hanging="0"/>
              <w:jc w:val="left"/>
              <w:rPr/>
            </w:pPr>
            <w:r>
              <w:rPr/>
              <w:t> </w:t>
            </w:r>
          </w:p>
        </w:tc>
      </w:tr>
      <w:tr>
        <w:trPr/>
        <w:tc>
          <w:tcPr>
            <w:tcW w:w="14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100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Quarterly Report is being prepared;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c>
          <w:tcPr>
            <w:tcW w:w="1006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6040" w:type="dxa"/>
        <w:jc w:val="left"/>
        <w:tblInd w:w="0" w:type="dxa"/>
        <w:tblLayout w:type="fixed"/>
        <w:tblCellMar>
          <w:top w:w="0" w:type="dxa"/>
          <w:left w:w="0" w:type="dxa"/>
          <w:bottom w:w="0" w:type="dxa"/>
          <w:right w:w="0" w:type="dxa"/>
        </w:tblCellMar>
      </w:tblPr>
      <w:tblGrid>
        <w:gridCol w:w="1850"/>
        <w:gridCol w:w="4190"/>
      </w:tblGrid>
      <w:tr>
        <w:trPr/>
        <w:tc>
          <w:tcPr>
            <w:tcW w:w="18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15, 2025</w:t>
            </w:r>
          </w:p>
        </w:tc>
        <w:tc>
          <w:tcPr>
            <w:tcW w:w="419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Michael Abrams</w:t>
            </w:r>
          </w:p>
        </w:tc>
      </w:tr>
      <w:tr>
        <w:trPr/>
        <w:tc>
          <w:tcPr>
            <w:tcW w:w="1850" w:type="dxa"/>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Michael Abrams</w:t>
            </w:r>
          </w:p>
        </w:tc>
      </w:tr>
      <w:tr>
        <w:trPr/>
        <w:tc>
          <w:tcPr>
            <w:tcW w:w="1850" w:type="dxa"/>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 (Principal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bookmarkStart w:id="6" w:name="ex_847159.htm"/>
      <w:bookmarkStart w:id="7" w:name="ksex_847159"/>
      <w:bookmarkEnd w:id="6"/>
      <w:bookmarkEnd w:id="7"/>
      <w:r>
        <w:rPr>
          <w:caps w:val="false"/>
          <w:smallCaps w:val="false"/>
        </w:rPr>
        <w:t> </w:t>
      </w:r>
      <w:r>
        <w:br w:type="page"/>
      </w:r>
    </w:p>
    <w:p>
      <w:pPr>
        <w:pStyle w:val="TextBody"/>
        <w:bidi w:val="0"/>
        <w:spacing w:before="0" w:after="0"/>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Exhibit 32.1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OF THE CHIEF EXECUTIVE OFFICER</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PURSUANT TO 18 U.S.C. SECTION 1350,</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ADOPTED PURSUANT TO 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connection with the filing of the Quarterly Report on Form 10-Q for the period ended June 30, 2025 (the “Report”) by NRx Pharmaceuticals, Inc. (the “Registrant”), I, Jonathan Javitt, as Interim Chief Executive Officer of the Registrant hereby certify pursuant to 18 U.S.C. Section 1350, as adopted pursuant to Section 906 of the Sarbanes-Oxley Act of 2002, that, to the best of my knowledge: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4"/>
        <w:gridCol w:w="9981"/>
      </w:tblGrid>
      <w:tr>
        <w:trPr/>
        <w:tc>
          <w:tcPr>
            <w:tcW w:w="6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8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Report fully complies with the requirements of Section 13(a) or Section 15(d) of the Securities Exchange Act of 1934, as amended;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2"/>
        <w:gridCol w:w="9983"/>
      </w:tblGrid>
      <w:tr>
        <w:trPr/>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998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information contained in the Report fairly presents, in all material respects, the financial condition and results of operations of the Registrant.</w:t>
            </w:r>
          </w:p>
        </w:tc>
      </w:tr>
    </w:tbl>
    <w:p>
      <w:pPr>
        <w:pStyle w:val="TextBody"/>
        <w:bidi w:val="0"/>
        <w:spacing w:before="0" w:after="0"/>
        <w:ind w:left="0" w:right="0" w:hanging="0"/>
        <w:jc w:val="left"/>
        <w:rPr>
          <w:caps w:val="false"/>
          <w:smallCaps w:val="false"/>
        </w:rPr>
      </w:pPr>
      <w:r>
        <w:rPr>
          <w:caps w:val="false"/>
          <w:smallCaps w:val="false"/>
        </w:rPr>
        <w:t> </w:t>
      </w:r>
    </w:p>
    <w:tbl>
      <w:tblPr>
        <w:tblW w:w="6085" w:type="dxa"/>
        <w:jc w:val="left"/>
        <w:tblInd w:w="0" w:type="dxa"/>
        <w:tblLayout w:type="fixed"/>
        <w:tblCellMar>
          <w:top w:w="0" w:type="dxa"/>
          <w:left w:w="0" w:type="dxa"/>
          <w:bottom w:w="0" w:type="dxa"/>
          <w:right w:w="0" w:type="dxa"/>
        </w:tblCellMar>
      </w:tblPr>
      <w:tblGrid>
        <w:gridCol w:w="2330"/>
        <w:gridCol w:w="3755"/>
      </w:tblGrid>
      <w:tr>
        <w:trPr/>
        <w:tc>
          <w:tcPr>
            <w:tcW w:w="23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Date: August 15, 2025</w:t>
            </w:r>
          </w:p>
        </w:tc>
        <w:tc>
          <w:tcPr>
            <w:tcW w:w="375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Jonathan Javitt</w:t>
            </w:r>
          </w:p>
        </w:tc>
      </w:tr>
      <w:tr>
        <w:trPr/>
        <w:tc>
          <w:tcPr>
            <w:tcW w:w="2330"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Jonathan Javitt</w:t>
            </w:r>
          </w:p>
        </w:tc>
      </w:tr>
      <w:tr>
        <w:trPr/>
        <w:tc>
          <w:tcPr>
            <w:tcW w:w="2330"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Chairman and Interim Chief Executive Officer</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Registrant and will be retained by the Registrant and furnished to the Securities and Exchange Commission or its staff upon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bookmarkStart w:id="8" w:name="ex_847158.htm"/>
      <w:bookmarkStart w:id="9" w:name="ksex_847158"/>
      <w:bookmarkEnd w:id="8"/>
      <w:bookmarkEnd w:id="9"/>
      <w:r>
        <w:rPr>
          <w:caps w:val="false"/>
          <w:smallCaps w:val="false"/>
        </w:rPr>
        <w:t> </w:t>
      </w:r>
      <w:r>
        <w:br w:type="page"/>
      </w:r>
    </w:p>
    <w:p>
      <w:pPr>
        <w:pStyle w:val="TextBody"/>
        <w:bidi w:val="0"/>
        <w:spacing w:before="0" w:after="0"/>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Exhibit 32.2</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OF THE ACTING CHIEF FINANCIAL OFFICER</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PURSUANT TO 18 U.S.C. SECTION 1350,</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ADOPTED PURSUANT TO 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connection with the filing of the Quarterly Report on Form 10-Q for the period ended June 30, 2025 (the “Report”) by NRx Pharmaceuticals, Inc. (the “Registrant”), I, Michael Abrams, as Chief Financial Officer of the Registrant hereby certify pursuant to 18 U.S.C. Section 1350, as adopted pursuant to Section 906 of the Sarbanes-Oxley Act of 2002, that, to the best of my knowledge: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4"/>
        <w:gridCol w:w="9981"/>
      </w:tblGrid>
      <w:tr>
        <w:trPr/>
        <w:tc>
          <w:tcPr>
            <w:tcW w:w="6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8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Report fully complies with the requirements of Section 13(a) or Section 15(d) of the Securities Exchange Act of 1934, as amended;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2"/>
        <w:gridCol w:w="9983"/>
      </w:tblGrid>
      <w:tr>
        <w:trPr/>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998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information contained in the Report fairly presents, in all material respects, the financial condition and results of operations of the Registrant.</w:t>
            </w:r>
          </w:p>
        </w:tc>
      </w:tr>
    </w:tbl>
    <w:p>
      <w:pPr>
        <w:pStyle w:val="TextBody"/>
        <w:bidi w:val="0"/>
        <w:spacing w:before="0" w:after="0"/>
        <w:ind w:left="0" w:right="0" w:hanging="0"/>
        <w:jc w:val="left"/>
        <w:rPr>
          <w:caps w:val="false"/>
          <w:smallCaps w:val="false"/>
        </w:rPr>
      </w:pPr>
      <w:r>
        <w:rPr>
          <w:caps w:val="false"/>
          <w:smallCaps w:val="false"/>
        </w:rPr>
        <w:t> </w:t>
      </w:r>
    </w:p>
    <w:tbl>
      <w:tblPr>
        <w:tblW w:w="6520" w:type="dxa"/>
        <w:jc w:val="left"/>
        <w:tblInd w:w="0" w:type="dxa"/>
        <w:tblLayout w:type="fixed"/>
        <w:tblCellMar>
          <w:top w:w="0" w:type="dxa"/>
          <w:left w:w="0" w:type="dxa"/>
          <w:bottom w:w="0" w:type="dxa"/>
          <w:right w:w="0" w:type="dxa"/>
        </w:tblCellMar>
      </w:tblPr>
      <w:tblGrid>
        <w:gridCol w:w="2330"/>
        <w:gridCol w:w="4190"/>
      </w:tblGrid>
      <w:tr>
        <w:trPr/>
        <w:tc>
          <w:tcPr>
            <w:tcW w:w="23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Date: August 15, 2025</w:t>
            </w:r>
          </w:p>
        </w:tc>
        <w:tc>
          <w:tcPr>
            <w:tcW w:w="419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Michael Abrams</w:t>
            </w:r>
          </w:p>
        </w:tc>
      </w:tr>
      <w:tr>
        <w:trPr/>
        <w:tc>
          <w:tcPr>
            <w:tcW w:w="2330" w:type="dxa"/>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Michael Abrams</w:t>
            </w:r>
          </w:p>
        </w:tc>
      </w:tr>
      <w:tr>
        <w:trPr/>
        <w:tc>
          <w:tcPr>
            <w:tcW w:w="2330" w:type="dxa"/>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 (Principal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Registrant and will be retained by the Registrant and furnished to the Securities and Exchange Commission or its staff upon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hyperlink" Target="http://www.sec.gov/Archives/edgar/data/1719406/000143774925017252/ex_818322.htm" TargetMode="External"/><Relationship Id="rId7" Type="http://schemas.openxmlformats.org/officeDocument/2006/relationships/hyperlink" Target="http://www.sec.gov/Archives/edgar/data/1719406/000143774925017252/ex_818323.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31739</Words>
  <Characters>173677</Characters>
  <CharactersWithSpaces>207130</CharactersWithSpaces>
  <Paragraphs>5816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