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rxp20250930c_10q.htm"/>
      <w:bookmarkStart w:id="1" w:name="ksnrxp20250930c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t> </w:t>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480"/>
        <w:gridCol w:w="1520"/>
      </w:tblGrid>
      <w:tr>
        <w:trPr/>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Wilmington, DE 19801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(484) 254-6134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65" w:type="dxa"/>
        <w:jc w:val="left"/>
        <w:tblInd w:w="0" w:type="dxa"/>
        <w:tblLayout w:type="fixed"/>
        <w:tblCellMar>
          <w:top w:w="0" w:type="dxa"/>
          <w:left w:w="0" w:type="dxa"/>
          <w:bottom w:w="28" w:type="dxa"/>
          <w:right w:w="0" w:type="dxa"/>
        </w:tblCellMar>
      </w:tblPr>
      <w:tblGrid>
        <w:gridCol w:w="3515"/>
        <w:gridCol w:w="60"/>
        <w:gridCol w:w="860"/>
        <w:gridCol w:w="60"/>
        <w:gridCol w:w="3770"/>
      </w:tblGrid>
      <w:tr>
        <w:trPr/>
        <w:tc>
          <w:tcPr>
            <w:tcW w:w="35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Trading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NRXP</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r>
        <w:trPr/>
        <w:tc>
          <w:tcPr>
            <w:tcW w:w="351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to purchase 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NRXPW</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November 13, 2025, the registrant had 28,097,627 shares of common stock, par value $0.001 per share (the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45"/>
        <w:gridCol w:w="9004"/>
        <w:gridCol w:w="456"/>
      </w:tblGrid>
      <w:tr>
        <w:trPr/>
        <w:tc>
          <w:tcPr>
            <w:tcW w:w="9749" w:type="dxa"/>
            <w:gridSpan w:val="2"/>
            <w:tcBorders/>
            <w:vAlign w:val="center"/>
          </w:tcPr>
          <w:p>
            <w:pPr>
              <w:pStyle w:val="TableContents"/>
              <w:bidi w:val="0"/>
              <w:spacing w:before="0" w:after="283"/>
              <w:jc w:val="left"/>
              <w:rPr/>
            </w:pPr>
            <w:r>
              <w:rPr/>
              <w:t> </w:t>
            </w:r>
          </w:p>
        </w:tc>
        <w:tc>
          <w:tcPr>
            <w:tcW w:w="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tc>
      </w:tr>
      <w:tr>
        <w:trPr/>
        <w:tc>
          <w:tcPr>
            <w:tcW w:w="9749" w:type="dxa"/>
            <w:gridSpan w:val="2"/>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 - FINANCIAL INFORMATION</w:t>
            </w:r>
          </w:p>
        </w:tc>
        <w:tc>
          <w:tcPr>
            <w:tcW w:w="456" w:type="dxa"/>
            <w:tcBorders/>
            <w:shd w:fill="CCEEFF" w:val="clear"/>
            <w:vAlign w:val="center"/>
          </w:tcPr>
          <w:p>
            <w:pPr>
              <w:pStyle w:val="TableContents"/>
              <w:bidi w:val="0"/>
              <w:spacing w:before="0" w:after="283"/>
              <w:jc w:val="left"/>
              <w:rPr/>
            </w:pPr>
            <w:r>
              <w:rPr/>
              <w:t> </w:t>
            </w:r>
          </w:p>
        </w:tc>
      </w:tr>
      <w:tr>
        <w:trPr/>
        <w:tc>
          <w:tcPr>
            <w:tcW w:w="9749" w:type="dxa"/>
            <w:gridSpan w:val="2"/>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74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Statements</w:t>
            </w:r>
          </w:p>
        </w:tc>
        <w:tc>
          <w:tcPr>
            <w:tcW w:w="456" w:type="dxa"/>
            <w:tcBorders/>
            <w:shd w:fill="CCEEFF" w:val="clear"/>
            <w:vAlign w:val="center"/>
          </w:tcPr>
          <w:p>
            <w:pPr>
              <w:pStyle w:val="TableContents"/>
              <w:bidi w:val="0"/>
              <w:spacing w:before="0" w:after="283"/>
              <w:jc w:val="left"/>
              <w:rPr/>
            </w:pPr>
            <w:r>
              <w:rPr/>
              <w:t> </w:t>
            </w:r>
          </w:p>
        </w:tc>
      </w:tr>
      <w:tr>
        <w:trPr/>
        <w:tc>
          <w:tcPr>
            <w:tcW w:w="745" w:type="dxa"/>
            <w:tcBorders/>
            <w:shd w:fill="FFFFFF" w:val="clear"/>
            <w:vAlign w:val="center"/>
          </w:tcPr>
          <w:p>
            <w:pPr>
              <w:pStyle w:val="TableContents"/>
              <w:bidi w:val="0"/>
              <w:spacing w:before="0" w:after="283"/>
              <w:jc w:val="left"/>
              <w:rPr/>
            </w:pPr>
            <w:r>
              <w:rPr/>
              <w:t> </w:t>
            </w:r>
          </w:p>
        </w:tc>
        <w:tc>
          <w:tcPr>
            <w:tcW w:w="90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Consolidated Balance Sheets as of September 30, 2025 (Unaudited) and December 31, 2024</w:t>
            </w:r>
          </w:p>
        </w:tc>
        <w:tc>
          <w:tcPr>
            <w:tcW w:w="456"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745" w:type="dxa"/>
            <w:tcBorders/>
            <w:shd w:fill="CCEEFF" w:val="clear"/>
            <w:vAlign w:val="center"/>
          </w:tcPr>
          <w:p>
            <w:pPr>
              <w:pStyle w:val="TableContents"/>
              <w:bidi w:val="0"/>
              <w:spacing w:before="0" w:after="283"/>
              <w:jc w:val="left"/>
              <w:rPr/>
            </w:pPr>
            <w:r>
              <w:rPr/>
              <w:t> </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Condensed Consolidated Statements of Operations for the three and nine months ended September 30, 2025 and 2024</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745" w:type="dxa"/>
            <w:tcBorders/>
            <w:shd w:fill="FFFFFF" w:val="clear"/>
            <w:vAlign w:val="center"/>
          </w:tcPr>
          <w:p>
            <w:pPr>
              <w:pStyle w:val="TableContents"/>
              <w:bidi w:val="0"/>
              <w:spacing w:before="0" w:after="283"/>
              <w:jc w:val="left"/>
              <w:rPr/>
            </w:pPr>
            <w:r>
              <w:rPr/>
              <w:t> </w:t>
            </w:r>
          </w:p>
        </w:tc>
        <w:tc>
          <w:tcPr>
            <w:tcW w:w="90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Condensed Consolidated Statements of Changes in Stockholders' Deficit for the three and nine months ended September 30, 2025 and 2024</w:t>
            </w:r>
          </w:p>
        </w:tc>
        <w:tc>
          <w:tcPr>
            <w:tcW w:w="456"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745" w:type="dxa"/>
            <w:tcBorders/>
            <w:shd w:fill="CCEEFF" w:val="clear"/>
            <w:vAlign w:val="center"/>
          </w:tcPr>
          <w:p>
            <w:pPr>
              <w:pStyle w:val="TableContents"/>
              <w:bidi w:val="0"/>
              <w:spacing w:before="0" w:after="283"/>
              <w:jc w:val="left"/>
              <w:rPr/>
            </w:pPr>
            <w:r>
              <w:rPr/>
              <w:t> </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 Condensed Consolidated Statements of Cash Flows for the nine months ended September 30, 2025 and 2024</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r>
      <w:tr>
        <w:trPr/>
        <w:tc>
          <w:tcPr>
            <w:tcW w:w="745" w:type="dxa"/>
            <w:tcBorders/>
            <w:shd w:fill="FFFFFF" w:val="clear"/>
            <w:vAlign w:val="center"/>
          </w:tcPr>
          <w:p>
            <w:pPr>
              <w:pStyle w:val="TableContents"/>
              <w:bidi w:val="0"/>
              <w:spacing w:before="0" w:after="283"/>
              <w:jc w:val="left"/>
              <w:rPr/>
            </w:pPr>
            <w:r>
              <w:rPr/>
              <w:t> </w:t>
            </w:r>
          </w:p>
        </w:tc>
        <w:tc>
          <w:tcPr>
            <w:tcW w:w="90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Unaudited Condensed Consolidated Financial Statements</w:t>
            </w:r>
          </w:p>
        </w:tc>
        <w:tc>
          <w:tcPr>
            <w:tcW w:w="456"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r>
      <w:tr>
        <w:trPr/>
        <w:tc>
          <w:tcPr>
            <w:tcW w:w="74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2.</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r>
      <w:tr>
        <w:trPr/>
        <w:tc>
          <w:tcPr>
            <w:tcW w:w="74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90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Quantitative and Qualitative Disclosures About Market Risk</w:t>
            </w:r>
          </w:p>
        </w:tc>
        <w:tc>
          <w:tcPr>
            <w:tcW w:w="456"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r>
      <w:tr>
        <w:trPr/>
        <w:tc>
          <w:tcPr>
            <w:tcW w:w="74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r>
      <w:tr>
        <w:trPr/>
        <w:tc>
          <w:tcPr>
            <w:tcW w:w="745" w:type="dxa"/>
            <w:tcBorders/>
            <w:shd w:fill="FFFFFF" w:val="clear"/>
            <w:vAlign w:val="center"/>
          </w:tcPr>
          <w:p>
            <w:pPr>
              <w:pStyle w:val="TableContents"/>
              <w:bidi w:val="0"/>
              <w:spacing w:before="0" w:after="283"/>
              <w:jc w:val="left"/>
              <w:rPr/>
            </w:pPr>
            <w:r>
              <w:rPr/>
              <w:t> </w:t>
            </w:r>
          </w:p>
        </w:tc>
        <w:tc>
          <w:tcPr>
            <w:tcW w:w="9004"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9749" w:type="dxa"/>
            <w:gridSpan w:val="2"/>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II - OTHER INFORMATION</w:t>
            </w:r>
          </w:p>
        </w:tc>
        <w:tc>
          <w:tcPr>
            <w:tcW w:w="456" w:type="dxa"/>
            <w:tcBorders/>
            <w:shd w:fill="CCEEFF" w:val="clear"/>
            <w:vAlign w:val="center"/>
          </w:tcPr>
          <w:p>
            <w:pPr>
              <w:pStyle w:val="TableContents"/>
              <w:bidi w:val="0"/>
              <w:spacing w:before="0" w:after="283"/>
              <w:jc w:val="left"/>
              <w:rPr/>
            </w:pPr>
            <w:r>
              <w:rPr/>
              <w:t> </w:t>
            </w:r>
          </w:p>
        </w:tc>
      </w:tr>
      <w:tr>
        <w:trPr/>
        <w:tc>
          <w:tcPr>
            <w:tcW w:w="745" w:type="dxa"/>
            <w:tcBorders/>
            <w:shd w:fill="FFFFFF" w:val="clear"/>
            <w:vAlign w:val="center"/>
          </w:tcPr>
          <w:p>
            <w:pPr>
              <w:pStyle w:val="TableContents"/>
              <w:bidi w:val="0"/>
              <w:spacing w:before="0" w:after="283"/>
              <w:jc w:val="left"/>
              <w:rPr/>
            </w:pPr>
            <w:r>
              <w:rPr/>
              <w:t> </w:t>
            </w:r>
          </w:p>
        </w:tc>
        <w:tc>
          <w:tcPr>
            <w:tcW w:w="9004"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74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r>
      <w:tr>
        <w:trPr/>
        <w:tc>
          <w:tcPr>
            <w:tcW w:w="74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1A.</w:t>
            </w:r>
          </w:p>
        </w:tc>
        <w:tc>
          <w:tcPr>
            <w:tcW w:w="90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456"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r>
      <w:tr>
        <w:trPr/>
        <w:tc>
          <w:tcPr>
            <w:tcW w:w="74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2.</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Unregistered Sales of Equity Securities and Use of Proceeds</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63</w:t>
            </w:r>
          </w:p>
        </w:tc>
      </w:tr>
      <w:tr>
        <w:trPr/>
        <w:tc>
          <w:tcPr>
            <w:tcW w:w="74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p>
        </w:tc>
        <w:tc>
          <w:tcPr>
            <w:tcW w:w="90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Defaults Upon Senior Securities</w:t>
            </w:r>
          </w:p>
        </w:tc>
        <w:tc>
          <w:tcPr>
            <w:tcW w:w="456"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74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Mine Safety Disclosures</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74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5.</w:t>
            </w:r>
          </w:p>
        </w:tc>
        <w:tc>
          <w:tcPr>
            <w:tcW w:w="90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456"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74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6.</w:t>
            </w:r>
          </w:p>
        </w:tc>
        <w:tc>
          <w:tcPr>
            <w:tcW w:w="90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64</w:t>
            </w:r>
          </w:p>
        </w:tc>
      </w:tr>
      <w:tr>
        <w:trPr/>
        <w:tc>
          <w:tcPr>
            <w:tcW w:w="745" w:type="dxa"/>
            <w:tcBorders/>
            <w:shd w:fill="FFFFFF" w:val="clear"/>
            <w:vAlign w:val="center"/>
          </w:tcPr>
          <w:p>
            <w:pPr>
              <w:pStyle w:val="TableContents"/>
              <w:bidi w:val="0"/>
              <w:spacing w:before="0" w:after="283"/>
              <w:jc w:val="left"/>
              <w:rPr/>
            </w:pPr>
            <w:r>
              <w:rPr/>
              <w:t> </w:t>
            </w:r>
          </w:p>
        </w:tc>
        <w:tc>
          <w:tcPr>
            <w:tcW w:w="9004"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r>
      <w:tr>
        <w:trPr/>
        <w:tc>
          <w:tcPr>
            <w:tcW w:w="9749" w:type="dxa"/>
            <w:gridSpan w:val="2"/>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SIGNATURES</w:t>
            </w:r>
          </w:p>
        </w:tc>
        <w:tc>
          <w:tcPr>
            <w:tcW w:w="456"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40"/>
        <w:gridCol w:w="60"/>
        <w:gridCol w:w="165"/>
        <w:gridCol w:w="906"/>
        <w:gridCol w:w="80"/>
        <w:gridCol w:w="60"/>
        <w:gridCol w:w="143"/>
        <w:gridCol w:w="869"/>
        <w:gridCol w:w="82"/>
      </w:tblGrid>
      <w:tr>
        <w:trPr/>
        <w:tc>
          <w:tcPr>
            <w:tcW w:w="7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rPr/>
            </w:pPr>
            <w:r>
              <w:rPr/>
              <w:t> </w:t>
            </w:r>
          </w:p>
        </w:tc>
      </w:tr>
      <w:tr>
        <w:trPr/>
        <w:tc>
          <w:tcPr>
            <w:tcW w:w="7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2" w:type="dxa"/>
            <w:tcBorders/>
            <w:vAlign w:val="center"/>
          </w:tcPr>
          <w:p>
            <w:pPr>
              <w:pStyle w:val="TableContents"/>
              <w:bidi w:val="0"/>
              <w:spacing w:before="0" w:after="283"/>
              <w:jc w:val="left"/>
              <w:rPr/>
            </w:pPr>
            <w:r>
              <w:rPr/>
              <w:t> </w:t>
            </w:r>
          </w:p>
        </w:tc>
      </w:tr>
      <w:tr>
        <w:trPr/>
        <w:tc>
          <w:tcPr>
            <w:tcW w:w="7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receivable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equipment,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net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 related party, net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DEFICIT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clinical site costs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and accrued interest, current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loan payable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short term</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short term -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21,863</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and accrued interest, long term</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noncurrent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noncurrent - related party</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26,874</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11)</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50,000,000 shares authorized.</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convertible preferred stock, $0.001 par value, 12,000,000 shares authorized; 0 shares issued and outstanding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500,000,000 shares authorized; 27,682,530 and 14,591,505 shares issued and outstanding as of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2" w:type="dxa"/>
            <w:tcBorders/>
            <w:shd w:fill="FFFFFF" w:val="clear"/>
            <w:vAlign w:val="center"/>
          </w:tcPr>
          <w:p>
            <w:pPr>
              <w:pStyle w:val="TableContents"/>
              <w:bidi w:val="0"/>
              <w:spacing w:before="0" w:after="283"/>
              <w:jc w:val="left"/>
              <w:rPr/>
            </w:pPr>
            <w:r>
              <w:rPr/>
              <w:t> </w:t>
            </w:r>
          </w:p>
        </w:tc>
      </w:tr>
      <w:tr>
        <w:trPr/>
        <w:tc>
          <w:tcPr>
            <w:tcW w:w="78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255,035</w:t>
            </w:r>
          </w:p>
        </w:tc>
        <w:tc>
          <w:tcPr>
            <w:tcW w:w="82" w:type="dxa"/>
            <w:tcBorders/>
            <w:shd w:fill="CCEEFF" w:val="clear"/>
            <w:vAlign w:val="center"/>
          </w:tcPr>
          <w:p>
            <w:pPr>
              <w:pStyle w:val="TableContents"/>
              <w:bidi w:val="0"/>
              <w:spacing w:before="0" w:after="283"/>
              <w:jc w:val="left"/>
              <w:rPr/>
            </w:pPr>
            <w:r>
              <w:rPr/>
              <w:t> </w:t>
            </w:r>
          </w:p>
        </w:tc>
      </w:tr>
      <w:tr>
        <w:trPr/>
        <w:tc>
          <w:tcPr>
            <w:tcW w:w="78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(307,256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(278,273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deficit</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pPr>
      <w:r>
        <w:rPr/>
        <w:t> </w:t>
      </w:r>
    </w:p>
    <w:tbl>
      <w:tblPr>
        <w:tblW w:w="10025" w:type="dxa"/>
        <w:jc w:val="left"/>
        <w:tblInd w:w="0" w:type="dxa"/>
        <w:tblLayout w:type="fixed"/>
        <w:tblCellMar>
          <w:top w:w="0" w:type="dxa"/>
          <w:left w:w="0" w:type="dxa"/>
          <w:bottom w:w="0" w:type="dxa"/>
          <w:right w:w="0" w:type="dxa"/>
        </w:tblCellMar>
      </w:tblPr>
      <w:tblGrid>
        <w:gridCol w:w="5165"/>
        <w:gridCol w:w="60"/>
        <w:gridCol w:w="125"/>
        <w:gridCol w:w="950"/>
        <w:gridCol w:w="80"/>
        <w:gridCol w:w="60"/>
        <w:gridCol w:w="125"/>
        <w:gridCol w:w="950"/>
        <w:gridCol w:w="80"/>
        <w:gridCol w:w="60"/>
        <w:gridCol w:w="125"/>
        <w:gridCol w:w="950"/>
        <w:gridCol w:w="80"/>
        <w:gridCol w:w="60"/>
        <w:gridCol w:w="125"/>
        <w:gridCol w:w="950"/>
        <w:gridCol w:w="8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patient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5,163</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10,903</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16,070</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exercise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attributed to credit risk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Stock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22,231,178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10,973,697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18,881,968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10,108,859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DEFICIT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5"/>
        <w:gridCol w:w="60"/>
        <w:gridCol w:w="112"/>
        <w:gridCol w:w="433"/>
        <w:gridCol w:w="61"/>
        <w:gridCol w:w="61"/>
        <w:gridCol w:w="200"/>
        <w:gridCol w:w="420"/>
        <w:gridCol w:w="60"/>
        <w:gridCol w:w="60"/>
        <w:gridCol w:w="102"/>
        <w:gridCol w:w="443"/>
        <w:gridCol w:w="61"/>
        <w:gridCol w:w="61"/>
        <w:gridCol w:w="188"/>
        <w:gridCol w:w="432"/>
        <w:gridCol w:w="60"/>
        <w:gridCol w:w="60"/>
        <w:gridCol w:w="60"/>
        <w:gridCol w:w="830"/>
        <w:gridCol w:w="60"/>
        <w:gridCol w:w="60"/>
        <w:gridCol w:w="184"/>
        <w:gridCol w:w="436"/>
        <w:gridCol w:w="60"/>
        <w:gridCol w:w="60"/>
        <w:gridCol w:w="120"/>
        <w:gridCol w:w="665"/>
        <w:gridCol w:w="80"/>
        <w:gridCol w:w="60"/>
        <w:gridCol w:w="139"/>
        <w:gridCol w:w="841"/>
        <w:gridCol w:w="80"/>
        <w:gridCol w:w="60"/>
        <w:gridCol w:w="344"/>
        <w:gridCol w:w="816"/>
        <w:gridCol w:w="60"/>
        <w:gridCol w:w="60"/>
        <w:gridCol w:w="157"/>
        <w:gridCol w:w="825"/>
        <w:gridCol w:w="99"/>
      </w:tblGrid>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443"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center"/>
              <w:rPr/>
            </w:pPr>
            <w:r>
              <w:rPr>
                <w:rStyle w:val="Emphasis"/>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7" w:type="dxa"/>
            <w:gridSpan w:val="6"/>
            <w:tcBorders/>
            <w:vAlign w:val="center"/>
          </w:tcPr>
          <w:p>
            <w:pPr>
              <w:pStyle w:val="TableContents"/>
              <w:bidi w:val="0"/>
              <w:spacing w:before="0" w:after="283"/>
              <w:jc w:val="center"/>
              <w:rPr/>
            </w:pPr>
            <w:r>
              <w:rPr>
                <w:rStyle w:val="Emphasis"/>
                <w:rFonts w:ascii="Times New Roman;Times;serif" w:hAnsi="Times New Roman;Times;serif"/>
                <w:b/>
                <w:sz w:val="18"/>
              </w:rPr>
              <w:t>Series A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9"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7"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9"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99"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December 31, 2024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14,591,505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255,035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(278,273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(23,223</w:t>
            </w:r>
          </w:p>
        </w:tc>
        <w:tc>
          <w:tcPr>
            <w:tcW w:w="99"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as repayment of principal and interest for convertible note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1,009,518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2,940</w:t>
            </w:r>
          </w:p>
        </w:tc>
        <w:tc>
          <w:tcPr>
            <w:tcW w:w="99"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with register direct offering, net of offering cost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1,215,278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3,255</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Fair Value of warrants issued with registered direct offering</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(3,255</w:t>
            </w:r>
          </w:p>
        </w:tc>
        <w:tc>
          <w:tcPr>
            <w:tcW w:w="9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prepaid offering costs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9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as a result of repricing under VWAP</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629</w:t>
            </w:r>
          </w:p>
        </w:tc>
        <w:tc>
          <w:tcPr>
            <w:tcW w:w="99"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(5,512</w:t>
            </w:r>
          </w:p>
        </w:tc>
        <w:tc>
          <w:tcPr>
            <w:tcW w:w="9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March 31, 2025</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7,120,120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258,607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(283,785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(25,161</w:t>
            </w:r>
          </w:p>
        </w:tc>
        <w:tc>
          <w:tcPr>
            <w:tcW w:w="99"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issued in exchange for services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p>
        </w:tc>
        <w:tc>
          <w:tcPr>
            <w:tcW w:w="99"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as repayment of principal and interest for convertible note</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1,879,406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5,983</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prepaid offering costs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w:t>
            </w:r>
          </w:p>
        </w:tc>
        <w:tc>
          <w:tcPr>
            <w:tcW w:w="9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ATM offering, net of offering costs of $26</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1,012</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(17,581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(17,581</w:t>
            </w:r>
          </w:p>
        </w:tc>
        <w:tc>
          <w:tcPr>
            <w:tcW w:w="9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June 30, 2025</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19,473,588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265,732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(301,366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(35,615</w:t>
            </w:r>
          </w:p>
        </w:tc>
        <w:tc>
          <w:tcPr>
            <w:tcW w:w="99"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w:t>
            </w:r>
          </w:p>
        </w:tc>
        <w:tc>
          <w:tcPr>
            <w:tcW w:w="99"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issued as a result of exercise of warrants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right"/>
              <w:rPr/>
            </w:pPr>
            <w:r>
              <w:rPr>
                <w:rStyle w:val="Emphasis"/>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sz w:val="4"/>
                <w:szCs w:val="4"/>
              </w:rPr>
            </w:pPr>
            <w:r>
              <w:rPr>
                <w:sz w:val="4"/>
                <w:szCs w:val="4"/>
              </w:rPr>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1,870,962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3,087</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ATM offering, net of offering costs of $110</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1,350,788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3,740</w:t>
            </w:r>
          </w:p>
        </w:tc>
        <w:tc>
          <w:tcPr>
            <w:tcW w:w="99"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issued in exchange for services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as repayment of principal and interest for convertible note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2,219</w:t>
            </w:r>
          </w:p>
        </w:tc>
        <w:tc>
          <w:tcPr>
            <w:tcW w:w="99"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with register direct offering, net of offering cost of $321</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443" w:type="dxa"/>
            <w:tcBorders/>
            <w:shd w:fill="FFFFFF" w:val="clear"/>
            <w:vAlign w:val="center"/>
          </w:tcPr>
          <w:p>
            <w:pPr>
              <w:pStyle w:val="TableContents"/>
              <w:bidi w:val="0"/>
              <w:spacing w:before="0" w:after="283"/>
              <w:ind w:left="0" w:right="0" w:hanging="0"/>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3,959,999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6,213</w:t>
            </w:r>
          </w:p>
        </w:tc>
        <w:tc>
          <w:tcPr>
            <w:tcW w:w="99"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Amortization of prepaid offering costs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w:t>
            </w:r>
          </w:p>
        </w:tc>
        <w:tc>
          <w:tcPr>
            <w:tcW w:w="9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(5,890</w:t>
            </w:r>
          </w:p>
        </w:tc>
        <w:tc>
          <w:tcPr>
            <w:tcW w:w="99"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September 30, 2025</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27,682,530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281,473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(307,256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(25,755</w:t>
            </w:r>
          </w:p>
        </w:tc>
        <w:tc>
          <w:tcPr>
            <w:tcW w:w="99"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520" w:type="dxa"/>
        <w:jc w:val="left"/>
        <w:tblInd w:w="0" w:type="dxa"/>
        <w:tblLayout w:type="fixed"/>
        <w:tblCellMar>
          <w:top w:w="0" w:type="dxa"/>
          <w:left w:w="0" w:type="dxa"/>
          <w:bottom w:w="0" w:type="dxa"/>
          <w:right w:w="0" w:type="dxa"/>
        </w:tblCellMar>
      </w:tblPr>
      <w:tblGrid>
        <w:gridCol w:w="1145"/>
        <w:gridCol w:w="60"/>
        <w:gridCol w:w="112"/>
        <w:gridCol w:w="433"/>
        <w:gridCol w:w="60"/>
        <w:gridCol w:w="60"/>
        <w:gridCol w:w="200"/>
        <w:gridCol w:w="420"/>
        <w:gridCol w:w="60"/>
        <w:gridCol w:w="60"/>
        <w:gridCol w:w="60"/>
        <w:gridCol w:w="800"/>
        <w:gridCol w:w="80"/>
        <w:gridCol w:w="60"/>
        <w:gridCol w:w="184"/>
        <w:gridCol w:w="436"/>
        <w:gridCol w:w="80"/>
        <w:gridCol w:w="60"/>
        <w:gridCol w:w="60"/>
        <w:gridCol w:w="830"/>
        <w:gridCol w:w="60"/>
        <w:gridCol w:w="60"/>
        <w:gridCol w:w="184"/>
        <w:gridCol w:w="436"/>
        <w:gridCol w:w="60"/>
        <w:gridCol w:w="60"/>
        <w:gridCol w:w="120"/>
        <w:gridCol w:w="665"/>
        <w:gridCol w:w="60"/>
        <w:gridCol w:w="60"/>
        <w:gridCol w:w="139"/>
        <w:gridCol w:w="841"/>
        <w:gridCol w:w="80"/>
        <w:gridCol w:w="60"/>
        <w:gridCol w:w="344"/>
        <w:gridCol w:w="816"/>
        <w:gridCol w:w="80"/>
        <w:gridCol w:w="60"/>
        <w:gridCol w:w="157"/>
        <w:gridCol w:w="823"/>
        <w:gridCol w:w="95"/>
      </w:tblGrid>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0" w:type="dxa"/>
            <w:gridSpan w:val="6"/>
            <w:tcBorders/>
            <w:vAlign w:val="center"/>
          </w:tcPr>
          <w:p>
            <w:pPr>
              <w:pStyle w:val="TableContents"/>
              <w:bidi w:val="0"/>
              <w:spacing w:before="0" w:after="283"/>
              <w:jc w:val="center"/>
              <w:rPr/>
            </w:pPr>
            <w:r>
              <w:rPr>
                <w:rStyle w:val="Emphasis"/>
                <w:rFonts w:ascii="Times New Roman;Times;serif" w:hAnsi="Times New Roman;Times;serif"/>
                <w:b/>
                <w:sz w:val="18"/>
              </w:rPr>
              <w:t>Series A Preferred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841"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9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9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2023</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3,000,000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8,391,940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241,406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(253,147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(11,733</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Conversion of Series A preferred stock into common stock</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At-the-market "ATM" offering, net of offering costs of $48</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34,584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179</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and warrants issued, net of issuance costs of $481</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1,344</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and warrants issued in private placement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1,027</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Warrants issued pursuant to the Alvogen Agreement amendment (see Note 9)</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Vesting of restricted stock awards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as repayment of principal and interest for convertible note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143,648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(6,528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(6,528</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March 31, 2024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9,772,672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244,599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(259,675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(15,069</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ATM offering, net of offering costs of $118</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1,228</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and warrants issued, net of issuance costs of $494</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698,050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1,914</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related to reverse stock split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73,040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pPr>
            <w:r>
              <w:rPr>
                <w:rStyle w:val="Emphasis"/>
              </w:rPr>
              <w:t>—</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Contract cost related to Alvogen termination (see Note 9)</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1,336</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(7,897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(7,897</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June 30, 2024</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10,791,630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249,173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(267,572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(18,391</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ATM offering, net of offering costs of $31</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219</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issued in exchange for services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as repayment of principal and interest for convertible note</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433"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42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458,553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829</w:t>
            </w:r>
          </w:p>
        </w:tc>
        <w:tc>
          <w:tcPr>
            <w:tcW w:w="95" w:type="dxa"/>
            <w:tcBorders/>
            <w:shd w:fill="FFFFFF" w:val="clear"/>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Reclassification of AOCI upon settlement of Streeterville Note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4"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95" w:type="dxa"/>
            <w:tcBorders/>
            <w:shd w:fill="CCEEFF" w:val="clear"/>
            <w:vAlign w:val="center"/>
          </w:tcPr>
          <w:p>
            <w:pPr>
              <w:pStyle w:val="TableContents"/>
              <w:bidi w:val="0"/>
              <w:spacing w:before="0" w:after="283"/>
              <w:jc w:val="left"/>
              <w:rPr/>
            </w:pPr>
            <w:r>
              <w:rPr/>
              <w:t> </w:t>
            </w:r>
          </w:p>
        </w:tc>
      </w:tr>
      <w:tr>
        <w:trPr/>
        <w:tc>
          <w:tcPr>
            <w:tcW w:w="11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3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(1,623</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 September 30, 2024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433"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2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11,373,246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250,362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(269,195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1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(18,822</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NRX PHARMACEUTICALS, INC.</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1"/>
        <w:gridCol w:w="60"/>
        <w:gridCol w:w="195"/>
        <w:gridCol w:w="1021"/>
        <w:gridCol w:w="124"/>
        <w:gridCol w:w="93"/>
        <w:gridCol w:w="195"/>
        <w:gridCol w:w="1021"/>
        <w:gridCol w:w="85"/>
      </w:tblGrid>
      <w:tr>
        <w:trPr/>
        <w:tc>
          <w:tcPr>
            <w:tcW w:w="7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September 30,</w:t>
            </w:r>
          </w:p>
        </w:tc>
        <w:tc>
          <w:tcPr>
            <w:tcW w:w="85" w:type="dxa"/>
            <w:tcBorders/>
            <w:vAlign w:val="center"/>
          </w:tcPr>
          <w:p>
            <w:pPr>
              <w:pStyle w:val="TableContents"/>
              <w:bidi w:val="0"/>
              <w:spacing w:before="0" w:after="283"/>
              <w:jc w:val="left"/>
              <w:rPr/>
            </w:pPr>
            <w:r>
              <w:rPr/>
              <w:t> </w:t>
            </w:r>
          </w:p>
        </w:tc>
      </w:tr>
      <w:tr>
        <w:trPr/>
        <w:tc>
          <w:tcPr>
            <w:tcW w:w="74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5" w:type="dxa"/>
            <w:tcBorders/>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(28,982</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(16,048</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right of use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in exchange for services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exercise of warrant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Common Stock</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debt issuance costs due to fair value election on Anson Notes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issuance costs related to Alvogen termination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 receivable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4,949</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loan payable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 and other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(10,399</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acquisition, net of cash acquired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convertible note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insurance note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for debt issuance costs due to fair value election on Anson Notes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insurance loan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Anson convertible note, net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2,941</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liability classified warrants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ind w:left="0" w:right="0" w:hanging="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ATM offering, net of offering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issued in registered direct offering, net of issuance costs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9,468</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net of issuance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4,884</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issued in private placement, net of issuance costs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4,595</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as principal and interest repayment for convertible notes</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11,142</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warrants as offering costs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the warrants for subscription receivable</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74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offering costs to additional paid-in capital</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shd w:fill="CCEEFF" w:val="clear"/>
            <w:vAlign w:val="center"/>
          </w:tcPr>
          <w:p>
            <w:pPr>
              <w:pStyle w:val="TableContents"/>
              <w:bidi w:val="0"/>
              <w:spacing w:before="0" w:after="283"/>
              <w:jc w:val="left"/>
              <w:rPr/>
            </w:pPr>
            <w:r>
              <w:rPr/>
              <w:t> </w:t>
            </w:r>
          </w:p>
        </w:tc>
      </w:tr>
      <w:tr>
        <w:trPr/>
        <w:tc>
          <w:tcPr>
            <w:tcW w:w="74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of Series A preferred stock into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NRx Pharmaceuticals, Inc. (Nasdaq: NRXP) (“</w:t>
      </w:r>
      <w:r>
        <w:rPr>
          <w:rFonts w:ascii="Times New Roman" w:hAnsi="Times New Roman"/>
          <w:i/>
          <w:caps w:val="false"/>
          <w:smallCaps w:val="false"/>
          <w:sz w:val="20"/>
        </w:rPr>
        <w:t>NRx</w:t>
      </w:r>
      <w:r>
        <w:rPr>
          <w:rFonts w:ascii="Times New Roman" w:hAnsi="Times New Roman"/>
          <w:caps w:val="false"/>
          <w:smallCaps w:val="false"/>
          <w:sz w:val="20"/>
        </w:rPr>
        <w:t>”,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or “</w:t>
      </w:r>
      <w:r>
        <w:rPr>
          <w:rFonts w:ascii="Times New Roman" w:hAnsi="Times New Roman"/>
          <w:i/>
          <w:caps w:val="false"/>
          <w:smallCaps w:val="false"/>
          <w:sz w:val="20"/>
        </w:rPr>
        <w:t>our</w:t>
      </w:r>
      <w:r>
        <w:rPr>
          <w:rFonts w:ascii="Times New Roman" w:hAnsi="Times New Roman"/>
          <w:caps w:val="false"/>
          <w:smallCaps w:val="false"/>
          <w:sz w:val="20"/>
        </w:rPr>
        <w:t>”) is a clinical-stage bio-pharmaceutical company which develops and will distribute, through its wholly-owned operating subsidiary, NeuroRx, Inc., (“</w:t>
      </w:r>
      <w:r>
        <w:rPr>
          <w:rFonts w:ascii="Times New Roman" w:hAnsi="Times New Roman"/>
          <w:i/>
          <w:caps w:val="false"/>
          <w:smallCaps w:val="false"/>
          <w:sz w:val="20"/>
        </w:rPr>
        <w:t>NeuroRx</w:t>
      </w:r>
      <w:r>
        <w:rPr>
          <w:rFonts w:ascii="Times New Roman" w:hAnsi="Times New Roman"/>
          <w:caps w:val="false"/>
          <w:smallCaps w:val="false"/>
          <w:sz w:val="20"/>
        </w:rPr>
        <w:t>”), novel therapeutics for the treatment of central nervous system disorders including suicidal depression, chronic pain, post-traumatic stress disorder (“</w:t>
      </w:r>
      <w:r>
        <w:rPr>
          <w:rFonts w:ascii="Times New Roman" w:hAnsi="Times New Roman"/>
          <w:i/>
          <w:caps w:val="false"/>
          <w:smallCaps w:val="false"/>
          <w:sz w:val="20"/>
        </w:rPr>
        <w:t>PTSD</w:t>
      </w:r>
      <w:r>
        <w:rPr>
          <w:rFonts w:ascii="Times New Roman" w:hAnsi="Times New Roman"/>
          <w:caps w:val="false"/>
          <w:smallCaps w:val="false"/>
          <w:sz w:val="20"/>
        </w:rPr>
        <w:t>”) and schizophrenia. NRx is additionally the founder and majority owner of HOPE Therapeutics, Inc. (“</w:t>
      </w:r>
      <w:r>
        <w:rPr>
          <w:rFonts w:ascii="Times New Roman" w:hAnsi="Times New Roman"/>
          <w:i/>
          <w:caps w:val="false"/>
          <w:smallCaps w:val="false"/>
          <w:sz w:val="20"/>
        </w:rPr>
        <w:t>HOPE</w:t>
      </w:r>
      <w:r>
        <w:rPr>
          <w:rFonts w:ascii="Times New Roman" w:hAnsi="Times New Roman"/>
          <w:caps w:val="false"/>
          <w:smallCaps w:val="false"/>
          <w:sz w:val="20"/>
        </w:rPr>
        <w:t>”), a medical services company that offers interventional psychiatry care to patients with treatment-resistant depression and PTSD with a combination of neuroplastic drugs, transcranial magnetic stimulation (“</w:t>
      </w:r>
      <w:r>
        <w:rPr>
          <w:rFonts w:ascii="Times New Roman" w:hAnsi="Times New Roman"/>
          <w:i/>
          <w:caps w:val="false"/>
          <w:smallCaps w:val="false"/>
          <w:sz w:val="20"/>
        </w:rPr>
        <w:t>TMS</w:t>
      </w:r>
      <w:r>
        <w:rPr>
          <w:rFonts w:ascii="Times New Roman" w:hAnsi="Times New Roman"/>
          <w:caps w:val="false"/>
          <w:smallCaps w:val="false"/>
          <w:sz w:val="20"/>
        </w:rPr>
        <w:t>”), digital therapeutics, and hyperbaric therapy. All of our current drug development activities are focused on drugs that enhance “neuroplasticity” (growth of new brain connections) by modulating the N-methyl-D-aspartate (“</w:t>
      </w:r>
      <w:r>
        <w:rPr>
          <w:rFonts w:ascii="Times New Roman" w:hAnsi="Times New Roman"/>
          <w:i/>
          <w:caps w:val="false"/>
          <w:smallCaps w:val="false"/>
          <w:sz w:val="20"/>
        </w:rPr>
        <w:t>NMDA</w:t>
      </w:r>
      <w:r>
        <w:rPr>
          <w:rFonts w:ascii="Times New Roman" w:hAnsi="Times New Roman"/>
          <w:caps w:val="false"/>
          <w:smallCaps w:val="false"/>
          <w:sz w:val="20"/>
        </w:rPr>
        <w:t xml:space="preserve">”) receptor in the brain and nervous system, a neurochemical pathway that has been disclosed in detail in our annual filings. The Company has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lead drug candidates –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 preservative-free formulation of ketamine for intravenous infusion,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an oral fixed dose combination of D-cycloserine (“</w:t>
      </w:r>
      <w:r>
        <w:rPr>
          <w:rFonts w:ascii="Times New Roman" w:hAnsi="Times New Roman"/>
          <w:i/>
          <w:caps w:val="false"/>
          <w:smallCaps w:val="false"/>
          <w:sz w:val="20"/>
        </w:rPr>
        <w:t>DCS</w:t>
      </w:r>
      <w:r>
        <w:rPr>
          <w:rFonts w:ascii="Times New Roman" w:hAnsi="Times New Roman"/>
          <w:caps w:val="false"/>
          <w:smallCaps w:val="false"/>
          <w:sz w:val="20"/>
        </w:rPr>
        <w:t>”) and lurasidone.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are in the process of submission for Food and Drug Administration (“</w:t>
      </w:r>
      <w:r>
        <w:rPr>
          <w:rFonts w:ascii="Times New Roman" w:hAnsi="Times New Roman"/>
          <w:i/>
          <w:caps w:val="false"/>
          <w:smallCaps w:val="false"/>
          <w:sz w:val="20"/>
        </w:rPr>
        <w:t>FDA</w:t>
      </w:r>
      <w:r>
        <w:rPr>
          <w:rFonts w:ascii="Times New Roman" w:hAnsi="Times New Roman"/>
          <w:caps w:val="false"/>
          <w:smallCaps w:val="false"/>
          <w:sz w:val="20"/>
        </w:rPr>
        <w:t>”) approval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both"/>
              <w:rPr/>
            </w:pPr>
            <w:r>
              <w:rPr>
                <w:rStyle w:val="Emphasis"/>
                <w:rFonts w:ascii="Times New Roman;Times;serif" w:hAnsi="Times New Roman;Times;serif"/>
                <w:caps w:val="false"/>
                <w:smallCaps w:val="false"/>
                <w:sz w:val="20"/>
              </w:rPr>
              <w:t>1.</w:t>
            </w:r>
          </w:p>
        </w:tc>
        <w:tc>
          <w:tcPr>
            <w:tcW w:w="10014" w:type="dxa"/>
            <w:tcBorders/>
            <w:vAlign w:val="center"/>
          </w:tcPr>
          <w:p>
            <w:pPr>
              <w:pStyle w:val="TableContents"/>
              <w:bidi w:val="0"/>
              <w:spacing w:lineRule="auto" w:line="288" w:before="0" w:after="0"/>
              <w:ind w:left="0" w:right="0" w:hanging="0"/>
              <w:jc w:val="both"/>
              <w:rPr/>
            </w:pPr>
            <w:r>
              <w:rPr>
                <w:rFonts w:ascii="Times New Roman;Times;serif" w:hAnsi="Times New Roman;Times;serif"/>
                <w:caps w:val="false"/>
                <w:smallCaps w:val="false"/>
                <w:sz w:val="20"/>
              </w:rPr>
              <w:t>An Abbreviated New Drug Application (“ANDA”)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was filed, with priority review requested, during the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After meeting with the FDA in </w:t>
            </w:r>
            <w:r>
              <w:rPr>
                <w:rStyle w:val="Emphasis"/>
                <w:rFonts w:ascii="Times New Roman;Times;serif" w:hAnsi="Times New Roman;Times;serif"/>
                <w:caps w:val="false"/>
                <w:smallCaps w:val="false"/>
                <w:sz w:val="20"/>
              </w:rPr>
              <w:t xml:space="preserve">August 2025, </w:t>
            </w:r>
            <w:r>
              <w:rPr>
                <w:rFonts w:ascii="Times New Roman;Times;serif" w:hAnsi="Times New Roman;Times;serif"/>
                <w:caps w:val="false"/>
                <w:smallCaps w:val="false"/>
                <w:sz w:val="20"/>
              </w:rPr>
              <w:t xml:space="preserve">the Company re-filed the ANDA, following FDA notification of approval of a suitability petition for NRx’s proposed strength of preservative-free ketamine, KETAFREETM. On </w:t>
            </w:r>
            <w:r>
              <w:rPr>
                <w:rStyle w:val="Emphasis"/>
                <w:rFonts w:ascii="Times New Roman;Times;serif" w:hAnsi="Times New Roman;Times;serif"/>
                <w:caps w:val="false"/>
                <w:smallCaps w:val="false"/>
                <w:sz w:val="20"/>
              </w:rPr>
              <w:t xml:space="preserve">November 6, 2025, </w:t>
            </w:r>
            <w:r>
              <w:rPr>
                <w:rFonts w:ascii="Times New Roman;Times;serif" w:hAnsi="Times New Roman;Times;serif"/>
                <w:caps w:val="false"/>
                <w:smallCaps w:val="false"/>
                <w:sz w:val="20"/>
              </w:rPr>
              <w:t xml:space="preserve">the Company received a communication from the FDA in which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significant deficiencies were identified in the revised filing. This letter is consistent with the Company’s ambition to launch KETAFREE™ in </w:t>
            </w:r>
            <w:r>
              <w:rPr>
                <w:rStyle w:val="Emphasis"/>
                <w:rFonts w:ascii="Times New Roman;Times;serif" w:hAnsi="Times New Roman;Times;serif"/>
                <w:caps w:val="false"/>
                <w:smallCaps w:val="false"/>
                <w:sz w:val="20"/>
              </w:rPr>
              <w:t>Q1</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2026.</w:t>
            </w:r>
            <w:r>
              <w:rPr>
                <w:rFonts w:ascii="Times New Roman;Times;serif" w:hAnsi="Times New Roman;Times;serif"/>
                <w:caps w:val="false"/>
                <w:smallCaps w:val="false"/>
                <w:sz w:val="20"/>
              </w:rPr>
              <w:t xml:space="preserve"> The Company has additionally submitted a citizen petition seeking to have benzethonium chloride, a toxic preservative, removed from all current commercial presentations of ketamine.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pPr>
            <w:r>
              <w:rPr>
                <w:rStyle w:val="Emphasis"/>
                <w:rFonts w:ascii="Times New Roman;Times;serif" w:hAnsi="Times New Roman;Times;serif"/>
                <w:caps w:val="false"/>
                <w:smallCaps w:val="false"/>
                <w:sz w:val="20"/>
              </w:rPr>
              <w:t>2.</w:t>
            </w:r>
          </w:p>
        </w:tc>
        <w:tc>
          <w:tcPr>
            <w:tcW w:w="10017"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A New Drug Application (“NDA”)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originally initiated during the </w:t>
            </w:r>
            <w:r>
              <w:rPr>
                <w:rStyle w:val="Emphasis"/>
                <w:rFonts w:ascii="Times New Roman;Times;serif" w:hAnsi="Times New Roman;Times;serif"/>
                <w:caps w:val="false"/>
                <w:smallCaps w:val="false"/>
                <w:sz w:val="20"/>
              </w:rPr>
              <w:t>fourth</w:t>
            </w:r>
            <w:r>
              <w:rPr>
                <w:rFonts w:ascii="Times New Roman;Times;serif" w:hAnsi="Times New Roman;Times;serif"/>
                <w:caps w:val="false"/>
                <w:smallCaps w:val="false"/>
                <w:sz w:val="20"/>
              </w:rPr>
              <w:t xml:space="preserve"> quarter of </w:t>
            </w:r>
            <w:r>
              <w:rPr>
                <w:rStyle w:val="Emphasis"/>
                <w:rFonts w:ascii="Times New Roman;Times;serif" w:hAnsi="Times New Roman;Times;serif"/>
                <w:caps w:val="false"/>
                <w:smallCaps w:val="false"/>
                <w:sz w:val="20"/>
              </w:rPr>
              <w:t>2024,</w:t>
            </w:r>
            <w:r>
              <w:rPr>
                <w:rFonts w:ascii="Times New Roman;Times;serif" w:hAnsi="Times New Roman;Times;serif"/>
                <w:caps w:val="false"/>
                <w:smallCaps w:val="false"/>
                <w:sz w:val="20"/>
              </w:rPr>
              <w:t xml:space="preserve"> is expected to be completed in the </w:t>
            </w:r>
            <w:r>
              <w:rPr>
                <w:rStyle w:val="Emphasis"/>
                <w:rFonts w:ascii="Times New Roman;Times;serif" w:hAnsi="Times New Roman;Times;serif"/>
                <w:caps w:val="false"/>
                <w:smallCaps w:val="false"/>
                <w:sz w:val="20"/>
              </w:rPr>
              <w:t>fourth</w:t>
            </w:r>
            <w:r>
              <w:rPr>
                <w:rFonts w:ascii="Times New Roman;Times;serif" w:hAnsi="Times New Roman;Times;serif"/>
                <w:caps w:val="false"/>
                <w:smallCaps w:val="false"/>
                <w:sz w:val="20"/>
              </w:rPr>
              <w:t xml:space="preserve"> quarter </w:t>
            </w:r>
            <w:r>
              <w:rPr>
                <w:rStyle w:val="Emphasis"/>
                <w:rFonts w:ascii="Times New Roman;Times;serif" w:hAnsi="Times New Roman;Times;serif"/>
                <w:caps w:val="false"/>
                <w:smallCaps w:val="false"/>
                <w:sz w:val="20"/>
              </w:rPr>
              <w:t>2025.</w:t>
            </w:r>
            <w:r>
              <w:rPr>
                <w:rFonts w:ascii="Times New Roman;Times;serif" w:hAnsi="Times New Roman;Times;serif"/>
                <w:caps w:val="false"/>
                <w:smallCaps w:val="false"/>
                <w:sz w:val="20"/>
              </w:rPr>
              <w:t xml:space="preserve"> This follows award of Fast Track Designation by the FDA for the Company’s expanded indication of “Treatment of Suicidal Ideation in Depression, including Bipolar Depression.” A key element of the Company’s PDUFA strategy has focused on obtaining data to confirm the ketamine efficacy seen in clinical trials conducted under governmental auspices in the US and France. The Company has now arranged to submit Real World Efficacy Data drawn from </w:t>
            </w:r>
            <w:r>
              <w:rPr>
                <w:rStyle w:val="Emphasis"/>
                <w:rFonts w:ascii="Times New Roman;Times;serif" w:hAnsi="Times New Roman;Times;serif"/>
                <w:caps w:val="false"/>
                <w:smallCaps w:val="false"/>
                <w:sz w:val="20"/>
              </w:rPr>
              <w:t>65,000</w:t>
            </w:r>
            <w:r>
              <w:rPr>
                <w:rFonts w:ascii="Times New Roman;Times;serif" w:hAnsi="Times New Roman;Times;serif"/>
                <w:caps w:val="false"/>
                <w:smallCaps w:val="false"/>
                <w:sz w:val="20"/>
              </w:rPr>
              <w:t xml:space="preserve"> patients treated for depression with intravenous ketamine compared to </w:t>
            </w:r>
            <w:r>
              <w:rPr>
                <w:rStyle w:val="Emphasis"/>
                <w:rFonts w:ascii="Times New Roman;Times;serif" w:hAnsi="Times New Roman;Times;serif"/>
                <w:caps w:val="false"/>
                <w:smallCaps w:val="false"/>
                <w:sz w:val="20"/>
              </w:rPr>
              <w:t>6,000</w:t>
            </w:r>
            <w:r>
              <w:rPr>
                <w:rFonts w:ascii="Times New Roman;Times;serif" w:hAnsi="Times New Roman;Times;serif"/>
                <w:caps w:val="false"/>
                <w:smallCaps w:val="false"/>
                <w:sz w:val="20"/>
              </w:rPr>
              <w:t xml:space="preserve"> patients treated with intranasal S-ketamine, which will be submitted as part of the NDA. An interim analysis drawn from the </w:t>
            </w:r>
            <w:r>
              <w:rPr>
                <w:rStyle w:val="Emphasis"/>
                <w:rFonts w:ascii="Times New Roman;Times;serif" w:hAnsi="Times New Roman;Times;serif"/>
                <w:caps w:val="false"/>
                <w:smallCaps w:val="false"/>
                <w:sz w:val="20"/>
              </w:rPr>
              <w:t>first</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20,000</w:t>
            </w:r>
            <w:r>
              <w:rPr>
                <w:rFonts w:ascii="Times New Roman;Times;serif" w:hAnsi="Times New Roman;Times;serif"/>
                <w:caps w:val="false"/>
                <w:smallCaps w:val="false"/>
                <w:sz w:val="20"/>
              </w:rPr>
              <w:t xml:space="preserve"> such patients suggests that IV ketamine </w:t>
            </w:r>
            <w:r>
              <w:rPr>
                <w:rStyle w:val="Emphasis"/>
                <w:rFonts w:ascii="Times New Roman;Times;serif" w:hAnsi="Times New Roman;Times;serif"/>
                <w:caps w:val="false"/>
                <w:smallCaps w:val="false"/>
                <w:sz w:val="20"/>
              </w:rPr>
              <w:t xml:space="preserve">may </w:t>
            </w:r>
            <w:r>
              <w:rPr>
                <w:rFonts w:ascii="Times New Roman;Times;serif" w:hAnsi="Times New Roman;Times;serif"/>
                <w:caps w:val="false"/>
                <w:smallCaps w:val="false"/>
                <w:sz w:val="20"/>
              </w:rPr>
              <w:t xml:space="preserve">have a more rapid onset of action and larger magnitude of effect than nasal S-ketamine. The Company has applied to receive a Commissioner’s National Priority Voucher (CNPV), which could significantly reduce review time. The Company has completed all required manufacturing steps and demonstrated room temperature shelf stability to support a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year shelf life.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ind w:left="0" w:right="0" w:hanging="0"/>
              <w:jc w:val="both"/>
              <w:rPr/>
            </w:pP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10011"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An NDA filing for NRX-</w:t>
            </w:r>
            <w:r>
              <w:rPr>
                <w:rStyle w:val="Emphasis"/>
                <w:rFonts w:ascii="Times New Roman;Times;serif" w:hAnsi="Times New Roman;Times;serif"/>
                <w:caps w:val="false"/>
                <w:smallCaps w:val="false"/>
                <w:sz w:val="20"/>
              </w:rPr>
              <w:t>101</w:t>
            </w:r>
            <w:r>
              <w:rPr>
                <w:rFonts w:ascii="Times New Roman;Times;serif" w:hAnsi="Times New Roman;Times;serif"/>
                <w:caps w:val="false"/>
                <w:smallCaps w:val="false"/>
                <w:sz w:val="20"/>
              </w:rPr>
              <w:t xml:space="preserve"> has been initiated with the submission of the Module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manufacturing file to the FDA. The drug was previously awarded Breakthrough Therapy Designation and accordingly the Company is requesting rolling review from the NDA. Breakthrough Therapy Designation is granted by the FDA to facilitate the development and expedite the review of drugs to treat serious conditions that address an unmet medical need and have demonstrated preliminary evidence of efficacy as determined by the FDA. Based on current data, the Company aims to seek accelerated approval for use of NRX-</w:t>
            </w:r>
            <w:r>
              <w:rPr>
                <w:rStyle w:val="Emphasis"/>
                <w:rFonts w:ascii="Times New Roman;Times;serif" w:hAnsi="Times New Roman;Times;serif"/>
                <w:caps w:val="false"/>
                <w:smallCaps w:val="false"/>
                <w:sz w:val="20"/>
              </w:rPr>
              <w:t>101</w:t>
            </w:r>
            <w:r>
              <w:rPr>
                <w:rFonts w:ascii="Times New Roman;Times;serif" w:hAnsi="Times New Roman;Times;serif"/>
                <w:caps w:val="false"/>
                <w:smallCaps w:val="false"/>
                <w:sz w:val="20"/>
              </w:rPr>
              <w:t xml:space="preserve"> in patients with bipolar depression who exhibit suicidal ideation on currently approved medication.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left"/>
              <w:rPr/>
            </w:pPr>
            <w:r>
              <w:rPr>
                <w:rStyle w:val="Emphasis"/>
                <w:rFonts w:ascii="Times New Roman;Times;serif" w:hAnsi="Times New Roman;Times;serif"/>
                <w:sz w:val="20"/>
              </w:rPr>
              <w:t>4</w:t>
            </w:r>
            <w:r>
              <w:rPr>
                <w:rFonts w:ascii="Times New Roman;Times;serif" w:hAnsi="Times New Roman;Times;serif"/>
                <w:sz w:val="20"/>
              </w:rPr>
              <w:t>)</w:t>
            </w:r>
          </w:p>
        </w:tc>
        <w:tc>
          <w:tcPr>
            <w:tcW w:w="10014"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In the </w:t>
            </w:r>
            <w:r>
              <w:rPr>
                <w:rStyle w:val="Emphasis"/>
                <w:rFonts w:ascii="Times New Roman;Times;serif" w:hAnsi="Times New Roman;Times;serif"/>
                <w:sz w:val="20"/>
              </w:rPr>
              <w:t>third</w:t>
            </w:r>
            <w:r>
              <w:rPr>
                <w:rFonts w:ascii="Times New Roman;Times;serif" w:hAnsi="Times New Roman;Times;serif"/>
                <w:sz w:val="20"/>
              </w:rPr>
              <w:t xml:space="preserve"> quarter, the Company was made aware of dramatic findings suggesting that low-dose D-cycloserine (the key ingredient in NRX-</w:t>
            </w:r>
            <w:r>
              <w:rPr>
                <w:rStyle w:val="Emphasis"/>
                <w:rFonts w:ascii="Times New Roman;Times;serif" w:hAnsi="Times New Roman;Times;serif"/>
                <w:sz w:val="20"/>
              </w:rPr>
              <w:t>101</w:t>
            </w:r>
            <w:r>
              <w:rPr>
                <w:rFonts w:ascii="Times New Roman;Times;serif" w:hAnsi="Times New Roman;Times;serif"/>
                <w:sz w:val="20"/>
              </w:rPr>
              <w:t xml:space="preserve">) </w:t>
            </w:r>
            <w:r>
              <w:rPr>
                <w:rStyle w:val="Emphasis"/>
                <w:rFonts w:ascii="Times New Roman;Times;serif" w:hAnsi="Times New Roman;Times;serif"/>
                <w:sz w:val="20"/>
              </w:rPr>
              <w:t xml:space="preserve">may </w:t>
            </w:r>
            <w:r>
              <w:rPr>
                <w:rFonts w:ascii="Times New Roman;Times;serif" w:hAnsi="Times New Roman;Times;serif"/>
                <w:sz w:val="20"/>
              </w:rPr>
              <w:t xml:space="preserve">increase the antidepressant and antisuicidal effects of TMS by more than </w:t>
            </w:r>
            <w:r>
              <w:rPr>
                <w:rStyle w:val="Emphasis"/>
                <w:rFonts w:ascii="Times New Roman;Times;serif" w:hAnsi="Times New Roman;Times;serif"/>
                <w:sz w:val="20"/>
              </w:rPr>
              <w:t>2</w:t>
            </w:r>
            <w:r>
              <w:rPr>
                <w:rFonts w:ascii="Times New Roman;Times;serif" w:hAnsi="Times New Roman;Times;serif"/>
                <w:sz w:val="20"/>
              </w:rPr>
              <w:t>-fold, as demonstrated in a randomized controlled trial and subsequently confirmed with real world experience and mechanistic studies. Accordingly, the Company has filed a protocol with the FDA to test the use of low-dose NRX-</w:t>
            </w:r>
            <w:r>
              <w:rPr>
                <w:rStyle w:val="Emphasis"/>
                <w:rFonts w:ascii="Times New Roman;Times;serif" w:hAnsi="Times New Roman;Times;serif"/>
                <w:sz w:val="20"/>
              </w:rPr>
              <w:t>101</w:t>
            </w:r>
            <w:r>
              <w:rPr>
                <w:rFonts w:ascii="Times New Roman;Times;serif" w:hAnsi="Times New Roman;Times;serif"/>
                <w:sz w:val="20"/>
              </w:rPr>
              <w:t xml:space="preserve"> in conjunction with the </w:t>
            </w:r>
            <w:r>
              <w:rPr>
                <w:rStyle w:val="Emphasis"/>
                <w:rFonts w:ascii="Times New Roman;Times;serif" w:hAnsi="Times New Roman;Times;serif"/>
                <w:sz w:val="20"/>
              </w:rPr>
              <w:t>one</w:t>
            </w:r>
            <w:r>
              <w:rPr>
                <w:rFonts w:ascii="Times New Roman;Times;serif" w:hAnsi="Times New Roman;Times;serif"/>
                <w:sz w:val="20"/>
              </w:rPr>
              <w:t>-day TMS protocol (ONE-D) that has been published in association with the FDA-cleared Ampa Health TMS device. Should this study demonstrate safety and efficacy, it could represent a dramatic expansion of the market for NRX-</w:t>
            </w:r>
            <w:r>
              <w:rPr>
                <w:rStyle w:val="Emphasis"/>
                <w:rFonts w:ascii="Times New Roman;Times;serif" w:hAnsi="Times New Roman;Times;serif"/>
                <w:sz w:val="20"/>
              </w:rPr>
              <w:t>101</w:t>
            </w:r>
            <w:r>
              <w:rPr>
                <w:rFonts w:ascii="Times New Roman;Times;serif" w:hAnsi="Times New Roman;Times;serif"/>
                <w:sz w:val="20"/>
              </w:rPr>
              <w:t xml:space="preserve"> and have the potential to offer patients a rapid remission from severe depression and PTSD with a single day of treatment. Millions of Americans are expected to be treated with TMS in coming years. Success in this planned clinical trial would lead to a </w:t>
            </w:r>
            <w:r>
              <w:rPr>
                <w:rStyle w:val="Emphasis"/>
                <w:rFonts w:ascii="Times New Roman;Times;serif" w:hAnsi="Times New Roman;Times;serif"/>
                <w:sz w:val="20"/>
              </w:rPr>
              <w:t>2027</w:t>
            </w:r>
            <w:r>
              <w:rPr>
                <w:rFonts w:ascii="Times New Roman;Times;serif" w:hAnsi="Times New Roman;Times;serif"/>
                <w:sz w:val="20"/>
              </w:rPr>
              <w:t xml:space="preserve"> PDUFA date for this previously unanticipated indication.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previously announced, 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NRx incorporated HOPE Therapeutics, a medical care delivery organization focused on providing cutting-edge, comprehensive interventional psychiatric treatment with the most effective treatments available, including NMDA-targeted and other neuroplastic drugs, such as ketamine, Spravato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neuromodulatory devices, such as TMS, hyperbaric therapy, digital therapeutics, and medication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 2024, </w:t>
      </w:r>
      <w:r>
        <w:rPr>
          <w:rFonts w:ascii="Times New Roman" w:hAnsi="Times New Roman"/>
          <w:caps w:val="false"/>
          <w:smallCaps w:val="false"/>
          <w:sz w:val="20"/>
        </w:rPr>
        <w:t>HOPE formed HTX Management Company, LLC, a wholly owned subsidiary organized as a Delaware limited liability company, for the purpose of supporting future back end operations associated with the growing network of HOPE clinics.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HOPE became a revenue-generating clinical enterprise through its completion of the previously announced acquisition of Dura Medical, LLC (“Dura”), a Florida limited liability company, and a revenue-generating clinical organization with locations in Naples and Ft. Myers, Florida. Founded 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Dura offers precision-based interventional psychiatry services, including ketamine infusion therapy, TMS, Spravato®, stellate ganglion blocks, and psychotherapy (See Note </w:t>
      </w:r>
      <w:r>
        <w:rPr>
          <w:rStyle w:val="Emphasis"/>
          <w:rFonts w:ascii="Times New Roman" w:hAnsi="Times New Roman"/>
          <w:caps w:val="false"/>
          <w:smallCaps w:val="false"/>
          <w:sz w:val="20"/>
        </w:rPr>
        <w:t>17</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Subsequent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the Company completed the previously announced addition of Cohen and Associates, based in Sarasota, FL, to the HOPE Network with a strategic minority investment, which expanded HOPE’s footprint on the West Coast of Florida, and related appointment of Dr. Rebecca Cohen as HOPE’s Medical Director. On </w:t>
      </w:r>
      <w:r>
        <w:rPr>
          <w:rStyle w:val="Emphasis"/>
          <w:rFonts w:ascii="Times New Roman" w:hAnsi="Times New Roman"/>
          <w:caps w:val="false"/>
          <w:smallCaps w:val="false"/>
          <w:sz w:val="20"/>
        </w:rPr>
        <w:t xml:space="preserve">November 10, 2025, </w:t>
      </w:r>
      <w:r>
        <w:rPr>
          <w:rFonts w:ascii="Times New Roman" w:hAnsi="Times New Roman"/>
          <w:caps w:val="false"/>
          <w:smallCaps w:val="false"/>
          <w:sz w:val="20"/>
        </w:rPr>
        <w:t xml:space="preserve">HOPE announced completion of clinical training on the Ampa Health TMS device and initiation of the ONE-D protocol at its Florida locations. The ONE-D protocol has been reported in the peer-reviewed literature to achieve </w:t>
      </w:r>
      <w:r>
        <w:rPr>
          <w:rStyle w:val="Emphasis"/>
          <w:rFonts w:ascii="Times New Roman" w:hAnsi="Times New Roman"/>
          <w:caps w:val="false"/>
          <w:smallCaps w:val="false"/>
          <w:sz w:val="20"/>
        </w:rPr>
        <w:t>87%</w:t>
      </w:r>
      <w:r>
        <w:rPr>
          <w:rFonts w:ascii="Times New Roman" w:hAnsi="Times New Roman"/>
          <w:caps w:val="false"/>
          <w:smallCaps w:val="false"/>
          <w:sz w:val="20"/>
        </w:rPr>
        <w:t xml:space="preserve"> response and </w:t>
      </w:r>
      <w:r>
        <w:rPr>
          <w:rStyle w:val="Emphasis"/>
          <w:rFonts w:ascii="Times New Roman" w:hAnsi="Times New Roman"/>
          <w:caps w:val="false"/>
          <w:smallCaps w:val="false"/>
          <w:sz w:val="20"/>
        </w:rPr>
        <w:t>72%</w:t>
      </w:r>
      <w:r>
        <w:rPr>
          <w:rFonts w:ascii="Times New Roman" w:hAnsi="Times New Roman"/>
          <w:caps w:val="false"/>
          <w:smallCaps w:val="false"/>
          <w:sz w:val="20"/>
        </w:rPr>
        <w:t xml:space="preserve"> remission from severe depression at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weeks following a single day of TMS treatment, combined with D-cycloserine. HOPE is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clinical enterprise to offer this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-day treatment protocol in Florida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to offer this therapy nationwide.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Through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in the subsequent period, key achievements by the Company in support of its overall mission to improve and save the lives of patients affected by central nervous system disorders including suicidal depression, chronic pain, post-traumatic stress disorder and schizophrenia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b/>
          <w:caps w:val="false"/>
          <w:smallCaps w:val="false"/>
          <w:sz w:val="20"/>
        </w:rPr>
      </w:pPr>
      <w:r>
        <w:rPr>
          <w:rFonts w:ascii="Times New Roman" w:hAnsi="Times New Roman"/>
          <w:b/>
          <w:caps w:val="false"/>
          <w:smallCaps w:val="false"/>
          <w:sz w:val="20"/>
        </w:rPr>
        <w:t>Drug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Grant of fast-track designation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from the FDA for all indications and types of depression and related disorders based on its potential to satisfy an unmet medical need. This designation represents an approximately </w:t>
            </w:r>
            <w:r>
              <w:rPr>
                <w:rStyle w:val="Emphasis"/>
                <w:rFonts w:ascii="Times New Roman;Times;serif" w:hAnsi="Times New Roman;Times;serif"/>
                <w:caps w:val="false"/>
                <w:smallCaps w:val="false"/>
                <w:sz w:val="20"/>
              </w:rPr>
              <w:t>10</w:t>
            </w:r>
            <w:r>
              <w:rPr>
                <w:rFonts w:ascii="Times New Roman;Times;serif" w:hAnsi="Times New Roman;Times;serif"/>
                <w:caps w:val="false"/>
                <w:smallCaps w:val="false"/>
                <w:sz w:val="20"/>
              </w:rPr>
              <w:t xml:space="preserve">-fold expansion of the addressable market to </w:t>
            </w:r>
            <w:r>
              <w:rPr>
                <w:rStyle w:val="Emphasis"/>
                <w:rFonts w:ascii="Times New Roman;Times;serif" w:hAnsi="Times New Roman;Times;serif"/>
                <w:caps w:val="false"/>
                <w:smallCaps w:val="false"/>
                <w:sz w:val="20"/>
              </w:rPr>
              <w:t>13</w:t>
            </w:r>
            <w:r>
              <w:rPr>
                <w:rFonts w:ascii="Times New Roman;Times;serif" w:hAnsi="Times New Roman;Times;serif"/>
                <w:caps w:val="false"/>
                <w:smallCaps w:val="false"/>
                <w:sz w:val="20"/>
              </w:rPr>
              <w:t xml:space="preserve"> million Americans, compared to the original fast track designation issued in </w:t>
            </w:r>
            <w:r>
              <w:rPr>
                <w:rStyle w:val="Emphasis"/>
                <w:rFonts w:ascii="Times New Roman;Times;serif" w:hAnsi="Times New Roman;Times;serif"/>
                <w:caps w:val="false"/>
                <w:smallCaps w:val="false"/>
                <w:sz w:val="20"/>
              </w:rPr>
              <w:t>2017</w:t>
            </w:r>
            <w:r>
              <w:rPr>
                <w:rFonts w:ascii="Times New Roman;Times;serif" w:hAnsi="Times New Roman;Times;serif"/>
                <w:caps w:val="false"/>
                <w:smallCaps w:val="false"/>
                <w:sz w:val="20"/>
              </w:rPr>
              <w:t xml:space="preserve"> for bipolar depression alone. The designation letter contains a specific finding that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addresses an “unmet medical need.” This is a specific qualifying requirement for the Commissioner’s National Priority Voucher Program.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lineRule="auto" w:line="288" w:before="0" w:after="0"/>
              <w:ind w:left="0" w:right="0" w:hanging="0"/>
              <w:jc w:val="both"/>
              <w:rPr/>
            </w:pPr>
            <w:r>
              <w:rPr>
                <w:rFonts w:ascii="Times New Roman;Times;serif" w:hAnsi="Times New Roman;Times;serif"/>
                <w:caps w:val="false"/>
                <w:smallCaps w:val="false"/>
                <w:sz w:val="20"/>
              </w:rPr>
              <w:t>Re-filing of an ANDA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(preservative-free intravenous ketamine) following an FDA notice of suitability of its suitability petition for NRx’s proposed strength of preservative-free ketamine, KETAFREETM. On </w:t>
            </w:r>
            <w:r>
              <w:rPr>
                <w:rStyle w:val="Emphasis"/>
                <w:rFonts w:ascii="Times New Roman;Times;serif" w:hAnsi="Times New Roman;Times;serif"/>
                <w:caps w:val="false"/>
                <w:smallCaps w:val="false"/>
                <w:sz w:val="20"/>
              </w:rPr>
              <w:t xml:space="preserve">November 6, 2025, </w:t>
            </w:r>
            <w:r>
              <w:rPr>
                <w:rFonts w:ascii="Times New Roman;Times;serif" w:hAnsi="Times New Roman;Times;serif"/>
                <w:caps w:val="false"/>
                <w:smallCaps w:val="false"/>
                <w:sz w:val="20"/>
              </w:rPr>
              <w:t xml:space="preserve">the Company received a communication from the FDA that did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identify any major deficiencies in the revised ANDA submission, consistent with ANDA approval in </w:t>
            </w:r>
            <w:r>
              <w:rPr>
                <w:rStyle w:val="Emphasis"/>
                <w:rFonts w:ascii="Times New Roman;Times;serif" w:hAnsi="Times New Roman;Times;serif"/>
                <w:caps w:val="false"/>
                <w:smallCaps w:val="false"/>
                <w:sz w:val="20"/>
              </w:rPr>
              <w:t>Q2</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Filing of Commissioner’s National Priority Voucher application for intravenous ketamine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Subsequently, the Company was invited to attend a closed-door listening session with the FDA Commissioner and senior staff.</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Submission of stability data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to the manufacturing data on file with the FDA sufficient to support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years of room temperature shelf stability for NRX-</w:t>
            </w:r>
            <w:r>
              <w:rPr>
                <w:rStyle w:val="Emphasis"/>
                <w:rFonts w:ascii="Times New Roman;Times;serif" w:hAnsi="Times New Roman;Times;serif"/>
                <w:caps w:val="false"/>
                <w:smallCaps w:val="false"/>
                <w:sz w:val="20"/>
              </w:rPr>
              <w:t>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Submission of draft labeling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in the treatment of suicidal depression based on the Fast Track Designation received.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a toxicology assessment of benzethonium chloride, documenting its lack of “Generally Recognized as Safe” (GRAS) status and lack of safety data to support its use in intravenous presentations of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Filing of a Citizen Petition with the FDA to seek the removal of benzethonium chloride, a toxic preservative, from all ketamine products for intravenous administration.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Filing of a patent application for NRX-</w:t>
            </w:r>
            <w:r>
              <w:rPr>
                <w:rStyle w:val="Emphasis"/>
                <w:rFonts w:ascii="Times New Roman;Times;serif" w:hAnsi="Times New Roman;Times;serif"/>
                <w:caps w:val="false"/>
                <w:smallCaps w:val="false"/>
                <w:sz w:val="20"/>
              </w:rPr>
              <w:t>100,</w:t>
            </w:r>
            <w:r>
              <w:rPr>
                <w:rFonts w:ascii="Times New Roman;Times;serif" w:hAnsi="Times New Roman;Times;serif"/>
                <w:caps w:val="false"/>
                <w:smallCaps w:val="false"/>
                <w:sz w:val="20"/>
              </w:rPr>
              <w:t xml:space="preserve"> the Company’s proprietary preservative-free formulation of intravenous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Receipt of filing fee waiver from the FDA for NRX-</w:t>
            </w:r>
            <w:r>
              <w:rPr>
                <w:rStyle w:val="Emphasis"/>
                <w:rFonts w:ascii="Times New Roman;Times;serif" w:hAnsi="Times New Roman;Times;serif"/>
                <w:caps w:val="false"/>
                <w:smallCaps w:val="false"/>
                <w:sz w:val="20"/>
              </w:rPr>
              <w:t>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Filing of module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manufacturing data to support an NDA for NRX-</w:t>
            </w:r>
            <w:r>
              <w:rPr>
                <w:rStyle w:val="Emphasis"/>
                <w:rFonts w:ascii="Times New Roman;Times;serif" w:hAnsi="Times New Roman;Times;serif"/>
                <w:caps w:val="false"/>
                <w:smallCaps w:val="false"/>
                <w:sz w:val="20"/>
              </w:rPr>
              <w:t>101</w:t>
            </w:r>
            <w:r>
              <w:rPr>
                <w:rFonts w:ascii="Times New Roman;Times;serif" w:hAnsi="Times New Roman;Times;serif"/>
                <w:caps w:val="false"/>
                <w:smallCaps w:val="false"/>
                <w:sz w:val="20"/>
              </w:rPr>
              <w:t xml:space="preserve"> in the treatment of patients with suicidal bipolar depression and akathisia despite treatment with already-approved medication.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caps w:val="false"/>
          <w:smallCaps w:val="false"/>
          <w:sz w:val="20"/>
        </w:rPr>
      </w:pPr>
      <w:r>
        <w:rPr>
          <w:rFonts w:ascii="Times New Roman" w:hAnsi="Times New Roman"/>
          <w:b/>
          <w:caps w:val="false"/>
          <w:smallCaps w:val="false"/>
          <w:sz w:val="20"/>
        </w:rPr>
        <w:t>HOPE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Completed the acquisition of Dura and subsequent acquisition of an interest in Cohen.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Appointment of Dr. Rebecca Cohen as HOPE’s Medical Director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Completion of clinical training and First-in-Florida initiation of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-day depression treatment (ONE-D) utilizing D-cycloserine and the Ampa Health FDA-cleared TMS device.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accompanying unaudited condensed consolidated financial statements have been prepared assuming the Company will continue as a going concern, which contemplates the realization of assets and the satisfaction of liabilities in the ordinary course of business. Since inception, the Company has incurred recurring operating losses and negative cash flows from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reported a net loss of approximately $29.0 million, used cash in operations of approximately $10.4 million, had an accumulated deficit of approximately $307.3 million.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 Company had cash and cash equivalents of $7.2 million and a working capital deficit of $28.6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generated initial patient service revenue of approximately $0.2 million during the quarter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following the acquisition of Dura 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Management expects to continue incurring operating losses through at least the remainder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as it integrates Dura and pursues additional acquisitions through its HOPE subsidiary. While management projects incremental revenue from clinical operations and, upon regulatory approval, from pharmaceutical product sales, these projections are subject to significant uncertainty, including successful completion of pending acquisitions and receipt of FDA approval for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had $7.2 million in cash and cash equivalents. 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entered into a securities purchase agreement (the “First RD Purchase Agreement”) with the investors for the sale by the Company of 1,215,278 shares (the “First RD Shares”) of Common Stock to the investors, at a purchase price of $2.88 per share, in a registered direct offering (the “First Registered Direct Offering”). The closing of the sales of these securities under the First RD Purchase Agreement occurred on or about </w:t>
      </w:r>
      <w:r>
        <w:rPr>
          <w:rStyle w:val="Emphasis"/>
          <w:rFonts w:ascii="Times New Roman" w:hAnsi="Times New Roman"/>
          <w:caps w:val="false"/>
          <w:smallCaps w:val="false"/>
          <w:sz w:val="20"/>
        </w:rPr>
        <w:t>January 29, 2025 (</w:t>
      </w:r>
      <w:r>
        <w:rPr>
          <w:rFonts w:ascii="Times New Roman" w:hAnsi="Times New Roman"/>
          <w:caps w:val="false"/>
          <w:smallCaps w:val="false"/>
          <w:sz w:val="20"/>
        </w:rPr>
        <w:t xml:space="preserve">the “First RD Closing Date”), resulting in net proceeds to the Company of approximately $3.255 million after transaction costs. Concurrently with the sale of the First RD Shares, pursuant to the First RD Purchase Agreement the Company also sold to the investors unregistered Common Stock purchase warrants (the “First RD Warrants”) to purchase up to an aggregate of 1,215,278 shares of Common Stock (the “First RD Warrant Shares”), in a private placement. Subject to certain beneficial ownership limitations, the RD Warrants are immediately exercisable upon issuance at an exercise price equal to $2.88 per share of Common Stock, subject to adjustments as provided under the terms of the RD Warrants and are exercisable for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from the First RD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18, 2025, </w:t>
      </w:r>
      <w:r>
        <w:rPr>
          <w:rFonts w:ascii="Times New Roman" w:hAnsi="Times New Roman"/>
          <w:caps w:val="false"/>
          <w:smallCaps w:val="false"/>
          <w:sz w:val="20"/>
        </w:rPr>
        <w:t xml:space="preserve">the Company entered into a securities purchase agreement (the “Second RD Purchase Agreement”) with certain accredited investors for the sale of an aggregate of 3,959,999 shares of the Company’s Common Stock, at a purchase price of $1.65 per share (the “Second Registered Direct Offering”). The Second Registered Direct Offering closed on </w:t>
      </w:r>
      <w:r>
        <w:rPr>
          <w:rStyle w:val="Emphasis"/>
          <w:rFonts w:ascii="Times New Roman" w:hAnsi="Times New Roman"/>
          <w:caps w:val="false"/>
          <w:smallCaps w:val="false"/>
          <w:sz w:val="20"/>
        </w:rPr>
        <w:t xml:space="preserve">August 18, 2025, </w:t>
      </w:r>
      <w:r>
        <w:rPr>
          <w:rFonts w:ascii="Times New Roman" w:hAnsi="Times New Roman"/>
          <w:caps w:val="false"/>
          <w:smallCaps w:val="false"/>
          <w:sz w:val="20"/>
        </w:rPr>
        <w:t xml:space="preserve">and resulted in net proceeds of approximately $6.2 million, after deducting placement agent fees and other offering-related expenses of approximately $0.3 million. Concurrently with the execution of the Second RD Purchase Agreement, the purchasers of the Second Registered Direct Offering entered into Lock-Up Agreements with the Company, pursuant to which they agreed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sell, transfer, or otherwise dispose of the shares of Common Stock, subject to certain exceptions, without the prior written consent of the Company until </w:t>
      </w:r>
      <w:r>
        <w:rPr>
          <w:rStyle w:val="Emphasis"/>
          <w:rFonts w:ascii="Times New Roman" w:hAnsi="Times New Roman"/>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purchase agreement (the “Anson Purchase Agreement”) with Anson Investment Master Fund LP and Anson East Master Fund LP (collectively “Anson”), on </w:t>
      </w:r>
      <w:r>
        <w:rPr>
          <w:rStyle w:val="Emphasis"/>
          <w:rFonts w:ascii="Times New Roman" w:hAnsi="Times New Roman"/>
          <w:caps w:val="false"/>
          <w:smallCaps w:val="false"/>
          <w:sz w:val="20"/>
        </w:rPr>
        <w:t>January 28, 2025 (</w:t>
      </w:r>
      <w:r>
        <w:rPr>
          <w:rFonts w:ascii="Times New Roman" w:hAnsi="Times New Roman"/>
          <w:caps w:val="false"/>
          <w:smallCaps w:val="false"/>
          <w:sz w:val="20"/>
        </w:rPr>
        <w:t xml:space="preserve">the “Third Closing Date”), the Company sold a total of $5.4 million in Notes (as defined below) subject to an original issue discount of 8% or $0.435 million less other issuance costs of $0.4 million noted below (the “Third Tranche Notes” and collectively with the First Tranche Notes and Second Tranche Notes, the (“Anson Notes”)), with an aggregate purchase price of approximately $5.0 million, and warrants to purchase up to 862,699 shares of Common Stock. The Company intends to use the net proceeds from these transactions for general corporate purposes, including the funding of certain capital expenditures (See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1,870,960 shares underlying Anson Warrants were exercised for cash proceeds of $3.09 million. Because the exercise proceeds were received subsequent to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recorded a subscription receivable asset of $3.09 million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exercise proceeds of $3.09 million were received on </w:t>
      </w:r>
      <w:r>
        <w:rPr>
          <w:rStyle w:val="Emphasis"/>
          <w:rFonts w:ascii="Times New Roman" w:hAnsi="Times New Roman"/>
          <w:caps w:val="false"/>
          <w:smallCaps w:val="false"/>
          <w:sz w:val="20"/>
        </w:rPr>
        <w:t>October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the Company reinstated its at-the-market offering and increased the maximum aggregate offering amount and filed a prospectus supplement under the offering agreement for an aggregate of $20,000,000.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sold an aggregate of 1,350,788 shares of Common Stock for approximately $3.81 million, net of less than $0.1 million in offered costs.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sold an aggregate of 1,749,866 shares of Common Stock for approximately $4.85 million, net of $0.1 million in offering costs. For more information regarding the Company’s at-the-market offering, please see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“Equity,” of these unaudited condensed consolidated quarterly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secured operating capital that it anticipates as sufficient to fund its drug development operations through at least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to finance submission of FDA NDAs for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The Company additionally expects to continue to accrue revenue from clinical operations.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pursue additional equity or debt financing or refinancing opportunities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to fund ongoing clinical activities, to meet obligations under its current debt arrangements and for general corporate purposes.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the Company’s working capital needs and debt repayment obligations. As such, the Company has concluded that substantial doubt exists regarding the Company’s ability to continue as a going concern for a period of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from the date of issuance of these condensed consolidated financial statements. The accompanying condensed consolidated financial statements have been prepared on a going concern basis, which contemplates the realization of assets and satisfaction of liabilities in the ordinary course of business. The accompanying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adjustments to reflect the recoverability and classification of recorded asset amounts and classification of liabilities that might be necessary should the company be unable to continue as a going concern.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accompanying unaudited interim condensed consolidated financial statements have been prepared in accordance with generally accepted accounting principles in the United States of America (“GAAP”) as determined by the Financial Accounting Standards Board (“FASB”) Accounting Standards Codification (“ASC”) and the rules and regulations of the Securities and Exchange Commission (“SEC”) for interim financial information.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financial statements. In the opinion of management, the unaudited interim condensed consolidated financial statements reflect all adjustments, which include only normal recurring adjustments, necessary for the fair presentation of the condensed consolidated balance sheet, statements of operations and cash flows for the interim periods presented. The results of operations for any interim periods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expected for the entire fiscal year or any other interim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condensed consolidated financial statements include the accounts of NRx Pharmaceuticals, Inc. and its wholly owned subsidiaries. All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preparation of condensed consolidated financial statements requires management to make estimates and assumptions that affect the reported amounts of assets, liabilities and expenses and the disclosure of contingent assets and liabilities in its condensed consolidated financial statements and the reported amounts of expenses during the reporting period. The most significant estimates in the Company’s condensed consolidated financial statements relate to the allowance for credit losses on accounts receivable, fair value of the convertible notes payable, fair value of warrant liabilities, fair value of stock options and warrants, fair value of the Common Stock shares granted for services, fair value of the purchase price and the assets acquired and liabilities assumed in business combinations, the fair value of intangible assets and goodwill, the fair value of lease liabilities and related right of use assets, and the utilization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apparent from other sources.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materially and adversely from these estimates. To the extent there are material differences between the estimates and actual results, the Company’s future results of operations will be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Certain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development by the Company or its competitors of new technological innovations, dependence on key personnel, reliance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manufacturers, protection of proprietary technology, and compliance with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Measurements (“ASC </w:t>
      </w:r>
      <w:r>
        <w:rPr>
          <w:rStyle w:val="Emphasis"/>
          <w:rFonts w:ascii="Times New Roman" w:hAnsi="Times New Roman"/>
          <w:caps w:val="false"/>
          <w:smallCaps w:val="false"/>
          <w:sz w:val="20"/>
        </w:rPr>
        <w:t>820”</w:t>
      </w:r>
      <w:r>
        <w:rPr>
          <w:rFonts w:ascii="Times New Roman" w:hAnsi="Times New Roman"/>
          <w:caps w:val="false"/>
          <w:smallCaps w:val="false"/>
          <w:sz w:val="20"/>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accounting guidance classifies fair value measurements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for disclosure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Quoted prices in active markets for identical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other than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prices for similar assets or liabilities that are directly or indirectly observable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inputs which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values determined using pricing models, discounted cash flow methodologies, or similar techniques, as well as instruments for which the determination of fair value requires significant judgment or estimation. (Refer to Note </w:t>
      </w:r>
      <w:r>
        <w:rPr>
          <w:rStyle w:val="Emphasis"/>
          <w:rFonts w:ascii="Times New Roman" w:hAnsi="Times New Roman"/>
          <w:caps w:val="false"/>
          <w:smallCaps w:val="false"/>
          <w:sz w:val="20"/>
        </w:rPr>
        <w:t>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Business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recognizes and measures identifiable tangible and intangible assets acquired and liabilities assumed as of the acquisition date at fair value. Fair value measurements require extensive use of estimates and assumptions, including estimates of future cash flows to be generated by the acquired assets. The operating results of the acquired business are included in our unaudited condensed consolidated financial statements beginning on the date of acquisition. The purchase price is equivalent to the fair value of consideration transferred. Goodwill is recognized for the excess of purchase price over the net fair value of assets acquired and liabilities assumed. Acquisition-related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Concentration of Credit Risk and Off-Balance Sheet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exposed to unusual credit risk beyond the normal credit risk associated with commercial banking relationships. Deposits in financial institutions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exceed federally insured limits.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Company’s cash and cash equivalents balance within money market accounts was in excess of the U.S. federally insured limits by $6.9 million.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experienced any losses on its deposits of cash. The Company maintains a portion of its cash and cash equivalent balances in the form of a money market account with a financial institution that management believes to be creditworthy.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Cash and Cash Equivalents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considers all highly liquid investments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at the time of initial purchase to be cash equivalents, including balances held in the Company’s money market accounts. The Company maintains its cash and cash equivalents with financial institutions, in which balances from time to time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exceed the U.S. federally insured limits. The objectives of the Company’s cash management policy are to safeguard and preserve funds to maintain liquidity sufficient to meet the Company’s cash flow requirements, and to attain a market rate of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are recorded at the estimated transaction price (net of contractual adjustments, discounts, and implicit price concessions). The Company applies the Current Expected Credit Loss (“CECL”) model to estimate lifetime expected credit losses on trade receivables and contract assets, pooling receivables by payer type and aging and incorporating historical loss experience, current conditions, and reasonable</w:t>
        <w:noBreakHyphen/>
        <w:t>and</w:t>
        <w:noBreakHyphen/>
        <w:t>supportable forecasts with reversion to historical loss information beyond the forecast horizon. Receivables are written off when collection is deemed remote; recoveries are recognized when received. The Company does not have any off-balance sheet credit exposure related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part of the acquisition of Dura 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accounts receivable were recorded at fair value, which reflected expected collectability (see Note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Business Combinations). Post-acquisition, the Company continues to apply the CECL model to estimate expected credit losses. The allowance for credit losses was $0.1 million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respectively. The company recorded a credit loss recovery of less than $0.1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believes that its reserve is adequate; however, actual results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intangible assets consist of customer relationships, trade name, and non-compete agreements. Customer relationships represents the value of established patient relationships and referral sources that are expected to generate recurring revenue streams. Trade name represents the value associated with the brand name in place at the date of the acquisition. Non-compete intangible assets represent the value associated with non-compete agreements for former employees and owners in place at the date of the acquisition. The customer relationships and trade name are being amortized over a 7-year term and </w:t>
      </w:r>
      <w:r>
        <w:rPr>
          <w:rStyle w:val="Emphasis"/>
          <w:rFonts w:ascii="Times New Roman" w:hAnsi="Times New Roman"/>
          <w:caps w:val="false"/>
          <w:smallCaps w:val="false"/>
          <w:sz w:val="20"/>
        </w:rPr>
        <w:t>10</w:t>
      </w:r>
      <w:r>
        <w:rPr>
          <w:rFonts w:ascii="Times New Roman" w:hAnsi="Times New Roman"/>
          <w:caps w:val="false"/>
          <w:smallCaps w:val="false"/>
          <w:sz w:val="20"/>
        </w:rPr>
        <w:t>-year term, respectively, based on the estimated economic useful life of the customer relationships and trademark. The non-compete agreement is amortized over a 5-year term based on the estimated useful life of the asset. The amortization of the intangible asset is computed using the straight-line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evaluates its definite-lived intangible assets for impairment whenever events or changes in circumstances indicate that the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Such indicators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adverse changes in market conditions, legal or regulatory developments, or underperformance relative to expectations. If indicators are present, the Company performs a recoverability test by comparing the asset’s carrying amount to the undiscounted future cash flows expected to result from its use and eventual disposition. If the carrying amount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an impairment loss is recognized for the excess of the carrying amount over the asset’s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Goodwill represents the excess of the cost of an acquired business over the fair value assigned to its net assets. 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tested for impairment at a reporting unit level on an annual basis or when an event occurs, or circumstances change that would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 the fair value of a reporting unit below its carrying amount. Events or changes in circumstances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trigger interim impairment reviews include,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significant adverse changes in business climate, operating results, planned investments in the reporting unit, or an expectation that the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among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may first</w:t>
      </w:r>
      <w:r>
        <w:rPr>
          <w:rFonts w:ascii="Times New Roman" w:hAnsi="Times New Roman"/>
          <w:caps w:val="false"/>
          <w:smallCaps w:val="false"/>
          <w:sz w:val="20"/>
        </w:rPr>
        <w:t xml:space="preserve"> assess qualitative factors to determine whether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If, after assessing the totality of events and circumstances, the Company determines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reporting unit is greater than its carrying amount, an impairment test is unnecessary. If an impairment test is necessary, the Company will estimate the fair value of its related reporting units. If the carrying value of a reporting unit exceeds its fair value, the goodwill of that reporting unit is determined to be impaired, and the Company will proceed with recording an impairment charge equal to the excess of the carrying value over the related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recorded goodwill in connection with a business acquisition. In evaluating whether a triggering event occurred during the period, the Company performed a qualitative assessment consistent with the guidance in U.S. GAAP. This assessment considered the totality of events and circumstances, including the existence of substantial doubt to continue as a going concern, and concluded that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(i.e., less than a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that the fair value of the reporting unit is below its carrying amount. Based on this assessment, no impairment charges related to goodwill were recorded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Furniture and Equipment, net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Furniture and equipment, net is stated at cost less accumulated depreciation. These assets are depreciated over their estimated useful lives of five to seven years using the straight-line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adheres to ASC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Property, Plant, and Equipment</w:t>
      </w:r>
      <w:r>
        <w:rPr>
          <w:rFonts w:ascii="Times New Roman" w:hAnsi="Times New Roman"/>
          <w:caps w:val="false"/>
          <w:smallCaps w:val="false"/>
          <w:sz w:val="20"/>
        </w:rPr>
        <w:t xml:space="preserve"> and periodically evaluates whether current facts or circumstances indicate that the carrying value of its depreciable assets to be held and used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If such circumstances are determined to exist, an estimate of undiscounted future cash flows produced by the long-lived assets, or the appropriate grouping of assets, is compared to the carrying value to determine whether impairment exists. If an asset is determined to be impaired, the loss is measured based on the difference between the asset’s fair value and its carrying value. For long-lived assets, the estimate of fair value is based on various valuation techniques, including a discounted value of estimated future cash flows. The Company reports an asset to be disposed of at the lower of its carrying value or its fair value less costs to sell. There were no impairment losses for long-lived assets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Recognition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revenue under FASB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for Contract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or other accounting standards for revenue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derived from customers.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market conditions, timelines, and probabilities of regulatory success to determine the stand-alone selling price for each performance obligation identified in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enters into contractual arrangements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to intellectual property and research and development services. When such contractual arrangements are determined to be accounted for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evaluates the promised good or services to determine which promises, or group of promises, represent performance obligations. When accounting for an arrangement that contains multiple performance obligations, the Company must develop judgmental assumptions,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market conditions, timelines, and probabilities of regulatory success to determine the stand-alone selling price for each performance obligation identified in the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License Agreement (the “License Agreement”) with Alvogen Pharma US, Inc., Alvogen, Inc., and Lotus Pharmaceutical Co. Ltd. (collectively, “Alvogen”) (as further discussed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below) was accounted for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it performs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steps:</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245"/>
        <w:gridCol w:w="68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identify the contract(s) with a customer;</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identify the performance obligations in the contract;</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determine the transaction price;</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allocate the transaction price to the performance obligations within the contract; and</w:t>
            </w:r>
          </w:p>
        </w:tc>
      </w:tr>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 revenue when (or as) the entity satisfies a performance obligation.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only applies the </w:t>
      </w:r>
      <w:r>
        <w:rPr>
          <w:rStyle w:val="Emphasis"/>
          <w:rFonts w:ascii="Times New Roman" w:hAnsi="Times New Roman"/>
          <w:caps w:val="false"/>
          <w:smallCaps w:val="false"/>
          <w:sz w:val="20"/>
        </w:rPr>
        <w:t>five</w:t>
      </w:r>
      <w:r>
        <w:rPr>
          <w:rFonts w:ascii="Times New Roman" w:hAnsi="Times New Roman"/>
          <w:caps w:val="false"/>
          <w:smallCaps w:val="false"/>
          <w:sz w:val="20"/>
        </w:rPr>
        <w:t>-step model to contracts when it determines that it is probable it will collect the consideration it is entitled to in exchange for the goods or services it transfers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contract inception, once the contract is determined to be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individually distinct performance obligations are combined with other promised goods or services until such combined group of promises meet the requirements of a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determines transaction price based on the amount of consideration the Company expects to receive for transferring the promised goods or services in the contract. Consideration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when the uncertainty associated with the variable consideration is subsequently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for each reporting period and, if necessary, adjusts the measure of performance and related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Company’s revenue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Milestone Payments</w:t>
      </w:r>
      <w:r>
        <w:rPr>
          <w:rFonts w:ascii="Times New Roman" w:hAnsi="Times New Roman"/>
          <w:caps w:val="false"/>
          <w:smallCaps w:val="false"/>
          <w:sz w:val="20"/>
        </w:rPr>
        <w:t xml:space="preserve">: At the inception of an agreement that includes milestone payments, the Company evaluates each milestone to determine when and how much of the milestone to include in the transaction price. The Company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Royalties</w:t>
      </w:r>
      <w:r>
        <w:rPr>
          <w:rFonts w:ascii="Times New Roman" w:hAnsi="Times New Roman"/>
          <w:caps w:val="false"/>
          <w:smallCaps w:val="false"/>
          <w:sz w:val="20"/>
        </w:rPr>
        <w:t>: For arrangements that include sales-based royalties, including milestone payments based on a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Research Services</w:t>
      </w:r>
      <w:r>
        <w:rPr>
          <w:rFonts w:ascii="Times New Roman" w:hAnsi="Times New Roman"/>
          <w:caps w:val="false"/>
          <w:smallCaps w:val="false"/>
          <w:sz w:val="20"/>
        </w:rPr>
        <w:t xml:space="preserve">: The Company incurred research costs in association with the License Agreement. After the First Milestone Payment (as defined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below), the Company would have been reimbursed for certain costs incurred related to reasonable and documented out-of-pocket costs for clinical and non-clinical development activities. The Company would have recognized revenue for the reimbursed costs when the First Milestone Payment contingencies had been achieved, and the Company had an enforceable claim to the reimbursed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Patient Service Revenue:</w:t>
      </w:r>
      <w:r>
        <w:rPr>
          <w:rFonts w:ascii="Times New Roman" w:hAnsi="Times New Roman"/>
          <w:caps w:val="false"/>
          <w:smallCaps w:val="false"/>
          <w:sz w:val="20"/>
        </w:rPr>
        <w:t xml:space="preserve"> Patient service revenue is recognized as performance obligations are satisfied, which occurs over time as patients simultaneously receive and consume services. Each treatment or visit generally represents a separate contract. Procedural services (e.g., ketamine infusions, esketamine administration, TMS sessions, SGB/epidural procedures) are recognized at the point in time when rendered; therapy and medication management services are recognized as sessions occur. The transaction price includes variable consideration such as contractual adjustments, expected denials, and implicit price concessions, which are estimated and constrained to amounts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reverse. The Company applies the portfolio approach for contracts with similar characteristics by payer and service type. The Company elected the practical expedient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assess a significant financing component because the period between service and payment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The Company acts as principal in its patient service arrangements and records revenue on a gross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Patient service revenue is primarily derived from services rendered to patients for outpatient behavioral health care, interventional psychiatry, and pain management procedures. The Company’s services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fixed duration and can generally be terminated by the patient or the Company at any time; therefore, each treatment or visit is considered its own stand-alone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disaggregates Patient service revenue from contracts with customers by service type including procedural services and therapy services and by payor type including commercial insurance, Medicare, and self-pay. Management believes this presentation best reflects the nature, amount, timing, and uncertainty of the Company’s patient service revenue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patient services includes direct costs associated with providing healthcare services, such as salaries and benefits for clinical personnel, medical supplies, pharmaceuticals, and other costs directly attributable to patient care. These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Research and Development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 consists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 for goods and services that will be used in future research and development activities are recorded as prepaid assets and expensed when the activity has been performed or when the goods have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Non-cancellable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record certain obligations as liabilities related to non-cancellable contracts. If appropriate, the offsetting costs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recorded as a deferred cost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Convertible Notes Payable and Fair Value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permitted under FASB ASC Topic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Financial Instruments (“ASC </w:t>
      </w:r>
      <w:r>
        <w:rPr>
          <w:rStyle w:val="Emphasis"/>
          <w:rFonts w:ascii="Times New Roman" w:hAnsi="Times New Roman"/>
          <w:caps w:val="false"/>
          <w:smallCaps w:val="false"/>
          <w:sz w:val="20"/>
        </w:rPr>
        <w:t>825”</w:t>
      </w:r>
      <w:r>
        <w:rPr>
          <w:rFonts w:ascii="Times New Roman" w:hAnsi="Times New Roman"/>
          <w:caps w:val="false"/>
          <w:smallCaps w:val="false"/>
          <w:sz w:val="20"/>
        </w:rPr>
        <w:t>), the Company elected to account for its promissory notes, which meet the required criteria, at fair value at inception. Subsequent changes in fair value including interest and amortization of discounts are recorded as a component the change in fair value of convertible notes payable included in other expense (income) in the condensed consolidated statements of operations. The portion of total changes in fair value of the notes attributable to changes in instrument-specific credit risk are determined through specific measurement of periodic changes in the discount rate assumption exclusive of base market changes and are presented as a component of comprehensive income in the accompanying condensed consolidated statements of operations and comprehensive loss. As a result of electing the fair value option, direct costs and fees related to the issuance of the promissory notes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its notes payable using a Monte Carlo simulation model, which uses as inputs the fair value of its Common Stock and estimates for the equity volatility of its Common Stock, the time to expiration (i.e., expected term) of the note, the risk-free interest rate for a period that approximates the time to expiration, and probability of default. Therefore, the Company estimates its expected future equity volatility based on the historical volatility of its Common Stock price utilizing a lookback period consistent with the time to expiration. The time to expiration is based on the contractual maturity date, giving consideration to the redemption features embedded in the notes. The risk-free interest rate is determined based on the U.S. Treasury yield curve in effect at the time of measurement for time periods approximately equal to the time to expiration. Unless otherwise specified, the probability of default is estimated using Bloomberg’s Default Risk function which uses its financial information to calculate a default risk specific to the Company. Management believes those assumptions are reasonable but if these assumptions change, it could materially affect the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condensed consolidated statements of operations and comprehensive loss based upon the underlying individual’s role at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accounts for warrants as either equity-classified or liability-classified instruments based on an assessment of the warrant’s specific terms and applicable authoritative guidance in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assessment considers whether the warrants are freestanding financial instruments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meet the definition of a liability pursuant to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and whether the warrants meet all of the requirements for equity classification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issued or modified warrants that meet all of the criteria for equity classification, the warrants are required to be recorded as a component of additional paid-in capital at the time of issuance. For issued or modified warrants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Company generally determines fair value of the Common Stock Warrants using a Black-Scholes valuation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change in any of the terms or conditions of warrants is accounted for as a modification. The accounting for incremental fair value of warrants is based on the specific facts and circumstances related to the modification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 reduction of additional paid-in capital, recognition of costs for services rendered, or recognized as a deemed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the Company’s Series A preferred stock was classified as permanent equity as it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mandatorily redeemable upon an event that is considered outside of the Company’s control. Further,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Derivatives and Hedging </w:t>
      </w:r>
      <w:r>
        <w:rPr>
          <w:rFonts w:ascii="Times New Roman" w:hAnsi="Times New Roman"/>
          <w:caps w:val="false"/>
          <w:smallCaps w:val="false"/>
          <w:sz w:val="20"/>
        </w:rPr>
        <w:t xml:space="preserve">– </w:t>
      </w:r>
      <w:r>
        <w:rPr>
          <w:rFonts w:ascii="Times New Roman" w:hAnsi="Times New Roman"/>
          <w:i/>
          <w:caps w:val="false"/>
          <w:smallCaps w:val="false"/>
          <w:sz w:val="20"/>
        </w:rPr>
        <w:t>Contracts in an Entity</w:t>
      </w:r>
      <w:r>
        <w:rPr>
          <w:rFonts w:ascii="Times New Roman" w:hAnsi="Times New Roman"/>
          <w:caps w:val="false"/>
          <w:smallCaps w:val="false"/>
          <w:sz w:val="20"/>
        </w:rPr>
        <w:t>’</w:t>
      </w:r>
      <w:r>
        <w:rPr>
          <w:rFonts w:ascii="Times New Roman" w:hAnsi="Times New Roman"/>
          <w:i/>
          <w:caps w:val="false"/>
          <w:smallCaps w:val="false"/>
          <w:sz w:val="20"/>
        </w:rPr>
        <w:t>s Own Equity</w:t>
      </w:r>
      <w:r>
        <w:rPr>
          <w:rFonts w:ascii="Times New Roman" w:hAnsi="Times New Roman"/>
          <w:caps w:val="false"/>
          <w:smallCaps w:val="false"/>
          <w:sz w:val="20"/>
        </w:rPr>
        <w:t xml:space="preserve">, the Series A preferred stock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any of the criteria that would preclude equity classification. The Company concluded that the Series A preferred stock was more akin to an equity-type instrument than a debt-type instrument, therefore the conversion features associated with the convertible preferred stock were deemed to be clearly and closely related to the host instrument and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bifurcated as a derivative under ASC </w:t>
      </w:r>
      <w:r>
        <w:rPr>
          <w:rStyle w:val="Emphasis"/>
          <w:rFonts w:ascii="Times New Roman" w:hAnsi="Times New Roman"/>
          <w:caps w:val="false"/>
          <w:smallCaps w:val="false"/>
          <w:sz w:val="20"/>
        </w:rPr>
        <w:t>815.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Company’s Chief Operating Decision Maker (“CODM”) is its Chief Executive Officer, who reviews financial information presented for purposes of making operating decisions, assessing financial performance, and allocating resources. The Company operates as a single operating and reportable segment, consistent with the manner in which the CODM evaluates performance and allocates resources, see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Income taxes are recorded in accordance with FASB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some or all of the deferred tax assets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The Company accounts for uncertain tax positions in accordance with the provisions of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When uncertain tax positions exist, the Company recognizes the tax benefit of tax positions to the extent that the benefit would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assuming examination by the taxing authority. The determination as to whether the tax benefit will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applies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when computing net income or loss per share attributable to Common Stockholders. In determining net income or loss attributable to Common Stockholders,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requires income or loss allocable to participating securities for the period to be allocated between common and participating securities based on their respective rights to share in the earnings as if all of the income or loss allocable for the period had been distributed. In periods of net loss,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allocation required under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as the participating securities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obligation to fund the losses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6840" w:type="dxa"/>
        <w:jc w:val="left"/>
        <w:tblInd w:w="0" w:type="dxa"/>
        <w:tblLayout w:type="fixed"/>
        <w:tblCellMar>
          <w:top w:w="0" w:type="dxa"/>
          <w:left w:w="0" w:type="dxa"/>
          <w:bottom w:w="0" w:type="dxa"/>
          <w:right w:w="0" w:type="dxa"/>
        </w:tblCellMar>
      </w:tblPr>
      <w:tblGrid>
        <w:gridCol w:w="4685"/>
        <w:gridCol w:w="60"/>
        <w:gridCol w:w="60"/>
        <w:gridCol w:w="950"/>
        <w:gridCol w:w="60"/>
        <w:gridCol w:w="60"/>
        <w:gridCol w:w="60"/>
        <w:gridCol w:w="845"/>
        <w:gridCol w:w="60"/>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131,833</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33,333</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5,327,636</w:t>
            </w:r>
          </w:p>
        </w:tc>
        <w:tc>
          <w:tcPr>
            <w:tcW w:w="60"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issuable upon conversion of Anson Notes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3,236,280</w:t>
            </w:r>
          </w:p>
        </w:tc>
        <w:tc>
          <w:tcPr>
            <w:tcW w:w="60"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11,695,127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8,729,082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Recent Accounting Pronouncements </w:t>
      </w:r>
      <w:r>
        <w:rPr>
          <w:rStyle w:val="Emphasis"/>
          <w:rFonts w:ascii="Times New Roman" w:hAnsi="Times New Roman"/>
          <w:i/>
          <w:caps w:val="false"/>
          <w:smallCaps w:val="false"/>
          <w:sz w:val="20"/>
        </w:rPr>
        <w:t>Not</w:t>
      </w:r>
      <w:r>
        <w:rPr>
          <w:rFonts w:ascii="Times New Roman" w:hAnsi="Times New Roman"/>
          <w:i/>
          <w:caps w:val="false"/>
          <w:smallCaps w:val="false"/>
          <w:sz w:val="20"/>
        </w:rPr>
        <w:t xml:space="preserve">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new accounting pronouncements are issued by the FASB or other standard setting bodies and are adopted by the Company as of the specified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Improvements to Income Tax Disclosures </w:t>
      </w:r>
      <w:r>
        <w:rPr>
          <w:rFonts w:ascii="Times New Roman" w:hAnsi="Times New Roman"/>
          <w:caps w:val="false"/>
          <w:smallCaps w:val="false"/>
          <w:sz w:val="20"/>
        </w:rPr>
        <w:t xml:space="preserve">(“ASU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which is intended to enhance the transparency and decision usefulness of income tax disclosures, primarily by amending disclosure requirements for the effective tax rate reconciliation and income taxes paid.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should be applied on a prospective basis, and retrospective application is permitted.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Early adoption is permitted. The Company is currently evaluating the presentational impact of this ASU and expects to adopt its provisions in the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ending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Financial Accounting Standards Board (the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and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Clarifying the Effective Date</w:t>
      </w:r>
      <w:r>
        <w:rPr>
          <w:rFonts w:ascii="Times New Roman" w:hAnsi="Times New Roman"/>
          <w:caps w:val="false"/>
          <w:smallCaps w:val="false"/>
          <w:sz w:val="20"/>
        </w:rPr>
        <w:t xml:space="preserve">, which clarified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will also require the Company to disclose both the amount and the Company’s definition of selling expenses. The Company will adopt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 its annual report for the year ended </w:t>
      </w:r>
      <w:r>
        <w:rPr>
          <w:rStyle w:val="Emphasis"/>
          <w:rFonts w:ascii="Times New Roman" w:hAnsi="Times New Roman"/>
          <w:caps w:val="false"/>
          <w:smallCaps w:val="false"/>
          <w:sz w:val="20"/>
        </w:rPr>
        <w:t>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Business Combinations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and Consolidation (Topic </w:t>
      </w:r>
      <w:r>
        <w:rPr>
          <w:rStyle w:val="Emphasis"/>
          <w:rFonts w:ascii="Times New Roman" w:hAnsi="Times New Roman"/>
          <w:caps w:val="false"/>
          <w:smallCaps w:val="false"/>
          <w:sz w:val="20"/>
        </w:rPr>
        <w:t>810</w:t>
      </w:r>
      <w:r>
        <w:rPr>
          <w:rFonts w:ascii="Times New Roman" w:hAnsi="Times New Roman"/>
          <w:caps w:val="false"/>
          <w:smallCaps w:val="false"/>
          <w:sz w:val="20"/>
        </w:rPr>
        <w:t xml:space="preserve">): Determining the Accounting Acquirer in the Acquisition of a Variable Interest Entity (“VIE”), which provides clarifying guidance on determining the accounting acquirer in certain transactions involving VIEs. The update aims to improve consistency and comparability in financial reporting. The guidance will be effective for annual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including interim periods within those annual periods. Early adoption is permitted. Upon adoption, the guidance will be applied prospectively. The Company is currently evaluating the provisions of the amendments and the impact on its future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Financial Instruments-Credit Losses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Measurement of Credit Losses for Accounts Receivable and Contract Assets. This standard provides all entities with a practical expedient to assume that current conditions as of the balance sheet date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for the remaining life of the current accounts receivable and current contract assets.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2025 </w:t>
      </w:r>
      <w:r>
        <w:rPr>
          <w:rFonts w:ascii="Times New Roman" w:hAnsi="Times New Roman"/>
          <w:caps w:val="false"/>
          <w:smallCaps w:val="false"/>
          <w:sz w:val="20"/>
        </w:rPr>
        <w:t xml:space="preserve">and interim periods within those fiscal years, with early adoption permitted. The Company is currently evaluating the impact of adopting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Intangibles-Goodwill and Other-Internal-Use Software (Subtopic </w:t>
      </w:r>
      <w:r>
        <w:rPr>
          <w:rStyle w:val="Emphasis"/>
          <w:rFonts w:ascii="Times New Roman" w:hAnsi="Times New Roman"/>
          <w:caps w:val="false"/>
          <w:smallCaps w:val="false"/>
          <w:sz w:val="20"/>
        </w:rPr>
        <w:t>350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Targeted Improvements to the Accounting for Internal-Use Software,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and interim periods within those fiscal years, with early adoption permitted. The Company is currently evaluating the impact of adopting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Revenue and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is primarily derived from services rendered to patients for outpatient behavioral health care, interventional psychiatry, and pain management procedures. The Company’s services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fixed duration and can generally be terminated by the patient or the Company at any time; therefore, each treatment or visit is considered its own stand-alone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disaggregates revenue from contracts with customers by service type and by payor, as management believes this best depicts the nature, amount, timing, and uncertainty of revenue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by Service Type (in thousands):</w:t>
      </w:r>
    </w:p>
    <w:p>
      <w:pPr>
        <w:pStyle w:val="TextBody"/>
        <w:bidi w:val="0"/>
        <w:spacing w:before="0" w:after="0"/>
        <w:ind w:left="0" w:right="0" w:hanging="0"/>
        <w:jc w:val="left"/>
        <w:rPr>
          <w:caps w:val="false"/>
          <w:smallCaps w:val="false"/>
        </w:rPr>
      </w:pPr>
      <w:r>
        <w:rPr>
          <w:caps w:val="false"/>
          <w:smallCaps w:val="false"/>
        </w:rPr>
        <w:t> </w:t>
      </w:r>
    </w:p>
    <w:tbl>
      <w:tblPr>
        <w:tblW w:w="6133" w:type="dxa"/>
        <w:jc w:val="left"/>
        <w:tblInd w:w="0" w:type="dxa"/>
        <w:tblLayout w:type="fixed"/>
        <w:tblCellMar>
          <w:top w:w="0" w:type="dxa"/>
          <w:left w:w="0" w:type="dxa"/>
          <w:bottom w:w="0" w:type="dxa"/>
          <w:right w:w="0" w:type="dxa"/>
        </w:tblCellMar>
      </w:tblPr>
      <w:tblGrid>
        <w:gridCol w:w="2870"/>
        <w:gridCol w:w="60"/>
        <w:gridCol w:w="408"/>
        <w:gridCol w:w="1096"/>
        <w:gridCol w:w="60"/>
        <w:gridCol w:w="60"/>
        <w:gridCol w:w="408"/>
        <w:gridCol w:w="1096"/>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 September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 September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30, 2025</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Procedures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Therapy services</w:t>
            </w:r>
          </w:p>
        </w:tc>
        <w:tc>
          <w:tcPr>
            <w:tcW w:w="60" w:type="dxa"/>
            <w:tcBorders/>
            <w:shd w:fill="FFFFFF" w:val="clear"/>
            <w:vAlign w:val="center"/>
          </w:tcPr>
          <w:p>
            <w:pPr>
              <w:pStyle w:val="TableContents"/>
              <w:bidi w:val="0"/>
              <w:spacing w:before="0" w:after="283"/>
              <w:jc w:val="left"/>
              <w:rPr/>
            </w:pPr>
            <w:r>
              <w:rPr/>
              <w:t> </w:t>
            </w:r>
          </w:p>
        </w:tc>
        <w:tc>
          <w:tcPr>
            <w:tcW w:w="4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by payor (in thousands):</w:t>
      </w:r>
    </w:p>
    <w:p>
      <w:pPr>
        <w:pStyle w:val="TextBody"/>
        <w:bidi w:val="0"/>
        <w:spacing w:before="0" w:after="0"/>
        <w:ind w:left="0" w:right="0" w:hanging="0"/>
        <w:jc w:val="left"/>
        <w:rPr>
          <w:caps w:val="false"/>
          <w:smallCaps w:val="false"/>
        </w:rPr>
      </w:pPr>
      <w:r>
        <w:rPr>
          <w:caps w:val="false"/>
          <w:smallCaps w:val="false"/>
        </w:rPr>
        <w:t> </w:t>
      </w:r>
    </w:p>
    <w:tbl>
      <w:tblPr>
        <w:tblW w:w="6133" w:type="dxa"/>
        <w:jc w:val="left"/>
        <w:tblInd w:w="0" w:type="dxa"/>
        <w:tblLayout w:type="fixed"/>
        <w:tblCellMar>
          <w:top w:w="0" w:type="dxa"/>
          <w:left w:w="0" w:type="dxa"/>
          <w:bottom w:w="0" w:type="dxa"/>
          <w:right w:w="0" w:type="dxa"/>
        </w:tblCellMar>
      </w:tblPr>
      <w:tblGrid>
        <w:gridCol w:w="2870"/>
        <w:gridCol w:w="60"/>
        <w:gridCol w:w="408"/>
        <w:gridCol w:w="1096"/>
        <w:gridCol w:w="60"/>
        <w:gridCol w:w="60"/>
        <w:gridCol w:w="408"/>
        <w:gridCol w:w="1096"/>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 September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 September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30, 2025</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ind w:left="0" w:right="0" w:hanging="0"/>
              <w:jc w:val="left"/>
              <w:rPr/>
            </w:pPr>
            <w:r>
              <w:rPr/>
              <w:t> </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ind w:left="0" w:right="0" w:hanging="0"/>
              <w:jc w:val="left"/>
              <w:rPr/>
            </w:pPr>
            <w:r>
              <w:rPr/>
              <w:t> </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Self-Pay</w:t>
            </w:r>
          </w:p>
        </w:tc>
        <w:tc>
          <w:tcPr>
            <w:tcW w:w="60" w:type="dxa"/>
            <w:tcBorders/>
            <w:shd w:fill="CCEEFF" w:val="clear"/>
            <w:vAlign w:val="center"/>
          </w:tcPr>
          <w:p>
            <w:pPr>
              <w:pStyle w:val="TableContents"/>
              <w:bidi w:val="0"/>
              <w:spacing w:before="0" w:after="283"/>
              <w:jc w:val="left"/>
              <w:rPr/>
            </w:pPr>
            <w:r>
              <w:rPr/>
              <w:t> </w:t>
            </w:r>
          </w:p>
        </w:tc>
        <w:tc>
          <w:tcPr>
            <w:tcW w:w="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patient service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receives payments from the following sources: (i) commercial insurers; (ii) the federal government under the Medicare program administered by the Centers for Medicare and Medicaid Services (“CMS”) and other programs; (iii) state governments under Medicaid and related programs; and (iv) individual patients and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determines the transaction price based on established billing rates reduced by contractual adjustments, discounts, and implicit price concessions, which represent amounts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collect based on historical experience and other relevant factors. Contractual adjustments and discounts are based on contractual agreements with commercial insurance and Medicare, discount policies, and historical experience. Implicit price concessions are based on historical collection experience. Most of the Company’s services have contracts containing variable considerations, such as contractual adjustments, discounts, and implicit price concessions, which are estimated and reflected as reductions to revenue in the period the services are provided. However, it is unlikely a significant reversal of revenue will occur when the uncertainty is resolved, and therefore, the Company includes the variable consideration in the estimated transaction price. Subsequent changes resulting from a patient’s ability to pay are recorded as credit loss expense, which is included in other operating expenses.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current expected credit loss recovery was less than $0.01 million reflecting a net reversal of the allowance for credit losses following the acquisition of Dura.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derives a significant portion of its revenue from Medicare, and other payors that receive discounts from established billing rates. The Medicare regulations and various managed care contracts under which these discounts must be estimated are complex, subject to interpretation and adjustment,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multiple reimbursement mechanisms for different types of services provided. Management estimates the transaction price on a payor specific basis given its interpretation of the applicable regulations or contract terms. The services authorized and provided and related reimbursement are often subject to interpretation that could result in payments that differ from the Company’s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Accounts Receivable and allowance for credit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(in thousands):</w:t>
      </w:r>
    </w:p>
    <w:p>
      <w:pPr>
        <w:pStyle w:val="TextBody"/>
        <w:bidi w:val="0"/>
        <w:spacing w:before="0" w:after="0"/>
        <w:ind w:left="0" w:right="0" w:hanging="0"/>
        <w:jc w:val="left"/>
        <w:rPr>
          <w:caps w:val="false"/>
          <w:smallCaps w:val="false"/>
        </w:rPr>
      </w:pPr>
      <w:r>
        <w:rPr>
          <w:caps w:val="false"/>
          <w:smallCaps w:val="false"/>
        </w:rPr>
        <w:t> </w:t>
      </w:r>
    </w:p>
    <w:tbl>
      <w:tblPr>
        <w:tblW w:w="4439" w:type="dxa"/>
        <w:jc w:val="left"/>
        <w:tblInd w:w="0" w:type="dxa"/>
        <w:tblLayout w:type="fixed"/>
        <w:tblCellMar>
          <w:top w:w="0" w:type="dxa"/>
          <w:left w:w="0" w:type="dxa"/>
          <w:bottom w:w="0" w:type="dxa"/>
          <w:right w:w="0" w:type="dxa"/>
        </w:tblCellMar>
      </w:tblPr>
      <w:tblGrid>
        <w:gridCol w:w="2615"/>
        <w:gridCol w:w="60"/>
        <w:gridCol w:w="404"/>
        <w:gridCol w:w="1280"/>
        <w:gridCol w:w="80"/>
      </w:tblGrid>
      <w:tr>
        <w:trPr/>
        <w:tc>
          <w:tcPr>
            <w:tcW w:w="2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8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gross</w:t>
            </w:r>
          </w:p>
        </w:tc>
        <w:tc>
          <w:tcPr>
            <w:tcW w:w="60" w:type="dxa"/>
            <w:tcBorders/>
            <w:shd w:fill="CCEEFF" w:val="clear"/>
            <w:vAlign w:val="center"/>
          </w:tcPr>
          <w:p>
            <w:pPr>
              <w:pStyle w:val="TableContents"/>
              <w:bidi w:val="0"/>
              <w:spacing w:before="0" w:after="283"/>
              <w:ind w:left="0" w:right="0" w:hanging="0"/>
              <w:jc w:val="left"/>
              <w:rPr/>
            </w:pPr>
            <w:r>
              <w:rPr/>
              <w:t> </w:t>
            </w:r>
          </w:p>
        </w:tc>
        <w:tc>
          <w:tcPr>
            <w:tcW w:w="4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4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4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Allowance for credit losses roll-forward (in thousands):</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3755"/>
        <w:gridCol w:w="60"/>
        <w:gridCol w:w="125"/>
        <w:gridCol w:w="335"/>
        <w:gridCol w:w="80"/>
      </w:tblGrid>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Dura (September 8,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(recovery) for expected credit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Write-offs, net of recoveries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as of September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Receivable by payor (in thousands):</w:t>
      </w:r>
    </w:p>
    <w:p>
      <w:pPr>
        <w:pStyle w:val="TextBody"/>
        <w:bidi w:val="0"/>
        <w:spacing w:before="0" w:after="0"/>
        <w:ind w:left="0" w:right="0" w:hanging="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2180"/>
        <w:gridCol w:w="60"/>
        <w:gridCol w:w="457"/>
        <w:gridCol w:w="1227"/>
        <w:gridCol w:w="60"/>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6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4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Medicare</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ind w:left="0" w:right="0" w:hanging="0"/>
              <w:jc w:val="left"/>
              <w:rPr/>
            </w:pPr>
            <w:r>
              <w:rPr/>
              <w:t> </w:t>
            </w:r>
          </w:p>
        </w:tc>
        <w:tc>
          <w:tcPr>
            <w:tcW w:w="12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Self-pay</w:t>
            </w:r>
          </w:p>
        </w:tc>
        <w:tc>
          <w:tcPr>
            <w:tcW w:w="60" w:type="dxa"/>
            <w:tcBorders/>
            <w:shd w:fill="CCEEFF" w:val="clear"/>
            <w:vAlign w:val="center"/>
          </w:tcPr>
          <w:p>
            <w:pPr>
              <w:pStyle w:val="TableContents"/>
              <w:bidi w:val="0"/>
              <w:spacing w:before="0" w:after="283"/>
              <w:jc w:val="left"/>
              <w:rPr/>
            </w:pPr>
            <w:r>
              <w:rPr/>
              <w:t> </w:t>
            </w:r>
          </w:p>
        </w:tc>
        <w:tc>
          <w:tcPr>
            <w:tcW w:w="4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gross</w:t>
            </w:r>
          </w:p>
        </w:tc>
        <w:tc>
          <w:tcPr>
            <w:tcW w:w="60"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Estimation inputs and credit quality information (summary):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Receivables are pooled by payer class and aging; loss rates reflect historical experience updated for current conditions and reasonable</w:t>
              <w:noBreakHyphen/>
              <w:t>and</w:t>
              <w:noBreakHyphen/>
              <w:t>supportable forecasts with reversion to long</w:t>
              <w:noBreakHyphen/>
              <w:t>run averages beyond the forecast horizon.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suspend recognition of revenue on a “nonaccrual” basis for trade receivables.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Prepaid Expense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Prepaid expense and other current assets consisted of the following at the dates indicated (in thousands):</w:t>
      </w:r>
    </w:p>
    <w:p>
      <w:pPr>
        <w:pStyle w:val="TextBody"/>
        <w:bidi w:val="0"/>
        <w:spacing w:before="0" w:after="0"/>
        <w:ind w:left="0" w:right="0" w:hanging="0"/>
        <w:jc w:val="left"/>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755"/>
        <w:gridCol w:w="60"/>
        <w:gridCol w:w="258"/>
        <w:gridCol w:w="1006"/>
        <w:gridCol w:w="60"/>
        <w:gridCol w:w="60"/>
        <w:gridCol w:w="249"/>
        <w:gridCol w:w="970"/>
        <w:gridCol w:w="6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current assets: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clinical development costs</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6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expense</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prepaid expense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Furniture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furniture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258" w:type="dxa"/>
        <w:jc w:val="left"/>
        <w:tblInd w:w="0" w:type="dxa"/>
        <w:tblLayout w:type="fixed"/>
        <w:tblCellMar>
          <w:top w:w="0" w:type="dxa"/>
          <w:left w:w="0" w:type="dxa"/>
          <w:bottom w:w="0" w:type="dxa"/>
          <w:right w:w="0" w:type="dxa"/>
        </w:tblCellMar>
      </w:tblPr>
      <w:tblGrid>
        <w:gridCol w:w="2585"/>
        <w:gridCol w:w="60"/>
        <w:gridCol w:w="367"/>
        <w:gridCol w:w="852"/>
        <w:gridCol w:w="80"/>
        <w:gridCol w:w="60"/>
        <w:gridCol w:w="353"/>
        <w:gridCol w:w="821"/>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3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furniture and equipment</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3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3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expense was $2,000 and $4,000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respectively. Depreciation expense was $0 and $1,000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Accounting for Leases as Lessee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determines if an arrangement is a lease at inception. Operating leases are included in right-of-use assets (“ROU”), lease liabilities, and lease liabilities – related party. Lease liabilities are recognized based on the present value of the future minimum lease payments over the lease term at commencement date.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leases entered into have an implicit rate, the Company uses its incremental borrowing rate based on the information available at lease commencement date in determining the present value of future payments. Incremental borrowing rate is estimated to approximate the interest rate on a collateralized basis with similar terms and payments, and in economic environments where the leased asset is located. The ROU assets also include any prepaid lease payments made and initial direct costs incurred and exclude lease incentives. The Company’s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options to extend or terminate the lease, which is recognized when it is reasonably certain that the Company will exercise that option. Lease expense for minimum lease payments is recognized on a straight-line basis over the lease term. 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operating leases for two healthcare clinics in Naples and Fort Myers, Florida: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Naples Lease (Related Party): The Company leases its Naples clinic from Dura Properties, LLC, an entity owned and controlled by Dura’s former sole member prior to the acquisition. Following the acquisition on </w:t>
            </w:r>
            <w:r>
              <w:rPr>
                <w:rStyle w:val="Emphasis"/>
                <w:rFonts w:ascii="Times New Roman;Times;serif" w:hAnsi="Times New Roman;Times;serif"/>
                <w:caps w:val="false"/>
                <w:smallCaps w:val="false"/>
                <w:sz w:val="20"/>
              </w:rPr>
              <w:t xml:space="preserve">September 8, 2025, </w:t>
            </w:r>
            <w:r>
              <w:rPr>
                <w:rFonts w:ascii="Times New Roman;Times;serif" w:hAnsi="Times New Roman;Times;serif"/>
                <w:caps w:val="false"/>
                <w:smallCaps w:val="false"/>
                <w:sz w:val="20"/>
              </w:rPr>
              <w:t xml:space="preserve">the former member became a director and minority shareholder of the Company. Right-of-use (ROU) assets and operating lease liabilities was measured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as if the leases were new at the acquisition date. The amended lease commenced on </w:t>
            </w:r>
            <w:r>
              <w:rPr>
                <w:rStyle w:val="Emphasis"/>
                <w:rFonts w:ascii="Times New Roman;Times;serif" w:hAnsi="Times New Roman;Times;serif"/>
                <w:caps w:val="false"/>
                <w:smallCaps w:val="false"/>
                <w:sz w:val="20"/>
              </w:rPr>
              <w:t xml:space="preserve">September 8, 2025 </w:t>
            </w:r>
            <w:r>
              <w:rPr>
                <w:rFonts w:ascii="Times New Roman;Times;serif" w:hAnsi="Times New Roman;Times;serif"/>
                <w:caps w:val="false"/>
                <w:smallCaps w:val="false"/>
                <w:sz w:val="20"/>
              </w:rPr>
              <w:t xml:space="preserve">and expires on </w:t>
            </w:r>
            <w:r>
              <w:rPr>
                <w:rStyle w:val="Emphasis"/>
                <w:rFonts w:ascii="Times New Roman;Times;serif" w:hAnsi="Times New Roman;Times;serif"/>
                <w:caps w:val="false"/>
                <w:smallCaps w:val="false"/>
                <w:sz w:val="20"/>
              </w:rPr>
              <w:t xml:space="preserve">December 31, 2027. </w:t>
            </w:r>
            <w:r>
              <w:rPr>
                <w:rFonts w:ascii="Times New Roman;Times;serif" w:hAnsi="Times New Roman;Times;serif"/>
                <w:caps w:val="false"/>
                <w:smallCaps w:val="false"/>
                <w:sz w:val="20"/>
              </w:rPr>
              <w:t>It is non-cancelable and requires monthly base rent of $6,000 (subject to 3% annual escalations), plus $2,000 in common area maintenance charges, and $1,000 in taxes.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rFonts w:ascii="Times New Roman;Times;serif" w:hAnsi="Times New Roman;Times;serif"/>
                <w:sz w:val="20"/>
              </w:rPr>
              <w:t xml:space="preserve">Fort Myers Lease (Third Party): The Company amended a lease for its Fort Myers clinic on </w:t>
            </w:r>
            <w:r>
              <w:rPr>
                <w:rStyle w:val="Emphasis"/>
                <w:rFonts w:ascii="Times New Roman;Times;serif" w:hAnsi="Times New Roman;Times;serif"/>
                <w:sz w:val="20"/>
              </w:rPr>
              <w:t xml:space="preserve">September 8, 2025, </w:t>
            </w:r>
            <w:r>
              <w:rPr>
                <w:rFonts w:ascii="Times New Roman;Times;serif" w:hAnsi="Times New Roman;Times;serif"/>
                <w:sz w:val="20"/>
              </w:rPr>
              <w:t xml:space="preserve">with a commencement date of </w:t>
            </w:r>
            <w:r>
              <w:rPr>
                <w:rStyle w:val="Emphasis"/>
                <w:rFonts w:ascii="Times New Roman;Times;serif" w:hAnsi="Times New Roman;Times;serif"/>
                <w:sz w:val="20"/>
              </w:rPr>
              <w:t xml:space="preserve">September 8, 2025, </w:t>
            </w:r>
            <w:r>
              <w:rPr>
                <w:rFonts w:ascii="Times New Roman;Times;serif" w:hAnsi="Times New Roman;Times;serif"/>
                <w:sz w:val="20"/>
              </w:rPr>
              <w:t xml:space="preserve">and an expiration date of </w:t>
            </w:r>
            <w:r>
              <w:rPr>
                <w:rStyle w:val="Emphasis"/>
                <w:rFonts w:ascii="Times New Roman;Times;serif" w:hAnsi="Times New Roman;Times;serif"/>
                <w:sz w:val="20"/>
              </w:rPr>
              <w:t xml:space="preserve">November 30, 2026. </w:t>
            </w:r>
            <w:r>
              <w:rPr>
                <w:rFonts w:ascii="Times New Roman;Times;serif" w:hAnsi="Times New Roman;Times;serif"/>
                <w:sz w:val="20"/>
              </w:rPr>
              <w:t xml:space="preserve">Right-of-use (ROU) assets and operating lease liabilities was measured under ASC </w:t>
            </w:r>
            <w:r>
              <w:rPr>
                <w:rStyle w:val="Emphasis"/>
                <w:rFonts w:ascii="Times New Roman;Times;serif" w:hAnsi="Times New Roman;Times;serif"/>
                <w:sz w:val="20"/>
              </w:rPr>
              <w:t>805</w:t>
            </w:r>
            <w:r>
              <w:rPr>
                <w:rFonts w:ascii="Times New Roman;Times;serif" w:hAnsi="Times New Roman;Times;serif"/>
                <w:sz w:val="20"/>
              </w:rPr>
              <w:t xml:space="preserve"> as if the leases were new at the acquisition date. The amended lease is non-cancellable and requires monthly base rent of $5,000 in the </w:t>
            </w:r>
            <w:r>
              <w:rPr>
                <w:rStyle w:val="Emphasis"/>
                <w:rFonts w:ascii="Times New Roman;Times;serif" w:hAnsi="Times New Roman;Times;serif"/>
                <w:sz w:val="20"/>
              </w:rPr>
              <w:t>first</w:t>
            </w:r>
            <w:r>
              <w:rPr>
                <w:rFonts w:ascii="Times New Roman;Times;serif" w:hAnsi="Times New Roman;Times;serif"/>
                <w:sz w:val="20"/>
              </w:rPr>
              <w:t xml:space="preserve"> year, plus $2,000 in common area maintenance charges, subject to 3% annual escalations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lease expense included in the Company’s statement of operations were as follows (in thousands):</w:t>
      </w:r>
    </w:p>
    <w:p>
      <w:pPr>
        <w:pStyle w:val="TextBody"/>
        <w:bidi w:val="0"/>
        <w:spacing w:before="0" w:after="0"/>
        <w:jc w:val="left"/>
        <w:rPr/>
      </w:pPr>
      <w:r>
        <w:rPr/>
        <w:t xml:space="preserve">  </w:t>
      </w:r>
    </w:p>
    <w:tbl>
      <w:tblPr>
        <w:tblW w:w="9768" w:type="dxa"/>
        <w:jc w:val="left"/>
        <w:tblInd w:w="0" w:type="dxa"/>
        <w:tblLayout w:type="fixed"/>
        <w:tblCellMar>
          <w:top w:w="0" w:type="dxa"/>
          <w:left w:w="0" w:type="dxa"/>
          <w:bottom w:w="0" w:type="dxa"/>
          <w:right w:w="0" w:type="dxa"/>
        </w:tblCellMar>
      </w:tblPr>
      <w:tblGrid>
        <w:gridCol w:w="4175"/>
        <w:gridCol w:w="2915"/>
        <w:gridCol w:w="60"/>
        <w:gridCol w:w="428"/>
        <w:gridCol w:w="791"/>
        <w:gridCol w:w="60"/>
        <w:gridCol w:w="60"/>
        <w:gridCol w:w="428"/>
        <w:gridCol w:w="791"/>
        <w:gridCol w:w="60"/>
      </w:tblGrid>
      <w:tr>
        <w:trPr/>
        <w:tc>
          <w:tcPr>
            <w:tcW w:w="41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ind w:left="0" w:right="0" w:hanging="0"/>
              <w:jc w:val="left"/>
              <w:rPr/>
            </w:pPr>
            <w:r>
              <w:rPr/>
              <w:t> </w:t>
            </w:r>
          </w:p>
        </w:tc>
        <w:tc>
          <w:tcPr>
            <w:tcW w:w="29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 Classification</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 expense:</w:t>
            </w:r>
          </w:p>
        </w:tc>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ROU asset</w:t>
            </w:r>
          </w:p>
        </w:tc>
        <w:tc>
          <w:tcPr>
            <w:tcW w:w="291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4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operating lease liability</w:t>
            </w:r>
          </w:p>
        </w:tc>
        <w:tc>
          <w:tcPr>
            <w:tcW w:w="291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ind w:left="0" w:right="0" w:hanging="0"/>
              <w:jc w:val="left"/>
              <w:rPr/>
            </w:pPr>
            <w:r>
              <w:rP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ROU asset - related party</w:t>
            </w:r>
          </w:p>
        </w:tc>
        <w:tc>
          <w:tcPr>
            <w:tcW w:w="291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ind w:left="0" w:right="0" w:hanging="0"/>
              <w:jc w:val="left"/>
              <w:rPr/>
            </w:pPr>
            <w:r>
              <w:rPr/>
              <w:t> </w:t>
            </w:r>
          </w:p>
        </w:tc>
        <w:tc>
          <w:tcPr>
            <w:tcW w:w="7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operating lease liability - related party</w:t>
            </w:r>
          </w:p>
        </w:tc>
        <w:tc>
          <w:tcPr>
            <w:tcW w:w="2915"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r>
      <w:tr>
        <w:trPr/>
        <w:tc>
          <w:tcPr>
            <w:tcW w:w="7090" w:type="dxa"/>
            <w:gridSpan w:val="2"/>
            <w:tcBorders/>
            <w:shd w:fill="FFFFFF" w:val="clear"/>
            <w:vAlign w:val="center"/>
          </w:tcPr>
          <w:p>
            <w:pPr>
              <w:pStyle w:val="TableContents"/>
              <w:bidi w:val="0"/>
              <w:spacing w:before="0" w:after="0"/>
              <w:ind w:left="0" w:right="0" w:firstLine="360"/>
              <w:jc w:val="left"/>
              <w:rPr/>
            </w:pPr>
            <w:r>
              <w:rPr>
                <w:rStyle w:val="Emphasis"/>
                <w:rFonts w:ascii="Times New Roman;Times;serif" w:hAnsi="Times New Roman;Times;serif"/>
                <w:caps w:val="false"/>
                <w:smallCaps w:val="false"/>
                <w:sz w:val="20"/>
              </w:rPr>
              <w:t>Total operating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lease expense</w:t>
            </w:r>
          </w:p>
        </w:tc>
        <w:tc>
          <w:tcPr>
            <w:tcW w:w="2915"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7090" w:type="dxa"/>
            <w:gridSpan w:val="2"/>
            <w:tcBorders/>
            <w:shd w:fill="CCEEFF" w:val="clear"/>
            <w:vAlign w:val="center"/>
          </w:tcPr>
          <w:p>
            <w:pPr>
              <w:pStyle w:val="TableContents"/>
              <w:bidi w:val="0"/>
              <w:spacing w:before="0" w:after="0"/>
              <w:ind w:left="0" w:right="0" w:firstLine="360"/>
              <w:jc w:val="left"/>
              <w:rPr/>
            </w:pPr>
            <w:r>
              <w:rPr>
                <w:rStyle w:val="Emphasis"/>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Other information related to leases is as follows:</w:t>
      </w:r>
    </w:p>
    <w:p>
      <w:pPr>
        <w:pStyle w:val="TextBody"/>
        <w:bidi w:val="0"/>
        <w:spacing w:before="0" w:after="0"/>
        <w:ind w:left="0" w:right="0" w:hanging="0"/>
        <w:jc w:val="left"/>
        <w:rPr>
          <w:caps w:val="false"/>
          <w:smallCaps w:val="false"/>
        </w:rPr>
      </w:pPr>
      <w:r>
        <w:rPr>
          <w:caps w:val="false"/>
          <w:smallCaps w:val="false"/>
        </w:rPr>
        <w:t> </w:t>
      </w:r>
    </w:p>
    <w:tbl>
      <w:tblPr>
        <w:tblW w:w="4784" w:type="dxa"/>
        <w:jc w:val="left"/>
        <w:tblInd w:w="0" w:type="dxa"/>
        <w:tblLayout w:type="fixed"/>
        <w:tblCellMar>
          <w:top w:w="0" w:type="dxa"/>
          <w:left w:w="0" w:type="dxa"/>
          <w:bottom w:w="0" w:type="dxa"/>
          <w:right w:w="0" w:type="dxa"/>
        </w:tblCellMar>
      </w:tblPr>
      <w:tblGrid>
        <w:gridCol w:w="3305"/>
        <w:gridCol w:w="60"/>
        <w:gridCol w:w="165"/>
        <w:gridCol w:w="1054"/>
        <w:gridCol w:w="20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20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0" w:type="dxa"/>
            <w:tcBorders/>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 (in years)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10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 w:hAnsi="Times New Roman"/>
          <w:caps w:val="false"/>
          <w:smallCaps w:val="false"/>
          <w:sz w:val="20"/>
        </w:rPr>
        <w:t xml:space="preserve">Amounts relating to leases were presented on the balance sheet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in the following line items (in thousands):</w:t>
      </w:r>
    </w:p>
    <w:p>
      <w:pPr>
        <w:pStyle w:val="TextBody"/>
        <w:bidi w:val="0"/>
        <w:spacing w:before="0" w:after="0"/>
        <w:ind w:left="0" w:right="0" w:hanging="0"/>
        <w:jc w:val="left"/>
        <w:rPr>
          <w:caps w:val="false"/>
          <w:smallCaps w:val="false"/>
        </w:rPr>
      </w:pPr>
      <w:r>
        <w:rPr>
          <w:caps w:val="false"/>
          <w:smallCaps w:val="false"/>
        </w:rPr>
        <w:t> </w:t>
      </w:r>
    </w:p>
    <w:tbl>
      <w:tblPr>
        <w:tblW w:w="7964" w:type="dxa"/>
        <w:jc w:val="left"/>
        <w:tblInd w:w="0" w:type="dxa"/>
        <w:tblLayout w:type="fixed"/>
        <w:tblCellMar>
          <w:top w:w="0" w:type="dxa"/>
          <w:left w:w="0" w:type="dxa"/>
          <w:bottom w:w="0" w:type="dxa"/>
          <w:right w:w="0" w:type="dxa"/>
        </w:tblCellMar>
      </w:tblPr>
      <w:tblGrid>
        <w:gridCol w:w="3155"/>
        <w:gridCol w:w="3470"/>
        <w:gridCol w:w="60"/>
        <w:gridCol w:w="331"/>
        <w:gridCol w:w="888"/>
        <w:gridCol w:w="60"/>
      </w:tblGrid>
      <w:tr>
        <w:trPr/>
        <w:tc>
          <w:tcPr>
            <w:tcW w:w="3155"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ind w:left="0" w:right="0" w:hanging="0"/>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Classification</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w:t>
            </w:r>
          </w:p>
        </w:tc>
        <w:tc>
          <w:tcPr>
            <w:tcW w:w="347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Right-of-use asset</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 - related party</w:t>
            </w:r>
          </w:p>
        </w:tc>
        <w:tc>
          <w:tcPr>
            <w:tcW w:w="347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Right-of-use asset - related party</w:t>
            </w:r>
          </w:p>
        </w:tc>
        <w:tc>
          <w:tcPr>
            <w:tcW w:w="60" w:type="dxa"/>
            <w:tcBorders/>
            <w:shd w:fill="CCEEFF" w:val="clear"/>
            <w:vAlign w:val="center"/>
          </w:tcPr>
          <w:p>
            <w:pPr>
              <w:pStyle w:val="TableContents"/>
              <w:bidi w:val="0"/>
              <w:spacing w:before="0" w:after="283"/>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625"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non-current lease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347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Lease liability, short term</w:t>
            </w:r>
          </w:p>
        </w:tc>
        <w:tc>
          <w:tcPr>
            <w:tcW w:w="60" w:type="dxa"/>
            <w:tcBorders/>
            <w:shd w:fill="FFFFFF" w:val="clear"/>
            <w:vAlign w:val="center"/>
          </w:tcPr>
          <w:p>
            <w:pPr>
              <w:pStyle w:val="TableContents"/>
              <w:bidi w:val="0"/>
              <w:spacing w:before="0" w:after="283"/>
              <w:ind w:left="0" w:right="0" w:hanging="0"/>
              <w:jc w:val="left"/>
              <w:rPr/>
            </w:pPr>
            <w:r>
              <w:rPr/>
              <w:t> </w:t>
            </w:r>
          </w:p>
        </w:tc>
        <w:tc>
          <w:tcPr>
            <w:tcW w:w="3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 related party</w:t>
            </w:r>
          </w:p>
        </w:tc>
        <w:tc>
          <w:tcPr>
            <w:tcW w:w="347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Lease liability, short term - related party</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347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Lease liability, non-current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 related party</w:t>
            </w:r>
          </w:p>
        </w:tc>
        <w:tc>
          <w:tcPr>
            <w:tcW w:w="347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Lease liability - related party, non-current</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625" w:type="dxa"/>
            <w:gridSpan w:val="2"/>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360" w:right="0" w:hanging="0"/>
        <w:jc w:val="both"/>
        <w:rPr/>
      </w:pPr>
      <w:r>
        <w:rPr>
          <w:rFonts w:ascii="Times New Roman" w:hAnsi="Times New Roman"/>
          <w:caps w:val="false"/>
          <w:smallCaps w:val="false"/>
          <w:sz w:val="20"/>
        </w:rPr>
        <w:t xml:space="preserve">The future minimum lease payments required under leases as of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28" w:type="dxa"/>
          <w:right w:w="0" w:type="dxa"/>
        </w:tblCellMar>
      </w:tblPr>
      <w:tblGrid>
        <w:gridCol w:w="1805"/>
        <w:gridCol w:w="60"/>
        <w:gridCol w:w="125"/>
        <w:gridCol w:w="335"/>
        <w:gridCol w:w="80"/>
      </w:tblGrid>
      <w:tr>
        <w:trPr/>
        <w:tc>
          <w:tcPr>
            <w:tcW w:w="180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335" w:type="dxa"/>
            <w:tcBorders>
              <w:bottom w:val="single" w:sz="2" w:space="0" w:color="000000"/>
            </w:tcBorders>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3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180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3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18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Accrued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Accrued and other current liabilities consisted of the following at the dates indicated (in thousands):</w:t>
      </w:r>
    </w:p>
    <w:p>
      <w:pPr>
        <w:pStyle w:val="TextBody"/>
        <w:bidi w:val="0"/>
        <w:spacing w:before="0" w:after="0"/>
        <w:ind w:left="0" w:right="0" w:hanging="0"/>
        <w:jc w:val="left"/>
        <w:rPr>
          <w:caps w:val="false"/>
          <w:smallCaps w:val="false"/>
        </w:rPr>
      </w:pPr>
      <w:r>
        <w:rPr>
          <w:caps w:val="false"/>
          <w:smallCaps w:val="false"/>
        </w:rPr>
        <w:t> </w:t>
      </w:r>
    </w:p>
    <w:tbl>
      <w:tblPr>
        <w:tblW w:w="6538" w:type="dxa"/>
        <w:jc w:val="left"/>
        <w:tblInd w:w="0" w:type="dxa"/>
        <w:tblLayout w:type="fixed"/>
        <w:tblCellMar>
          <w:top w:w="0" w:type="dxa"/>
          <w:left w:w="0" w:type="dxa"/>
          <w:bottom w:w="0" w:type="dxa"/>
          <w:right w:w="0" w:type="dxa"/>
        </w:tblCellMar>
      </w:tblPr>
      <w:tblGrid>
        <w:gridCol w:w="3860"/>
        <w:gridCol w:w="60"/>
        <w:gridCol w:w="249"/>
        <w:gridCol w:w="970"/>
        <w:gridCol w:w="60"/>
        <w:gridCol w:w="60"/>
        <w:gridCol w:w="211"/>
        <w:gridCol w:w="1008"/>
        <w:gridCol w:w="60"/>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Refund liability (see Note 9)</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4,715</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3,732</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costs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research and development expense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Dura acquisition cost due post-closing</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expense</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60"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and other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Alvogen Licensing Agreement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June 2023,</w:t>
      </w:r>
      <w:r>
        <w:rPr>
          <w:rFonts w:ascii="Times New Roman" w:hAnsi="Times New Roman"/>
          <w:caps w:val="false"/>
          <w:smallCaps w:val="false"/>
          <w:sz w:val="20"/>
        </w:rPr>
        <w:t xml:space="preserve"> the Company entered into a License Agreement with Alvogen. On </w:t>
      </w:r>
      <w:r>
        <w:rPr>
          <w:rStyle w:val="Emphasis"/>
          <w:rFonts w:ascii="Times New Roman" w:hAnsi="Times New Roman"/>
          <w:caps w:val="false"/>
          <w:smallCaps w:val="false"/>
          <w:sz w:val="20"/>
        </w:rPr>
        <w:t xml:space="preserve">June 21, 2024, </w:t>
      </w:r>
      <w:r>
        <w:rPr>
          <w:rFonts w:ascii="Times New Roman" w:hAnsi="Times New Roman"/>
          <w:caps w:val="false"/>
          <w:smallCaps w:val="false"/>
          <w:sz w:val="20"/>
        </w:rPr>
        <w:t xml:space="preserve">the Company received a notice of termination from Alvogen effective immediately. Following the termination of the License Agreement by Alvogen, the amounts advanced pursuant to the amendment became due and payable to Alvogen. Accordingly, the refund liability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reclassified to deferred revenue or recorded as revenue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and will remain permanent as refund liability until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Upon termination of the License Agreement, the intellectual property rights licensed to Alvogen under the License Agreement reverted to the Company, and all other rights and obligations of each of the parties immediately ceased, except for outstanding amounts owed as of the time of such expiration or termination.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refund liability due to Alvogen was $4.7 million, which represents all payments made by Alvogen through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is included as a component of accrued expense and other current liabilities on the condensed consolidated balance sheet (See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Following the early termination by Alvogen,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recognizing any revenue under the License Agreement. Additionally, in </w:t>
      </w:r>
      <w:r>
        <w:rPr>
          <w:rStyle w:val="Emphasis"/>
          <w:rFonts w:ascii="Times New Roman" w:hAnsi="Times New Roman"/>
          <w:caps w:val="false"/>
          <w:smallCaps w:val="false"/>
          <w:sz w:val="20"/>
        </w:rPr>
        <w:t>June 2024 </w:t>
      </w:r>
      <w:r>
        <w:rPr>
          <w:rFonts w:ascii="Times New Roman" w:hAnsi="Times New Roman"/>
          <w:caps w:val="false"/>
          <w:smallCaps w:val="false"/>
          <w:sz w:val="20"/>
        </w:rPr>
        <w:t>the Company wrote off the unfunded stock subscription receivable of $1.3 million related to the warrants previously classified in additional paid-in capital to research and development expense following the termination.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Debt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Streeterville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4, 2022, </w:t>
      </w:r>
      <w:r>
        <w:rPr>
          <w:rFonts w:ascii="Times New Roman" w:hAnsi="Times New Roman"/>
          <w:caps w:val="false"/>
          <w:smallCaps w:val="false"/>
          <w:sz w:val="20"/>
        </w:rPr>
        <w:t xml:space="preserve">the Company issued a convertible note to Streeterville Capital, LLC (“Streeterville”), for an aggregate principal amount of $11.0 million (the “Streeterville Note”). The note was accounted for under the fair value option of ASC 825. All material terms of the Streeterville note have been disclosed in prior filings. As previously disclosed, on </w:t>
      </w:r>
      <w:r>
        <w:rPr>
          <w:rStyle w:val="Emphasis"/>
          <w:rFonts w:ascii="Times New Roman" w:hAnsi="Times New Roman"/>
          <w:caps w:val="false"/>
          <w:smallCaps w:val="false"/>
          <w:sz w:val="20"/>
        </w:rPr>
        <w:t xml:space="preserve">April 24, 2024, </w:t>
      </w:r>
      <w:r>
        <w:rPr>
          <w:rFonts w:ascii="Times New Roman" w:hAnsi="Times New Roman"/>
          <w:caps w:val="false"/>
          <w:smallCaps w:val="false"/>
          <w:sz w:val="20"/>
        </w:rPr>
        <w:t xml:space="preserve">the Company received written notice from counsel for Streeterville that an alleged event of default occurred with respect to the Note issued by the Company in favor of Streeterville. On </w:t>
      </w:r>
      <w:r>
        <w:rPr>
          <w:rStyle w:val="Emphasis"/>
          <w:rFonts w:ascii="Times New Roman" w:hAnsi="Times New Roman"/>
          <w:caps w:val="false"/>
          <w:smallCaps w:val="false"/>
          <w:sz w:val="20"/>
        </w:rPr>
        <w:t xml:space="preserve">August 12, 2024, </w:t>
      </w:r>
      <w:r>
        <w:rPr>
          <w:rFonts w:ascii="Times New Roman" w:hAnsi="Times New Roman"/>
          <w:caps w:val="false"/>
          <w:smallCaps w:val="false"/>
          <w:sz w:val="20"/>
        </w:rPr>
        <w:t xml:space="preserve">the Company and Streeterville entered into a Settlement and Release of Claims (the “Settlement Agreement”), whereby the Company and Streeterville agreed to settle all disputes between the parties and release the Company from all obligations to Streeterville under the terms of the Streeterville Note in exchange for a payment of $2.5 million upon the initial closing of the sale of the Anson Notes, and within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thereafter,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payment of $3.1 million. The Company made the above payments as agreed, thereby consummating the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Company evaluated the terms of the Settlement Agreement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Debt Modifications and Extinguishments. Both the Settlement Amendment and the Third Amendment (considered cumulatively with the Settlement Amendment) were deemed to be debt modifications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give rise to a debt extinguishment in accordance with ASC </w:t>
      </w:r>
      <w:r>
        <w:rPr>
          <w:rStyle w:val="Emphasis"/>
          <w:rFonts w:ascii="Times New Roman" w:hAnsi="Times New Roman"/>
          <w:caps w:val="false"/>
          <w:smallCaps w:val="false"/>
          <w:sz w:val="20"/>
        </w:rPr>
        <w:t>Topic 470, Debt,</w:t>
      </w:r>
      <w:r>
        <w:rPr>
          <w:rFonts w:ascii="Times New Roman" w:hAnsi="Times New Roman"/>
          <w:caps w:val="false"/>
          <w:smallCaps w:val="false"/>
          <w:sz w:val="20"/>
        </w:rPr>
        <w:t xml:space="preserve"> which will be accounted for prospectively. The modifications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recognition of a gain or loss in the condensed consolidated statements of operations as the modifications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debt extinguishments but will impact interest expense and the determination of fair value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the Streeterville Note carried a remaining principal balance of $0.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the reconciliation of the fair values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Anson Convertible Promissory Notes (the </w:t>
      </w:r>
      <w:r>
        <w:rPr>
          <w:rFonts w:ascii="Times New Roman" w:hAnsi="Times New Roman"/>
          <w:caps w:val="false"/>
          <w:smallCaps w:val="false"/>
          <w:sz w:val="20"/>
        </w:rPr>
        <w:t>“</w:t>
      </w:r>
      <w:r>
        <w:rPr>
          <w:rFonts w:ascii="Times New Roman" w:hAnsi="Times New Roman"/>
          <w:i/>
          <w:caps w:val="false"/>
          <w:smallCaps w:val="false"/>
          <w:sz w:val="20"/>
        </w:rPr>
        <w:t>Anson Notes</w:t>
      </w:r>
      <w:r>
        <w:rPr>
          <w:rFonts w:ascii="Times New Roman" w:hAnsi="Times New Roman"/>
          <w:caps w:val="false"/>
          <w:smallCaps w:val="false"/>
          <w:sz w:val="20"/>
        </w:rPr>
        <w: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12, 2024, </w:t>
      </w:r>
      <w:r>
        <w:rPr>
          <w:rFonts w:ascii="Times New Roman" w:hAnsi="Times New Roman"/>
          <w:caps w:val="false"/>
          <w:smallCaps w:val="false"/>
          <w:sz w:val="20"/>
        </w:rPr>
        <w:t>the Company entered into the Anson Purchase Agreement with the Investors, Anson Investment Master Fund LP and Anson East Master Fund LP (collectively “Anson”). The Company agreed to sell, in three equal tranches, original issue discount Anson Notes in the aggregate principal amount of up to approximately $16.3 million for an aggregate purchase price of up to approximately $15.0 million and warrants to purchase that amount of shares equal to 50% of the principal amount of the Anson Notes divided by the VWAP of the Common Stock, as listed on the Nasdaq Capital Market, on the day prior to the closing of each respective tranche under the Anson Warrants (as defined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above offering, the Company engaged EF Hutton LLC as placement agent. Pursuant to the terms of the engagement with the placement agent, the Company paid a cash fee of 7% of the gross proceeds the Company receives in the offering at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the Company entered into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tranche Senior Secured Convertible Note Agreements (the “First Tranche Notes”) with Anson at various amounts for an aggregate of $5.4 million subject to an original issuance discount of 8% or $435,000, less other cash issuance costs of $521,000, resulting in net cash proceeds of $4.5 million, prior to any allocation to the Anson Warrants. The First Tranche Notes bear interest at a rate of 6% per annum (or 10% during the occurrence of any Event of Default (as defined in the First Tranche Notes)) and have a term of 15 months from the issuance date, maturing on </w:t>
      </w:r>
      <w:r>
        <w:rPr>
          <w:rStyle w:val="Emphasis"/>
          <w:rFonts w:ascii="Times New Roman" w:hAnsi="Times New Roman"/>
          <w:caps w:val="false"/>
          <w:smallCaps w:val="false"/>
          <w:sz w:val="20"/>
        </w:rPr>
        <w:t>November 14, 2025 (</w:t>
      </w:r>
      <w:r>
        <w:rPr>
          <w:rFonts w:ascii="Times New Roman" w:hAnsi="Times New Roman"/>
          <w:caps w:val="false"/>
          <w:smallCaps w:val="false"/>
          <w:sz w:val="20"/>
        </w:rPr>
        <w:t xml:space="preserve">the “First Tranche Maturity Date”) (see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$2.5 million of the proceeds from the First Tranche Notes were used to make an initial payment to partially satisfy the Streeterville Note in </w:t>
      </w:r>
      <w:r>
        <w:rPr>
          <w:rStyle w:val="Emphasis"/>
          <w:rFonts w:ascii="Times New Roman" w:hAnsi="Times New Roman"/>
          <w:caps w:val="false"/>
          <w:smallCaps w:val="false"/>
          <w:sz w:val="20"/>
        </w:rPr>
        <w:t>2024.</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in conjunction with the issuance of the First Tranche Notes, the Company issued warrants to purchase up to 1,349,305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First Tranche Notes are convertible at the option of the holder at any time after issuance into Common Stock, at a per share conversion price equal to the lower of (a) $2.4168, (the “Fixed Conversion Price”) or (b) a price equal to 92% of the lowest VWAP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 xml:space="preserve"> trading day period immediately preceding the effective conversion date (the “Alternate Conversion Price”, and together with the Fixed Conversion Price, the “Conversion Price”). If the Conversion Price is less than $0.38 (the “Floor Price”), then in addition to the issuance of Common Stock upon conversion the Company will pay cash as a true-up which is determined by the product of (i) the difference between (y) the Floor Price less (z) the Conversion Price then in effect, multiplied by (ii) the conversion amount that is being paid in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terms of the First Tranche Notes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allow any conversion of the First Tranche Notes if it results in Anson owning more than </w:t>
      </w:r>
      <w:r>
        <w:rPr>
          <w:rStyle w:val="Emphasis"/>
          <w:rFonts w:ascii="Times New Roman" w:hAnsi="Times New Roman"/>
          <w:caps w:val="false"/>
          <w:smallCaps w:val="false"/>
          <w:sz w:val="20"/>
        </w:rPr>
        <w:t>4.99%</w:t>
      </w:r>
      <w:r>
        <w:rPr>
          <w:rFonts w:ascii="Times New Roman" w:hAnsi="Times New Roman"/>
          <w:caps w:val="false"/>
          <w:smallCaps w:val="false"/>
          <w:sz w:val="20"/>
        </w:rPr>
        <w:t xml:space="preserve"> of the outstanding shares of Common Stock (the “Beneficial Ownership Limitation”). This limitation can be adjusted up to </w:t>
      </w:r>
      <w:r>
        <w:rPr>
          <w:rStyle w:val="Emphasis"/>
          <w:rFonts w:ascii="Times New Roman" w:hAnsi="Times New Roman"/>
          <w:caps w:val="false"/>
          <w:smallCaps w:val="false"/>
          <w:sz w:val="20"/>
        </w:rPr>
        <w:t>9.99%</w:t>
      </w:r>
      <w:r>
        <w:rPr>
          <w:rFonts w:ascii="Times New Roman" w:hAnsi="Times New Roman"/>
          <w:caps w:val="false"/>
          <w:smallCaps w:val="false"/>
          <w:sz w:val="20"/>
        </w:rPr>
        <w:t xml:space="preserve"> with prior notice, effective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after such notice. Anson must ensure compliance with this limitation when submitting a notice of conversion, and the Company will rely on Anson's representation of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issues or grants options for Common Stock at a price lower than the current Conversion Price, the Conversion Price will be adjusted to match this lower price, (the “Base Conversion Price”). The Company must notify Anson of any such issuance, and Anson is entitled to convert shares based on the new Base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offers purchase rights to holders of Common Stock, Anson will be entitled to acquire those rights as if they had fully converted the Note, subject to the Beneficial Ownership Limitation. If exercising these rights would exceed the Beneficial Ownership Limitation, the rights will be held in abeyance until they can be exercised without exceeding the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First Tranche Notes contain mandatory redemption features, whereby if at any time the First Tranche Notes are outstanding, the Company will be required to: (A) use up to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of the gross proceeds from any Subsequent Financings (as defined in the Anson Purchase Agreement) in cash, to redeem all or a portion of the Note for an amount equal to the outstanding principal, plus all accrued but unpaid interest, plus all liquidated damages (the “Redemption Obligations”), multiplied by </w:t>
      </w:r>
      <w:r>
        <w:rPr>
          <w:rStyle w:val="Emphasis"/>
          <w:rFonts w:ascii="Times New Roman" w:hAnsi="Times New Roman"/>
          <w:caps w:val="false"/>
          <w:smallCaps w:val="false"/>
          <w:sz w:val="20"/>
        </w:rPr>
        <w:t>1.05</w:t>
      </w:r>
      <w:r>
        <w:rPr>
          <w:rFonts w:ascii="Times New Roman" w:hAnsi="Times New Roman"/>
          <w:caps w:val="false"/>
          <w:smallCaps w:val="false"/>
          <w:sz w:val="20"/>
        </w:rPr>
        <w:t xml:space="preserve"> (the “Mandatory Redemption Amount”); (B) redeem all of the Redemption Obligations at the Mandatory Redemption Amount in the event of a Change of Control Transaction (as defined in the First Tranche Notes); (C) redeem the Redemption Obligations for the Mandatory Redemption Amount in the event a registration statement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available for each of the offer and resale of the shares issuable upon conversion of the First Tranche Notes (the “Conversion Shares”); and (D) redeem the Redemption Obligations for the Mandatory Redemption Amount if the stockholder approval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obtained within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following the date of issuance of the First Tranche Notes.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First Tranche Notes contain certain covenants, and events of default and triggering events, respectively, which would require repayment of the obligations outstanding pursuant to such instruments. The obligations of the Company pursuant to the First Tranche Notes are (i) secured by all assets of the Company and all subsidiaries of the Company pursuant to the Security Agreement and Patent Security Agreement,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by and among the Company, the subsidiaries of the Company, and the Investors, and (ii) guaranteed jointly and severally by the subsidiaries of the Company pursuant to the Subsidiary Guarantee,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by and among the Company, the subsidiaries of the Company, and the Investors.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Anson Purchase Agreement, on </w:t>
      </w:r>
      <w:r>
        <w:rPr>
          <w:rStyle w:val="Emphasis"/>
          <w:rFonts w:ascii="Times New Roman" w:hAnsi="Times New Roman"/>
          <w:caps w:val="false"/>
          <w:smallCaps w:val="false"/>
          <w:sz w:val="20"/>
        </w:rPr>
        <w:t>October 10, 2024 (</w:t>
      </w:r>
      <w:r>
        <w:rPr>
          <w:rFonts w:ascii="Times New Roman" w:hAnsi="Times New Roman"/>
          <w:caps w:val="false"/>
          <w:smallCaps w:val="false"/>
          <w:sz w:val="20"/>
        </w:rPr>
        <w:t xml:space="preserve">the “Second Closing Date”), the Company sold a total of $5.4 million in Notes (the “Second Tranche Notes”), subject to an original issue discount of 8% or $435,000 less other cash issuance cost of $375,000, with an aggregate purchase price of approximately $5.0 million, and warrants to purchase up to 1,846,128 shares of Common Stock. The Second Tranche Notes are convertible into Common Stock, at a per share conversion price equal to by the lower of (a) $1.7664 or (b) a price equal to 92% of the lowest VWAP during the </w:t>
      </w:r>
      <w:r>
        <w:rPr>
          <w:rStyle w:val="Emphasis"/>
          <w:rFonts w:ascii="Times New Roman" w:hAnsi="Times New Roman"/>
          <w:caps w:val="false"/>
          <w:smallCaps w:val="false"/>
          <w:sz w:val="20"/>
        </w:rPr>
        <w:t>seven</w:t>
      </w:r>
      <w:r>
        <w:rPr>
          <w:rFonts w:ascii="Times New Roman" w:hAnsi="Times New Roman"/>
          <w:caps w:val="false"/>
          <w:smallCaps w:val="false"/>
          <w:sz w:val="20"/>
        </w:rPr>
        <w:t>-trading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 $3.1 million of the proceeds from the Second Tranche Notes were used to satisfy the remaining amount due in connection with the Streeterville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above Second Tranche Notes, the Company engaged a placement agent. Pursuant to the terms of the engagement with the Placement Agent, the Company paid a cash fee of 7% of the gross proceeds the Company received in the Third Closing and incurred certain additional other issuance costs and reimbursement for legal counsel disbursements and placement agent, for aggregate issuance costs of approximately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Anson Purchase Agreement, on </w:t>
      </w:r>
      <w:r>
        <w:rPr>
          <w:rStyle w:val="Emphasis"/>
          <w:rFonts w:ascii="Times New Roman" w:hAnsi="Times New Roman"/>
          <w:caps w:val="false"/>
          <w:smallCaps w:val="false"/>
          <w:sz w:val="20"/>
        </w:rPr>
        <w:t>January 28, 2025 (</w:t>
      </w:r>
      <w:r>
        <w:rPr>
          <w:rFonts w:ascii="Times New Roman" w:hAnsi="Times New Roman"/>
          <w:caps w:val="false"/>
          <w:smallCaps w:val="false"/>
          <w:sz w:val="20"/>
        </w:rPr>
        <w:t>the “Third Closing Date”), the Company sold a total of $5.4 million in Notes subject to an original issue discount of 8% or $0.435 million less other issuance costs of $0.4 million noted below (the “Third Tranche Notes” and collectively with the First Tranche Notes and Second Tranche Notes, the (“Anson Notes”)), with an aggregate purchase price of approximately $5.0 million, and Warrants to purchase up to 862,699 shares of Common Stock. The Third Tranche Notes are convertible into Common Stock, at a per share conversion price equal to by the lower of (a) $3.78 or (b) a price equal to 92% of the lowest VWAP during the seven-trading day period immediately preceding the effective date set forth in a Notice of Conversion delivered by an Investor to the Company. The Conversion Price is subject to, among other customary provisions, downward adjustment in the event of any future issuance by the Company of Common Stock below the then effective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above Third Tranche Notes, the Company paid a cash tail fee to the Placement Agent equal to 7% of the gross proceeds the Company received in the Third Closing and incurred certain additional other issuance costs and reimbursement for legal counsel disbursements, for aggregate issuance costs of approximately $0.4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or about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and the Investors entered into a Consent and Waiver Agreement (the “CWA”), relating to certain rights and prohibitions arising under the Anson Purchase Agreement and the Notes. In the CWA, each of the Investors provided its consent under certain restrictive provisions, and waived certain rights, including, among other things, a right to participate in certain Qualified Financings (as defined in the CWA) made by us under the Anson Purchase Agreement and the Notes, the prohibition on issuance of certain equity securities, and waiver of any potential liquidated damages arising under that certain Registration Rights Agreement by and between the Company and the Investors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following the conversion of less than $0.1 million of the Third Tranche Note into 5,463 shares of Common Stock, the Company issued 303,819 shares of Common Stock as Consideration Shares and 303,819 of Consideration Warrants to Anson in accordance with the terms of the CWA (see Note </w:t>
      </w:r>
      <w:r>
        <w:rPr>
          <w:rStyle w:val="Emphasis"/>
          <w:rFonts w:ascii="Times New Roman" w:hAnsi="Times New Roman"/>
          <w:caps w:val="false"/>
          <w:smallCaps w:val="false"/>
          <w:sz w:val="20"/>
        </w:rPr>
        <w:t>12</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Due to these embedded features within the Anson Notes, the Company elected to account for the First, Second, and Third Tranche Notes at fair value at inception. Subsequent changes in fair value are recorded as a component of other income (loss) in the condensed consolidated statements of operations. Additionally, the portion of changes in the fair value related to changes in credit risk are recorded to other comprehensive income in the condensed consolidated statements of operations. To determine the initial carrying value of the Notes and the warrants issued to Anson under the First, Second, and Third Tranche Notes (see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the Company allocated the proceeds using the fair value method. After allocation, the initial carrying value of the First Tranche Notes and the warrants issued to Anson were $2.9 million and $2.1 million, respectively, the initial carrying value of the Second Tranche Notes and the warrants issued to Anson were $3.1 million and $1.9 million, and the initial carrying value of the Third Tranche Notes and the warrants issued to Anson were $2.5 million and $2.5 million, respectively. Refer to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the reconciliation of the fair values for the periods presented.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Second RD Purchase Agreement, and pursuant to the full ratchet anti-dilution provisions contained in the Anson financing agreements, the Fixed Conversion Price component of the variable conversion formula of the outstanding Anson Notes, and the exercise price of all outstanding Common Stock purchase warrants issued on </w:t>
      </w:r>
      <w:r>
        <w:rPr>
          <w:rStyle w:val="Emphasis"/>
          <w:rFonts w:ascii="Times New Roman" w:hAnsi="Times New Roman"/>
          <w:caps w:val="false"/>
          <w:smallCaps w:val="false"/>
          <w:sz w:val="20"/>
        </w:rPr>
        <w:t xml:space="preserve">August 14, 2024, October 10, 2024, January 28,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January 29, 2025 (</w:t>
      </w:r>
      <w:r>
        <w:rPr>
          <w:rFonts w:ascii="Times New Roman" w:hAnsi="Times New Roman"/>
          <w:caps w:val="false"/>
          <w:smallCaps w:val="false"/>
          <w:sz w:val="20"/>
        </w:rPr>
        <w:t xml:space="preserve">collectively, the “Anson Warrants”) were each adjusted to $1.65 per share. In addition, under the full ratchet provision of the warrants’ anti-dilution provision, the number of shares underlying the Anson Warrants was increased by an aggregate of 1,870,960 shares of Company’s Common Stock (see below under “Warrants”). During the quarter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reduction of the Fixed Conversion Price component of the variable conversion formula of the outstanding Anson Notes pursuant to the anti-dilution provisions is reflected in the change in fair value of convertible notes payable recorded in the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holders of Anson Notes and Anson Warrants, in accordance with an agreement entered into with Anson 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agreed to, among other things, i) certain trading volume limitations, and ii) a partial exercise on previously issued Anson Warrants for cash. Specifically, if the closing stock price of the Company’s common stock as reported on the Principal Market (as defined in the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Purchase Agreement) is below $3.25 on any trading day, Anson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sell, dispose of, or otherwise transfer, in the aggregate, more than 12.5% of the composite daily trading volume of the Company’s common stock on that trading day. In accordance with the agreement, the holders exercised their Anson Warrants for cash, generating net proceeds of $3.09 million and resulting in the issuance of 1,870,960 shares  of Company’s Common Stock on </w:t>
      </w:r>
      <w:r>
        <w:rPr>
          <w:rStyle w:val="Emphasis"/>
          <w:rFonts w:ascii="Times New Roman" w:hAnsi="Times New Roman"/>
          <w:caps w:val="false"/>
          <w:smallCaps w:val="false"/>
          <w:sz w:val="20"/>
        </w:rPr>
        <w:t>September 30, 2025 (</w:t>
      </w:r>
      <w:r>
        <w:rPr>
          <w:rFonts w:ascii="Times New Roman" w:hAnsi="Times New Roman"/>
          <w:caps w:val="false"/>
          <w:smallCaps w:val="false"/>
          <w:sz w:val="20"/>
        </w:rPr>
        <w:t>see “Warrants”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 </w:t>
      </w:r>
      <w:r>
        <w:rPr>
          <w:rFonts w:ascii="Times New Roman" w:hAnsi="Times New Roman"/>
          <w:caps w:val="false"/>
          <w:smallCaps w:val="false"/>
          <w:sz w:val="20"/>
        </w:rPr>
        <w:t xml:space="preserve">Anson converted $1.3 million and less than $0.1 million of principal and interest of the First and Third Tranche Notes, respectively, into Common Stock, resulting in the aggregate issuances of 1,009,518 shares of Common Stock and loss on conversion of $1.6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Anson converted $4.1 million of principal and interest of the Third Tranche Note into Common Stock, resulting in the issuance of 1,879,406 shares of Common Stock and loss on conversion of $1.9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Anson converted $1.4 million of principal and interest of the Third Tranche Note into Common Stock, resulting in the issuance of 877,193 shares of Common Stock and loss on conversion of $0.8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Anson converted $4.2 million of principal and interest of the First Tranche Note into Common Stock, resulting in the issuances of 3,676,796 shares of Common Stock and loss on conversion of $1.3 million. (see Note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 nominal principal and accrued interest balance of the Anson Notes was $5.4 million and $0.3 million, respectively.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recorded a loss from the change in fair value of the Second and Third Tranche Notes of $0.8 million and $2.7 million, which was recognized in other expense (income) on the condensed consolidated statements of operations as a result of the Company’s election of the fair value option. At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effective interest rates of the Second Tranche Note were 172%.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“Fair Value Measurements,” for a summary of activity for the Anson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Sarah Herzog Memorial Hospital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is required to make certain payments related to the development of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(the “</w:t>
      </w:r>
      <w:r>
        <w:rPr>
          <w:rFonts w:ascii="Times New Roman" w:hAnsi="Times New Roman"/>
          <w:i/>
          <w:caps w:val="false"/>
          <w:smallCaps w:val="false"/>
          <w:sz w:val="20"/>
        </w:rPr>
        <w:t>Licensed Product</w:t>
      </w:r>
      <w:r>
        <w:rPr>
          <w:rFonts w:ascii="Times New Roman" w:hAnsi="Times New Roman"/>
          <w:caps w:val="false"/>
          <w:smallCaps w:val="false"/>
          <w:sz w:val="20"/>
        </w:rPr>
        <w:t>”) in order to maintain the license agreement with the Sarah Herzog Memorial Hospital Ezrat Nashim (“SHMH”) (the “SHMH License Agreement”),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Milestone Payments</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5135"/>
        <w:gridCol w:w="60"/>
        <w:gridCol w:w="125"/>
        <w:gridCol w:w="695"/>
        <w:gridCol w:w="60"/>
      </w:tblGrid>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 Clinical Trials of Licensed Product (completed)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II Clinical Trials of Licensed Product (completed)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Phase III Clinical Trials of Licensed Product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Commercial Sale of Licensed Product in U.S.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Commercial Sale of Licensed Product in Europe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6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Revenues Reach $100,000,000</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milestone payments due above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reduced by 25% in certain circumstances, and by the application of certain sub-license fees.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total cumulative payments made under the SHMH License Agreement were $0.5 million, with $0 and $0.2 million in payments made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There were no payments made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royalty in an amount equal to: (a) 1% of revenues from the sale of any product incorporating a Licensed Product when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Licensed Patent remains in force, if such product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covered by a Valid Claim (as defined below) in the country or region in which the sale occurs, or (b) 2.5% of revenues from the sale of any Licensed Product that is covered by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Valid Claim in the country or region in which such product is manufactured or sold. A “Valid Claim” means any issued claim in the Licensed Patents that remains in force and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finally invalidated or held to be unenforceable. The royalty rates above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doubled if we commence a legal challenge to the validity, enforceability, or scope of any of the Licensed Patents during the term of the SHMH License Agreement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prevail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Royalties shall also apply to any revenues generated by sub-licensees from sale of Licensed Products subject to a cap of 8.5% of the payments received by us from sub-licensees in connection with such sales.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 royalty payments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Annual Maintenance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 fixed amount of $100,000 was paid on </w:t>
      </w:r>
      <w:r>
        <w:rPr>
          <w:rStyle w:val="Emphasis"/>
          <w:rFonts w:ascii="Times New Roman" w:hAnsi="Times New Roman"/>
          <w:caps w:val="false"/>
          <w:smallCaps w:val="false"/>
          <w:sz w:val="20"/>
        </w:rPr>
        <w:t xml:space="preserve">April 16, 2021 </w:t>
      </w:r>
      <w:r>
        <w:rPr>
          <w:rFonts w:ascii="Times New Roman" w:hAnsi="Times New Roman"/>
          <w:caps w:val="false"/>
          <w:smallCaps w:val="false"/>
          <w:sz w:val="20"/>
        </w:rPr>
        <w:t xml:space="preserve">and, thereafter, a fixed amount of $150,000 is due on the anniversary of such date during the term of the SHMH License Agreement.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recorded $0 in related annual maintenance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Exclusive License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has entered into a license agreement with Apkarian Technologies LLC to in-license US patent </w:t>
      </w:r>
      <w:r>
        <w:rPr>
          <w:rStyle w:val="Emphasis"/>
          <w:rFonts w:ascii="Times New Roman" w:hAnsi="Times New Roman"/>
          <w:caps w:val="false"/>
          <w:smallCaps w:val="false"/>
          <w:sz w:val="20"/>
        </w:rPr>
        <w:t>8,653,120</w:t>
      </w:r>
      <w:r>
        <w:rPr>
          <w:rFonts w:ascii="Times New Roman" w:hAnsi="Times New Roman"/>
          <w:caps w:val="false"/>
          <w:smallCaps w:val="false"/>
          <w:sz w:val="20"/>
        </w:rPr>
        <w:t xml:space="preserve">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to decrease both chronic pain and neuropathic pain while potentially decreasing craving for opioids.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has recorded no expenses relating to the licensure of the patent.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Kadima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in furtherance of the Company’s previously announced plans for its subsidiary, HOPE, to develop a national network of precision psychiatry clinics. HOPE and its wholly-owned subsidiary, HTX, entered into an Asset Purchase and Contribution Agreement (the “Kadima Purchase Agreement”), with Kadima Medical, Kadima Holdings, Inc. (“Kadima Holdings”), and David Feifel, M.D., PH.D (“Feifel”, and collectively with Kadima Medical and Kadima Holdings, “Kadima”), pursuant to which the Company agreed to purchase and Kadima agreed to sell, certain assets of Kadima, subject to the satisfaction of certain closing conditions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Kadima Purchase Agreement contains representations, warranties and covenants of the Company and Kadima that are customary for a transaction of this nature, including among others, covenants by Kadima regarding the validity of certain material contracts entered into between Kadima and </w:t>
      </w:r>
      <w:r>
        <w:rPr>
          <w:rStyle w:val="Emphasis"/>
          <w:rFonts w:ascii="Times New Roman" w:hAnsi="Times New Roman"/>
          <w:caps w:val="false"/>
          <w:smallCaps w:val="false"/>
          <w:sz w:val="20"/>
        </w:rPr>
        <w:t>third</w:t>
      </w:r>
      <w:r>
        <w:rPr>
          <w:rFonts w:ascii="Times New Roman" w:hAnsi="Times New Roman"/>
          <w:caps w:val="false"/>
          <w:smallCaps w:val="false"/>
          <w:sz w:val="20"/>
        </w:rPr>
        <w:t>-parties being assigned to the Subsidiaries, title to the assets being sold by Kadima, the condition and sufficiency of the assets being purchased, and Kadima’s rights to its intellectual property, tax liabilities, and the investment representations of Kadima.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Kadima Purchase Agreement also contains customary indemnification provisions whereby Kadima will indemnify the Company for certain losses arising out of inaccuracies in, or breaches of, the representations, warranties and covenants of Kadima, pre-closing taxes of Kadima, and certain other matters, subject to certain caps and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the date of this Report, the parties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closed the Acquisition and the matter has entered arbitration. At this stage of the arbitration, it is too early to determine if the matter would reasonably be expected to have a material adverse effect on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Operating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leases its office space on a month-to-month basis. The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was less than $0.1 million and less than $0.1 million, respectively. The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was less than $0.1 million and less than $0.1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also leases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healthcare clinical facilities located in Naples and Fort Myers, Florida under non-cancelable operating lease agreements. Details regarding lease terms, future minimum lease payments, and right-of-use assets and liabilities are disclosed in Note </w:t>
      </w:r>
      <w:r>
        <w:rPr>
          <w:rStyle w:val="Emphasis"/>
          <w:rFonts w:ascii="Times New Roman" w:hAnsi="Times New Roman"/>
          <w:caps w:val="false"/>
          <w:smallCaps w:val="false"/>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is, from time to time, involved in various legal proceedings incidental to the conduct of our business. Historically, the outcome of nearly all such legal proceedings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the aggregate, had a material adverse effect on our business, financial condition, results of operations or liquidity. Other than as set forth below,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pending or threatened legal proceedings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9, 2025, </w:t>
      </w:r>
      <w:r>
        <w:rPr>
          <w:rFonts w:ascii="Times New Roman" w:hAnsi="Times New Roman"/>
          <w:caps w:val="false"/>
          <w:smallCaps w:val="false"/>
          <w:sz w:val="20"/>
        </w:rPr>
        <w:t xml:space="preserve">Hope entered into the Kadima Purchase Agreement, pursuant to which the Company agreed to purchase, and Kadima agreed to sell, certain assets of Kadima, subject to the satisfaction of certain closing conditions. As of the date of this Report, the parties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closed the Acquisition, and the matter has entered arbitration. At this stage of the arbitration, it is too early to determine if the matter would reasonably be expected to have a material adverse effect on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Pursuant to the terms of the Company’s Second Amended and Restated Certificate of Incorporation, the Company has </w:t>
      </w:r>
      <w:r>
        <w:rPr>
          <w:rStyle w:val="Emphasis"/>
          <w:rFonts w:ascii="Times New Roman" w:hAnsi="Times New Roman"/>
          <w:caps w:val="false"/>
          <w:smallCaps w:val="false"/>
          <w:sz w:val="20"/>
        </w:rPr>
        <w:t>50,000,000 shares</w:t>
      </w:r>
      <w:r>
        <w:rPr>
          <w:rFonts w:ascii="Times New Roman" w:hAnsi="Times New Roman"/>
          <w:caps w:val="false"/>
          <w:smallCaps w:val="false"/>
          <w:sz w:val="20"/>
        </w:rPr>
        <w:t xml:space="preserve"> of preferred stock authorized with a par value of $0.001, of which 12,000,000 were designated Series A Convertible Preferred Stock (“Series A Preferred Stock”). 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Company sold and issued 3.0 million shares of Series A Preferred Stock for an aggregate cash purchase price of $1.2 million. During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holders of the Company’s Series A Preferred Stock elected to convert 3.0 million shares of Series A Preferred into 300,000 shares of Common Stock.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no shares of Series A Preferred Stock remained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terms of the Company’s Second Amended and Restated Certificate of Incorporation, the Company has authorized 500,000,000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 2024, </w:t>
      </w:r>
      <w:r>
        <w:rPr>
          <w:rFonts w:ascii="Times New Roman" w:hAnsi="Times New Roman"/>
          <w:caps w:val="false"/>
          <w:smallCaps w:val="false"/>
          <w:sz w:val="20"/>
        </w:rPr>
        <w:t>the Company issued 143,648 shares of Common Stock as payment for the $0.4 million minimum payment to Streeterville related to principal and interest payments on the Streeterville Note.</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From </w:t>
      </w:r>
      <w:r>
        <w:rPr>
          <w:rStyle w:val="Emphasis"/>
          <w:rFonts w:ascii="Times New Roman" w:hAnsi="Times New Roman"/>
          <w:caps w:val="false"/>
          <w:smallCaps w:val="false"/>
          <w:sz w:val="20"/>
        </w:rPr>
        <w:t xml:space="preserve">February 20, 2024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July 29, 2024, </w:t>
      </w:r>
      <w:r>
        <w:rPr>
          <w:rFonts w:ascii="Times New Roman" w:hAnsi="Times New Roman"/>
          <w:caps w:val="false"/>
          <w:smallCaps w:val="false"/>
          <w:sz w:val="20"/>
        </w:rPr>
        <w:t xml:space="preserve">the Company announced that it entered into multiple at-the-market purchase agreements (the “ATM Purchase Agreements”) subject to standard closing conditions where accredited investors purchased 385,515 shares of unregistered Common Stock at a range of $2.42 – $7.10 per share. 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the Company increased the maximum aggregate offering amount of the shares of Common Stock issuable under that certain at-the-market offering agreement, dated </w:t>
      </w:r>
      <w:r>
        <w:rPr>
          <w:rStyle w:val="Emphasis"/>
          <w:rFonts w:ascii="Times New Roman" w:hAnsi="Times New Roman"/>
          <w:caps w:val="false"/>
          <w:smallCaps w:val="false"/>
          <w:sz w:val="20"/>
        </w:rPr>
        <w:t>August 14, 2023 (</w:t>
      </w:r>
      <w:r>
        <w:rPr>
          <w:rFonts w:ascii="Times New Roman" w:hAnsi="Times New Roman"/>
          <w:caps w:val="false"/>
          <w:smallCaps w:val="false"/>
          <w:sz w:val="20"/>
        </w:rPr>
        <w:t xml:space="preserve">the “Offering Agreement”), with H.C. Wainwright &amp; Co., and filed a prospectus supplement (the “Current Prospectus Supplement”) under the Offering Agreement for an aggregate of $4.9 million. The Company suspended the at-the-market offering from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17, 2025, </w:t>
      </w:r>
      <w:r>
        <w:rPr>
          <w:rFonts w:ascii="Times New Roman" w:hAnsi="Times New Roman"/>
          <w:caps w:val="false"/>
          <w:smallCaps w:val="false"/>
          <w:sz w:val="20"/>
        </w:rPr>
        <w:t xml:space="preserve">the Company reinstated the at-the-market offering and increased the maximum aggregate offering amount and filed a prospectus supplement under the Offering Agreement for an aggregate of $20,000,000.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sold an aggregate of 1,350,788 shares of its Common Stock shares for approximately $3.7 million, net of less than $0.1 million in transaction costs.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 Company sold an aggregate of 1,749,866 shares of its Common Stock shares for approximately $4.7 million, net of $0.1 million in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27, 2024, </w:t>
      </w:r>
      <w:r>
        <w:rPr>
          <w:rFonts w:ascii="Times New Roman" w:hAnsi="Times New Roman"/>
          <w:caps w:val="false"/>
          <w:smallCaps w:val="false"/>
          <w:sz w:val="20"/>
        </w:rPr>
        <w:t xml:space="preserve">the Company entered into an underwriting agreement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Underwriting Agreement”) with EF Hutton LLC (the “Representative”), as the representative of the several underwriters named therein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Underwriters”), relating to an underwritten public offering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Public Offering”) of 500,000 shares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Shares”) of the Company’s Common Stock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Shares”). The public offering price for each share of Common Stock was $3.00, and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Underwriters purchased the shares of Common Stock pursuant to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Underwriting Agreement at a price for each share of Common Stock of $2.76. Pursuant to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Underwriting Agreement, the Company also granted the Representative a </w:t>
      </w:r>
      <w:r>
        <w:rPr>
          <w:rStyle w:val="Emphasis"/>
          <w:rFonts w:ascii="Times New Roman" w:hAnsi="Times New Roman"/>
          <w:caps w:val="false"/>
          <w:smallCaps w:val="false"/>
          <w:sz w:val="20"/>
        </w:rPr>
        <w:t>45</w:t>
      </w:r>
      <w:r>
        <w:rPr>
          <w:rFonts w:ascii="Times New Roman" w:hAnsi="Times New Roman"/>
          <w:caps w:val="false"/>
          <w:smallCaps w:val="false"/>
          <w:sz w:val="20"/>
        </w:rPr>
        <w:t xml:space="preserve">-day option to purchase up to an additional 75,000 shares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Option Shares”) of the Common Stock on the same terms as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Shares sold in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Public Offering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Over-Allotment Option”). On </w:t>
      </w:r>
      <w:r>
        <w:rPr>
          <w:rStyle w:val="Emphasis"/>
          <w:rFonts w:ascii="Times New Roman" w:hAnsi="Times New Roman"/>
          <w:caps w:val="false"/>
          <w:smallCaps w:val="false"/>
          <w:sz w:val="20"/>
        </w:rPr>
        <w:t xml:space="preserve">February 28,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Public Offering closed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Closing Date”). The aggregate net cash proceeds to the Company from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Offering proceeds were approximately $1.3 million after offering costs of approximately $0.4 million. On </w:t>
      </w:r>
      <w:r>
        <w:rPr>
          <w:rStyle w:val="Emphasis"/>
          <w:rFonts w:ascii="Times New Roman" w:hAnsi="Times New Roman"/>
          <w:caps w:val="false"/>
          <w:smallCaps w:val="false"/>
          <w:sz w:val="20"/>
        </w:rPr>
        <w:t xml:space="preserve">March 5,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Underwriters of the previously announced underwritten public offering of the Company exercised their option in accordance with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Underwriting Agreement, dated </w:t>
      </w:r>
      <w:r>
        <w:rPr>
          <w:rStyle w:val="Emphasis"/>
          <w:rFonts w:ascii="Times New Roman" w:hAnsi="Times New Roman"/>
          <w:caps w:val="false"/>
          <w:smallCaps w:val="false"/>
          <w:sz w:val="20"/>
        </w:rPr>
        <w:t xml:space="preserve">February 27, 2024, </w:t>
      </w:r>
      <w:r>
        <w:rPr>
          <w:rFonts w:ascii="Times New Roman" w:hAnsi="Times New Roman"/>
          <w:caps w:val="false"/>
          <w:smallCaps w:val="false"/>
          <w:sz w:val="20"/>
        </w:rPr>
        <w:t xml:space="preserve">by and between the Company and the Representative, as representative of the several underwriters named therein, to purchase up to an additional 75,000 shares of the Common Stock, at a public offering price of $3.00 per share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Overallotment Exercise”).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Overallotment Exercise closed on </w:t>
      </w:r>
      <w:r>
        <w:rPr>
          <w:rStyle w:val="Emphasis"/>
          <w:rFonts w:ascii="Times New Roman" w:hAnsi="Times New Roman"/>
          <w:caps w:val="false"/>
          <w:smallCaps w:val="false"/>
          <w:sz w:val="20"/>
        </w:rPr>
        <w:t xml:space="preserve">March 6, 2024. </w:t>
      </w:r>
      <w:r>
        <w:rPr>
          <w:rFonts w:ascii="Times New Roman" w:hAnsi="Times New Roman"/>
          <w:caps w:val="false"/>
          <w:smallCaps w:val="false"/>
          <w:sz w:val="20"/>
        </w:rPr>
        <w:t xml:space="preserve">The aggregate net cash proceeds to the Company from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Overallotment Exercise were approximately $0.2 million. The Company accrued additional offering costs of approximately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entered into a securities purchase agreement with an investor providing for the issuance and sale of 270,000 shares of Common Stock and warrants to purchase up to 270,000 shares of Common Stock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Warrants”) at a price of $3.80 per share of Common Stock and accompanying warrant, which represents a 26.7% premium to the offering price 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Public Offering. The Common Stock and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 xml:space="preserve">Warrants were offered pursuant to a private placement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Private Placement”) under Section </w:t>
      </w:r>
      <w:r>
        <w:rPr>
          <w:rStyle w:val="Emphasis"/>
          <w:rFonts w:ascii="Times New Roman" w:hAnsi="Times New Roman"/>
          <w:caps w:val="false"/>
          <w:smallCaps w:val="false"/>
          <w:sz w:val="20"/>
        </w:rPr>
        <w:t>4</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aggregate net cash proceeds to the Company from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Private Placement were approximately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18,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entered into an underwriting agreement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Underwriting Agreement”) with the Representative, as the representative of the several underwriters named therein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Underwriters”), relating to an underwritten public offering (the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 xml:space="preserve">Public Offering”) of 607,000 shares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Shares”) of Common Stock. The public offering price for each share of Common Stock was $3.30. Pursuant to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Underwriting Agreement, the Company also granted the Representative a </w:t>
      </w:r>
      <w:r>
        <w:rPr>
          <w:rStyle w:val="Emphasis"/>
          <w:rFonts w:ascii="Times New Roman" w:hAnsi="Times New Roman"/>
          <w:caps w:val="false"/>
          <w:smallCaps w:val="false"/>
          <w:sz w:val="20"/>
        </w:rPr>
        <w:t>45</w:t>
      </w:r>
      <w:r>
        <w:rPr>
          <w:rFonts w:ascii="Times New Roman" w:hAnsi="Times New Roman"/>
          <w:caps w:val="false"/>
          <w:smallCaps w:val="false"/>
          <w:sz w:val="20"/>
        </w:rPr>
        <w:t xml:space="preserve">-day option to purchase up to an additional 91,050 shares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Option Shares”) of the Common Stock on the same terms as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Shares sold in the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 xml:space="preserve">Public Offering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Over-Allotment Option”). On </w:t>
      </w:r>
      <w:r>
        <w:rPr>
          <w:rStyle w:val="Emphasis"/>
          <w:rFonts w:ascii="Times New Roman" w:hAnsi="Times New Roman"/>
          <w:caps w:val="false"/>
          <w:smallCaps w:val="false"/>
          <w:sz w:val="20"/>
        </w:rPr>
        <w:t>April 19,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Offering closed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Closing Date”). Net proceeds from the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 xml:space="preserve">Public Offering were approximately $1.6 million after offering costs of approximately $0.4 million. On </w:t>
      </w:r>
      <w:r>
        <w:rPr>
          <w:rStyle w:val="Emphasis"/>
          <w:rFonts w:ascii="Times New Roman" w:hAnsi="Times New Roman"/>
          <w:caps w:val="false"/>
          <w:smallCaps w:val="false"/>
          <w:sz w:val="20"/>
        </w:rPr>
        <w:t xml:space="preserve">May 23,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Underwriters of the previously announced underwritten public offering of the Company exercised their option in accordance with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Underwriting Agreement, dated </w:t>
      </w:r>
      <w:r>
        <w:rPr>
          <w:rStyle w:val="Emphasis"/>
          <w:rFonts w:ascii="Times New Roman" w:hAnsi="Times New Roman"/>
          <w:caps w:val="false"/>
          <w:smallCaps w:val="false"/>
          <w:sz w:val="20"/>
        </w:rPr>
        <w:t xml:space="preserve">April 18, 2024, </w:t>
      </w:r>
      <w:r>
        <w:rPr>
          <w:rFonts w:ascii="Times New Roman" w:hAnsi="Times New Roman"/>
          <w:caps w:val="false"/>
          <w:smallCaps w:val="false"/>
          <w:sz w:val="20"/>
        </w:rPr>
        <w:t xml:space="preserve">by and between the Company and the Representative, as representative of the several underwriters named therein, to purchase up to an additional 91,050 shares of the Company’s Common Stock, at the public offering price of $3.30 per share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Overallotment Exercise”).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Over-Allotment Exercise was exercised in full and closed on </w:t>
      </w:r>
      <w:r>
        <w:rPr>
          <w:rStyle w:val="Emphasis"/>
          <w:rFonts w:ascii="Times New Roman" w:hAnsi="Times New Roman"/>
          <w:caps w:val="false"/>
          <w:smallCaps w:val="false"/>
          <w:sz w:val="20"/>
        </w:rPr>
        <w:t>May 23, 2024. </w:t>
      </w:r>
      <w:r>
        <w:rPr>
          <w:rFonts w:ascii="Times New Roman" w:hAnsi="Times New Roman"/>
          <w:caps w:val="false"/>
          <w:smallCaps w:val="false"/>
          <w:sz w:val="20"/>
        </w:rPr>
        <w:t xml:space="preserve">The net cash proceeds to the Company from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Overallotment Exercise were approximately $0.2 million which include offering costs of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28, 2024, </w:t>
      </w:r>
      <w:r>
        <w:rPr>
          <w:rFonts w:ascii="Times New Roman" w:hAnsi="Times New Roman"/>
          <w:caps w:val="false"/>
          <w:smallCaps w:val="false"/>
          <w:sz w:val="20"/>
        </w:rPr>
        <w:t xml:space="preserve">the Company issued 20,000 shares of Common Stock in relation to consulting services performed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fair value of the Common Stock on the date of issuance was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 xml:space="preserve">Anson converted $4.2 million of principal and interest of the First Tranche Note into Common Stock, resulting in the issuances of 3,676,796 shares of Common Stock valued at $5.5 million based on the market price of the Common Stock at the date of Common Stock issuance resulting in a loss on conversion of $1.3 million (see Note </w:t>
      </w:r>
      <w:r>
        <w:rPr>
          <w:rStyle w:val="Emphasis"/>
          <w:rFonts w:ascii="Times New Roman" w:hAnsi="Times New Roman"/>
          <w:caps w:val="false"/>
          <w:smallCaps w:val="false"/>
          <w:sz w:val="20"/>
        </w:rPr>
        <w:t>10</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entered into a securities purchase agreement (the “First RD Purchase Agreement”) with Anson for the sale by the Company of 1,215,278 shares (the “First RD Shares”) of Common Stock to the Investors, at a purchase price of $2.88 per share, in a registered direct offering (the “First Registered Direct Offering”). Concurrently with the sale of the First RD Shares, pursuant to the First RD Purchase Agreement the Company also sold to the investors unregistered Common Stock purchase warrants (the “First RD Warrants”) to purchase up to an aggregate of 1,215,278 shares of Common Stock (the “First RD Warrant Shares”), in a private placement. Subject to certain beneficial ownership limitations, the First RD Warrants are immediately exercisable upon issuance at an exercise price equal to $2.88 per share of Common Stock, subject to adjustments as provided under the terms of the First RD Warrants. The closing of the sales of these securities under the First RD Purchase Agreement occurred on or about </w:t>
      </w:r>
      <w:r>
        <w:rPr>
          <w:rStyle w:val="Emphasis"/>
          <w:rFonts w:ascii="Times New Roman" w:hAnsi="Times New Roman"/>
          <w:caps w:val="false"/>
          <w:smallCaps w:val="false"/>
          <w:sz w:val="20"/>
        </w:rPr>
        <w:t>January 29, 2025 (</w:t>
      </w:r>
      <w:r>
        <w:rPr>
          <w:rFonts w:ascii="Times New Roman" w:hAnsi="Times New Roman"/>
          <w:caps w:val="false"/>
          <w:smallCaps w:val="false"/>
          <w:sz w:val="20"/>
        </w:rPr>
        <w:t>the “First RD Closing Date”), resulting in net proceeds to the Company of approximately $3.255 million after transaction costs. The First RD Warrants are exercisable for five years from the First RD Closing Date. The Company intends to use the net proceeds from the transactions for general corporate purposes, including the funding of certain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or around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 xml:space="preserve">the Company and Anson entered into a consent and waiver agreement related to the First RD Purchase Agreement and the Notes. Under this agreement, the investors agreed to waive certain rights and restrictions, including their right to participate in certain future financings, restrictions on the Company issuing specific equity securities, and any potential liquidated damages under the Registration Rights Agreement dated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These waivers are effective through and expired as of </w:t>
      </w:r>
      <w:r>
        <w:rPr>
          <w:rStyle w:val="Emphasis"/>
          <w:rFonts w:ascii="Times New Roman" w:hAnsi="Times New Roman"/>
          <w:caps w:val="false"/>
          <w:smallCaps w:val="false"/>
          <w:sz w:val="20"/>
        </w:rPr>
        <w:t>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consideration for these waivers, the Company agreed to issue additional compensation to the investors if the volume-weighted average price (VWAP) of the Company’s Common Stock is lower than the original purchase price at the time investors submit their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conversion notice for Anson Notes issued in the Second or Third Closing. This compensation includes additional shares of Common Stock (the “Consideration Shares”) and warrants to purchase an equal number of shares (the “Consideration Warrants”). The exercise price of the warrants is based on a VWAP-Based Adjustment, calculated as the greater of (a) the VWAP on the trading day before the conversion notice, or (b) 80% of the closing price on the day before the Registered Direct Offering.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obligation under this provision has been fully satisfied.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following the conversion of less than $0.1 million of the Third Tranche Note into 5,463 shares of Common Stock, the Company issued 303,819 shares of Common Stock Consideration Shares and 303,819 of Consideration Warrants to Anson in accordance with the terms of the CWA.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gross proceeds to the Company from the offerings were approximately $3.5 million, before deducting offering expenses of $0.2 million and excluding the proceeds, if any, from the exercise of the First RD Warrants. As discussed above,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in conjunction with the issuance of the First RD Shares, the Company issued First RD Warrants to purchase up to 1,215,278 shares of the Company’s Common Stock which were classified as a liability. The First RD Warrants have an exercise price of $2.88 per share and have a contractual term of five years expiring on </w:t>
      </w:r>
      <w:r>
        <w:rPr>
          <w:rStyle w:val="Emphasis"/>
          <w:rFonts w:ascii="Times New Roman" w:hAnsi="Times New Roman"/>
          <w:caps w:val="false"/>
          <w:smallCaps w:val="false"/>
          <w:sz w:val="20"/>
        </w:rPr>
        <w:t xml:space="preserve">January 29, 2030. </w:t>
      </w:r>
      <w:r>
        <w:rPr>
          <w:rFonts w:ascii="Times New Roman" w:hAnsi="Times New Roman"/>
          <w:caps w:val="false"/>
          <w:smallCaps w:val="false"/>
          <w:sz w:val="20"/>
        </w:rPr>
        <w:t xml:space="preserve">The measurement of fair value of the First RD Warrants were determined utilizing a Black-Scholes model considering all relevant assumptions current at the date of issuance (i.e., share price of $2.07, exercise price of $2.88, term of five years, volatility of 115.8%, and risk-free rate of 4.00%). The grant date fair value of these First RD Warrants was estimated to be $3.983 million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As the fair value of the liabilities exceeded the net proceeds received of $3.255 million, the Company recognized the excess of the fair value over the net proceeds received of $3.255 million as a loss upon issuance of First RD Shares of $0.7 million which is included in other expense (income) in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Anson converted $1.3 million of principal and interest of the First Tranche Note into Common Stock, resulting in the issuance of 1,004,055 shares of Common Stock valued at $2.9 million based on the market price of the Common Stock at the date of the Common Stock issuance resulting in a loss on conversion of $1.6 million (See Note </w:t>
      </w:r>
      <w:r>
        <w:rPr>
          <w:rStyle w:val="Emphasis"/>
          <w:rFonts w:ascii="Times New Roman" w:hAnsi="Times New Roman"/>
          <w:caps w:val="false"/>
          <w:smallCaps w:val="false"/>
          <w:sz w:val="20"/>
        </w:rPr>
        <w:t>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Anson converted less than $0.1 million of principal and interest of the Third Tranche Note into Common Stock, resulting in the issuance of 5,463 shares of Common Stock valued at less than $0.1 million based on the market price of the Common Stock at the date of the Common Stock issuance resulting in a loss on conversion of less than $0.1 million (See Note </w:t>
      </w:r>
      <w:r>
        <w:rPr>
          <w:rStyle w:val="Emphasis"/>
          <w:rFonts w:ascii="Times New Roman" w:hAnsi="Times New Roman"/>
          <w:caps w:val="false"/>
          <w:smallCaps w:val="false"/>
          <w:sz w:val="20"/>
        </w:rPr>
        <w:t>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Anson converted $4.1 million of principal and interest of the Third Tranche Note into Common Stock, resulting in the issuance of 1,879,406 shares of Common Stock valued at $6.0 million based on the market price of the Common Stock at the date of the Common Stock issuance resulting in a loss on conversion of $1.9 million (See Note </w:t>
      </w:r>
      <w:r>
        <w:rPr>
          <w:rStyle w:val="Emphasis"/>
          <w:rFonts w:ascii="Times New Roman" w:hAnsi="Times New Roman"/>
          <w:caps w:val="false"/>
          <w:smallCaps w:val="false"/>
          <w:sz w:val="20"/>
        </w:rPr>
        <w:t>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Anson converted $1.4 million of principal and interest of the Third Tranche Note into Common Stock, resulting in the issuance of 877,193 shares of Common Stock valued at $2.2 million based on the market price of the Common Stock at the date of the Common Stock issuance resulting in a loss on conversion of $0.8 million (See Note </w:t>
      </w:r>
      <w:r>
        <w:rPr>
          <w:rStyle w:val="Emphasis"/>
          <w:rFonts w:ascii="Times New Roman" w:hAnsi="Times New Roman"/>
          <w:caps w:val="false"/>
          <w:smallCaps w:val="false"/>
          <w:sz w:val="20"/>
        </w:rPr>
        <w:t>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following the conversion of less than $0.1 million of the Third Tranche Note into 5,463 shares of Common Stock, the Company issued 303,819 shares of Common Stock Consideration Shares and 303,819 of Consideration Warrants to Anson in accordance with the terms of the CWA. As a result of this adjustment, the exercise price of the RD Warrants was updated to $2.30 as of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Upon conversion or extinguishment,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requires that any difference between the carrying amount of the debt and the fair value of consideration transferred be recognized as a gain or loss in the statement of operations. The Consideration Shares, being equity-classified, are recognized at fair value with credit to Common Stock and additional paid in capital. The Consideration Warrants, liability-classified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were initially recognized at fair value, with changes in fair value subsequently recognized through earnings. In accordance with the CWA, the Company recorded loss on issuance of the Consideration shares and the Consideration Warrants in total of $1.28 million recognized within other expense (income)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within accompanying 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15, 2025, </w:t>
      </w:r>
      <w:r>
        <w:rPr>
          <w:rFonts w:ascii="Times New Roman" w:hAnsi="Times New Roman"/>
          <w:caps w:val="false"/>
          <w:smallCaps w:val="false"/>
          <w:sz w:val="20"/>
        </w:rPr>
        <w:t xml:space="preserve">the Company granted 75,000 shares of fully vested Common Stock to a vendor in accordance with the vendor agreement. The value of the fully vested shares granted was determined by the value of the stock on the quoted trading price of $2.08 and an aggregate of approximately $0.2 million was recorded as expense within the accompanying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18, 2025, </w:t>
      </w:r>
      <w:r>
        <w:rPr>
          <w:rFonts w:ascii="Times New Roman" w:hAnsi="Times New Roman"/>
          <w:caps w:val="false"/>
          <w:smallCaps w:val="false"/>
          <w:sz w:val="20"/>
        </w:rPr>
        <w:t xml:space="preserve">the Company entered into a securities purchase agreement (the “Second RD Purchase Agreement”) with certain accredited investors for the sale of an aggregate of 3,959,999 shares of the Company’s Common Stock, at a purchase price of $1.65 per share (the “Second Registered Direct Offering”). The Second Registered Direct Offering closed on </w:t>
      </w:r>
      <w:r>
        <w:rPr>
          <w:rStyle w:val="Emphasis"/>
          <w:rFonts w:ascii="Times New Roman" w:hAnsi="Times New Roman"/>
          <w:caps w:val="false"/>
          <w:smallCaps w:val="false"/>
          <w:sz w:val="20"/>
        </w:rPr>
        <w:t xml:space="preserve">August 18, 2025, </w:t>
      </w:r>
      <w:r>
        <w:rPr>
          <w:rFonts w:ascii="Times New Roman" w:hAnsi="Times New Roman"/>
          <w:caps w:val="false"/>
          <w:smallCaps w:val="false"/>
          <w:sz w:val="20"/>
        </w:rPr>
        <w:t xml:space="preserve">and resulted in net proceeds of approximately $6.2 million, after deducting placement agent fees and other offering-related expenses of approximately $0.3 million. Concurrently with the execution of the Second RD Purchase Agreement, the purchasers of the Second Registered Direct Offering entered into Lock-Up Agreements with the Company, pursuant to which they agreed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sell, transfer, or otherwise dispose of the shares of Common Stock, subject to certain exceptions, without the prior written consent of the Company until </w:t>
      </w:r>
      <w:r>
        <w:rPr>
          <w:rStyle w:val="Emphasis"/>
          <w:rFonts w:ascii="Times New Roman" w:hAnsi="Times New Roman"/>
          <w:caps w:val="false"/>
          <w:smallCaps w:val="false"/>
          <w:sz w:val="20"/>
        </w:rPr>
        <w:t>August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17, 2025, </w:t>
      </w:r>
      <w:r>
        <w:rPr>
          <w:rFonts w:ascii="Times New Roman" w:hAnsi="Times New Roman"/>
          <w:caps w:val="false"/>
          <w:smallCaps w:val="false"/>
          <w:sz w:val="20"/>
        </w:rPr>
        <w:t xml:space="preserve">the Company granted 150,000 shares of fully vested Common Stock to a vendor in accordance with the vendor agreement. The value of the fully vested shares granted was determined by the value of the stock on the quoted trading price of $3.00 and an aggregate of approximately $0.45 million was recorded as expense within the accompanying condensed consolidated statement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1,870,960 shares underlying the Anson Warrants, that were issued with the original convertible notes, were exercised for cash proceeds of $3.09 million. The fair value of the exercised warrants, which were initially recorded as warrant liability, was determined to be $5.37 million as of the exercise date, resulting in a gain of $5.37 million upon settlement of these warrant liabilities exercises, representing the difference between the fair value of the exercised Anson warrants and the cash proceeds received. Because the exercise proceeds were received subsequent to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recorded a subscription receivable asset of $3.09 million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gain on Anson warrants exercised was recognized within other expense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Substitute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2021, </w:t>
      </w:r>
      <w:r>
        <w:rPr>
          <w:rFonts w:ascii="Times New Roman" w:hAnsi="Times New Roman"/>
          <w:caps w:val="false"/>
          <w:smallCaps w:val="false"/>
          <w:sz w:val="20"/>
        </w:rPr>
        <w:t xml:space="preserve">the Company completed the merger (“Merger”) under the Agreement and Plan of Merger dated </w:t>
      </w:r>
      <w:r>
        <w:rPr>
          <w:rStyle w:val="Emphasis"/>
          <w:rFonts w:ascii="Times New Roman" w:hAnsi="Times New Roman"/>
          <w:caps w:val="false"/>
          <w:smallCaps w:val="false"/>
          <w:sz w:val="20"/>
        </w:rPr>
        <w:t xml:space="preserve">December 13, 2020, </w:t>
      </w:r>
      <w:r>
        <w:rPr>
          <w:rFonts w:ascii="Times New Roman" w:hAnsi="Times New Roman"/>
          <w:caps w:val="false"/>
          <w:smallCaps w:val="false"/>
          <w:sz w:val="20"/>
        </w:rPr>
        <w:t xml:space="preserve">as amended, among the Company (formerly Big Rock Partners Acquisition Corp.), NeuroRx, Inc., and Big Rock Merger Corp., a wholly owned subsidiary of our company. In the transaction, Big Rock Merger Corp. merged with and into NeuroRx, with NeuroRx continuing as the surviving entity. In connection with the Merger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each warrant to purchase shares of Common Stock of NRx that was outstanding and unexercised immediately prior to the effective time (whether vested or unvested) was assumed by Big Rock Partners Acquisition Corp. (“BRPA”) and converted into a warrant, based on the exchange ratio (of 0.316), that will continue to be governed by substantially the same terms and conditions, including vesting, as were applicable to the former warrant (the “Substitute Warrants”). There were 3,792,970 warrants outstanding and unexercised at the effective time. As these Substitute Warrants meet the definition of a derivative as contemplated in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based on provisions in the warrant agreement related to the Earnout Shares Milestone and the Earnout Cash Milestone and the contingent right to receive additional shares for these provisions, the Substitute Warrants were recorded as derivative liabilities on the condensed consolidated balance sheet and measured at fair value at inception (on the date of the Merger) and at each reporting date in accordance with FASB 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with changes in fair value recognized in the statements of operations in the period of change. Refer to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further discussion of fair value measurement of the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Assumed Public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Prior to the Merger, the Company had 3,450,000 warrants outstanding (the “Public Warrants”) to purchase up to 345,000 shares of Common Stock. Each Public Warrant entitles the holder to purchase one-</w:t>
      </w:r>
      <w:r>
        <w:rPr>
          <w:rStyle w:val="Emphasis"/>
          <w:rFonts w:ascii="Times New Roman" w:hAnsi="Times New Roman"/>
          <w:caps w:val="false"/>
          <w:smallCaps w:val="false"/>
          <w:sz w:val="20"/>
        </w:rPr>
        <w:t>tenth</w:t>
      </w:r>
      <w:r>
        <w:rPr>
          <w:rFonts w:ascii="Times New Roman" w:hAnsi="Times New Roman"/>
          <w:caps w:val="false"/>
          <w:smallCaps w:val="false"/>
          <w:sz w:val="20"/>
        </w:rPr>
        <w:t> share of Common Stock at an exercise price of $115 per share. The Public Warrants became exercisable at the effective time of the Merger and expire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after the effective time on or earlier upon their redemption or liquidation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 Public Warrants were exercised. The outstanding balance of these public warrants remains in equity. At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there were 3,448,856 Public Warrants outstanding to purchase up to 344,886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Assumed Private Placement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Liabilities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Prior to the Merger, the Company had outstanding 136,250 Private Placement Warrants (the “Private Placement Warrants”) to purchase up to 13,625 shares of Common Stock. The Private Placement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the Company’s common shares in the manner contemplated by FASB ASC Topic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because the holder of the instrument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input into the pricing of a fixed-for-fixed option on equity shares. The Company classifies the Private Placement Warrants as derivative liabilities in its condensed consolidated balance sheets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measures the fair value of the Private Placement Warrants at the end of each reporting period and recognizes changes in the fair value from the prior period in the Company’s statements of operations for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recognized a change in fair value of the Private Placement Warrants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the accompanying statement of operations.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discussion of the fair value measurement of the Company’s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Investor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February 28, 2024, </w:t>
      </w:r>
      <w:r>
        <w:rPr>
          <w:rFonts w:ascii="Times New Roman" w:hAnsi="Times New Roman"/>
          <w:caps w:val="false"/>
          <w:smallCaps w:val="false"/>
          <w:sz w:val="20"/>
        </w:rPr>
        <w:t>in conjunction with the sale of 270,000 shares of the Common Stock, the Company issued </w:t>
      </w:r>
      <w:r>
        <w:rPr>
          <w:rStyle w:val="Emphasis"/>
          <w:rFonts w:ascii="Times New Roman" w:hAnsi="Times New Roman"/>
          <w:caps w:val="false"/>
          <w:smallCaps w:val="false"/>
          <w:sz w:val="20"/>
        </w:rPr>
        <w:t xml:space="preserve"> February 2024 </w:t>
      </w:r>
      <w:r>
        <w:rPr>
          <w:rFonts w:ascii="Times New Roman" w:hAnsi="Times New Roman"/>
          <w:caps w:val="false"/>
          <w:smallCaps w:val="false"/>
          <w:sz w:val="20"/>
        </w:rPr>
        <w:t xml:space="preserve">Warrants to purchase up to 270,000 shares of Common Stock which were classified in stockholder’s equity.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Warrants have an exercise price of $3.80 per share, are initially exercisable beginning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following the date of issuance and will expire five years from the date of issuance. The measurement of fair value was determined utilizing a Black-Scholes model considering all relevant assumptions current at the date of issuance (i.e., share price of $3.59, exercise price of $3.80, term of 5 years, volatility of 178.10%, risk-free rate of 4.26%, and expected dividend rate of 0%). The allocated fair value of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Warrants on the grant date was $0.5 million and is recorded within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28, 2024, </w:t>
      </w:r>
      <w:r>
        <w:rPr>
          <w:rFonts w:ascii="Times New Roman" w:hAnsi="Times New Roman"/>
          <w:caps w:val="false"/>
          <w:smallCaps w:val="false"/>
          <w:sz w:val="20"/>
        </w:rPr>
        <w:t xml:space="preserve">the Company issued to the Representative the Underwriter’s Warrant to purchase up to 25,000 shares of Common Stock. The Underwriter’s Warrant is exercisable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following the date of the Underwriting Agreement and terminates on the five-year anniversary of the date of the Underwriting Agreement. The measurement of fair value was determined utilizing a Black-Scholes model considering all relevant assumptions current at the date of issuance (i.e., share price of $3.05, exercise price of $3.30, term of 5 years, volatility of 178.10%, risk-free rate of 4.26%, and expected dividend rate of 0%). The allocated fair value of the Underwriter's Warrants on the grant date was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5, 2024, </w:t>
      </w:r>
      <w:r>
        <w:rPr>
          <w:rFonts w:ascii="Times New Roman" w:hAnsi="Times New Roman"/>
          <w:caps w:val="false"/>
          <w:smallCaps w:val="false"/>
          <w:sz w:val="20"/>
        </w:rPr>
        <w:t xml:space="preserve">the Company issued Underwriter’s Warrant to purchase up to 3,750 shares of Common Stock in relation to the exercise of the </w:t>
      </w:r>
      <w:r>
        <w:rPr>
          <w:rStyle w:val="Emphasis"/>
          <w:rFonts w:ascii="Times New Roman" w:hAnsi="Times New Roman"/>
          <w:caps w:val="false"/>
          <w:smallCaps w:val="false"/>
          <w:sz w:val="20"/>
        </w:rPr>
        <w:t xml:space="preserve">February </w:t>
      </w:r>
      <w:r>
        <w:rPr>
          <w:rFonts w:ascii="Times New Roman" w:hAnsi="Times New Roman"/>
          <w:caps w:val="false"/>
          <w:smallCaps w:val="false"/>
          <w:sz w:val="20"/>
        </w:rPr>
        <w:t>Over-Allotment Option. The measurement of fair value was determined utilizing a Black-Scholes model considering all relevant assumptions current at the date of issuance (i.e., share price of $3.05, exercise price of $3.30, term of 5 years, volatility of 178.10%, risk-free rate of 4.12%, and expected dividend rate of 0%). The allocated fair value of the Underwriter's Warrants on the grant date was less than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19, 2024, </w:t>
      </w:r>
      <w:r>
        <w:rPr>
          <w:rFonts w:ascii="Times New Roman" w:hAnsi="Times New Roman"/>
          <w:caps w:val="false"/>
          <w:smallCaps w:val="false"/>
          <w:sz w:val="20"/>
        </w:rPr>
        <w:t xml:space="preserve">the Company issued to the Representative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Underwriter Warrant to purchase up to 30,350 shares of Common Stock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Underwriter Warrant”).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 xml:space="preserve">Underwriter Warrant is exercisable for six months following the date of the Underwriting Agreement and terminates on the five-year anniversary of the date of the Underwriting Agreement. The measurement of fair value was determined utilizing a Black-Scholes model considering all relevant assumptions current at the date of issuance (i.e., share price of $3.04, exercise price of $3.63, term of 5 years, volatility of 178.10%, risk-free rate of 4.66%, and expected dividend rate of 0%). The allocated fair value of the </w:t>
      </w:r>
      <w:r>
        <w:rPr>
          <w:rStyle w:val="Emphasis"/>
          <w:rFonts w:ascii="Times New Roman" w:hAnsi="Times New Roman"/>
          <w:caps w:val="false"/>
          <w:smallCaps w:val="false"/>
          <w:sz w:val="20"/>
        </w:rPr>
        <w:t xml:space="preserve">April </w:t>
      </w:r>
      <w:r>
        <w:rPr>
          <w:rFonts w:ascii="Times New Roman" w:hAnsi="Times New Roman"/>
          <w:caps w:val="false"/>
          <w:smallCaps w:val="false"/>
          <w:sz w:val="20"/>
        </w:rPr>
        <w:t>Underwriter Warrant on the grant date was less than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23, 2024, </w:t>
      </w:r>
      <w:r>
        <w:rPr>
          <w:rFonts w:ascii="Times New Roman" w:hAnsi="Times New Roman"/>
          <w:caps w:val="false"/>
          <w:smallCaps w:val="false"/>
          <w:sz w:val="20"/>
        </w:rPr>
        <w:t xml:space="preserve">the Company issued Underwriter’s Warrant to purchase up to 4,553 shares of Common Stock in relation to the exercise of the </w:t>
      </w:r>
      <w:r>
        <w:rPr>
          <w:rStyle w:val="Emphasis"/>
          <w:rFonts w:ascii="Times New Roman" w:hAnsi="Times New Roman"/>
          <w:caps w:val="false"/>
          <w:smallCaps w:val="false"/>
          <w:sz w:val="20"/>
        </w:rPr>
        <w:t>April </w:t>
      </w:r>
      <w:r>
        <w:rPr>
          <w:rFonts w:ascii="Times New Roman" w:hAnsi="Times New Roman"/>
          <w:caps w:val="false"/>
          <w:smallCaps w:val="false"/>
          <w:sz w:val="20"/>
        </w:rPr>
        <w:t>Over-Allotment Option. The measurement of fair value was determined utilizing a Black-Scholes model considering all relevant assumptions current at the date of issuance (i.e., share price of $3.62, exercise price of $3.63, term of 5 years, volatility of 178.10%, risk-free rate of 4.52%, and expected dividend rate of 0%). The allocated fair value of the Underwriter's Warrants on the grant date was less than $0.1 million and is recorded as a charge to additional paid-in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Alvogen Warrants </w:t>
      </w:r>
      <w:r>
        <w:rPr>
          <w:rFonts w:ascii="Times New Roman" w:hAnsi="Times New Roman"/>
          <w:caps w:val="false"/>
          <w:smallCaps w:val="false"/>
          <w:sz w:val="20"/>
        </w:rPr>
        <w:t xml:space="preserve">– </w:t>
      </w:r>
      <w:r>
        <w:rPr>
          <w:rFonts w:ascii="Times New Roman" w:hAnsi="Times New Roman"/>
          <w:i/>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conjunction with the amended Licensing Agreement with Alvogen discussed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7, 2024 </w:t>
      </w:r>
      <w:r>
        <w:rPr>
          <w:rFonts w:ascii="Times New Roman" w:hAnsi="Times New Roman"/>
          <w:caps w:val="false"/>
          <w:smallCaps w:val="false"/>
          <w:sz w:val="20"/>
        </w:rPr>
        <w:t xml:space="preserve">the Company issued warrants to purchase up to 419,598 shares of Common Stock. The warrants have an exercise price of $4.00 per share, are exercisable immediately following the date of issuance, will expire three years from the date of issuance,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be exercised on a cashless basis if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effective registration statement available for the resale of the shares of Common Stock underlying the warrants. The warrants are subject to a beneficial ownership limitation of 4.99% post-exercise, with the exception that the beneficial ownership limitation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waived up to a maximum of 9.99% at the election of the holder, with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w:t>
      </w:r>
      <w:r>
        <w:rPr>
          <w:rStyle w:val="Emphasis"/>
          <w:rFonts w:ascii="Times New Roman" w:hAnsi="Times New Roman"/>
          <w:caps w:val="false"/>
          <w:smallCaps w:val="false"/>
          <w:sz w:val="20"/>
        </w:rPr>
        <w:t>61</w:t>
      </w:r>
      <w:r>
        <w:rPr>
          <w:rFonts w:ascii="Times New Roman" w:hAnsi="Times New Roman"/>
          <w:caps w:val="false"/>
          <w:smallCaps w:val="false"/>
          <w:sz w:val="20"/>
        </w:rPr>
        <w:t xml:space="preserve"> days prior notice. The measurement of fair value was determined utilizing a Black-Scholes model considering all relevant assumptions current at the date of issuance (i.e., share price of $4.10, exercise price of $4.00, term of 3 years, volatility of 138.0%, risk-free rate of 4.2%, and expected dividend rate of 0.0%). The fair value of the warrants on the grant date was $1.3 million and was recorded within additional paid-in capital as of </w:t>
      </w:r>
      <w:r>
        <w:rPr>
          <w:rStyle w:val="Emphasis"/>
          <w:rFonts w:ascii="Times New Roman" w:hAnsi="Times New Roman"/>
          <w:caps w:val="false"/>
          <w:smallCaps w:val="false"/>
          <w:sz w:val="20"/>
        </w:rPr>
        <w:t>March 31, 2024. </w:t>
      </w:r>
      <w:r>
        <w:rPr>
          <w:rFonts w:ascii="Times New Roman" w:hAnsi="Times New Roman"/>
          <w:caps w:val="false"/>
          <w:smallCaps w:val="false"/>
          <w:sz w:val="20"/>
        </w:rPr>
        <w:t xml:space="preserve">Upon termination of the License Agreement on </w:t>
      </w:r>
      <w:r>
        <w:rPr>
          <w:rStyle w:val="Emphasis"/>
          <w:rFonts w:ascii="Times New Roman" w:hAnsi="Times New Roman"/>
          <w:caps w:val="false"/>
          <w:smallCaps w:val="false"/>
          <w:sz w:val="20"/>
        </w:rPr>
        <w:t xml:space="preserve">June 21, 2024, </w:t>
      </w:r>
      <w:r>
        <w:rPr>
          <w:rFonts w:ascii="Times New Roman" w:hAnsi="Times New Roman"/>
          <w:caps w:val="false"/>
          <w:smallCaps w:val="false"/>
          <w:sz w:val="20"/>
        </w:rPr>
        <w:t>the offsetting amount recorded within additional paid-in capital as an unfunded stock subscription receivable was expensed to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Anson Warrants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Liability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Anson Warrants, originally issued in the Anson Purchase Agreement, are recognized as derivative liabilities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The Company concluded liability classification was appropriate as certain settlement features included in the Anson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indexed to the Company's own stock, and therefore preclude equity classification.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Company’s condensed consolidated statements of operations. The Anson Warrants are measured at fair value using a Black-Scholes model. Warrant liabilities are classified as current liabilities on the Company's condensed consolidated balance sheets. On </w:t>
      </w:r>
      <w:r>
        <w:rPr>
          <w:rStyle w:val="Emphasis"/>
          <w:rFonts w:ascii="Times New Roman" w:hAnsi="Times New Roman"/>
          <w:caps w:val="false"/>
          <w:smallCaps w:val="false"/>
          <w:sz w:val="20"/>
        </w:rPr>
        <w:t xml:space="preserve">August 14, 2024, </w:t>
      </w:r>
      <w:r>
        <w:rPr>
          <w:rFonts w:ascii="Times New Roman" w:hAnsi="Times New Roman"/>
          <w:caps w:val="false"/>
          <w:smallCaps w:val="false"/>
          <w:sz w:val="20"/>
        </w:rPr>
        <w:t xml:space="preserve">in conjunction with the issuance of the First Tranche Notes, the Company issued warrants to purchase up to 1,349,305 shares of the Common Stock which were classified as a liability. The warrants have an exercise price of $2.4168 per share, subject to adjustment or other settlement provisions, and have a contractual term of five years expiring on </w:t>
      </w:r>
      <w:r>
        <w:rPr>
          <w:rStyle w:val="Emphasis"/>
          <w:rFonts w:ascii="Times New Roman" w:hAnsi="Times New Roman"/>
          <w:caps w:val="false"/>
          <w:smallCaps w:val="false"/>
          <w:sz w:val="20"/>
        </w:rPr>
        <w:t>August 14, 2029. </w:t>
      </w:r>
      <w:r>
        <w:rPr>
          <w:rFonts w:ascii="Times New Roman" w:hAnsi="Times New Roman"/>
          <w:caps w:val="false"/>
          <w:smallCaps w:val="false"/>
          <w:sz w:val="20"/>
        </w:rPr>
        <w:t xml:space="preserve">The measurement of fair value of the Anson Warrants were determined utilizing a Black-Scholes model considering all relevant assumptions current at the date of issuance (i.e., share price of $1.86, exercise price of $2.42, term of five years, volatility of 122%, and risk-free rate of 3.67%, and expected dividend rate of 0%). The grant date fair value of these Anson Warrants was estimated to be $2.1 million on </w:t>
      </w:r>
      <w:r>
        <w:rPr>
          <w:rStyle w:val="Emphasis"/>
          <w:rFonts w:ascii="Times New Roman" w:hAnsi="Times New Roman"/>
          <w:caps w:val="false"/>
          <w:smallCaps w:val="false"/>
          <w:sz w:val="20"/>
        </w:rPr>
        <w:t>August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10, 2024, </w:t>
      </w:r>
      <w:r>
        <w:rPr>
          <w:rFonts w:ascii="Times New Roman" w:hAnsi="Times New Roman"/>
          <w:caps w:val="false"/>
          <w:smallCaps w:val="false"/>
          <w:sz w:val="20"/>
        </w:rPr>
        <w:t xml:space="preserve">in conjunction with the issuance of the Second Tranche Notes, the Company issued warrants to purchase up to 1,846,128 shares of Common Stock which were classified as a liability. The warrants have an exercise price of $1.7664 per share, subject to adjustment or other settlement provisions, and have a contractual term of five years expiring on </w:t>
      </w:r>
      <w:r>
        <w:rPr>
          <w:rStyle w:val="Emphasis"/>
          <w:rFonts w:ascii="Times New Roman" w:hAnsi="Times New Roman"/>
          <w:caps w:val="false"/>
          <w:smallCaps w:val="false"/>
          <w:sz w:val="20"/>
        </w:rPr>
        <w:t>October 10, 2029. </w:t>
      </w:r>
      <w:r>
        <w:rPr>
          <w:rFonts w:ascii="Times New Roman" w:hAnsi="Times New Roman"/>
          <w:caps w:val="false"/>
          <w:smallCaps w:val="false"/>
          <w:sz w:val="20"/>
        </w:rPr>
        <w:t xml:space="preserve">The measurement of fair value of the Investor Warrants was determined utilizing a Black-Scholes model considering all relevant assumptions current at the date of issuance (i.e., share price of $1.38, exercise price of $1.76, term of five years, volatility of 105%, and risk-free rate of 3.91%, and expected dividend rate of 0%). The grant date fair value of these Second Tranche Investor Warrants was estimated to be $1.9 million on </w:t>
      </w:r>
      <w:r>
        <w:rPr>
          <w:rStyle w:val="Emphasis"/>
          <w:rFonts w:ascii="Times New Roman" w:hAnsi="Times New Roman"/>
          <w:caps w:val="false"/>
          <w:smallCaps w:val="false"/>
          <w:sz w:val="20"/>
        </w:rPr>
        <w:t>October 10,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28, 2025, </w:t>
      </w:r>
      <w:r>
        <w:rPr>
          <w:rFonts w:ascii="Times New Roman" w:hAnsi="Times New Roman"/>
          <w:caps w:val="false"/>
          <w:smallCaps w:val="false"/>
          <w:sz w:val="20"/>
        </w:rPr>
        <w:t xml:space="preserve">in conjunction with the issuance of the Third Tranche Notes, the Company issued warrants to purchase up to 862,699 shares of Common Stock which were classified as a liability (See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The warrants had an initial exercise price of $3.78 per share, subject to adjustment or other settlement provisions, and have a contractual term of five years expiring on </w:t>
      </w:r>
      <w:r>
        <w:rPr>
          <w:rStyle w:val="Emphasis"/>
          <w:rFonts w:ascii="Times New Roman" w:hAnsi="Times New Roman"/>
          <w:caps w:val="false"/>
          <w:smallCaps w:val="false"/>
          <w:sz w:val="20"/>
        </w:rPr>
        <w:t xml:space="preserve">January 28, 2030. </w:t>
      </w:r>
      <w:r>
        <w:rPr>
          <w:rFonts w:ascii="Times New Roman" w:hAnsi="Times New Roman"/>
          <w:caps w:val="false"/>
          <w:smallCaps w:val="false"/>
          <w:sz w:val="20"/>
        </w:rPr>
        <w:t xml:space="preserve">The measurement of fair value of the Investor Warrants was determined using a Black-Scholes model considering all relevant assumptions current at the date of issuance (i.e., share price of $3.55, exercise price of $3.78, term of five years, volatility of 113%, risk-free rate of 4.33%, and expected dividend rate of 0%). The grant date fair value of these Third Tranche Investor Warrants was estimated to be $2.5 million on </w:t>
      </w:r>
      <w:r>
        <w:rPr>
          <w:rStyle w:val="Emphasis"/>
          <w:rFonts w:ascii="Times New Roman" w:hAnsi="Times New Roman"/>
          <w:caps w:val="false"/>
          <w:smallCaps w:val="false"/>
          <w:sz w:val="20"/>
        </w:rPr>
        <w:t>January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connection with the Second RD Purchase Agreement, and pursuant to the full ratchet anti-dilution provisions contained in the Anson financing agreements, the exercise price of all outstanding Common Stock purchase warrants issued on </w:t>
      </w:r>
      <w:r>
        <w:rPr>
          <w:rStyle w:val="Emphasis"/>
          <w:rFonts w:ascii="Times New Roman" w:hAnsi="Times New Roman"/>
          <w:caps w:val="false"/>
          <w:smallCaps w:val="false"/>
          <w:sz w:val="20"/>
        </w:rPr>
        <w:t xml:space="preserve">August 14, 2024, October 10, 2024, January 28,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January 29, 2025 (</w:t>
      </w:r>
      <w:r>
        <w:rPr>
          <w:rFonts w:ascii="Times New Roman" w:hAnsi="Times New Roman"/>
          <w:caps w:val="false"/>
          <w:smallCaps w:val="false"/>
          <w:sz w:val="20"/>
        </w:rPr>
        <w:t xml:space="preserve">collectively, the “Anson Warrants”) were each adjusted to $1.65 per share. In addition, under the full ratchet provision of the warrants’ anti-dilution provision, the number of shares underlying the Anson Warrants was increased by an aggregate of 1,870,960 shares of common stock. The effect of the full ratchet trigger was </w:t>
      </w:r>
      <w:r>
        <w:rPr>
          <w:rStyle w:val="Emphasis"/>
          <w:rFonts w:ascii="Times New Roman" w:hAnsi="Times New Roman"/>
          <w:caps w:val="false"/>
          <w:smallCaps w:val="false"/>
          <w:sz w:val="20"/>
        </w:rPr>
        <w:t>$5.7</w:t>
      </w:r>
      <w:r>
        <w:rPr>
          <w:rFonts w:ascii="Times New Roman" w:hAnsi="Times New Roman"/>
          <w:caps w:val="false"/>
          <w:smallCaps w:val="false"/>
          <w:sz w:val="20"/>
        </w:rPr>
        <w:t xml:space="preserve"> million and is reflected as part of the change in fair value of warrant liabilities on the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holders of Anson Notes and Anson Warrants, in accordance with the an agreement entered into with Anson 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agreed to, among other things, i) certain trading volume limitations, and ii) a partial exercise of previously issued Anson Warrants for cash. Specifically, if the closing stock price of the Company’s common stock as reported on the Principal Market (as defined in the </w:t>
      </w:r>
      <w:r>
        <w:rPr>
          <w:rStyle w:val="Emphasis"/>
          <w:rFonts w:ascii="Times New Roman" w:hAnsi="Times New Roman"/>
          <w:caps w:val="false"/>
          <w:smallCaps w:val="false"/>
          <w:sz w:val="20"/>
        </w:rPr>
        <w:t xml:space="preserve">August 2024 </w:t>
      </w:r>
      <w:r>
        <w:rPr>
          <w:rFonts w:ascii="Times New Roman" w:hAnsi="Times New Roman"/>
          <w:caps w:val="false"/>
          <w:smallCaps w:val="false"/>
          <w:sz w:val="20"/>
        </w:rPr>
        <w:t xml:space="preserve">Purchase Agreement) is below </w:t>
      </w:r>
      <w:r>
        <w:rPr>
          <w:rStyle w:val="Emphasis"/>
          <w:rFonts w:ascii="Times New Roman" w:hAnsi="Times New Roman"/>
          <w:caps w:val="false"/>
          <w:smallCaps w:val="false"/>
          <w:sz w:val="20"/>
        </w:rPr>
        <w:t>$3.25</w:t>
      </w:r>
      <w:r>
        <w:rPr>
          <w:rFonts w:ascii="Times New Roman" w:hAnsi="Times New Roman"/>
          <w:caps w:val="false"/>
          <w:smallCaps w:val="false"/>
          <w:sz w:val="20"/>
        </w:rPr>
        <w:t xml:space="preserve"> on any trading day, Anson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sell, dispose of, or otherwise transfer, in the aggregate, more than </w:t>
      </w:r>
      <w:r>
        <w:rPr>
          <w:rStyle w:val="Emphasis"/>
          <w:rFonts w:ascii="Times New Roman" w:hAnsi="Times New Roman"/>
          <w:caps w:val="false"/>
          <w:smallCaps w:val="false"/>
          <w:sz w:val="20"/>
        </w:rPr>
        <w:t>12.5%</w:t>
      </w:r>
      <w:r>
        <w:rPr>
          <w:rFonts w:ascii="Times New Roman" w:hAnsi="Times New Roman"/>
          <w:caps w:val="false"/>
          <w:smallCaps w:val="false"/>
          <w:sz w:val="20"/>
        </w:rPr>
        <w:t xml:space="preserve"> of the composite daily trading volume of the Company’s common stock on that trading day. In accordance with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1,870,960 shares of underlying Anson Warrants, which were issued with the original convertible notes, were exercised on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for cash proceeds of $3.1 million. The fair value of the exercised Anson Warrants liabilities was determined to be $5.4 million as of the exercise date, resulting in a gain of $5.4 million, recorded as gain in exercise of warrant liabilities and representing the difference between the fair value of the exercised Anson Warrants and the cash proceeds received. Because the exercise proceeds were received subsequent to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Company recorded a subscription receivable asset of $3.1 million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gain was recognized within other (income)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RD Warrants –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in conjunction with the issuance of the First RD Shares, the Company issued the First RD Warrants to purchase up to 1,215,278 shares of Common Stock which were classified as a liability. The First RD Warrants have an exercise price of $2.88 per share and have a contractual term of five years expiring on </w:t>
      </w:r>
      <w:r>
        <w:rPr>
          <w:rStyle w:val="Emphasis"/>
          <w:rFonts w:ascii="Times New Roman" w:hAnsi="Times New Roman"/>
          <w:caps w:val="false"/>
          <w:smallCaps w:val="false"/>
          <w:sz w:val="20"/>
        </w:rPr>
        <w:t xml:space="preserve">January 29, 2030. </w:t>
      </w:r>
      <w:r>
        <w:rPr>
          <w:rFonts w:ascii="Times New Roman" w:hAnsi="Times New Roman"/>
          <w:caps w:val="false"/>
          <w:smallCaps w:val="false"/>
          <w:sz w:val="20"/>
        </w:rPr>
        <w:t xml:space="preserve">The measurement of fair value of the First RD Warrants was determined utilizing a Black-Scholes model considering all relevant assumptions current at the date of issuance (i.e., share price of $2.07, exercise price of $2.88, term of five years, volatility of 115.8%, and risk-free rate of 4.00%). The grant date fair value of these First RD Warrants was estimated to be $3.983 million on </w:t>
      </w:r>
      <w:r>
        <w:rPr>
          <w:rStyle w:val="Emphasis"/>
          <w:rFonts w:ascii="Times New Roman" w:hAnsi="Times New Roman"/>
          <w:caps w:val="false"/>
          <w:smallCaps w:val="false"/>
          <w:sz w:val="20"/>
        </w:rPr>
        <w:t xml:space="preserve">January 29, 2025. </w:t>
      </w:r>
      <w:r>
        <w:rPr>
          <w:rFonts w:ascii="Times New Roman" w:hAnsi="Times New Roman"/>
          <w:caps w:val="false"/>
          <w:smallCaps w:val="false"/>
          <w:sz w:val="20"/>
        </w:rPr>
        <w:t xml:space="preserve">As the fair value of the liabilities exceeded the net proceeds received of $3.255 million, the Company recognized the excess of the fair value over the net proceeds received of $3.255 million as a loss upon issuance of the First Registered Direct Offering of $0.7 million which is included in other expense (income) in the condensed consolidated statement of operations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Consideration Warrants –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As discussed above,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in conjunction with the issuance of the Consideration Shares, the Company issued Consideration Warrants to purchase up to 303,819 shares of Common Stock which were classified as a liability. The Consideration Warrants have an exercise price of $2.88 per share and have a contractual term of five years expiring on </w:t>
      </w:r>
      <w:r>
        <w:rPr>
          <w:rStyle w:val="Emphasis"/>
          <w:rFonts w:ascii="Times New Roman" w:hAnsi="Times New Roman"/>
          <w:caps w:val="false"/>
          <w:smallCaps w:val="false"/>
          <w:sz w:val="20"/>
        </w:rPr>
        <w:t>March 20,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measurement of fair value of the Consideration Warrants were determined utilizing a Black-Scholes model considering all relevant assumptions current at the date of issuance (i.e., share price of $2.07, exercise price of $2.88, term of five years, volatility of 115.8%, and risk-free rate of 4.00%). The grant date fair value of these Consideration Warrants was estimated to be $0.6 million on </w:t>
      </w:r>
      <w:r>
        <w:rPr>
          <w:rStyle w:val="Emphasis"/>
          <w:rFonts w:ascii="Times New Roman" w:hAnsi="Times New Roman"/>
          <w:caps w:val="false"/>
          <w:smallCaps w:val="false"/>
          <w:sz w:val="20"/>
        </w:rPr>
        <w:t>March 20, 2025.</w:t>
      </w:r>
    </w:p>
    <w:p>
      <w:pPr>
        <w:pStyle w:val="TextBody"/>
        <w:bidi w:val="0"/>
        <w:spacing w:before="0" w:after="0"/>
        <w:ind w:left="0" w:right="0" w:hanging="0"/>
        <w:jc w:val="left"/>
        <w:rPr/>
      </w:pPr>
      <w:r>
        <w:rPr/>
        <w:t> </w:t>
      </w:r>
    </w:p>
    <w:p>
      <w:pPr>
        <w:pStyle w:val="TextBody"/>
        <w:bidi w:val="0"/>
        <w:spacing w:before="0" w:after="0"/>
        <w:ind w:left="0" w:right="0" w:firstLine="72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 aggregate fair value of all liability classified warrants, whic</w:t>
      </w:r>
      <w:r>
        <w:rPr>
          <w:rFonts w:ascii="Times New Roman" w:hAnsi="Times New Roman"/>
          <w:i/>
          <w:caps w:val="false"/>
          <w:smallCaps w:val="false"/>
          <w:sz w:val="20"/>
        </w:rPr>
        <w:t xml:space="preserve">h </w:t>
      </w:r>
      <w:r>
        <w:rPr>
          <w:rFonts w:ascii="Times New Roman" w:hAnsi="Times New Roman"/>
          <w:caps w:val="false"/>
          <w:smallCaps w:val="false"/>
          <w:sz w:val="20"/>
        </w:rPr>
        <w:t xml:space="preserve">include Substitute Warrants, Assumed Private Placement Warrants, Anson Warrants, First RD Warrants and Consideration Warrants, was $15.9 million. The Company recognized a loss on the change in fair value of the liability classified warrants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of approximately $5.0 million, and a loss of approximately $8.5 million on the change in fair value of the liability classified warrants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In addition, the Company recognized a gain of $5.4 million upon the exercise of Anson Warrants, representing the difference between the fair value of the exercised warrant liabilities and the cash proceeds received. Refer to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for discussion of the fair value measurement of the Company’s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the activity for all warrants for the respective periods.</w:t>
      </w:r>
    </w:p>
    <w:p>
      <w:pPr>
        <w:pStyle w:val="TextBody"/>
        <w:bidi w:val="0"/>
        <w:spacing w:before="0" w:after="0"/>
        <w:ind w:left="0" w:right="0" w:hanging="0"/>
        <w:jc w:val="left"/>
        <w:rPr>
          <w:caps w:val="false"/>
          <w:smallCaps w:val="false"/>
        </w:rPr>
      </w:pPr>
      <w:r>
        <w:rPr>
          <w:caps w:val="false"/>
          <w:smallCaps w:val="false"/>
        </w:rPr>
        <w:t> </w:t>
      </w:r>
    </w:p>
    <w:tbl>
      <w:tblPr>
        <w:tblW w:w="7289" w:type="dxa"/>
        <w:jc w:val="left"/>
        <w:tblInd w:w="0" w:type="dxa"/>
        <w:tblLayout w:type="fixed"/>
        <w:tblCellMar>
          <w:top w:w="0" w:type="dxa"/>
          <w:left w:w="0" w:type="dxa"/>
          <w:bottom w:w="0" w:type="dxa"/>
          <w:right w:w="0" w:type="dxa"/>
        </w:tblCellMar>
      </w:tblPr>
      <w:tblGrid>
        <w:gridCol w:w="3110"/>
        <w:gridCol w:w="60"/>
        <w:gridCol w:w="60"/>
        <w:gridCol w:w="905"/>
        <w:gridCol w:w="80"/>
        <w:gridCol w:w="60"/>
        <w:gridCol w:w="129"/>
        <w:gridCol w:w="821"/>
        <w:gridCol w:w="60"/>
        <w:gridCol w:w="60"/>
        <w:gridCol w:w="167"/>
        <w:gridCol w:w="648"/>
        <w:gridCol w:w="60"/>
        <w:gridCol w:w="60"/>
        <w:gridCol w:w="257"/>
        <w:gridCol w:w="692"/>
        <w:gridCol w:w="6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Aggregate </w:t>
            </w:r>
          </w:p>
        </w:tc>
        <w:tc>
          <w:tcPr>
            <w:tcW w:w="6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thousands)</w:t>
            </w:r>
          </w:p>
        </w:tc>
        <w:tc>
          <w:tcPr>
            <w:tcW w:w="6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3,321,499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7,173,766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4,252,758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pPr>
            <w:r>
              <w:rPr/>
              <w:t> </w:t>
            </w:r>
          </w:p>
        </w:tc>
        <w:tc>
          <w:tcPr>
            <w:tcW w:w="692"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(1,870,962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69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September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9,447,966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2016</w:t>
      </w:r>
      <w:r>
        <w:rPr>
          <w:rFonts w:ascii="Times New Roman" w:hAnsi="Times New Roman"/>
          <w:i/>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Prior to the Merger, the Company maintained its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Omnibus Incentive Plan (the “</w:t>
      </w:r>
      <w:r>
        <w:rPr>
          <w:rStyle w:val="Emphasis"/>
          <w:rFonts w:ascii="Times New Roman" w:hAnsi="Times New Roman"/>
          <w:i/>
          <w:caps w:val="false"/>
          <w:smallCaps w:val="false"/>
          <w:sz w:val="20"/>
        </w:rPr>
        <w:t>2016</w:t>
      </w:r>
      <w:r>
        <w:rPr>
          <w:rFonts w:ascii="Times New Roman" w:hAnsi="Times New Roman"/>
          <w:i/>
          <w:caps w:val="false"/>
          <w:smallCaps w:val="false"/>
          <w:sz w:val="20"/>
        </w:rPr>
        <w:t xml:space="preserve"> Plan</w:t>
      </w:r>
      <w:r>
        <w:rPr>
          <w:rFonts w:ascii="Times New Roman" w:hAnsi="Times New Roman"/>
          <w:caps w:val="false"/>
          <w:smallCaps w:val="false"/>
          <w:sz w:val="20"/>
        </w:rPr>
        <w:t xml:space="preserve">”), under which NeuroRx granted incentive stock options, restricted stock awards, other stock-based awards, or other cash-based awards to employees, directors, and non-employee consultants. The maximum aggregate shares of Common Stock that were subject to awards and issuable under the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Plan was 347,200.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0.316:1).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closing of the Merger, the outstanding and unexercised NeuroRx stock options became options to purchase an aggregate 289,542 shares of Common Stock at an average exercise price of $51.00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i/>
          <w:caps w:val="false"/>
          <w:smallCaps w:val="false"/>
          <w:sz w:val="20"/>
        </w:rPr>
        <w:t>2021</w:t>
      </w:r>
      <w:r>
        <w:rPr>
          <w:rFonts w:ascii="Times New Roman" w:hAnsi="Times New Roman"/>
          <w:i/>
          <w:caps w:val="false"/>
          <w:smallCaps w:val="false"/>
          <w:sz w:val="20"/>
        </w:rPr>
        <w:t xml:space="preserve"> Omnibus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1,050,809 shares of Common Stock are authorized for issuance pursuant to awards under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Omnibus Incentive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95,528 shares were added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under an evergreen feature that automatically increases the reserve with additional shares of Common Stock for future issuance under the Incentive Plan each calendar year, beginning </w:t>
      </w:r>
      <w:r>
        <w:rPr>
          <w:rStyle w:val="Emphasis"/>
          <w:rFonts w:ascii="Times New Roman" w:hAnsi="Times New Roman"/>
          <w:caps w:val="false"/>
          <w:smallCaps w:val="false"/>
          <w:sz w:val="20"/>
        </w:rPr>
        <w:t xml:space="preserve">January 1, 2022 </w:t>
      </w:r>
      <w:r>
        <w:rPr>
          <w:rFonts w:ascii="Times New Roman" w:hAnsi="Times New Roman"/>
          <w:caps w:val="false"/>
          <w:smallCaps w:val="false"/>
          <w:sz w:val="20"/>
        </w:rPr>
        <w:t xml:space="preserve">and ending on and including </w:t>
      </w:r>
      <w:r>
        <w:rPr>
          <w:rStyle w:val="Emphasis"/>
          <w:rFonts w:ascii="Times New Roman" w:hAnsi="Times New Roman"/>
          <w:caps w:val="false"/>
          <w:smallCaps w:val="false"/>
          <w:sz w:val="20"/>
        </w:rPr>
        <w:t xml:space="preserve">January 1, 2031, </w:t>
      </w:r>
      <w:r>
        <w:rPr>
          <w:rFonts w:ascii="Times New Roman" w:hAnsi="Times New Roman"/>
          <w:caps w:val="false"/>
          <w:smallCaps w:val="false"/>
          <w:sz w:val="20"/>
        </w:rPr>
        <w:t xml:space="preserve">equal to the lesser of (A) 1% of the shares of Common Stock outstanding on the final day of the immediately preceding calendar year or (B) a smaller number of shares determined by the Board. 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amendment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was executed which increased the maximum number of shares (i) available for issuance under the Plan by an additional 200,000 shares, and (ii)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delivered pursuant to the exercise of Incentive Stock Options granted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to be equal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Share Pool.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 aggregate 1,117,099 shares of Common Stock have been awarded net of forfeitures, and 18,085 shares of Common Stock remain available for issuance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permits the granting of incentive stock options, restricted stock awards, other stock-based awards or other cash-based awards to employees, directors, and non-employee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Option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pay any cash dividends in the foreseeable future. Additionally, certain options granted contain terms that require all unvested options to immediately vest a) upon the approval of an NDA by the FDA for </w:t>
      </w:r>
      <w:r>
        <w:rPr>
          <w:rStyle w:val="Emphasis"/>
          <w:rFonts w:ascii="Times New Roman" w:hAnsi="Times New Roman"/>
          <w:caps w:val="false"/>
          <w:smallCaps w:val="false"/>
          <w:sz w:val="20"/>
        </w:rPr>
        <w:t>NRX</w:t>
        <w:noBreakHyphen/>
        <w:t>101,</w:t>
      </w:r>
      <w:r>
        <w:rPr>
          <w:rFonts w:ascii="Times New Roman" w:hAnsi="Times New Roman"/>
          <w:caps w:val="false"/>
          <w:smallCaps w:val="false"/>
          <w:sz w:val="20"/>
        </w:rPr>
        <w:t xml:space="preserve"> or b) immediately preceding a change in control of the Company, whichever occurs first.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7, 2025, </w:t>
      </w:r>
      <w:r>
        <w:rPr>
          <w:rFonts w:ascii="Times New Roman" w:hAnsi="Times New Roman"/>
          <w:caps w:val="false"/>
          <w:smallCaps w:val="false"/>
          <w:sz w:val="20"/>
        </w:rPr>
        <w:t xml:space="preserve">the Company issued 50,000 stock options. These shares have a vesting term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an expiration date of ten years from the grant date and were valued at approximately $0.1 million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9, 2025, </w:t>
      </w:r>
      <w:r>
        <w:rPr>
          <w:rFonts w:ascii="Times New Roman" w:hAnsi="Times New Roman"/>
          <w:caps w:val="false"/>
          <w:smallCaps w:val="false"/>
          <w:sz w:val="20"/>
        </w:rPr>
        <w:t>the Company issued 497,000 stock options. These shares have a vesting term of three years, an expiration date of ten years from the grant date and were valued at approximately $0.6 million as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stock options granted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were valued utilizing the Black-Scholes options pricing model with the following inputs: $1.78-2.94 of stock price, 3.91%-4.31% risk-free rate, 127%-126.76% volatility, 0% dividend rate, and the expected term of 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summarizes the Company’s employee and non-employee stock option activity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Plan for the following periods:</w:t>
      </w:r>
    </w:p>
    <w:p>
      <w:pPr>
        <w:pStyle w:val="TextBody"/>
        <w:bidi w:val="0"/>
        <w:spacing w:before="0" w:after="0"/>
        <w:ind w:left="0" w:right="0" w:hanging="0"/>
        <w:jc w:val="left"/>
        <w:rPr>
          <w:caps w:val="false"/>
          <w:smallCaps w:val="false"/>
        </w:rPr>
      </w:pPr>
      <w:r>
        <w:rPr>
          <w:caps w:val="false"/>
          <w:smallCaps w:val="false"/>
        </w:rPr>
        <w:t> </w:t>
      </w:r>
    </w:p>
    <w:tbl>
      <w:tblPr>
        <w:tblW w:w="8728" w:type="dxa"/>
        <w:jc w:val="left"/>
        <w:tblInd w:w="0" w:type="dxa"/>
        <w:tblLayout w:type="fixed"/>
        <w:tblCellMar>
          <w:top w:w="0" w:type="dxa"/>
          <w:left w:w="0" w:type="dxa"/>
          <w:bottom w:w="0" w:type="dxa"/>
          <w:right w:w="0" w:type="dxa"/>
        </w:tblCellMar>
      </w:tblPr>
      <w:tblGrid>
        <w:gridCol w:w="4625"/>
        <w:gridCol w:w="60"/>
        <w:gridCol w:w="65"/>
        <w:gridCol w:w="824"/>
        <w:gridCol w:w="80"/>
        <w:gridCol w:w="60"/>
        <w:gridCol w:w="167"/>
        <w:gridCol w:w="648"/>
        <w:gridCol w:w="60"/>
        <w:gridCol w:w="60"/>
        <w:gridCol w:w="133"/>
        <w:gridCol w:w="847"/>
        <w:gridCol w:w="60"/>
        <w:gridCol w:w="60"/>
        <w:gridCol w:w="297"/>
        <w:gridCol w:w="622"/>
        <w:gridCol w:w="6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Aggregate</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intrinsic</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Number of</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life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spacing w:before="0" w:after="283"/>
              <w:jc w:val="center"/>
              <w:rPr/>
            </w:pPr>
            <w:r>
              <w:rPr>
                <w:rStyle w:val="Emphasis"/>
                <w:rFonts w:ascii="Times New Roman;Times;serif" w:hAnsi="Times New Roman;Times;serif"/>
                <w:b/>
                <w:sz w:val="20"/>
              </w:rPr>
              <w:t>value (in</w:t>
            </w:r>
          </w:p>
        </w:tc>
        <w:tc>
          <w:tcPr>
            <w:tcW w:w="6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thousands)</w:t>
            </w:r>
          </w:p>
        </w:tc>
        <w:tc>
          <w:tcPr>
            <w:tcW w:w="60"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Forfeited/Expire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Forfeited/Expire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8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ind w:left="0" w:right="0" w:hanging="0"/>
              <w:jc w:val="left"/>
              <w:rPr/>
            </w:pPr>
            <w:r>
              <w:rPr/>
              <w:t> </w:t>
            </w:r>
          </w:p>
        </w:tc>
        <w:tc>
          <w:tcPr>
            <w:tcW w:w="622"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September 30,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6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vested and exercisable as of September 30,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related to stock options was less than $0.1 million and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Stock-based compensation expense related to stock options was approximately $0.15 million and approximately $0.1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 total unrecognized compensation related to unvested employee and non-employee stock option awards granted was $0.6 million, which the Company expects to recognize over a weighted-average period of approximately 2.49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the Company’s Restricted Stock Activity:</w:t>
      </w:r>
    </w:p>
    <w:p>
      <w:pPr>
        <w:pStyle w:val="TextBody"/>
        <w:bidi w:val="0"/>
        <w:spacing w:before="0" w:after="0"/>
        <w:ind w:left="0" w:right="0" w:hanging="0"/>
        <w:jc w:val="left"/>
        <w:rPr>
          <w:caps w:val="false"/>
          <w:smallCaps w:val="false"/>
        </w:rPr>
      </w:pPr>
      <w:r>
        <w:rPr>
          <w:caps w:val="false"/>
          <w:smallCaps w:val="false"/>
        </w:rPr>
        <w:t> </w:t>
      </w:r>
    </w:p>
    <w:tbl>
      <w:tblPr>
        <w:tblW w:w="5974" w:type="dxa"/>
        <w:jc w:val="left"/>
        <w:tblInd w:w="0" w:type="dxa"/>
        <w:tblLayout w:type="fixed"/>
        <w:tblCellMar>
          <w:top w:w="0" w:type="dxa"/>
          <w:left w:w="0" w:type="dxa"/>
          <w:bottom w:w="0" w:type="dxa"/>
          <w:right w:w="0" w:type="dxa"/>
        </w:tblCellMar>
      </w:tblPr>
      <w:tblGrid>
        <w:gridCol w:w="3665"/>
        <w:gridCol w:w="60"/>
        <w:gridCol w:w="60"/>
        <w:gridCol w:w="695"/>
        <w:gridCol w:w="80"/>
        <w:gridCol w:w="60"/>
        <w:gridCol w:w="319"/>
        <w:gridCol w:w="975"/>
        <w:gridCol w:w="6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r>
          </w:p>
        </w:tc>
        <w:tc>
          <w:tcPr>
            <w:tcW w:w="6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Grant</w:t>
            </w:r>
          </w:p>
        </w:tc>
        <w:tc>
          <w:tcPr>
            <w:tcW w:w="6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Fair</w:t>
            </w:r>
          </w:p>
        </w:tc>
        <w:tc>
          <w:tcPr>
            <w:tcW w:w="6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2023 (unvested)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 (unvested)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September 30, 2025 (unvested)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12, 2022, </w:t>
      </w:r>
      <w:r>
        <w:rPr>
          <w:rFonts w:ascii="Times New Roman" w:hAnsi="Times New Roman"/>
          <w:caps w:val="false"/>
          <w:smallCaps w:val="false"/>
          <w:sz w:val="20"/>
        </w:rPr>
        <w:t>the board of directors (the “Board”) granted an award of 100,000 restricted shares of the Company as an inducement to the newly appointed chief executive officer, pursuant to a separate Restricted Stock Award Agreement (the “</w:t>
      </w:r>
      <w:r>
        <w:rPr>
          <w:rFonts w:ascii="Times New Roman" w:hAnsi="Times New Roman"/>
          <w:i/>
          <w:caps w:val="false"/>
          <w:smallCaps w:val="false"/>
          <w:sz w:val="20"/>
        </w:rPr>
        <w:t>RSA</w:t>
      </w:r>
      <w:r>
        <w:rPr>
          <w:rFonts w:ascii="Times New Roman" w:hAnsi="Times New Roman"/>
          <w:caps w:val="false"/>
          <w:smallCaps w:val="false"/>
          <w:sz w:val="20"/>
        </w:rPr>
        <w:t>”). The Restricted Stock vested in approximately equal installments over </w:t>
      </w:r>
      <w:r>
        <w:rPr>
          <w:rStyle w:val="Emphasis"/>
          <w:rFonts w:ascii="Times New Roman" w:hAnsi="Times New Roman"/>
          <w:caps w:val="false"/>
          <w:smallCaps w:val="false"/>
          <w:sz w:val="20"/>
        </w:rPr>
        <w:t>three</w:t>
      </w:r>
      <w:r>
        <w:rPr>
          <w:rFonts w:ascii="Times New Roman" w:hAnsi="Times New Roman"/>
          <w:caps w:val="false"/>
          <w:smallCaps w:val="false"/>
          <w:sz w:val="20"/>
        </w:rPr>
        <w:t> (3) years from the grant date, subject to continued service through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the Company granted 57,500 RSAs to a consultant for services provided. The RSAs vested after six months from the grant date. The shares were valued on the grant date based on the quoted price of $4.60 or approximately $0.3 million, which was amortized over the vesting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Stock-based compensation expense related to RSAs was $0 and less than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Stock-based compensation expense related to RSAs was $0 and less than $0.1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the Company's chief executive officer announced his resignation and as a result, all unvested RSAs were forfeited. Accordingly, the Company does not expect to recognize any further stock-based compensation expense for the balance of unvested RSAs as of </w:t>
      </w:r>
      <w:r>
        <w:rPr>
          <w:rStyle w:val="Emphasis"/>
          <w:rFonts w:ascii="Times New Roman" w:hAnsi="Times New Roman"/>
          <w:caps w:val="false"/>
          <w:smallCaps w:val="false"/>
          <w:sz w:val="20"/>
        </w:rPr>
        <w:t>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recognition of stock-based compensation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6969" w:type="dxa"/>
        <w:jc w:val="left"/>
        <w:tblInd w:w="0" w:type="dxa"/>
        <w:tblLayout w:type="fixed"/>
        <w:tblCellMar>
          <w:top w:w="0" w:type="dxa"/>
          <w:left w:w="0" w:type="dxa"/>
          <w:bottom w:w="0" w:type="dxa"/>
          <w:right w:w="0" w:type="dxa"/>
        </w:tblCellMar>
      </w:tblPr>
      <w:tblGrid>
        <w:gridCol w:w="3350"/>
        <w:gridCol w:w="60"/>
        <w:gridCol w:w="266"/>
        <w:gridCol w:w="490"/>
        <w:gridCol w:w="127"/>
        <w:gridCol w:w="127"/>
        <w:gridCol w:w="266"/>
        <w:gridCol w:w="497"/>
        <w:gridCol w:w="60"/>
        <w:gridCol w:w="60"/>
        <w:gridCol w:w="193"/>
        <w:gridCol w:w="518"/>
        <w:gridCol w:w="92"/>
        <w:gridCol w:w="92"/>
        <w:gridCol w:w="193"/>
        <w:gridCol w:w="518"/>
        <w:gridCol w:w="60"/>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7"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ind w:left="0" w:right="0" w:hanging="0"/>
              <w:jc w:val="left"/>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99"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49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2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2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Fair value measurements discussed herein are based upon certain market assumptions and pertinent information available to management as of and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carrying amount of accounts payable approximated fair value as they are short term in nature. The fair value of stock options and warrants issued for services, and warrants issued with the Convertible Notes are estimated based on the Black-Scholes model. The fair value of the convertible notes payable was estimated utilizing a Monte Carlo simulation.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 on a 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follows the guidance in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measurement. The estimated fair value of the warrant liabilities and convertible note payable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measurements. The following table presents information about the Company’s assets and liabilities that are measured at fair value on a recurring basis at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and indicates the fair value hierarchy of the valuation inputs the Company utilized to determine such fair value (in thousands):</w:t>
      </w:r>
    </w:p>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28" w:type="dxa"/>
          <w:right w:w="0" w:type="dxa"/>
        </w:tblCellMar>
      </w:tblPr>
      <w:tblGrid>
        <w:gridCol w:w="5780"/>
        <w:gridCol w:w="60"/>
        <w:gridCol w:w="162"/>
        <w:gridCol w:w="338"/>
        <w:gridCol w:w="60"/>
        <w:gridCol w:w="60"/>
        <w:gridCol w:w="212"/>
        <w:gridCol w:w="1007"/>
        <w:gridCol w:w="60"/>
        <w:gridCol w:w="60"/>
        <w:gridCol w:w="240"/>
        <w:gridCol w:w="934"/>
        <w:gridCol w:w="60"/>
      </w:tblGrid>
      <w:tr>
        <w:trPr/>
        <w:tc>
          <w:tcPr>
            <w:tcW w:w="57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tcMar>
              <w:bottom w:w="0" w:type="dxa"/>
            </w:tcMar>
            <w:vAlign w:val="center"/>
          </w:tcPr>
          <w:p>
            <w:pPr>
              <w:pStyle w:val="TableContents"/>
              <w:bidi w:val="0"/>
              <w:spacing w:before="0" w:after="283"/>
              <w:jc w:val="left"/>
              <w:rPr/>
            </w:pPr>
            <w:r>
              <w:rPr/>
              <w:t> </w:t>
            </w:r>
          </w:p>
        </w:tc>
      </w:tr>
      <w:tr>
        <w:trPr/>
        <w:tc>
          <w:tcPr>
            <w:tcW w:w="5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 w:type="dxa"/>
            <w:tcBorders/>
            <w:tcMar>
              <w:bottom w:w="0" w:type="dxa"/>
            </w:tcMar>
            <w:vAlign w:val="center"/>
          </w:tcPr>
          <w:p>
            <w:pPr>
              <w:pStyle w:val="TableContents"/>
              <w:bidi w:val="0"/>
              <w:spacing w:before="0" w:after="283"/>
              <w:jc w:val="left"/>
              <w:rPr/>
            </w:pPr>
            <w:r>
              <w:rPr/>
              <w:t> </w:t>
            </w:r>
          </w:p>
        </w:tc>
        <w:tc>
          <w:tcPr>
            <w:tcW w:w="33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1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3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5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78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Account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ind w:left="0" w:right="0" w:hanging="0"/>
              <w:jc w:val="left"/>
              <w:rPr/>
            </w:pPr>
            <w:r>
              <w:rPr/>
              <w:t> </w:t>
            </w:r>
          </w:p>
        </w:tc>
        <w:tc>
          <w:tcPr>
            <w:tcW w:w="338"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7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jc w:val="left"/>
              <w:rPr/>
            </w:pPr>
            <w:r>
              <w:rPr/>
              <w:t> </w:t>
            </w:r>
          </w:p>
        </w:tc>
        <w:tc>
          <w:tcPr>
            <w:tcW w:w="33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0" w:type="dxa"/>
            <w:tcBorders/>
            <w:shd w:fill="CCEEFF" w:val="clear"/>
            <w:tcMar>
              <w:bottom w:w="0" w:type="dxa"/>
            </w:tcMar>
            <w:vAlign w:val="center"/>
          </w:tcPr>
          <w:p>
            <w:pPr>
              <w:pStyle w:val="TableContents"/>
              <w:bidi w:val="0"/>
              <w:spacing w:before="0" w:after="283"/>
              <w:jc w:val="left"/>
              <w:rPr/>
            </w:pPr>
            <w:r>
              <w:rPr/>
              <w:t> </w:t>
            </w:r>
          </w:p>
        </w:tc>
        <w:tc>
          <w:tcPr>
            <w:tcW w:w="93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jc w:val="left"/>
              <w:rPr/>
            </w:pPr>
            <w:r>
              <w:rPr/>
              <w:t> </w:t>
            </w:r>
          </w:p>
        </w:tc>
        <w:tc>
          <w:tcPr>
            <w:tcW w:w="3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0" w:type="dxa"/>
            <w:tcBorders/>
            <w:shd w:fill="FFFFFF" w:val="clear"/>
            <w:tcMar>
              <w:bottom w:w="0" w:type="dxa"/>
            </w:tcMar>
            <w:vAlign w:val="center"/>
          </w:tcPr>
          <w:p>
            <w:pPr>
              <w:pStyle w:val="TableContents"/>
              <w:bidi w:val="0"/>
              <w:spacing w:before="0" w:after="283"/>
              <w:jc w:val="left"/>
              <w:rPr/>
            </w:pPr>
            <w:r>
              <w:rPr/>
              <w:t> </w:t>
            </w:r>
          </w:p>
        </w:tc>
        <w:tc>
          <w:tcPr>
            <w:tcW w:w="93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78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liabilities (Note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ind w:left="0" w:right="0" w:hanging="0"/>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5780"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and accrued interest, current (Note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2" w:type="dxa"/>
            <w:tcBorders/>
            <w:shd w:fill="FFFFFF" w:val="clear"/>
            <w:tcMar>
              <w:bottom w:w="0" w:type="dxa"/>
            </w:tcMar>
            <w:vAlign w:val="center"/>
          </w:tcPr>
          <w:p>
            <w:pPr>
              <w:pStyle w:val="TableContents"/>
              <w:bidi w:val="0"/>
              <w:spacing w:before="0" w:after="283"/>
              <w:ind w:left="0" w:right="0" w:hanging="0"/>
              <w:jc w:val="left"/>
              <w:rPr/>
            </w:pPr>
            <w:r>
              <w:rPr/>
              <w:t> </w:t>
            </w:r>
          </w:p>
        </w:tc>
        <w:tc>
          <w:tcPr>
            <w:tcW w:w="338" w:type="dxa"/>
            <w:tcBorders/>
            <w:shd w:fill="FFFF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5780"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and accrued interest, non-current (Note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2" w:type="dxa"/>
            <w:tcBorders/>
            <w:shd w:fill="CCEEFF" w:val="clear"/>
            <w:tcMar>
              <w:bottom w:w="0" w:type="dxa"/>
            </w:tcMar>
            <w:vAlign w:val="center"/>
          </w:tcPr>
          <w:p>
            <w:pPr>
              <w:pStyle w:val="TableContents"/>
              <w:bidi w:val="0"/>
              <w:spacing w:before="0" w:after="283"/>
              <w:ind w:left="0" w:right="0" w:hanging="0"/>
              <w:jc w:val="left"/>
              <w:rPr/>
            </w:pPr>
            <w:r>
              <w:rPr/>
              <w:t> </w:t>
            </w:r>
          </w:p>
        </w:tc>
        <w:tc>
          <w:tcPr>
            <w:tcW w:w="338" w:type="dxa"/>
            <w:tcBorders/>
            <w:shd w:fill="CCEEFF" w:val="clear"/>
            <w:tcMar>
              <w:bottom w:w="0" w:type="dxa"/>
            </w:tcMar>
            <w:vAlign w:val="center"/>
          </w:tcPr>
          <w:p>
            <w:pPr>
              <w:pStyle w:val="TableContents"/>
              <w:bidi w:val="0"/>
              <w:spacing w:before="0" w:after="283"/>
              <w:ind w:left="0" w:right="0" w:hanging="0"/>
              <w:jc w:val="center"/>
              <w:rPr/>
            </w:pPr>
            <w:r>
              <w:rPr>
                <w:rStyle w:val="Emphasis"/>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5,011</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Convertible Note Payable - Anson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significant inputs used in the Monte Carlo simulation to measure the Anson Note liability that is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5114" w:type="dxa"/>
        <w:jc w:val="left"/>
        <w:tblInd w:w="0" w:type="dxa"/>
        <w:tblLayout w:type="fixed"/>
        <w:tblCellMar>
          <w:top w:w="0" w:type="dxa"/>
          <w:left w:w="0" w:type="dxa"/>
          <w:bottom w:w="0" w:type="dxa"/>
          <w:right w:w="0" w:type="dxa"/>
        </w:tblCellMar>
      </w:tblPr>
      <w:tblGrid>
        <w:gridCol w:w="3650"/>
        <w:gridCol w:w="60"/>
        <w:gridCol w:w="249"/>
        <w:gridCol w:w="970"/>
        <w:gridCol w:w="18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on valuation date</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3.30</w:t>
            </w:r>
          </w:p>
        </w:tc>
        <w:tc>
          <w:tcPr>
            <w:tcW w:w="18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18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Time to expiration</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18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debt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15.50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volatility</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3.83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Probability of credit default prior to maturity</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sets forth a summary of the changes in the fair value of the Anson Note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(in thousands):</w:t>
      </w:r>
    </w:p>
    <w:p>
      <w:pPr>
        <w:pStyle w:val="TextBody"/>
        <w:bidi w:val="0"/>
        <w:spacing w:before="0" w:after="0"/>
        <w:ind w:left="0" w:right="0" w:hanging="0"/>
        <w:jc w:val="left"/>
        <w:rPr>
          <w:caps w:val="false"/>
          <w:smallCaps w:val="false"/>
        </w:rPr>
      </w:pPr>
      <w:r>
        <w:rPr>
          <w:caps w:val="false"/>
          <w:smallCaps w:val="false"/>
        </w:rPr>
        <w:t> </w:t>
      </w:r>
    </w:p>
    <w:tbl>
      <w:tblPr>
        <w:tblW w:w="6800" w:type="dxa"/>
        <w:jc w:val="left"/>
        <w:tblInd w:w="0" w:type="dxa"/>
        <w:tblLayout w:type="fixed"/>
        <w:tblCellMar>
          <w:top w:w="0" w:type="dxa"/>
          <w:left w:w="0" w:type="dxa"/>
          <w:bottom w:w="0" w:type="dxa"/>
          <w:right w:w="0" w:type="dxa"/>
        </w:tblCellMar>
      </w:tblPr>
      <w:tblGrid>
        <w:gridCol w:w="5990"/>
        <w:gridCol w:w="60"/>
        <w:gridCol w:w="125"/>
        <w:gridCol w:w="545"/>
        <w:gridCol w:w="80"/>
      </w:tblGrid>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III Note at issuance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and repayments of principal and interest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March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and repayments of principal and interest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June 30,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9,854</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Conversion and repayments of principal and interest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through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Anson Notes as of September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 current portion as of September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payable, net of current portion as of September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utilizes a Black-Scholes model approach to value its liability-classified warrants at each reporting period, with changes in fair value recognized in the condensed consolidated statements of operations. The estimated fair value of the warrant liabilities is determined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w:t>
      </w:r>
      <w:r>
        <w:rPr>
          <w:rStyle w:val="Emphasis"/>
          <w:rFonts w:ascii="Times New Roman" w:hAnsi="Times New Roman"/>
          <w:caps w:val="false"/>
          <w:smallCaps w:val="false"/>
          <w:sz w:val="20"/>
        </w:rPr>
        <w:t>zero</w:t>
      </w:r>
      <w:r>
        <w:rPr>
          <w:rFonts w:ascii="Times New Roman" w:hAnsi="Times New Roman"/>
          <w:caps w:val="false"/>
          <w:smallCaps w:val="false"/>
          <w:sz w:val="20"/>
        </w:rPr>
        <w:t>-coupon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weighted-average significant inputs used in the Black-Scholes model to measure the warrant liabilities that are categorized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are as follows:</w:t>
      </w:r>
    </w:p>
    <w:p>
      <w:pPr>
        <w:pStyle w:val="TextBody"/>
        <w:bidi w:val="0"/>
        <w:spacing w:before="0" w:after="0"/>
        <w:ind w:left="0" w:right="0" w:hanging="0"/>
        <w:jc w:val="left"/>
        <w:rPr>
          <w:caps w:val="false"/>
          <w:smallCaps w:val="false"/>
        </w:rPr>
      </w:pPr>
      <w:r>
        <w:rPr>
          <w:caps w:val="false"/>
          <w:smallCaps w:val="false"/>
        </w:rPr>
        <w:t> </w:t>
      </w:r>
    </w:p>
    <w:tbl>
      <w:tblPr>
        <w:tblW w:w="5559" w:type="dxa"/>
        <w:jc w:val="left"/>
        <w:tblInd w:w="0" w:type="dxa"/>
        <w:tblLayout w:type="fixed"/>
        <w:tblCellMar>
          <w:top w:w="0" w:type="dxa"/>
          <w:left w:w="0" w:type="dxa"/>
          <w:bottom w:w="0" w:type="dxa"/>
          <w:right w:w="0" w:type="dxa"/>
        </w:tblCellMar>
      </w:tblPr>
      <w:tblGrid>
        <w:gridCol w:w="2420"/>
        <w:gridCol w:w="125"/>
        <w:gridCol w:w="380"/>
        <w:gridCol w:w="590"/>
        <w:gridCol w:w="485"/>
        <w:gridCol w:w="185"/>
        <w:gridCol w:w="290"/>
        <w:gridCol w:w="884"/>
        <w:gridCol w:w="200"/>
      </w:tblGrid>
      <w:tr>
        <w:trPr/>
        <w:tc>
          <w:tcPr>
            <w:tcW w:w="2420" w:type="dxa"/>
            <w:tcBorders/>
            <w:vAlign w:val="center"/>
          </w:tcPr>
          <w:p>
            <w:pPr>
              <w:pStyle w:val="TableContents"/>
              <w:bidi w:val="0"/>
              <w:spacing w:before="0" w:after="283"/>
              <w:ind w:left="0" w:right="0" w:hanging="0"/>
              <w:jc w:val="left"/>
              <w:rPr/>
            </w:pPr>
            <w:r>
              <w:rPr/>
              <w:t> </w:t>
            </w:r>
          </w:p>
        </w:tc>
        <w:tc>
          <w:tcPr>
            <w:tcW w:w="1580" w:type="dxa"/>
            <w:gridSpan w:val="4"/>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00"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on valuation date</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gridSpan w:val="3"/>
            <w:tcBorders/>
            <w:shd w:fill="CCEEFF" w:val="clear"/>
            <w:vAlign w:val="center"/>
          </w:tcPr>
          <w:p>
            <w:pPr>
              <w:pStyle w:val="TableContents"/>
              <w:bidi w:val="0"/>
              <w:spacing w:before="0" w:after="283"/>
              <w:ind w:left="0" w:right="0" w:hanging="0"/>
              <w:jc w:val="center"/>
              <w:rPr/>
            </w:pPr>
            <w:r>
              <w:rPr>
                <w:rStyle w:val="Emphasis"/>
                <w:rFonts w:ascii="Times New Roman;Times;serif" w:hAnsi="Times New Roman;Times;serif"/>
                <w:sz w:val="20"/>
              </w:rPr>
              <w:t>3.30</w:t>
            </w:r>
          </w:p>
        </w:tc>
        <w:tc>
          <w:tcPr>
            <w:tcW w:w="185"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20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per share</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1.65</w:t>
            </w:r>
          </w:p>
        </w:tc>
        <w:tc>
          <w:tcPr>
            <w:tcW w:w="590" w:type="dxa"/>
            <w:tcBorders/>
            <w:shd w:fill="FFFFFF" w:val="clear"/>
            <w:vAlign w:val="center"/>
          </w:tcPr>
          <w:p>
            <w:pPr>
              <w:pStyle w:val="TableContents"/>
              <w:bidi w:val="0"/>
              <w:spacing w:before="0" w:after="283"/>
              <w:ind w:left="0" w:right="0" w:hanging="0"/>
              <w:jc w:val="center"/>
              <w:rPr/>
            </w:pPr>
            <w:r>
              <w:rPr>
                <w:rStyle w:val="Emphasis"/>
              </w:rPr>
              <w:t>–</w:t>
            </w:r>
          </w:p>
        </w:tc>
        <w:tc>
          <w:tcPr>
            <w:tcW w:w="4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11.50</w:t>
            </w:r>
          </w:p>
        </w:tc>
        <w:tc>
          <w:tcPr>
            <w:tcW w:w="18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200"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0.90</w:t>
            </w:r>
          </w:p>
        </w:tc>
        <w:tc>
          <w:tcPr>
            <w:tcW w:w="590" w:type="dxa"/>
            <w:tcBorders/>
            <w:shd w:fill="CCEEFF" w:val="clear"/>
            <w:vAlign w:val="center"/>
          </w:tcPr>
          <w:p>
            <w:pPr>
              <w:pStyle w:val="TableContents"/>
              <w:bidi w:val="0"/>
              <w:spacing w:before="0" w:after="283"/>
              <w:ind w:left="0" w:right="0" w:hanging="0"/>
              <w:jc w:val="center"/>
              <w:rPr/>
            </w:pPr>
            <w:r>
              <w:rPr>
                <w:rStyle w:val="Emphasis"/>
              </w:rPr>
              <w:t>–</w:t>
            </w:r>
          </w:p>
        </w:tc>
        <w:tc>
          <w:tcPr>
            <w:tcW w:w="4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4.33</w:t>
            </w:r>
          </w:p>
        </w:tc>
        <w:tc>
          <w:tcPr>
            <w:tcW w:w="18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200"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rStyle w:val="Emphasis"/>
              </w:rPr>
              <w:t> </w:t>
            </w:r>
          </w:p>
        </w:tc>
        <w:tc>
          <w:tcPr>
            <w:tcW w:w="59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124.31</w:t>
            </w:r>
          </w:p>
        </w:tc>
        <w:tc>
          <w:tcPr>
            <w:tcW w:w="485" w:type="dxa"/>
            <w:tcBorders/>
            <w:shd w:fill="FFFFFF" w:val="clear"/>
            <w:vAlign w:val="center"/>
          </w:tcPr>
          <w:p>
            <w:pPr>
              <w:pStyle w:val="TableContents"/>
              <w:bidi w:val="0"/>
              <w:spacing w:before="0" w:after="283"/>
              <w:ind w:left="0" w:right="0" w:hanging="0"/>
              <w:jc w:val="right"/>
              <w:rPr/>
            </w:pPr>
            <w:r>
              <w:rPr>
                <w:rStyle w:val="Emphasis"/>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rate</w:t>
            </w:r>
          </w:p>
        </w:tc>
        <w:tc>
          <w:tcPr>
            <w:tcW w:w="125"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3.61</w:t>
            </w:r>
          </w:p>
        </w:tc>
        <w:tc>
          <w:tcPr>
            <w:tcW w:w="590" w:type="dxa"/>
            <w:tcBorders/>
            <w:shd w:fill="CCEEFF" w:val="clear"/>
            <w:vAlign w:val="center"/>
          </w:tcPr>
          <w:p>
            <w:pPr>
              <w:pStyle w:val="TableContents"/>
              <w:bidi w:val="0"/>
              <w:spacing w:before="0" w:after="283"/>
              <w:ind w:left="0" w:right="0" w:hanging="0"/>
              <w:jc w:val="center"/>
              <w:rPr/>
            </w:pPr>
            <w:r>
              <w:rPr>
                <w:rStyle w:val="Emphasis"/>
              </w:rPr>
              <w:t>–</w:t>
            </w:r>
          </w:p>
        </w:tc>
        <w:tc>
          <w:tcPr>
            <w:tcW w:w="4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yield</w:t>
            </w:r>
          </w:p>
        </w:tc>
        <w:tc>
          <w:tcPr>
            <w:tcW w:w="125"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pPr>
            <w:r>
              <w:rPr>
                <w:rStyle w:val="Emphasis"/>
              </w:rPr>
              <w:t> </w:t>
            </w:r>
          </w:p>
        </w:tc>
        <w:tc>
          <w:tcPr>
            <w:tcW w:w="59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0.00</w:t>
            </w:r>
          </w:p>
        </w:tc>
        <w:tc>
          <w:tcPr>
            <w:tcW w:w="485" w:type="dxa"/>
            <w:tcBorders/>
            <w:shd w:fill="FFFFFF" w:val="clear"/>
            <w:vAlign w:val="center"/>
          </w:tcPr>
          <w:p>
            <w:pPr>
              <w:pStyle w:val="TableContents"/>
              <w:bidi w:val="0"/>
              <w:spacing w:before="0" w:after="283"/>
              <w:ind w:left="0" w:right="0" w:hanging="0"/>
              <w:jc w:val="right"/>
              <w:rPr/>
            </w:pPr>
            <w:r>
              <w:rPr>
                <w:rStyle w:val="Emphasis"/>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warrants</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38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0.02</w:t>
            </w:r>
          </w:p>
        </w:tc>
        <w:tc>
          <w:tcPr>
            <w:tcW w:w="590" w:type="dxa"/>
            <w:tcBorders/>
            <w:shd w:fill="CCEEFF" w:val="clear"/>
            <w:vAlign w:val="center"/>
          </w:tcPr>
          <w:p>
            <w:pPr>
              <w:pStyle w:val="TableContents"/>
              <w:bidi w:val="0"/>
              <w:spacing w:before="0" w:after="283"/>
              <w:ind w:left="0" w:right="0" w:hanging="0"/>
              <w:jc w:val="center"/>
              <w:rPr/>
            </w:pPr>
            <w:r>
              <w:rPr>
                <w:rStyle w:val="Emphasis"/>
              </w:rPr>
              <w:t>–</w:t>
            </w:r>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2.89</w:t>
            </w:r>
          </w:p>
        </w:tc>
        <w:tc>
          <w:tcPr>
            <w:tcW w:w="185"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0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reconciliation of warrant liabilities is included below (in thousands):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3380"/>
        <w:gridCol w:w="60"/>
        <w:gridCol w:w="125"/>
        <w:gridCol w:w="485"/>
        <w:gridCol w:w="80"/>
      </w:tblGrid>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upon re-measurement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upon re-measurement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recognition of issuance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upon re-measurement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September 30,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3590"/>
        <w:gridCol w:w="60"/>
        <w:gridCol w:w="125"/>
        <w:gridCol w:w="590"/>
        <w:gridCol w:w="80"/>
      </w:tblGrid>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recognition of issuance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7,109</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6,414</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16,266</w:t>
            </w:r>
          </w:p>
        </w:tc>
        <w:tc>
          <w:tcPr>
            <w:tcW w:w="8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Change in fair value of warrant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4,963</w:t>
            </w:r>
          </w:p>
        </w:tc>
        <w:tc>
          <w:tcPr>
            <w:tcW w:w="8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Fair Value of Anson warrants exercised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September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Fair Value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Assets and liabilities that are measured at fair value on a nonrecurring basis relate primarily to tangible property and equipment, goodwill and other intangible assets, which are remeasured when the derived fair value is below carrying value in the consolidated balance sheets. For these assets,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periodically adjust carrying value to fair value except in the event of impairment. If it is determined that impairment has occurred, the carrying value of the asset is reduced to fair value and the difference is included in impairments and other charges, net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Assets that are measured at fair value and classified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on a non-recurring basis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729" w:type="dxa"/>
        <w:jc w:val="left"/>
        <w:tblInd w:w="0" w:type="dxa"/>
        <w:tblLayout w:type="fixed"/>
        <w:tblCellMar>
          <w:top w:w="0" w:type="dxa"/>
          <w:left w:w="0" w:type="dxa"/>
          <w:bottom w:w="28" w:type="dxa"/>
          <w:right w:w="0" w:type="dxa"/>
        </w:tblCellMar>
      </w:tblPr>
      <w:tblGrid>
        <w:gridCol w:w="2075"/>
        <w:gridCol w:w="60"/>
        <w:gridCol w:w="415"/>
        <w:gridCol w:w="1119"/>
        <w:gridCol w:w="60"/>
      </w:tblGrid>
      <w:tr>
        <w:trPr/>
        <w:tc>
          <w:tcPr>
            <w:tcW w:w="20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8, 2025</w:t>
            </w:r>
          </w:p>
        </w:tc>
        <w:tc>
          <w:tcPr>
            <w:tcW w:w="60" w:type="dxa"/>
            <w:tcBorders/>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07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 agreements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1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7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1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these assets were measured at the acquisition dates in conjunction with the Dura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significant unobservable inputs used in our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are as follows: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44"/>
        <w:gridCol w:w="60"/>
        <w:gridCol w:w="2894"/>
        <w:gridCol w:w="60"/>
        <w:gridCol w:w="2925"/>
        <w:gridCol w:w="60"/>
        <w:gridCol w:w="290"/>
        <w:gridCol w:w="2069"/>
        <w:gridCol w:w="203"/>
      </w:tblGrid>
      <w:tr>
        <w:trPr/>
        <w:tc>
          <w:tcPr>
            <w:tcW w:w="164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Areas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289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Valuation Techniques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29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Unobservable Inputs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3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w:t>
              <w:br/>
              <w:t>(Weighted Average)</w:t>
            </w:r>
          </w:p>
        </w:tc>
        <w:tc>
          <w:tcPr>
            <w:tcW w:w="203" w:type="dxa"/>
            <w:tcBorders/>
            <w:tcMar>
              <w:bottom w:w="0" w:type="dxa"/>
            </w:tcMar>
            <w:vAlign w:val="center"/>
          </w:tcPr>
          <w:p>
            <w:pPr>
              <w:pStyle w:val="TableContents"/>
              <w:bidi w:val="0"/>
              <w:spacing w:before="0" w:after="283"/>
              <w:jc w:val="left"/>
              <w:rPr/>
            </w:pPr>
            <w:r>
              <w:rPr/>
              <w:t> </w:t>
            </w:r>
          </w:p>
        </w:tc>
      </w:tr>
      <w:tr>
        <w:trPr/>
        <w:tc>
          <w:tcPr>
            <w:tcW w:w="16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94"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Relief-from-Royalty Method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Royality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Growth Rate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59" w:type="dxa"/>
            <w:gridSpan w:val="2"/>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average through FY2030, 8% thereafter</w:t>
            </w:r>
          </w:p>
        </w:tc>
        <w:tc>
          <w:tcPr>
            <w:tcW w:w="203" w:type="dxa"/>
            <w:tcBorders/>
            <w:shd w:fill="FFFFFF" w:val="clear"/>
            <w:tcMar>
              <w:bottom w:w="0" w:type="dxa"/>
            </w:tcMar>
            <w:vAlign w:val="center"/>
          </w:tcPr>
          <w:p>
            <w:pPr>
              <w:pStyle w:val="TableContents"/>
              <w:bidi w:val="0"/>
              <w:spacing w:before="0" w:after="283"/>
              <w:jc w:val="left"/>
              <w:rPr/>
            </w:pPr>
            <w:r>
              <w:rPr/>
              <w:t> </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Income tax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283"/>
              <w:jc w:val="left"/>
              <w:rPr/>
            </w:pPr>
            <w:r>
              <w:rPr>
                <w:rStyle w:val="Emphasis"/>
                <w:rFonts w:ascii="Times New Roman;Times;serif" w:hAnsi="Times New Roman;Times;serif"/>
                <w:sz w:val="20"/>
              </w:rPr>
              <w:t>Economic useful life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59"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 yrs</w:t>
            </w:r>
          </w:p>
        </w:tc>
        <w:tc>
          <w:tcPr>
            <w:tcW w:w="203" w:type="dxa"/>
            <w:tcBorders/>
            <w:shd w:fill="CCEEFF" w:val="clear"/>
            <w:tcMar>
              <w:bottom w:w="0" w:type="dxa"/>
            </w:tcMar>
            <w:vAlign w:val="center"/>
          </w:tcPr>
          <w:p>
            <w:pPr>
              <w:pStyle w:val="TableContents"/>
              <w:bidi w:val="0"/>
              <w:spacing w:before="0" w:after="283"/>
              <w:jc w:val="left"/>
              <w:rPr/>
            </w:pPr>
            <w:r>
              <w:rPr/>
              <w:t> </w:t>
            </w:r>
          </w:p>
        </w:tc>
      </w:tr>
      <w:tr>
        <w:trPr/>
        <w:tc>
          <w:tcPr>
            <w:tcW w:w="164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894"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Multi-Period Excess Earnings Method (MPEEM)</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Royalty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Growth Rates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59"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 average through FY2030, 8% thereafter</w:t>
            </w:r>
          </w:p>
        </w:tc>
        <w:tc>
          <w:tcPr>
            <w:tcW w:w="203" w:type="dxa"/>
            <w:tcBorders/>
            <w:shd w:fill="CCEEFF" w:val="clear"/>
            <w:tcMar>
              <w:bottom w:w="0" w:type="dxa"/>
            </w:tcMar>
            <w:vAlign w:val="center"/>
          </w:tcPr>
          <w:p>
            <w:pPr>
              <w:pStyle w:val="TableContents"/>
              <w:bidi w:val="0"/>
              <w:spacing w:before="0" w:after="283"/>
              <w:jc w:val="left"/>
              <w:rPr/>
            </w:pPr>
            <w:r>
              <w:rPr/>
              <w:t> </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Expense Growth Rates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9"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3</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Contributory Assets’ Charges as % from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 – 0.7</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283"/>
              <w:jc w:val="left"/>
              <w:rPr/>
            </w:pPr>
            <w:r>
              <w:rPr>
                <w:rStyle w:val="Emphasis"/>
                <w:rFonts w:ascii="Times New Roman;Times;serif" w:hAnsi="Times New Roman;Times;serif"/>
                <w:sz w:val="20"/>
              </w:rPr>
              <w:t>Business development expense for new customers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59" w:type="dxa"/>
            <w:gridSpan w:val="2"/>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Distributor EBITA margin for customer relationships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Income tax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283"/>
              <w:jc w:val="left"/>
              <w:rPr/>
            </w:pPr>
            <w:r>
              <w:rPr>
                <w:rStyle w:val="Emphasis"/>
                <w:rFonts w:ascii="Times New Roman;Times;serif" w:hAnsi="Times New Roman;Times;serif"/>
                <w:sz w:val="20"/>
              </w:rPr>
              <w:t>Economic useful life</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59" w:type="dxa"/>
            <w:gridSpan w:val="2"/>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 yrs</w:t>
            </w:r>
          </w:p>
        </w:tc>
        <w:tc>
          <w:tcPr>
            <w:tcW w:w="203" w:type="dxa"/>
            <w:tcBorders/>
            <w:shd w:fill="FFFFFF" w:val="clear"/>
            <w:tcMar>
              <w:bottom w:w="0" w:type="dxa"/>
            </w:tcMar>
            <w:vAlign w:val="center"/>
          </w:tcPr>
          <w:p>
            <w:pPr>
              <w:pStyle w:val="TableContents"/>
              <w:bidi w:val="0"/>
              <w:spacing w:before="0" w:after="283"/>
              <w:jc w:val="left"/>
              <w:rPr/>
            </w:pPr>
            <w:r>
              <w:rPr/>
              <w:t> </w:t>
            </w:r>
          </w:p>
        </w:tc>
      </w:tr>
      <w:tr>
        <w:trPr/>
        <w:tc>
          <w:tcPr>
            <w:tcW w:w="16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 agreements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894"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With-and-without method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Replacement cost growth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Cap Ex Rates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Contributory Assets Rates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94" w:type="dxa"/>
            <w:tcBorders/>
            <w:shd w:fill="FFFF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25" w:type="dxa"/>
            <w:tcBorders/>
            <w:shd w:fill="FFFF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After tax rate of return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ind w:left="0" w:right="0" w:hanging="0"/>
              <w:jc w:val="left"/>
              <w:rPr/>
            </w:pPr>
            <w:r>
              <w:rPr/>
              <w:t> </w:t>
            </w:r>
          </w:p>
        </w:tc>
        <w:tc>
          <w:tcPr>
            <w:tcW w:w="20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94" w:type="dxa"/>
            <w:tcBorders/>
            <w:shd w:fill="CCEEFF" w:val="clear"/>
            <w:tcMar>
              <w:bottom w:w="0" w:type="dxa"/>
            </w:tcMar>
            <w:vAlign w:val="center"/>
          </w:tcPr>
          <w:p>
            <w:pPr>
              <w:pStyle w:val="TableContents"/>
              <w:bidi w:val="0"/>
              <w:spacing w:before="0" w:after="283"/>
              <w:ind w:left="0" w:right="0" w:hanging="0"/>
              <w:jc w:val="left"/>
              <w:rPr/>
            </w:pPr>
            <w:r>
              <w:rPr>
                <w:rStyle w:val="Emphasis"/>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925" w:type="dxa"/>
            <w:tcBorders/>
            <w:shd w:fill="CCEEFF" w:val="clear"/>
            <w:tcMar>
              <w:bottom w:w="0"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Useful life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59" w:type="dxa"/>
            <w:gridSpan w:val="2"/>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 yrs</w:t>
            </w:r>
          </w:p>
        </w:tc>
        <w:tc>
          <w:tcPr>
            <w:tcW w:w="20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15.</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operates as two operating and reportable segments, consistent with the manner in which the Chief Executive Officer, designated as the </w:t>
      </w:r>
      <w:r>
        <w:rPr>
          <w:rFonts w:ascii="Times New Roman" w:hAnsi="Times New Roman"/>
          <w:i/>
          <w:caps w:val="false"/>
          <w:smallCaps w:val="false"/>
          <w:sz w:val="20"/>
        </w:rPr>
        <w:t>CODM</w:t>
      </w:r>
      <w:r>
        <w:rPr>
          <w:rFonts w:ascii="Times New Roman" w:hAnsi="Times New Roman"/>
          <w:caps w:val="false"/>
          <w:smallCaps w:val="false"/>
          <w:sz w:val="20"/>
        </w:rPr>
        <w:t xml:space="preserve"> of the Company, evaluates the Company’s performance and allocates resources. The Company’s operations solely consist of the development of novel therapeutics for the treatment of central nervous system disorders including suicidal depression, chronic pain, and PTSD and now schizophrenia. 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HOPE completed the previously announced acquisition of Dura, and a revenue-generating clinical organization. Following the acquisition, the Company began generating patient service revenue through Dura’s operations. As a result, the Company now operates in two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generated </w:t>
      </w:r>
      <w:r>
        <w:rPr>
          <w:rStyle w:val="Emphasis"/>
          <w:rFonts w:ascii="Times New Roman" w:hAnsi="Times New Roman"/>
          <w:caps w:val="false"/>
          <w:smallCaps w:val="false"/>
          <w:sz w:val="20"/>
        </w:rPr>
        <w:t>$242</w:t>
      </w:r>
      <w:r>
        <w:rPr>
          <w:rFonts w:ascii="Times New Roman" w:hAnsi="Times New Roman"/>
          <w:caps w:val="false"/>
          <w:smallCaps w:val="false"/>
          <w:sz w:val="20"/>
        </w:rPr>
        <w:t xml:space="preserve"> thousand in revenues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revenue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represents the revenue generated from Dura. The CODM evaluates performance based on operating expenses and monitors key expense categories related to the Company’s research and development activities, as well as general and administrative functions. As the Company is currently in the pre-revenue phase, the associated expenses above are drivers.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CODM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separately evaluate performance by geographic region or product line, as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commenced commercial operations and has limited operations due to the current liquidity and funding of the Company. The Company’s operations are conducted solely within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Significant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All of the Company’s assets relate to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operating segments, see the accompanying balance sheets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operating expenses, which consist of research and development and general and administrative expenses, relate to this single operating segment, see the accompanying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reconciles the loss from operations to total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387" w:type="dxa"/>
        <w:jc w:val="left"/>
        <w:tblInd w:w="0" w:type="dxa"/>
        <w:tblLayout w:type="fixed"/>
        <w:tblCellMar>
          <w:top w:w="0" w:type="dxa"/>
          <w:left w:w="0" w:type="dxa"/>
          <w:bottom w:w="0" w:type="dxa"/>
          <w:right w:w="0" w:type="dxa"/>
        </w:tblCellMar>
      </w:tblPr>
      <w:tblGrid>
        <w:gridCol w:w="4025"/>
        <w:gridCol w:w="60"/>
        <w:gridCol w:w="125"/>
        <w:gridCol w:w="545"/>
        <w:gridCol w:w="80"/>
        <w:gridCol w:w="60"/>
        <w:gridCol w:w="147"/>
        <w:gridCol w:w="308"/>
        <w:gridCol w:w="80"/>
        <w:gridCol w:w="60"/>
        <w:gridCol w:w="153"/>
        <w:gridCol w:w="670"/>
        <w:gridCol w:w="98"/>
        <w:gridCol w:w="73"/>
        <w:gridCol w:w="153"/>
        <w:gridCol w:w="670"/>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three months </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NRx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Dura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8"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Category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4,963</w:t>
            </w:r>
          </w:p>
        </w:tc>
        <w:tc>
          <w:tcPr>
            <w:tcW w:w="98"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98"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6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exercise of warrants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(5,890</w:t>
            </w:r>
          </w:p>
        </w:tc>
        <w:tc>
          <w:tcPr>
            <w:tcW w:w="9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following table reconciles the loss from operations to total loss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371" w:type="dxa"/>
        <w:jc w:val="left"/>
        <w:tblInd w:w="0" w:type="dxa"/>
        <w:tblLayout w:type="fixed"/>
        <w:tblCellMar>
          <w:top w:w="0" w:type="dxa"/>
          <w:left w:w="0" w:type="dxa"/>
          <w:bottom w:w="0" w:type="dxa"/>
          <w:right w:w="0" w:type="dxa"/>
        </w:tblCellMar>
      </w:tblPr>
      <w:tblGrid>
        <w:gridCol w:w="4025"/>
        <w:gridCol w:w="60"/>
        <w:gridCol w:w="125"/>
        <w:gridCol w:w="650"/>
        <w:gridCol w:w="80"/>
        <w:gridCol w:w="60"/>
        <w:gridCol w:w="147"/>
        <w:gridCol w:w="308"/>
        <w:gridCol w:w="80"/>
        <w:gridCol w:w="60"/>
        <w:gridCol w:w="125"/>
        <w:gridCol w:w="653"/>
        <w:gridCol w:w="80"/>
        <w:gridCol w:w="60"/>
        <w:gridCol w:w="125"/>
        <w:gridCol w:w="653"/>
        <w:gridCol w:w="80"/>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ended</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NRx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Dura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Category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income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30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30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exercise of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Long-lived assets consist of furniture and equipment which are included in furniture and equipment, net in the balance sheet. Long-lived assets by year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2660"/>
        <w:gridCol w:w="60"/>
        <w:gridCol w:w="125"/>
        <w:gridCol w:w="290"/>
        <w:gridCol w:w="80"/>
        <w:gridCol w:w="60"/>
        <w:gridCol w:w="160"/>
        <w:gridCol w:w="295"/>
        <w:gridCol w:w="80"/>
        <w:gridCol w:w="60"/>
        <w:gridCol w:w="367"/>
        <w:gridCol w:w="852"/>
        <w:gridCol w:w="80"/>
        <w:gridCol w:w="60"/>
        <w:gridCol w:w="353"/>
        <w:gridCol w:w="821"/>
        <w:gridCol w:w="80"/>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NRx</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Dura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Medical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2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PPE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16.</w:t>
      </w:r>
      <w:r>
        <w:rPr>
          <w:rFonts w:ascii="Times New Roman" w:hAnsi="Times New Roman"/>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Company recorded no provision or benefit for income tax expense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For all periods presented, the pretax losses incurred by the Company received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corresponding tax benefit because the Company concluded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Company will be unable to realize the value of any resulting deferred tax assets. The Company will continue to assess its position in future periods to determine if it is appropriate to reduce a portion of its valuation allowance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17.</w:t>
      </w:r>
      <w:r>
        <w:rPr>
          <w:rFonts w:ascii="Times New Roman" w:hAnsi="Times New Roman"/>
          <w:b/>
          <w:caps w:val="false"/>
          <w:smallCaps w:val="false"/>
          <w:sz w:val="20"/>
        </w:rPr>
        <w:t xml:space="preserve"> Business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Dura Medical,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Transaction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8, 2025, </w:t>
      </w:r>
      <w:r>
        <w:rPr>
          <w:rFonts w:ascii="Times New Roman" w:hAnsi="Times New Roman"/>
          <w:caps w:val="false"/>
          <w:smallCaps w:val="false"/>
          <w:sz w:val="20"/>
        </w:rPr>
        <w:t xml:space="preserve">HOPE, a wholly owned subsidiary the Company, completed the acquisition of Dura, a Florida-based behavioral health and interventional psychiatry practice with locations in Naples and Fort Myers, Florida. Dura was founded 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and provides outpatient mental health treatment specializing in evidence-based therapies for treatment-resistant conditions, including depression, anxiety, PTSD, OCD, and chronic pain. Services include ketamine infusion therapy, Spravato® administration, Transcranial Magnetic Stimulation (TMS), Stellate Ganglion Blocks, psychotherapy, and medication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acquisition aligns with the Company’s strategy to expand its clinical care delivery platform through HOPE and establish a multi-site network offering advanced interventional psychiatry services. Management expects the acquisition to accelerate revenue generation and provide a foundation for integrating proprietary therapeutics, including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upon FDA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Consideration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preliminary fair value of the consideration transferred was $3.3 million, consisting of cash consideration (subject to customary closing adjustments). The preliminary estimated working capital and other customary closing adjustments resulted in a decrease of approximately $0.1 million to the purchase price, which is included in the total consideration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items were determined to represent post-employment compensation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and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and are excluded from the purchase price consideration:</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6,188 Class A units of HTX as rollover equity subject to conditional vesting;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 of up to $3,000,000 payable over three years based on achievement of specified EBITDA performance targets.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amounts will be accounted for as compensation expense in future periods as services are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acquisition of Dura, the Company incurred total acquisition-related costs of approximately $0.1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These costs primarily consist of legal, accounting, consulting fees and a finder fee directly attributable to the transaction. These costs were expensed as incurred and are reflected in general and administrative expenses in the unaudited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applied the acquisition method of accounting in accordance with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Business Combinations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and recognized assets acquired, and liabilities assumed at their fair value as of the date of acquisition, with the excess purchase consideration recorded to goodwill. As the Company finalizes the estimation of the fair value of the purchase price and the fair value of the assets acquired and liabilities assumed, additional adjustments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recorded during the measurement period (a period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from the acquisition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39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all tangible and identifiable intangible assets acquired and liabilities assumed at their preliminary estimated fair values as of the acquisition date. The preliminary allocation is as follows:</w:t>
      </w:r>
    </w:p>
    <w:p>
      <w:pPr>
        <w:pStyle w:val="TextBody"/>
        <w:bidi w:val="0"/>
        <w:spacing w:before="0" w:after="0"/>
        <w:ind w:left="0" w:right="0" w:hanging="0"/>
        <w:jc w:val="left"/>
        <w:rPr>
          <w:caps w:val="false"/>
          <w:smallCaps w:val="false"/>
        </w:rPr>
      </w:pPr>
      <w:r>
        <w:rPr>
          <w:caps w:val="false"/>
          <w:smallCaps w:val="false"/>
        </w:rPr>
        <w:t> </w:t>
      </w:r>
    </w:p>
    <w:tbl>
      <w:tblPr>
        <w:tblW w:w="7040" w:type="dxa"/>
        <w:jc w:val="left"/>
        <w:tblInd w:w="0" w:type="dxa"/>
        <w:tblLayout w:type="fixed"/>
        <w:tblCellMar>
          <w:top w:w="0" w:type="dxa"/>
          <w:left w:w="0" w:type="dxa"/>
          <w:bottom w:w="28" w:type="dxa"/>
          <w:right w:w="0" w:type="dxa"/>
        </w:tblCellMar>
      </w:tblPr>
      <w:tblGrid>
        <w:gridCol w:w="6290"/>
        <w:gridCol w:w="60"/>
        <w:gridCol w:w="125"/>
        <w:gridCol w:w="485"/>
        <w:gridCol w:w="80"/>
      </w:tblGrid>
      <w:tr>
        <w:trPr/>
        <w:tc>
          <w:tcPr>
            <w:tcW w:w="62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Preliminary Amount Recognized as of the Acquisition Date (In Thousands)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48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Customer relationship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 agreements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salaries and benefits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 related party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assumed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3,155</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Certain adjustments of approximately $0.1 million to the purchase price were recorded, decreasing the purchase price during the measurement period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Changes to the provisional amounts recognized at the acquisition date—if based on new information about facts and circumstances that existed as of the acquisition—must be accounted for retrospectively during the 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identified the following finite-lived intangible assets, which will be amortized on a straight-line basis over their estimated useful lives once finalized:</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60"/>
        <w:gridCol w:w="170"/>
        <w:gridCol w:w="62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 includes the “Dura Medical” name and associated trademarks.</w:t>
            </w:r>
          </w:p>
        </w:tc>
      </w:tr>
    </w:tbl>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 – representing the value of established patient relationships and referral sources.</w:t>
            </w:r>
          </w:p>
        </w:tc>
      </w:tr>
    </w:tbl>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 Agreements – arising from restrictive covenants in the purchase agreement.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acquired intangible assets are being amortized over their estimated useful lives as follows (in thousands):</w:t>
      </w:r>
    </w:p>
    <w:p>
      <w:pPr>
        <w:pStyle w:val="TextBody"/>
        <w:bidi w:val="0"/>
        <w:spacing w:before="0" w:after="0"/>
        <w:ind w:left="160" w:right="0" w:hanging="0"/>
        <w:jc w:val="left"/>
        <w:rPr>
          <w:caps w:val="false"/>
          <w:smallCaps w:val="false"/>
        </w:rPr>
      </w:pPr>
      <w:r>
        <w:rPr>
          <w:caps w:val="false"/>
          <w:smallCaps w:val="false"/>
        </w:rPr>
        <w:t> </w:t>
      </w:r>
    </w:p>
    <w:tbl>
      <w:tblPr>
        <w:tblW w:w="5448" w:type="dxa"/>
        <w:jc w:val="left"/>
        <w:tblInd w:w="0" w:type="dxa"/>
        <w:tblLayout w:type="fixed"/>
        <w:tblCellMar>
          <w:top w:w="0" w:type="dxa"/>
          <w:left w:w="0" w:type="dxa"/>
          <w:bottom w:w="0" w:type="dxa"/>
          <w:right w:w="0" w:type="dxa"/>
        </w:tblCellMar>
      </w:tblPr>
      <w:tblGrid>
        <w:gridCol w:w="2540"/>
        <w:gridCol w:w="60"/>
        <w:gridCol w:w="206"/>
        <w:gridCol w:w="803"/>
        <w:gridCol w:w="80"/>
        <w:gridCol w:w="60"/>
        <w:gridCol w:w="292"/>
        <w:gridCol w:w="1347"/>
        <w:gridCol w:w="6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Average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Useful Life </w:t>
            </w:r>
          </w:p>
        </w:tc>
        <w:tc>
          <w:tcPr>
            <w:tcW w:w="6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13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ind w:left="0" w:right="0" w:hanging="0"/>
              <w:jc w:val="left"/>
              <w:rPr/>
            </w:pPr>
            <w:r>
              <w:rPr/>
              <w:t> </w:t>
            </w:r>
          </w:p>
        </w:tc>
        <w:tc>
          <w:tcPr>
            <w:tcW w:w="13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 agreement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ind w:left="0" w:right="0" w:hanging="0"/>
              <w:jc w:val="left"/>
              <w:rPr/>
            </w:pPr>
            <w:r>
              <w:rPr/>
              <w:t> </w:t>
            </w:r>
          </w:p>
        </w:tc>
        <w:tc>
          <w:tcPr>
            <w:tcW w:w="13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amortization</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34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 value</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incurred amortization expense of $24 thousand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the maturities of the Company’s intangible assets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575" w:type="dxa"/>
        <w:jc w:val="left"/>
        <w:tblInd w:w="0" w:type="dxa"/>
        <w:tblLayout w:type="fixed"/>
        <w:tblCellMar>
          <w:top w:w="0" w:type="dxa"/>
          <w:left w:w="0" w:type="dxa"/>
          <w:bottom w:w="0" w:type="dxa"/>
          <w:right w:w="0" w:type="dxa"/>
        </w:tblCellMar>
      </w:tblPr>
      <w:tblGrid>
        <w:gridCol w:w="845"/>
        <w:gridCol w:w="60"/>
        <w:gridCol w:w="125"/>
        <w:gridCol w:w="485"/>
        <w:gridCol w:w="60"/>
      </w:tblGrid>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CCEEFF" w:val="clear"/>
            <w:vAlign w:val="center"/>
          </w:tcPr>
          <w:p>
            <w:pPr>
              <w:pStyle w:val="TableContents"/>
              <w:bidi w:val="0"/>
              <w:spacing w:before="0" w:after="283"/>
              <w:jc w:val="left"/>
              <w:rPr/>
            </w:pPr>
            <w:r>
              <w:rPr/>
              <w:t> </w:t>
            </w:r>
          </w:p>
        </w:tc>
      </w:tr>
      <w:tr>
        <w:trP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60" w:type="dxa"/>
            <w:tcBorders/>
            <w:shd w:fill="FFFFFF" w:val="clear"/>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Goodwill of approximately $0.6 million represents the excess of the purchase consideration over the fair value of net assets acquired and was recognized in connection with the acquisition.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the goodwill is expected to be deductible for tax purposes. The goodwill is assigned to the Dura subsidiary. The goodwill primarily represents expected synergies, assembled workforce, and future growth potential.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goodwill arose from step acquisitions or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Measurement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Acquisition was recorded as a business combination on a preliminary valuation of assets acquired and liabilities assumed at their acquisition date fair values using 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activity and are significant to their fair value of the assets and liabilities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We expect to complete our purchase price allocation, as well as our fair value estimate of the purchase price consideration as soon as reasonably possible,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acquisition date. Adjustments to the preliminary purchase price and allocation could be material. Goodwill and intangible assets represent the excess of the purchase price consideration over the preliminary valuation of the other net assets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purchase price allocation remains preliminary, and the purchase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subject to final adjustments. The Company is continuing to assess the fair values of certain identifiable intangible assets and contingent liabilities, including the potential adjustment to exchangeable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Pro-Forma Financial Information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unaudited pro forma information presents the consolidated results of Dura included in the Company’s unaudited condensed consolidated statement of operations and comprehensive loss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as if the acquisition was made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and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as if the Acquisition had occurred on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 xml:space="preserve">The unaudited pro forma information is presented for illustrative purposes only.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of operations of future periods, or the results of operations that actually would have been realized had the entities been a single company during the periods presented or the results that the combined company will experience after the acquisition. The unaudited pro forma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give effect to the potential impact of current financial conditions, regulatory matters or any anticipated synergies, operating efficiencies or cost savings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associated with the acquisition. The unaudited pro forma information also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any integration costs or remaining future transaction costs that the companies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incur related to the acquisition as part of combining the operations of the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unaudited pro forma consolidated results of revenue and net loss, assuming the acquisition had occurred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is as follows (in thousands):</w:t>
      </w:r>
    </w:p>
    <w:p>
      <w:pPr>
        <w:pStyle w:val="TextBody"/>
        <w:bidi w:val="0"/>
        <w:spacing w:before="0" w:after="0"/>
        <w:ind w:left="0" w:right="0" w:hanging="0"/>
        <w:jc w:val="left"/>
        <w:rPr>
          <w:caps w:val="false"/>
          <w:smallCaps w:val="false"/>
        </w:rPr>
      </w:pPr>
      <w:r>
        <w:rPr>
          <w:caps w:val="false"/>
          <w:smallCaps w:val="false"/>
        </w:rPr>
        <w:t> </w:t>
      </w:r>
    </w:p>
    <w:tbl>
      <w:tblPr>
        <w:tblW w:w="8288" w:type="dxa"/>
        <w:jc w:val="left"/>
        <w:tblInd w:w="0" w:type="dxa"/>
        <w:tblLayout w:type="fixed"/>
        <w:tblCellMar>
          <w:top w:w="0" w:type="dxa"/>
          <w:left w:w="0" w:type="dxa"/>
          <w:bottom w:w="0" w:type="dxa"/>
          <w:right w:w="0" w:type="dxa"/>
        </w:tblCellMar>
      </w:tblPr>
      <w:tblGrid>
        <w:gridCol w:w="740"/>
        <w:gridCol w:w="60"/>
        <w:gridCol w:w="686"/>
        <w:gridCol w:w="3008"/>
        <w:gridCol w:w="80"/>
        <w:gridCol w:w="60"/>
        <w:gridCol w:w="575"/>
        <w:gridCol w:w="2999"/>
        <w:gridCol w:w="80"/>
      </w:tblGrid>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8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3,147</w:t>
            </w:r>
          </w:p>
        </w:tc>
        <w:tc>
          <w:tcPr>
            <w:tcW w:w="80" w:type="dxa"/>
            <w:tcBorders/>
            <w:shd w:fill="CCEEFF" w:val="clear"/>
            <w:vAlign w:val="center"/>
          </w:tcPr>
          <w:p>
            <w:pPr>
              <w:pStyle w:val="TableContents"/>
              <w:bidi w:val="0"/>
              <w:spacing w:before="0" w:after="283"/>
              <w:jc w:val="left"/>
              <w:rPr/>
            </w:pPr>
            <w:r>
              <w:rPr/>
              <w:t> </w:t>
            </w:r>
          </w:p>
        </w:tc>
      </w:tr>
      <w:tr>
        <w:trPr/>
        <w:tc>
          <w:tcPr>
            <w:tcW w:w="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unaudited pro forma consolidated results of revenue and net loss, assuming the acquisitions had occurred on </w:t>
      </w:r>
      <w:r>
        <w:rPr>
          <w:rStyle w:val="Emphasis"/>
          <w:rFonts w:ascii="Times New Roman" w:hAnsi="Times New Roman"/>
          <w:caps w:val="false"/>
          <w:smallCaps w:val="false"/>
          <w:sz w:val="20"/>
        </w:rPr>
        <w:t xml:space="preserve">January 1, 2024, </w:t>
      </w:r>
      <w:r>
        <w:rPr>
          <w:rFonts w:ascii="Times New Roman" w:hAnsi="Times New Roman"/>
          <w:caps w:val="false"/>
          <w:smallCaps w:val="false"/>
          <w:sz w:val="20"/>
        </w:rPr>
        <w:t>is as follows (in thousands):</w:t>
      </w:r>
    </w:p>
    <w:p>
      <w:pPr>
        <w:pStyle w:val="TextBody"/>
        <w:bidi w:val="0"/>
        <w:spacing w:before="0" w:after="0"/>
        <w:ind w:left="0" w:right="0" w:hanging="0"/>
        <w:jc w:val="left"/>
        <w:rPr>
          <w:caps w:val="false"/>
          <w:smallCaps w:val="false"/>
        </w:rPr>
      </w:pPr>
      <w:r>
        <w:rPr>
          <w:caps w:val="false"/>
          <w:smallCaps w:val="false"/>
        </w:rPr>
        <w:t> </w:t>
      </w:r>
    </w:p>
    <w:tbl>
      <w:tblPr>
        <w:tblW w:w="8288" w:type="dxa"/>
        <w:jc w:val="left"/>
        <w:tblInd w:w="0" w:type="dxa"/>
        <w:tblLayout w:type="fixed"/>
        <w:tblCellMar>
          <w:top w:w="0" w:type="dxa"/>
          <w:left w:w="0" w:type="dxa"/>
          <w:bottom w:w="0" w:type="dxa"/>
          <w:right w:w="0" w:type="dxa"/>
        </w:tblCellMar>
      </w:tblPr>
      <w:tblGrid>
        <w:gridCol w:w="740"/>
        <w:gridCol w:w="60"/>
        <w:gridCol w:w="686"/>
        <w:gridCol w:w="3008"/>
        <w:gridCol w:w="80"/>
        <w:gridCol w:w="60"/>
        <w:gridCol w:w="575"/>
        <w:gridCol w:w="2999"/>
        <w:gridCol w:w="80"/>
      </w:tblGrid>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Nine Months Ended September 30,</w:t>
            </w:r>
          </w:p>
        </w:tc>
        <w:tc>
          <w:tcPr>
            <w:tcW w:w="8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w:t>
            </w:r>
          </w:p>
        </w:tc>
        <w:tc>
          <w:tcPr>
            <w:tcW w:w="80" w:type="dxa"/>
            <w:tcBorders/>
            <w:shd w:fill="CCEEFF" w:val="clear"/>
            <w:vAlign w:val="center"/>
          </w:tcPr>
          <w:p>
            <w:pPr>
              <w:pStyle w:val="TableContents"/>
              <w:bidi w:val="0"/>
              <w:spacing w:before="0" w:after="283"/>
              <w:jc w:val="left"/>
              <w:rPr/>
            </w:pPr>
            <w:r>
              <w:rPr/>
              <w:t> </w:t>
            </w:r>
          </w:p>
        </w:tc>
      </w:tr>
      <w:tr>
        <w:trPr/>
        <w:tc>
          <w:tcPr>
            <w:tcW w:w="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unaudited pro forma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include material nonrecurring adjustments of $0.1 million and $0.5 million, respectively, related to the amortization of intangible assets acquired in connection with the Dura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unaudited pro forma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include material nonrecurring adjustments of $0.3 million and $0.9 million, respectively, related to the amortization of intangible assets acquired in connection with the Dura acquisition and approximately $0.1 million related to the finders’ fees incurred and earned upon closing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the operating expenses of Dura included in the Company’s consolidated statement of operations and comprehensive loss were insignificant to the Company’s financial results. Net patient service revenue and net income attributable to Dura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and included in the Company’s consolidated statement of operations, were $242 thousand and $16 thousand,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18.</w:t>
      </w:r>
      <w:r>
        <w:rPr>
          <w:rFonts w:ascii="Times New Roman" w:hAnsi="Times New Roman"/>
          <w:b/>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Glytech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The Company licenses patents that are owned by Glytech, LLC (“</w:t>
      </w:r>
      <w:r>
        <w:rPr>
          <w:rFonts w:ascii="Times New Roman" w:hAnsi="Times New Roman"/>
          <w:i/>
          <w:caps w:val="false"/>
          <w:smallCaps w:val="false"/>
          <w:sz w:val="20"/>
        </w:rPr>
        <w:t>Glytech</w:t>
      </w:r>
      <w:r>
        <w:rPr>
          <w:rFonts w:ascii="Times New Roman" w:hAnsi="Times New Roman"/>
          <w:caps w:val="false"/>
          <w:smallCaps w:val="false"/>
          <w:sz w:val="20"/>
        </w:rPr>
        <w:t>”), pursuant to a license agreement (the “</w:t>
      </w:r>
      <w:r>
        <w:rPr>
          <w:rFonts w:ascii="Times New Roman" w:hAnsi="Times New Roman"/>
          <w:i/>
          <w:caps w:val="false"/>
          <w:smallCaps w:val="false"/>
          <w:sz w:val="20"/>
        </w:rPr>
        <w:t>Glytech Agreement</w:t>
      </w:r>
      <w:r>
        <w:rPr>
          <w:rFonts w:ascii="Times New Roman" w:hAnsi="Times New Roman"/>
          <w:caps w:val="false"/>
          <w:smallCaps w:val="false"/>
          <w:sz w:val="20"/>
        </w:rPr>
        <w:t xml:space="preserve">”). Glytech is owned by Daniel Javitt, the co-founder and a former director of the Company. The Glytech Agreement requires that the Company pay Glytech for ongoing scientific support and also reimburse Glytech for expenses of obtaining and maintaining patents that are licensed to the Company.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paid Glytech $0 and $0, respectively, for continuing technology support services and reimbursed expenses.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paid Glytech $0 and $0.3 million, respectively, for continuing technology support services and reimbursed expenses. These support services are ongoing.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both"/>
        <w:rPr/>
      </w:pPr>
      <w:r>
        <w:rPr>
          <w:rFonts w:ascii="Times New Roman" w:hAnsi="Times New Roman"/>
          <w:caps w:val="false"/>
          <w:smallCaps w:val="false"/>
          <w:sz w:val="20"/>
        </w:rPr>
        <w:t xml:space="preserve">The Fourth Amendment to the Glytech Agreement, effective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includes an equity value-triggered transfer of Excluded Technology from Glytech to the Company. The Excluded Technology is defined in the Glytech Agreement as any technology, and any know-how related thereto, covered in the licensed patents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recite either D-cycloserine or lurasidone individually or jointly. This definition would cover pharmaceutical formulations, including some that the Company considers “pipeline” or “future product” opportunities, which contain a combination of pharmaceutical components different from those contained in NRX-</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NRX-</w:t>
      </w:r>
      <w:r>
        <w:rPr>
          <w:rStyle w:val="Emphasis"/>
          <w:rFonts w:ascii="Times New Roman" w:hAnsi="Times New Roman"/>
          <w:caps w:val="false"/>
          <w:smallCaps w:val="false"/>
          <w:sz w:val="20"/>
        </w:rPr>
        <w:t>101.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November 6, 2022 </w:t>
      </w:r>
      <w:r>
        <w:rPr>
          <w:rFonts w:ascii="Times New Roman" w:hAnsi="Times New Roman"/>
          <w:caps w:val="false"/>
          <w:smallCaps w:val="false"/>
          <w:sz w:val="20"/>
        </w:rPr>
        <w:t xml:space="preserve">the Glytech Agreement was amended whereby Glytech agreed to transfer and assign the remainder of the Licensed Technology and the Excluded Technology to the Company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consideration at any time upon receipt of written notice from the Company if, on or prior to </w:t>
      </w:r>
      <w:r>
        <w:rPr>
          <w:rStyle w:val="Emphasis"/>
          <w:rFonts w:ascii="Times New Roman" w:hAnsi="Times New Roman"/>
          <w:caps w:val="false"/>
          <w:smallCaps w:val="false"/>
          <w:sz w:val="20"/>
        </w:rPr>
        <w:t>June 30, 2024, (</w:t>
      </w:r>
      <w:r>
        <w:rPr>
          <w:rFonts w:ascii="Times New Roman" w:hAnsi="Times New Roman"/>
          <w:caps w:val="false"/>
          <w:smallCaps w:val="false"/>
          <w:sz w:val="20"/>
        </w:rPr>
        <w:t xml:space="preserve">i) the value of the Glytech equity holdings in the Company (the “Glytech Equity”) has an aggregate liquidity value of at least $50 million for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consecutive trading days immediately preceding any given date and (ii)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legal or contractual restrictions on selling all of the securities represented by the Glytech Equity then applicable to Glytech (or reasonably foreseeable to be applicable to Glytech within the following </w:t>
      </w:r>
      <w:r>
        <w:rPr>
          <w:rStyle w:val="Emphasis"/>
          <w:rFonts w:ascii="Times New Roman" w:hAnsi="Times New Roman"/>
          <w:caps w:val="false"/>
          <w:smallCaps w:val="false"/>
          <w:sz w:val="20"/>
        </w:rPr>
        <w:t>twenty</w:t>
      </w:r>
      <w:r>
        <w:rPr>
          <w:rFonts w:ascii="Times New Roman" w:hAnsi="Times New Roman"/>
          <w:caps w:val="false"/>
          <w:smallCaps w:val="false"/>
          <w:sz w:val="20"/>
        </w:rPr>
        <w:t xml:space="preser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Consulting Agreement with Dr. Jonathan Javitt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The Chief Scientist of the Company, Dr. Jonathan Javitt, is a major stockholder of the Company and a member of the Board. Therefore, his services are deemed to be a related party transaction. He served the Company on a full-time basis as chief executive officer under an employment agreement with the Company until </w:t>
      </w:r>
      <w:r>
        <w:rPr>
          <w:rStyle w:val="Emphasis"/>
          <w:rFonts w:ascii="Times New Roman" w:hAnsi="Times New Roman"/>
          <w:caps w:val="false"/>
          <w:smallCaps w:val="false"/>
          <w:sz w:val="20"/>
        </w:rPr>
        <w:t xml:space="preserve">March 8, 2022 </w:t>
      </w:r>
      <w:r>
        <w:rPr>
          <w:rFonts w:ascii="Times New Roman" w:hAnsi="Times New Roman"/>
          <w:caps w:val="false"/>
          <w:smallCaps w:val="false"/>
          <w:sz w:val="20"/>
        </w:rPr>
        <w:t xml:space="preserve">and currently serves under a consulting agreement with the Company as Chief Scientist thereafter and received compensation of $0.2 million and $0.2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and received compensation of $0.8 million and $0.2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29, 2023, </w:t>
      </w:r>
      <w:r>
        <w:rPr>
          <w:rFonts w:ascii="Times New Roman" w:hAnsi="Times New Roman"/>
          <w:caps w:val="false"/>
          <w:smallCaps w:val="false"/>
          <w:sz w:val="20"/>
        </w:rPr>
        <w:t xml:space="preserve">the consulting agreement dated </w:t>
      </w:r>
      <w:r>
        <w:rPr>
          <w:rStyle w:val="Emphasis"/>
          <w:rFonts w:ascii="Times New Roman" w:hAnsi="Times New Roman"/>
          <w:caps w:val="false"/>
          <w:smallCaps w:val="false"/>
          <w:sz w:val="20"/>
        </w:rPr>
        <w:t>March 8, 2022 (</w:t>
      </w:r>
      <w:r>
        <w:rPr>
          <w:rFonts w:ascii="Times New Roman" w:hAnsi="Times New Roman"/>
          <w:caps w:val="false"/>
          <w:smallCaps w:val="false"/>
          <w:sz w:val="20"/>
        </w:rPr>
        <w:t xml:space="preserve">the “Javitt Consulting Agreement”) between the Company and Dr. Jonathan Javitt was amended to extend the term of the Javitt Consulting Agreement until </w:t>
      </w:r>
      <w:r>
        <w:rPr>
          <w:rStyle w:val="Emphasis"/>
          <w:rFonts w:ascii="Times New Roman" w:hAnsi="Times New Roman"/>
          <w:caps w:val="false"/>
          <w:smallCaps w:val="false"/>
          <w:sz w:val="20"/>
        </w:rPr>
        <w:t xml:space="preserve">March 8, 2024 </w:t>
      </w:r>
      <w:r>
        <w:rPr>
          <w:rFonts w:ascii="Times New Roman" w:hAnsi="Times New Roman"/>
          <w:caps w:val="false"/>
          <w:smallCaps w:val="false"/>
          <w:sz w:val="20"/>
        </w:rPr>
        <w:t xml:space="preserve">with automatic annual renewals thereafter unless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party or the other provides notice of non-renewal. The amendment also provided for 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approved by the Board in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is payable in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will be pro-rated from the start of the extension period and is subject to Dr. Javitt’s continued engagement by the Company. The annual discretionary bonus for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approved by the board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is payable in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will be pro-rated from the start of the extension period and is subject to Dr. Javitt’s continued engagement by the Company.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annual discretionary bonus of $0.2 million and $0.2 million is accrued and included within accrued and other current liabilities on the condensed consolidated balance sheets,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Consulting Agreement with Zachary Javitt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Zachary Javitt is the son of Dr. Jonathan Javitt. Zachary Javitt provides services related to website, IT, and marketing support under the supervision of the Company’s chief executive officer who is responsible for assuring that the services are provided on financial terms that are at market. The Company paid this family member a total of less than $0.1 million and less than $0.2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 Company paid this family member a total of $0.2 million and $0.2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respectively. These services are ongoing.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Included in accounts payable were $0.3 million and less than $0.1 million due to the above related parties as of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19.</w:t>
      </w:r>
      <w:r>
        <w:rPr>
          <w:rFonts w:ascii="Times New Roman" w:hAnsi="Times New Roman"/>
          <w:b/>
          <w:caps w:val="false"/>
          <w:smallCaps w:val="false"/>
          <w:sz w:val="20"/>
        </w:rPr>
        <w:t xml:space="preserve">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17, 2025, </w:t>
      </w:r>
      <w:r>
        <w:rPr>
          <w:rFonts w:ascii="Times New Roman" w:hAnsi="Times New Roman"/>
          <w:caps w:val="false"/>
          <w:smallCaps w:val="false"/>
          <w:sz w:val="20"/>
        </w:rPr>
        <w:t xml:space="preserve">the Company, through its subsidiary HOPE completed its acquisition of a strategic and minority interest in Cohen &amp; Associates, LLC, a Florida limited liability company (“Cohen LLC”) for cash consideration of $440 thousand. The acquisition of the interest in Cohen was effectuated pursuant to the terms and conditions of the Membership Interest Purchase Agreement (the “Cohen Purchase Agreement”), dated </w:t>
      </w:r>
      <w:r>
        <w:rPr>
          <w:rStyle w:val="Emphasis"/>
          <w:rFonts w:ascii="Times New Roman" w:hAnsi="Times New Roman"/>
          <w:caps w:val="false"/>
          <w:smallCaps w:val="false"/>
          <w:sz w:val="20"/>
        </w:rPr>
        <w:t xml:space="preserve">October 17, 2025, </w:t>
      </w:r>
      <w:r>
        <w:rPr>
          <w:rFonts w:ascii="Times New Roman" w:hAnsi="Times New Roman"/>
          <w:caps w:val="false"/>
          <w:smallCaps w:val="false"/>
          <w:sz w:val="20"/>
        </w:rPr>
        <w:t>by and among HOPE, Cohen, and Rebecca S. Cohen, MD. The Cohen Purchase Agreement included customary representations and warranties and indemnification provisions and certain post-closing adjustments. The Company is in the process of determining the fair value of the consideration along with the appropriate accounting as it pertains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transaction, Dr. Rebecca Cohen was appointed Medical Director of HOPE, and the terms of employment include certain financial incentives to establish and grow new sites of care owned or operated by HOPE.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From </w:t>
      </w:r>
      <w:r>
        <w:rPr>
          <w:rStyle w:val="Emphasis"/>
          <w:rFonts w:ascii="Times New Roman" w:hAnsi="Times New Roman"/>
          <w:caps w:val="false"/>
          <w:smallCaps w:val="false"/>
          <w:sz w:val="20"/>
        </w:rPr>
        <w:t xml:space="preserve"> October 6, 2025 </w:t>
      </w:r>
      <w:r>
        <w:rPr>
          <w:rFonts w:ascii="Times New Roman" w:hAnsi="Times New Roman"/>
          <w:caps w:val="false"/>
          <w:smallCaps w:val="false"/>
          <w:sz w:val="20"/>
        </w:rPr>
        <w:t>through </w:t>
      </w:r>
      <w:r>
        <w:rPr>
          <w:rStyle w:val="Emphasis"/>
          <w:rFonts w:ascii="Times New Roman" w:hAnsi="Times New Roman"/>
          <w:caps w:val="false"/>
          <w:smallCaps w:val="false"/>
          <w:sz w:val="20"/>
        </w:rPr>
        <w:t xml:space="preserve"> November 12, 2025, </w:t>
      </w:r>
      <w:r>
        <w:rPr>
          <w:rFonts w:ascii="Times New Roman" w:hAnsi="Times New Roman"/>
          <w:caps w:val="false"/>
          <w:smallCaps w:val="false"/>
          <w:sz w:val="20"/>
        </w:rPr>
        <w:t>the Company sold an aggregate of 415,097 shares of its common stock shares in connection with the at-the-market offering for approximately $1.4 million, net of less than $0.03 million in offering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 2025, </w:t>
      </w:r>
      <w:r>
        <w:rPr>
          <w:rFonts w:ascii="Times New Roman" w:hAnsi="Times New Roman"/>
          <w:caps w:val="false"/>
          <w:smallCaps w:val="false"/>
          <w:sz w:val="20"/>
        </w:rPr>
        <w:t xml:space="preserve">the Company received $3.09 million in net proceeds related to the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exercise of 1,870,960 shares underlying Anson Warrants, for which a subscription receivable was recorded on the condensed consolidated balance sheet as of </w:t>
      </w:r>
      <w:r>
        <w:rPr>
          <w:rStyle w:val="Emphasis"/>
          <w:rFonts w:ascii="Times New Roman" w:hAnsi="Times New Roman"/>
          <w:caps w:val="false"/>
          <w:smallCaps w:val="false"/>
          <w:sz w:val="20"/>
        </w:rPr>
        <w:t>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You should read the following discussion and analysis of NRx Pharmaceuticals</w:t>
      </w:r>
      <w:r>
        <w:rPr>
          <w:rFonts w:ascii="Times New Roman" w:hAnsi="Times New Roman"/>
          <w:caps w:val="false"/>
          <w:smallCaps w:val="false"/>
          <w:sz w:val="20"/>
        </w:rPr>
        <w:t xml:space="preserve">’ </w:t>
      </w:r>
      <w:r>
        <w:rPr>
          <w:rFonts w:ascii="Times New Roman" w:hAnsi="Times New Roman"/>
          <w:i/>
          <w:caps w:val="false"/>
          <w:smallCaps w:val="false"/>
          <w:sz w:val="20"/>
        </w:rPr>
        <w:t>financial condition and plan of operations together with NRx Pharmaceuticals' condensed consolidated financial statements and the related notes appearing elsewhere herein. In addition to historical information, this discussion and analysis contains forward looking statements that involve risks, uncertainties, and assumptions. NRx Pharmaceuticals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actual results may differ materially from those discussed below. Factors that could cause or contribute to such differences include, but are not limited to, those identified below, and those discussed in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included elsewhere herein. All references to </w:t>
      </w:r>
      <w:r>
        <w:rPr>
          <w:rFonts w:ascii="Times New Roman" w:hAnsi="Times New Roman"/>
          <w:caps w:val="false"/>
          <w:smallCaps w:val="false"/>
          <w:sz w:val="20"/>
        </w:rPr>
        <w:t>“</w:t>
      </w:r>
      <w:r>
        <w:rPr>
          <w:rFonts w:ascii="Times New Roman" w:hAnsi="Times New Roman"/>
          <w:i/>
          <w:caps w:val="false"/>
          <w:smallCaps w:val="false"/>
          <w:sz w:val="20"/>
        </w:rPr>
        <w:t>Note,</w:t>
      </w:r>
      <w:r>
        <w:rPr>
          <w:rFonts w:ascii="Times New Roman" w:hAnsi="Times New Roman"/>
          <w:caps w:val="false"/>
          <w:smallCaps w:val="false"/>
          <w:sz w:val="20"/>
        </w:rPr>
        <w:t xml:space="preserve">” </w:t>
      </w:r>
      <w:r>
        <w:rPr>
          <w:rFonts w:ascii="Times New Roman" w:hAnsi="Times New Roman"/>
          <w:i/>
          <w:caps w:val="false"/>
          <w:smallCaps w:val="false"/>
          <w:sz w:val="20"/>
        </w:rPr>
        <w:t>followed by a number reference from 1 to 15</w:t>
      </w:r>
      <w:r>
        <w:rPr>
          <w:rFonts w:ascii="Times New Roman" w:hAnsi="Times New Roman"/>
          <w:caps w:val="false"/>
          <w:smallCaps w:val="false"/>
          <w:sz w:val="20"/>
        </w:rPr>
        <w:t> </w:t>
      </w:r>
      <w:r>
        <w:rPr>
          <w:rFonts w:ascii="Times New Roman" w:hAnsi="Times New Roman"/>
          <w:i/>
          <w:caps w:val="false"/>
          <w:smallCaps w:val="false"/>
          <w:sz w:val="20"/>
        </w:rPr>
        <w:t xml:space="preserve">herein, refer to the applicable corresponding numbered footnotes to these condensed consolidated </w:t>
      </w:r>
      <w:r>
        <w:rPr>
          <w:rFonts w:ascii="Times New Roman" w:hAnsi="Times New Roman"/>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NRx Pharmaceuticals, Inc. (Nasdaq: NRXP) (“</w:t>
      </w:r>
      <w:r>
        <w:rPr>
          <w:rFonts w:ascii="Times New Roman" w:hAnsi="Times New Roman"/>
          <w:i/>
          <w:caps w:val="false"/>
          <w:smallCaps w:val="false"/>
          <w:sz w:val="20"/>
        </w:rPr>
        <w:t>NRx</w:t>
      </w:r>
      <w:r>
        <w:rPr>
          <w:rFonts w:ascii="Times New Roman" w:hAnsi="Times New Roman"/>
          <w:caps w:val="false"/>
          <w:smallCaps w:val="false"/>
          <w:sz w:val="20"/>
        </w:rPr>
        <w:t>”,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or “</w:t>
      </w:r>
      <w:r>
        <w:rPr>
          <w:rFonts w:ascii="Times New Roman" w:hAnsi="Times New Roman"/>
          <w:i/>
          <w:caps w:val="false"/>
          <w:smallCaps w:val="false"/>
          <w:sz w:val="20"/>
        </w:rPr>
        <w:t>our</w:t>
      </w:r>
      <w:r>
        <w:rPr>
          <w:rFonts w:ascii="Times New Roman" w:hAnsi="Times New Roman"/>
          <w:caps w:val="false"/>
          <w:smallCaps w:val="false"/>
          <w:sz w:val="20"/>
        </w:rPr>
        <w:t>”) is a clinical-stage bio-pharmaceutical company which develops and will distribute, through its wholly-owned operating subsidiary, NeuroRx, Inc., (“</w:t>
      </w:r>
      <w:r>
        <w:rPr>
          <w:rFonts w:ascii="Times New Roman" w:hAnsi="Times New Roman"/>
          <w:i/>
          <w:caps w:val="false"/>
          <w:smallCaps w:val="false"/>
          <w:sz w:val="20"/>
        </w:rPr>
        <w:t>NeuroRx</w:t>
      </w:r>
      <w:r>
        <w:rPr>
          <w:rFonts w:ascii="Times New Roman" w:hAnsi="Times New Roman"/>
          <w:caps w:val="false"/>
          <w:smallCaps w:val="false"/>
          <w:sz w:val="20"/>
        </w:rPr>
        <w:t>”), novel therapeutics for the treatment of central nervous system disorders including suicidal depression, chronic pain, post-traumatic stress disorder (“</w:t>
      </w:r>
      <w:r>
        <w:rPr>
          <w:rFonts w:ascii="Times New Roman" w:hAnsi="Times New Roman"/>
          <w:i/>
          <w:caps w:val="false"/>
          <w:smallCaps w:val="false"/>
          <w:sz w:val="20"/>
        </w:rPr>
        <w:t>PTSD</w:t>
      </w:r>
      <w:r>
        <w:rPr>
          <w:rFonts w:ascii="Times New Roman" w:hAnsi="Times New Roman"/>
          <w:caps w:val="false"/>
          <w:smallCaps w:val="false"/>
          <w:sz w:val="20"/>
        </w:rPr>
        <w:t>”) and schizophrenia. NRx is additionally the founder and majority owner of HOPE Therapeutics, Inc. (“</w:t>
      </w:r>
      <w:r>
        <w:rPr>
          <w:rFonts w:ascii="Times New Roman" w:hAnsi="Times New Roman"/>
          <w:i/>
          <w:caps w:val="false"/>
          <w:smallCaps w:val="false"/>
          <w:sz w:val="20"/>
        </w:rPr>
        <w:t>HOPE</w:t>
      </w:r>
      <w:r>
        <w:rPr>
          <w:rFonts w:ascii="Times New Roman" w:hAnsi="Times New Roman"/>
          <w:caps w:val="false"/>
          <w:smallCaps w:val="false"/>
          <w:sz w:val="20"/>
        </w:rPr>
        <w:t>”), a medical services company that offers interventional psychiatry care to patients with treatment-resistant depression and PTSD with a combination of neuroplastic drugs, transcranial magnetic stimulation (“</w:t>
      </w:r>
      <w:r>
        <w:rPr>
          <w:rFonts w:ascii="Times New Roman" w:hAnsi="Times New Roman"/>
          <w:i/>
          <w:caps w:val="false"/>
          <w:smallCaps w:val="false"/>
          <w:sz w:val="20"/>
        </w:rPr>
        <w:t>TMS</w:t>
      </w:r>
      <w:r>
        <w:rPr>
          <w:rFonts w:ascii="Times New Roman" w:hAnsi="Times New Roman"/>
          <w:caps w:val="false"/>
          <w:smallCaps w:val="false"/>
          <w:sz w:val="20"/>
        </w:rPr>
        <w:t>”), digital therapeutics, and hyperbaric therapy. All of our current drug development activities are focused on drugs that enhance neuroplasticity by modulating the N-methyl-D-aspartate (“</w:t>
      </w:r>
      <w:r>
        <w:rPr>
          <w:rFonts w:ascii="Times New Roman" w:hAnsi="Times New Roman"/>
          <w:i/>
          <w:caps w:val="false"/>
          <w:smallCaps w:val="false"/>
          <w:sz w:val="20"/>
        </w:rPr>
        <w:t>NMDA</w:t>
      </w:r>
      <w:r>
        <w:rPr>
          <w:rFonts w:ascii="Times New Roman" w:hAnsi="Times New Roman"/>
          <w:caps w:val="false"/>
          <w:smallCaps w:val="false"/>
          <w:sz w:val="20"/>
        </w:rPr>
        <w:t>”) receptor in the brain and nervous system, a neurochemical pathway that has been disclosed in detail in our annual filings. The Company has two lead drug candidates – NRX-100, a preservative-free formulation of ketamine for intravenous infusion, and NRX-101, an oral fixed dose combination of D-cycloserine (“</w:t>
      </w:r>
      <w:r>
        <w:rPr>
          <w:rFonts w:ascii="Times New Roman" w:hAnsi="Times New Roman"/>
          <w:i/>
          <w:caps w:val="false"/>
          <w:smallCaps w:val="false"/>
          <w:sz w:val="20"/>
        </w:rPr>
        <w:t>DCS</w:t>
      </w:r>
      <w:r>
        <w:rPr>
          <w:rFonts w:ascii="Times New Roman" w:hAnsi="Times New Roman"/>
          <w:caps w:val="false"/>
          <w:smallCaps w:val="false"/>
          <w:sz w:val="20"/>
        </w:rPr>
        <w:t>”) and lurasidone. NRX-100 and NRX-101 are in the process of submission for Food and Drug Administration (“</w:t>
      </w:r>
      <w:r>
        <w:rPr>
          <w:rFonts w:ascii="Times New Roman" w:hAnsi="Times New Roman"/>
          <w:i/>
          <w:caps w:val="false"/>
          <w:smallCaps w:val="false"/>
          <w:sz w:val="20"/>
        </w:rPr>
        <w:t>FDA</w:t>
      </w:r>
      <w:r>
        <w:rPr>
          <w:rFonts w:ascii="Times New Roman" w:hAnsi="Times New Roman"/>
          <w:caps w:val="false"/>
          <w:smallCaps w:val="false"/>
          <w:sz w:val="20"/>
        </w:rPr>
        <w:t>”) approval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4" w:type="dxa"/>
            <w:tcBorders/>
            <w:vAlign w:val="center"/>
          </w:tcPr>
          <w:p>
            <w:pPr>
              <w:pStyle w:val="TableContents"/>
              <w:bidi w:val="0"/>
              <w:spacing w:lineRule="auto" w:line="288"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Abbreviated New Drug Application (“ANDA”) for NRX-100 was filed, with priority review requested, during the third quarter of 2025. After meeting with the FDA in August 2025, the Company re-filed the ANDA, following FDA notification of approval of a suitability petition for NRx’s proposed strength of preservative-free ketamine, KETAFREETM. On November 6, 2025, the Company received a communication from the FDA in which no significant deficiencies were identified in the revised filing. This letter is consistent with the Company’s ambition to launch KETAFREE™ in Q1 2026. The Company has additionally submitted a citizen petition seeking to have benzethonium chloride, a toxic preservative, removed from all commercial presentations of ketamine.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New Drug Application (“NDA”) for NRX-100, originally initiated during the fourth quarter of 2024, is expected to be completed in the fourth quarter 2025. This follows award of Fast Track Designation by the FDA for the Company’s expanded indication of “Treatment of Suicidal Ideation in Depression, including Bipolar Depression.” A key element of the Company’s PDUFA strategy has focused on obtaining data to confirm the ketamine efficacy seen in clinical trials conducted under governmental auspices in the US and France. The Company has now arranged to submit Real World Efficacy Data drawn from 65,000 patients treated for depression with intravenous ketamine compared to 6,000 patients treated with intranasal S-ketamine, which will be submitted as part of the NDA. An interim analysis drawn from the first 20,000 patients suggests that IV ketamine may have a more rapid onset of action and larger magnitude of effect than nasal S-ketamine. The Company has applied to receive a Commissioner’s National Priority Voucher (CNPV), which could significantly reduce review time. The Company has completed all required manufacturing steps and demonstrated room temperature shelf stability to support a three year shelf life.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4"/>
        <w:gridCol w:w="10011"/>
      </w:tblGrid>
      <w:tr>
        <w:trPr/>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NDA filing for NRX-101 has been initiated with the submission of the Module 3 manufacturing file to the FDA. The drug was previously awarded Breakthrough Therapy Designation and accordingly the Company is requesting rolling review from the NDA. Breakthrough Therapy Designation is granted by the FDA to facilitate the development and expedite the review of drugs to treat serious conditions that address an unmet medical need and have demonstrated preliminary evidence of efficacy as determined by the FDA. Based on current data, the Company aims to seek accelerated approval for use of NRX-101 in patients with bipolar depression who exhibit suicidal ideation on currently approved medication.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third quarter, the Company was made aware of dramatic findings suggesting that low-dose D-cycloserine (the key ingredient in NRX-101) may increase the antidepressant and antisuicidal effects of TMS by more than 2-fold, as demonstrated in a randomized controlled trial and subsequently confirmed with real world experience and mechanistic studies. Accordingly, the Company has filed a protocol with the FDA to test the use of low-dose NRX-101 in conjunction with the one-day TMS protocol (ONE-D) that has been published in association with the FDA-cleared Ampa Health TMS device. Should this study demonstrate safety and efficacy, it could represent a dramatic expansion of the market for NRX-101 and have the potential to offer patients a rapid remission from severe depression and PTSD with a single day of treatment. Millions of Americans are expected to be treated with TMS in coming years. Success in this planned clinical trial would lead to a 2027 PDUFA date for this previously unanticipated indication.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previously announced, in February 2024, NRx incorporated HOPE Therapeutics, a medical care delivery organization focused on providing cutting-edge, comprehensive interventional psychiatric treatment with the most effective treatments available, including NMDA-targeted and other neuroplastic drugs, such as ketamine, Spravato and NRX-101, neuromodulatory devices, such as TMS, hyperbaric therapy, digital therapeutics, and medication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2, 2024, HOPE formed HTX Management Company, LLC, a wholly owned subsidiary organized as a Delaware limited liability company, for the purpose of supporting future operations associated with any acquired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8, 2025, HOPE became a revenue-generating clinical enterprise through its completion of the previously announced acquisition of Dura Medical, LLC (“Dura”), a Florida limited liability company, and a revenue-generating clinical organization with locations in Naples and Ft. Myers, Florida. Founded in 2018, Dura offers precision-based interventional psychiatry services, including ketamine infusion therapy, TMS, Spravato®, stellate ganglion blocks, and psychotherapy.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Subsequent to the third quarter, the Company completed the previously announced addition of Cohen and Associates, based in Sarasota, FL, to the HOPE Network with a strategic minority investment, which expanded HOPE’s footprint on the West Coast of Florida, and related appointment of Dr. Rebecca Cohen as HOPE’s Medical Director. On November 10, 2025, HOPE announced completion of clinical training on the Ampa Health TMS device and initiation of the ONE-D protocol at its Florida locations. The ONE-D protocol has been reported in the peer-reviewed literature to achieve 87% response and 72% remission from severe depression at 6 weeks following a single day of TMS treatment, combined with D-cycloserine. HOPE is the first clinical enterprise to offer this one-day treatment protocol in Florida and one of the first to offer this therapy nationwide.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the third quarter of 2025 and in the subsequent period, key achievements by the Company in support of its overall mission to improve and save the lives of patients affected by central nervous system disorders including suicidal depression, chronic pain, post-traumatic stress disorder and schizophrenia include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b/>
          <w:caps w:val="false"/>
          <w:smallCaps w:val="false"/>
          <w:sz w:val="20"/>
        </w:rPr>
      </w:pPr>
      <w:r>
        <w:rPr>
          <w:rFonts w:ascii="Times New Roman" w:hAnsi="Times New Roman"/>
          <w:b/>
          <w:caps w:val="false"/>
          <w:smallCaps w:val="false"/>
          <w:sz w:val="20"/>
        </w:rPr>
        <w:t>Drug Development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Grant of Fast Track Designation for NRX-100 from the FDA for all indications and types of depression and related disorders based on its potential to satisfy an unmet medical need. This designation represents an approximately 10-fold expansion of the addressable market to 13 million Americans, compared to the original Fast Track Designation issued in 2017 for bipolar depression alone. The Designation letter contains a specific finding that NRX-100 addresses an “unmet medical need.” This is a specific qualifying requirement for the Commissioner’s National Priority Voucher Program.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Re-filing of an Abbreviated New Drug Application (“ANDA”) for NRX-100 (preservative-free intravenous ketamine) following FDA notice of approval of its Suitability Petition for NRx’s proposed strength of preservative-free ketamine, KETAFREE™. On November 6, 2025 the Company received a communication from FDA that did not identify any major deficiencies in the revised ANDA submission consistent with ANDA approval in Q2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Commissioner’s National Priority Voucher application for intravenous ketamine (NRX-100). Subsequently, the Company was invited to attend a closed-door listening session with the FDA Commissioner and senior staff.</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Submission of stability data for NRX-100 to the manufacturing data on file with FDA sufficient to support three years of room temperature shelf stability for NRX-100.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Submission of draft labeling for NRX-100 in the treatment of suicidal depression based on the Fast Track Designation received.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a toxicology assessment of Benzethonium Chloride, documenting its lack of “Generally Recognized as Safe” (GRAS) status and lack of safety data to support its use in intravenous presentations of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a Citizen Petition with the U.S. Food and Drug Administration to seek the removal of benzethonium chloride, a toxic preservative, from all ketamine products for intravenous administration.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a patent application for NRX-100, the Company’s proprietary preservative-free formulation of intravenous ketamine.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Receipt of filing fee waiver from the FDA for NRX-100.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Filing of module 3 manufacturing data to support a New Drug Application for NRX-101 in the treatment of patients with suicidal bipolar depression and akathisia despite treatment with already-approved medication.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HOPE Therapeutics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Completed the acquisition of Dura Medical and subsequent acquisition of an interest in Cohen and Associates, LLC with first clinical revenue recorded during Q3.</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Appointment of Dr. Rebecca Cohen as HOPE’s Medical Director.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Completion of clinical training and First-in-Florida initiation of one day depression treatment (ONE-D) utilizing D-cycloserine and the Ampa Health FDA-cleared TMS device.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May 2025, the Company reinstated the at-the-market offering and increased the maximum aggregate offering amount and filed a prospectus supplement under the offering agreement for an aggregate of $20,000,000. During the three months ended September 30, 2025, in connection with the at-the-market offering, the Company sold an aggregate of 1,350,788 shares of Common Stock for approximately $3.81 million, net of less than $0.1 million in transaction costs. During the nine months ended September 30, 2025, in connection with the at-the-market offering, the Company sold an aggregate of 1,749,866 shares of Common Stock for approximately $4.75 million, net of $0.1 million in transaction costs. Pursuant to the Anson Purchase Agreement, on January 28, 2025, the Company issued $5.4 million of Third Tranche Anson Notes at an 8% original issue discount for total cash proceeds of approximately $5.0 million. On August 18, 2025, the Company entered into the Second RD Purchase Agreement with certain accredited investors for the sale of an aggregate of 3,959,999 shares of the Company’s Common Stock, at a purchase price of $1.65 per share. The Second Registered Direct Offering closed on August 18, 2025, and resulted in net proceeds of approximately $6.2 million, after deducting placement agent fees and other offering-related expenses of approximately $0.3 million. On September 30, 2025, the 1,870,960 shares underlying Anson Warrants were exercised for cash proceeds of $3.09 million. Because the exercise proceeds were received subsequent to September 30, 2025, the Company recorded a subscription receivable asset of $3.09 million as of September 30, 2025. The exercise proceeds of $3.09 million were received on October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no assurances can be given, management believes that it will be able to secure necessary financing to support and consummate both its previously announced acquisitions and potential future acquisition candidates, execute its business plan and achieve its projected revenue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Drug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NRX-100 – Preservative-Free Ketamine: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described in previous filings, we have undertaken two paths to market for NRX-100: a generic-approval path under an Abbreviated New Drug Application (ANDA) to address the current generic market for ketamine and an innovative drug path under a New Drug Application (NDA) to develop ketamine for use in treating suicidal depression. The ANDA market is estimated at $750 million today and we anticipate entering this market in early 2026. There is one ketamine-based drug currently marketed for treatment of depression and its manufacturer recently reported $1.3 billion in 2024 sales. With recent positive changes in the regulatory environment, we similarly anticipate entering the innovative market for ketamine in early-mid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proprietary, preservative free formulation is the subject of a US patent filing that has potential to confer market exclusivity. In addition, we have filed a Citizen Petition with the FDA noting that the Benzethonium Chloride (BZT) preservative in ketamine is not Generally Recognized as Safe (GRAS) and has not been demonstrated to be safe in the context of this product. Historically, BZT was added to ketamine to enable multidose use and multi-patient use from a single vial. Those uses are no longer common in US healthcare facilities. We have performed an extensive review of the toxicology literature around BZT and determined that the FDA no longer allows BZT to be used in hand cleansers and topical antiseptics.</w:t>
      </w:r>
      <w:r>
        <w:rPr>
          <w:rFonts w:ascii="Times New Roman" w:hAnsi="Times New Roman"/>
          <w:caps w:val="false"/>
          <w:smallCaps w:val="false"/>
          <w:sz w:val="16"/>
        </w:rPr>
        <w:t>1</w:t>
      </w:r>
      <w:r>
        <w:rPr>
          <w:rFonts w:ascii="Times New Roman" w:hAnsi="Times New Roman"/>
          <w:caps w:val="false"/>
          <w:smallCaps w:val="false"/>
          <w:sz w:val="20"/>
        </w:rPr>
        <w:t> BZT is part of a class of quaternary amines that have been shown to be toxic to corneal and conjunctival cells. A related compound in this class, Benzalkonium Chloride, has been removed from many eyedrops because of this demonstrated toxicity. The toxicology review link suggests that while single dose administration of preserved ketamine is generally thought of as safe, the cumulative dose of BZT with repeated intravenous administration may approach a toxicologically-concerning exposure to this compound.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1</w:t>
      </w:r>
      <w:r>
        <w:rPr>
          <w:rFonts w:ascii="Times New Roman" w:hAnsi="Times New Roman"/>
          <w:caps w:val="false"/>
          <w:smallCaps w:val="false"/>
          <w:sz w:val="20"/>
        </w:rPr>
        <w:t xml:space="preserve"> Toxicological Evaluation of Benzethonium Chloride in Ketamine Formulations. Zenodo. </w:t>
      </w:r>
      <w:r>
        <w:rPr>
          <w:rFonts w:ascii="Times New Roman" w:hAnsi="Times New Roman"/>
          <w:caps w:val="false"/>
          <w:smallCaps w:val="false"/>
          <w:sz w:val="20"/>
          <w:u w:val="single"/>
        </w:rPr>
        <w:t>https://doi.org/10.5281/zenodo.16883346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general, we anticipate that a preservative-free form of ketamine will be welcomed by physicians and patients, which may enable NRX-100 to gain a larger share of the existing ketamine market than would be available to an undifferentiated product. However, should the Citizens Petition be granted the share of the generic market captured by NRX-100 could be considerably higher.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first filing of the ANDA in June 2025 received a “Refuse to Receive” letter from the FDA primarily based on a difference in the concentration of a single inactive ingredient (sodium chloride) between the NRX-100 formulation and the reference formulation of KETALAR®. The Company met with leadership of the Office of Generic Drugs and agreed to adjust the sodium chloride concentration to within 5% of the reference product. The ANDA was refiled in September 2025 and the Company received a letter in November 2025 identifying only several minor administrative discrepancies, all of which have now been addressed without starting a new regulatory cycle. The Company is aware of no impediments to an acceptance of the ANDA package and anticipates regulatory action in the Q2 2026 time frame.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request by the FDA to alter the sodium chloride level in the ANDA formulation creates a permanent formulation difference between the ANDA product (KETAFREE™) and the NRX-100 innovative product. This difference will result in two different drug identification numbers post approval and will enable the Company to establish different commercial paths for KETAFREE™ and NRX-100. Ongoing stability data remains on track for three years of room temperature shelf stability, the maximum allowed for a sterile injectable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path to New Drug Approval of Ketamine for treatment of depression was substantially augmented on August 8, 2025 by award of an expanded Fast Track Designation (FTD) to NRX-100 by the FDA Division of Psychiatry Products. Originally, in 2017, the FDA awarded FTD to NRX-100 in association with NRX-101 for the treatment of suicidal bipolar depression. During the current quarter, the FDA gave a far broader Fast Track Designation to NRX-100, designating it for “Treatment of suicidal ideation in depression, including bipolar depression,” According to the US Centers for Disease Control (CDC), 3.6 million Americans contemplate suicide each year, with 1.5 million attempting suicide and an American dying of suicide every 11 minutes.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FDA further augmented the potential path to market of NRX-100 by establishing the Commissioner’s National Priority Voucher Program (CNPV). The key criteria are shown below, taken from the FDA website. To receive a CNPV, a product must meet at least one of the criteria below. Management believes that NRX-100 meets all five criteria.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Addressing a U.S. public health crisis. An example could include developing a universal flu vaccine that could provide broad protection against multiple strains of influenza, including those with pandemic potential.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Delivering more innovative cures for the American people. The focus for this priority is transformative impact that far outstrips the threshold for breakthrough therapy designation. Examples could include creating a novel immunotherapy that reprograms the body’s immune system to fight multiple diseases; or transforming mental health care through a novel treatment for PTSD.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Addressing a large unmet medical need. This includes a condition that available therapies do not adequately diagnose or treat, including drugs to treat or prevent rare diseases or addressing America’s chronic disease crisis.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Onshoring drug development and manufacturing to advance the health interests of Americans and strengthen U.S. supply chain resiliency. Examples could include companies with new manufacturing establishments that shift manufacturing of essential medicines (such as generic sterile injectables) from foreign facilities to the U.S.; or a clinical trial that maintains robust U.S. enrollment to support generalizability for Americans against the U.S. standard of care.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Increasing affordability. This could include a company that lowers the U.S. price of a drug or drugs consistent with Most Favored Nation pricing or reduces other downstream medical utilization to lower overall healthcare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Receipt of a CNPV affords a substantially faster review time of 1-2 months vs. 10-12 months, enhanced communication throughout the review process, a multidisciplinary team-based evaluation, and potential for accelerated approval if the applicable requirements are met. Key to this process is determination that the candidate product meets a large, unmet medical need. That determination was specifically made in the case of NRX-100 by the Division of Psychiatry Products and included in the Fast Track Determination letter. There is an additional feature to the CNPV that may limit eligibility to a relatively few drugs. The CNPV requires that a Company’s module 3 manufacturing data be on file. These data were initially filed for NRX-100 in December 2024, and the stability data were updated in July 2025 to support three years of room temperature shelf stability.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 intends to seek Accelerated Approval of NRX-100. The data that have been licensed from the Government of France and Columbia University demonstrate that intravenous ketamine is superior to placebo and to active placebo in reducing suicidal ideation and depression within hours and has an effect duration of about a week. The PCORI-funded trial of ketamine vs. ECT demonstrates non-inferiority to ECT on depression over a 6-month period. The Company believes that these data are sufficient for an FDA grant of initial market access subject to confirmatory data. However, longer term data are desirable for a drug that may ultimately be used in millions of patients each year. Additional detail regarding established ketamine efficacy data is noted below.</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pPr>
      <w:r>
        <w:rPr/>
        <w:drawing>
          <wp:inline distT="0" distB="0" distL="0" distR="0">
            <wp:extent cx="5943600" cy="3346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346450"/>
                    </a:xfrm>
                    <a:prstGeom prst="rect">
                      <a:avLst/>
                    </a:prstGeom>
                  </pic:spPr>
                </pic:pic>
              </a:graphicData>
            </a:graphic>
          </wp:inline>
        </w:drawing>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experimental data shown above, the Company will be presenting Real World Data from two sources that capture medical record information from approximately 70,000 and 1,200 patients, respectively. An example drawn from the first 20,000 such patients examined is depicted below and suggests that the effect of ketamine seen in Real World Data are consistent with the results observed in randomized clinical trials. Unlike the randomized trials that compared ketamine to placebo and active comparator, the Real World Data also compares intravenous ketamine to intranasal SPRAVATO® with favorable findings.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5949950" cy="3346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9950" cy="3346450"/>
                    </a:xfrm>
                    <a:prstGeom prst="rect">
                      <a:avLst/>
                    </a:prstGeom>
                  </pic:spPr>
                </pic:pic>
              </a:graphicData>
            </a:graphic>
          </wp:inline>
        </w:drawing>
      </w:r>
    </w:p>
    <w:p>
      <w:pPr>
        <w:pStyle w:val="TextBody"/>
        <w:bidi w:val="0"/>
        <w:ind w:left="0" w:right="0" w:hanging="0"/>
        <w:jc w:val="center"/>
        <w:rPr/>
      </w:pPr>
      <w:r>
        <w:rPr/>
        <w:t xml:space="preserve">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accelerated approval pathway, a Company is obligated to provide confirmatory data of safety and efficacy within five years of accelerated approval. In this case, NRx has contracted with the sponsors of a 450-person randomized non-inferiority trial of intravenous racemic ketamine compared to intranasal S-ketamine. The Company hypothesizes that NRX-100 will prove to be non-inferior to intranasal S-ketamine in reducing symptoms of depression and may prove superior in reducing symptoms of suicidality.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NRX-101: Original indication in Bipolar Depression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progress related to NRX-101 is documented in recently-filed forms 10-K and 10-Q. During Q2 2025 and in subsequent events, management has focused on preparing the New Drug Application of NRX-101, submitting more than 80,000 pages of manufacturing, non-clinical, and clinical material in July 2025. Breakthrough Therapy Designation was awarded to NRX-101 by the FDA in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noted previously, NRX-101 demonstrated a statistically-significant benefit in reduction of suicidality and reduction of akathisia in a randomized, well-controlled trial against lurasidone. These findings confirm the initial results reported in the Company’s STABIL-B trial. The Company anticipates filing an NDA for Accelerated Approval of NRX-101 for treatment of “Suicidal Bipolar Depression in patients with Akathisia and Active Suicidal Ideation despite standard of care therapy.” NRX-101 is the only oral medicine that has ever been demonstrated in two randomized trials to reduce active suicidality and akathisia, to the Company’s knowledge. The Company is in active discussion with an academic medical center that has already demonstrated leadership in the successful phase 2 trial to conduct the confirmatory research required post Accelerated Approval under an already-funded national multicenter trial. The Company is currently applying for a PDUFA fee waiver from the FDA on the grounds of overwhelming public health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NRX-101: New indication in augmenting the effects of Transcranial Magnetic Stimulation (TMS).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third quarter, the Company identified a promising new indication for NRX-101 that potentially offers rapid path to commercialization for this Breakthrough Therapy-designated drug. Recent evidence suggests that NRX-101 may confer a significant added advantage to the clinical results of Transcranial Magnetic Stimulation.</w:t>
      </w:r>
      <w:r>
        <w:rPr>
          <w:rFonts w:ascii="Times New Roman" w:hAnsi="Times New Roman"/>
          <w:caps w:val="false"/>
          <w:smallCaps w:val="false"/>
          <w:sz w:val="16"/>
        </w:rPr>
        <w:t>2</w:t>
      </w:r>
      <w:r>
        <w:rPr>
          <w:rFonts w:ascii="Times New Roman" w:hAnsi="Times New Roman"/>
          <w:caps w:val="false"/>
          <w:smallCaps w:val="false"/>
          <w:sz w:val="20"/>
        </w:rPr>
        <w:t> Cole and colleagues reported that patients randomized to DCS vs. Placebo concurrent with TMS using a standard protocol experienced a greater than two-fold benefit in terms of reduction in symptoms of depression. Clinical response of 75% and remission of 40% was seen in the DCS-treated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drawing>
          <wp:inline distT="0" distB="0" distL="0" distR="0">
            <wp:extent cx="5943600" cy="2762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762250"/>
                    </a:xfrm>
                    <a:prstGeom prst="rect">
                      <a:avLst/>
                    </a:prstGeom>
                  </pic:spPr>
                </pic:pic>
              </a:graphicData>
            </a:graphic>
          </wp:inline>
        </w:drawing>
      </w:r>
    </w:p>
    <w:p>
      <w:pPr>
        <w:pStyle w:val="TextBody"/>
        <w:bidi w:val="0"/>
        <w:jc w:val="center"/>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substantial body of nonclinical literature has been published in subsequent years demonstrating that DCS at low doses exerts a neuroplasticity effect and causes dendritic sprouting in areas of the brain associated with depression.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4, 2025, Real World Data were presented in conjunction with use of the Ampa TMS device and a one day TMS protocol, combined with a single administration of oral DCS.</w:t>
      </w:r>
      <w:r>
        <w:rPr>
          <w:rFonts w:ascii="Times New Roman" w:hAnsi="Times New Roman"/>
          <w:caps w:val="false"/>
          <w:smallCaps w:val="false"/>
          <w:sz w:val="16"/>
        </w:rPr>
        <w:t>3</w:t>
      </w:r>
      <w:r>
        <w:rPr>
          <w:rFonts w:ascii="Times New Roman" w:hAnsi="Times New Roman"/>
          <w:caps w:val="false"/>
          <w:smallCaps w:val="false"/>
          <w:sz w:val="20"/>
        </w:rPr>
        <w:t> The authors reported 87% clinical response and 72% remission manifesting at 6 weeks after a single day of treatment on the Hamilton Depression Rating Scale with similar findings on other standard test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2</w:t>
      </w:r>
      <w:r>
        <w:rPr>
          <w:rFonts w:ascii="Times New Roman" w:hAnsi="Times New Roman"/>
          <w:caps w:val="false"/>
          <w:smallCaps w:val="false"/>
          <w:sz w:val="20"/>
        </w:rPr>
        <w:t xml:space="preserve"> Cole J, et.al. Efficacy of Adjunctive D-Cycloserine to Intermittent Theta-Burst Stimulation for Major Depressive Disorder: A Randomized Clinical Trial. JAMA Psychiatry. 2022;79(12):1153–1161. doi:10.1001/jamapsychiatry.2022.3255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6"/>
        </w:rPr>
        <w:t>3</w:t>
      </w:r>
      <w:r>
        <w:rPr>
          <w:rFonts w:ascii="Times New Roman" w:hAnsi="Times New Roman"/>
          <w:caps w:val="false"/>
          <w:smallCaps w:val="false"/>
          <w:sz w:val="20"/>
        </w:rPr>
        <w:t xml:space="preserve"> Vaughn, Donald &amp; Marino, Brooke &amp; Engelbertson, Alex &amp; Dojnov, Aleksandra &amp; Weiss, Nick &amp; Vila-Rodriguez, Fidel &amp; Nanos, Georgine &amp; Downar, Jonathan. (2024). Real-world effectiveness of a single-day regimen for transcranial magnetic stimulation using Optimized, Neuroplastogen-Enhanced techniques in Depression (ONE-D). 10.21203/rs.3.rs-5679327/v1.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5080000" cy="4191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080000" cy="4191000"/>
                    </a:xfrm>
                    <a:prstGeom prst="rect">
                      <a:avLst/>
                    </a:prstGeom>
                  </pic:spPr>
                </pic:pic>
              </a:graphicData>
            </a:graphic>
          </wp:inline>
        </w:drawing>
      </w:r>
    </w:p>
    <w:p>
      <w:pPr>
        <w:pStyle w:val="TextBody"/>
        <w:bidi w:val="0"/>
        <w:jc w:val="center"/>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the above studies were conducted with DCS alone, the Seromycin® (D-cycloserine) label lists a clear contra-indication for the use of DCS in patients with depression. That contraindication was part of the basis for the agreement between NRx and the FDA to combine DCS and lurasidone into NRX-101 and the FDA’s decision to assign an indication for NRX-101 together with Breakthrough Therapy Designation in the treatment of Bipolar Depression. The Company has now filed with the FDA to expand the Breakthrough Therapy indication to the treatment of Treatment-resistant Depression.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above findings, NRX-101 containing comparable doses of D-cycloserine is now being offered to physicians treating with TMS who are willing to provide NRx with outcomes data. The Company is now planning a phase 3 registration trial for the use of NRX-101 vs. placebo in conjunction with Theta-burst TMS. Based on the rapid adoption of accelerated TMS and the dramatic results seen, we estimate that between 1 and 3 million Americans will receive TMS for depression annually. The Company holds numerous composition of matter and method patents on the use of NRX-101 that have the potential to create a substantial period of market exclusivity should the drug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HOPE Therapeutics: Operating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last month of the quarter, NRx consummated, through its HOPE subsidiary, its first clinic acquisition (Dura) leading to its first revenue from operations. Note that the revenue shown on the financial statement represents only three weeks of clinical revenue and that revenues are expected to grow as more clinical footprint is acquired. In October 2025, the NRx, through its HOPE subsidiary, completed the acquisition of a minority interest in Cohen.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Subsequent to the quarter, NRx became the first clinical entity to partner with Ampa Health in the State of Florida and one of the first nationwide. The Ampa device is unique because of the results demonstrated with the ONE-D protocol and the dramatic rate of clinical response (87%) and remission (72%) seen when this TMS device is combined with the key ingredient of NRX-101. The Company is in active acquisition mode and is also establishing partnerships with TMS providers that could enable HOPE to enter into a Medical Services Organization (MSO) structure with partner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October 2018, the Company was the only commercial entity invited to participate in the national Stop Suisilence weekend at the US Army Museum at Fort Belvoir, VA. HOPE’s CEO presented opposite active duty and retired members of the US military including numerous flag officers and the Senior Advisor to the Secretary of Veterans Affairs. HOPE has active contracts to provide care to Veterans through the Veterans Health Administration and to Active Duty and Retired military personnel through TRICARE. Reimbursement is provided for approved drugs and therapies including SPRAVATO and TMS, together with administration of intravenous ketamine, which remains an off-label use, pending approval of NRX-100.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Since inception, the Company has incurred significant operating losses. For the three months ended September 30, 2025 and 2024, the Company’s net loss was $5.9 million and $1.6 million, respectively. For the nine months ended September 30, 2025 and 2024, the Company’s net loss was $29.0 million and $16.1 million, respectively. As of September 30, 2025, the Company had an accumulated deficit of $307.3 million, a stockholders’ deficit of $25.8 million and a working capital deficit of $28.7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ongoing clinical activities continue to generate losses and net cash outflows from operations. The Company plans to pursue additional equity or debt financing or refinancing opportunities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stockholders.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The Company will continue to carefully monitor the impact of its continuing operations on its working capital needs and debt repayment obligations. As such, the Company has concluded that substantial doubt exists about the Company’s ability to continue as a going concern for a period of at least twelve months from the date of issuance of these condensed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recognizes patient service revenue in accordance with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Revenue is recognized as performance obligations are satisfied, which occurs over time as patients simultaneously receive and consume the benefits of the services provided. Each treatment or visit generally represents a separate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Procedural services, such as ketamine infusions, esketamine administration, TMS sessions, and SGB/epidural procedures, are recognized at the point in time when services are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and nine months ended September 30, 2025, the Company recorded total revenue of approximately $0.2 million, which was solely attributable to patient services provided by Dura following its acquisition on September 8, 2025. Prior to the acquisition, the Company did not generate revenue as it was in the development stage and primarily focused on corporate formation, financing, and acquisition-related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initial post-acquisition revenue reflects only a partial period of operations and therefore is not indicative of the Company’s expected ongoing revenue levels. Management anticipates that revenue will increase in subsequent periods as Dura’s operations are fully integrated and additional clinical capacity, patient volume, and service lines are expanded under the Company’s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Cost of patient services consists primarily of direct expenses associated with providing healthcare services, including salaries and benefits for clinical personnel, medical supplies, pharmaceuticals, and other costs directly attributable to patient care. These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and nine months ended September 30, 2025, cost of patient services related solely to operations of Dura following its acquisition on September 8, 2025. Given the limited period of post-acquisition operations, current cost levels are not representative of the Company’s expected ongoing operating costs. Management anticipates that cost of patient services will increase in proportion with the expected growth in patient volumes and expansion of clinical activities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research and development expense consists primarily of costs associated with the Company’s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primarily of salaries, stock-based compensation, consultant fees, and professional fees for legal and accounting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Settlement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Settlement (income) expense during the three and nine months ended September 30, 2025, consists of amounts related to the resolution of legal claims and income recognized from the reduction of previously accrued settlement liabilities, as certain matters were settled for less than originally estimated.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 for the three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Company’s selected statements of operations data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6629" w:type="dxa"/>
        <w:jc w:val="left"/>
        <w:tblInd w:w="0" w:type="dxa"/>
        <w:tblLayout w:type="fixed"/>
        <w:tblCellMar>
          <w:top w:w="0" w:type="dxa"/>
          <w:left w:w="0" w:type="dxa"/>
          <w:bottom w:w="0" w:type="dxa"/>
          <w:right w:w="0" w:type="dxa"/>
        </w:tblCellMar>
      </w:tblPr>
      <w:tblGrid>
        <w:gridCol w:w="3950"/>
        <w:gridCol w:w="60"/>
        <w:gridCol w:w="146"/>
        <w:gridCol w:w="637"/>
        <w:gridCol w:w="93"/>
        <w:gridCol w:w="70"/>
        <w:gridCol w:w="146"/>
        <w:gridCol w:w="637"/>
        <w:gridCol w:w="80"/>
        <w:gridCol w:w="60"/>
        <w:gridCol w:w="125"/>
        <w:gridCol w:w="545"/>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patient services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(income) expense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pPr>
            <w:r>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4,963</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5,128</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pPr>
            <w:r>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pPr>
            <w:r>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pPr>
            <w:r>
              <w:rPr/>
              <w:t>—</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exercise of warrants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(5,890</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(5,890</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Net patient service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$0.2 million in net patient service revenues from the clinical services provided by Dura following the acquisition dated September 8, 2025. The Company did not record revenues for the three months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$0.1 million in costs of patient services, as compared to $0 incurred during the three months ended September 30, 2024. This increase can be attributed to the acquisition of Dura on September 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$1.4 million of research and development expense, as compared to approximately $0.6 million for the three months ended September 30, 2024. The increase of $0.8 million is related primarily due to a $0.4 million increase in clinical trials and development and a $0.3 million increase in regulatory and process development consulting costs. The research and development expense for each of the three months ended September 30, 2025 and 2024, includes less than $0.1 million of non-cash 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$2.8 million of general and administrative expense, as compared to approximately $2.4 million for the three months ended September 30, 2024. The increase of $0.5 million is related primarily to an increase of $0.9 million in employee expenses and $0.1 in legal and professional expenses, partially offset by a decrease of $0.4 million in consulting costs and $0.2 million in insurance costs. General and administrative expense includes less than $0.1 million of non-cash stock-based compensation for both of the three months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Settlement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recognized settlement income of approximately $0.1 million resulting from the adjustment of previously accrued settlement amounts, as certain legal matters were settled for less than initially accrued. The Company did not incur any settlement income or expense during the three months ended September 30, 2024.</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Depreciation and amortization expense increased to $26 for the nine months ended September 30, 2025, compared to $2 for the same period in 2024, primarily due to the recognition of depreciation and amortization on property and equipment and intangible assets acquired in the Dura acquisition completed in September 2025.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Other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less than $0.1 million of interest income, as compared to less than $0.1 million of interest income for the three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 in fair value of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three months ended September 30, 2025, the Company recorded a loss of $1.5 million related to the change in fair value of the convertible notes payable which are accounted for under the fair value option. For the three months ended September 30, 2024, the Company recorded a gain of $1.4 million related to the change in fair value of the convertible note payable which is accounted for under the fair value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Change in fair value of warrant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a loss of $5.0 million related to the change in fair value of the warrant liabilities, as compared to a gain of $0.2 million for the three months ended September 30, 2024. The increase in loss during the three months ended September 30, 2025 was attributed to the warrants issued in conjunction with the First, Second and Third Tranches of the Anson Notes, additional shares of Anson Warrants issued as a result anti-dilutive provision, as well as increase in the Company’s stock prices.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convertible note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a loss of $0.8 million related to convertible note conversion, as compared to a loss of $0.1 million during the three months ended September 30, 2024. These conversions were calculated as the difference between the conversion price per the terms of the Anson first tranche senior secured convertible notes agreements relative to the fair value of the Common Stock on the date of conversion as described further under footnote 10 to the accompanying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Gain on 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three months ended September 30, 2025, the Company recorded a $5.4 million gain on the exercise of warrants. This results from the settlement of the warrant liability for exercised warrants (see Note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Company’s selected statements of operations data for the following periods (in thousands):</w:t>
      </w:r>
    </w:p>
    <w:p>
      <w:pPr>
        <w:pStyle w:val="TextBody"/>
        <w:bidi w:val="0"/>
        <w:spacing w:before="0" w:after="0"/>
        <w:ind w:left="0" w:right="0" w:hanging="0"/>
        <w:jc w:val="left"/>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3950"/>
        <w:gridCol w:w="60"/>
        <w:gridCol w:w="125"/>
        <w:gridCol w:w="650"/>
        <w:gridCol w:w="80"/>
        <w:gridCol w:w="60"/>
        <w:gridCol w:w="125"/>
        <w:gridCol w:w="650"/>
        <w:gridCol w:w="80"/>
        <w:gridCol w:w="60"/>
        <w:gridCol w:w="125"/>
        <w:gridCol w:w="650"/>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patient service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patient services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convertible 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9,046</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issuance of Registered Direct Offering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Consideration Shares and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 default penalty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convertible note conversions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4,112</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exercise of warrants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17,404</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Net patient service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$0.2 million in net patient service revenues from the clinical services provided by Dura following the acquisition dated September 8, 2025. The Company did not record revenues for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patient services</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$0.1 million in costs of patient services, as compared to $0 incurred during the nine months ended September 30, 2024. This increase can be attributed to the acquisition of Dura completed on September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$3.2 million of research and development expense, as compared to approximately $5.2 million for the nine months ended September 30, 2024. The decrease of $2.0 million is mainly related primarily due to the conclusion of the phase 2 study related to NRX-101 and the Company's cash conservation efforts, $0.3 million in clinical costs, $1.4 million in other regulatory and process development costs, and $0.3 million in regulatory and process consultants’ fees. The research and development expense for each of the nine months ended September 30, 2025 and 2024, respectively, includes less than $0.1 million of non-cash stock-based compensation.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$8.5 million of general and administrative expense, as compared to approximately $10.9 million for the nine months ended September 30, 2024. The decrease of $2.4 million is primary related to a decrease of $2.5 million in consultant fees, $0.4 million in insurance expense and $0.4 million by other administrative expenses, offset by increase of $0.6 million in employee expenses and $0.3 million in legal expense. General and administrative expense includes $0.7 million and $0.3 million of non-cash stock-based compensation for the nine months ended September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Depreciation and amortization expense increased to $28,000 for the nine months ended September 30, 2025, compared to $4,000 for the same period in 2024, primarily due to the recognition of depreciation and amortization on property and equipment and intangible assets acquired in the Dura acquisition completed in September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Settlement (income) expense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recognized settlement income of less than $0.1 million resulting from the adjustment of previously accrued settlement amounts, as certain legal matters were settled for less than initially accrued. The Company did not incur any settlement income or expense during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less than $0.1 million of interest income, as compared to less than $0.1 million of interest income for the nine months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September 30, 2025, the Company recorded $0 of interest expense, as compared to $0.2 million of interest expense for the nine months ended September 30, 2024. The decrease of $0.2 million is due to premiums for cash payments on the convertible note for the nine months ended September 30, 2024. The interest expense on the convertible notes is embedded in the change in fair value of convertible notes payable, which are accounting for under the fair value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Convertible note default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no default penalty, as compared to $0.8 million of a default penalty for the nine months ended September 30, 2024. The decrease is due to alleged default in connection with the convertible note in 2024 and no such event of default during the nine months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Change in fair value of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nine months ended September 30, 2025, the Company recorded a loss of $8.0 million related to the change in fair value of the convertible notes payable which are accounted for under the fair value option. For the nine months ended September 30, 2024, the Company recorded loss of $1.0 million related to the change in fair value of the convertible note payable which is accounted for under the fair value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Change in fair value of warrant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a loss of $8.5 million related to the change in fair value of the warrant liabilities, as compared to a gain of $0.2 million for the nine months ended September 30, 2024. The increase in loss during the nine months ended September 30, 2025 was attributed to the warrants issued in conjunction with the First, Second and Third Tranches of the Anson Notes and the effects of the full ratchet antidilution trigger on the Anson Warrants in the third quarter of 2025, as well as increase in the Company’s fair value of its common shares.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issuance of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a loss of $0.7 million related to the issuance of the First Registered Direct Offering, as compared to $0 during the nine months ended September 30, 2024. As the fair value of the warrant liabilities issued in the Registered Direct Offering exceeded the net proceeds received of $3.3 million, the Company recognized the excess of the fair value over the net proceeds received of $3.26 million as a loss upon issuance of RD Shares of $0.7 million which is included in other expense (income) in the condensed consolidated statement of operations for the period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Considerations shares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recognized a $1.3 million loss related to the March 20, 2025 issuance of 303,819 Consideration Shares and 303,819 Consideration Warrants to Anson under the terms of CWA. This loss, totaling $1.3 million, was recorded within other expense in the condensed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Loss on convertible note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a loss of $4.2 million related to convertible note conversion, as compared to $0.1 million during the nine months ended September 30, 2024. These conversions were calculated as the difference between the conversion price per the terms of the Anson first tranche senior secured convertible note agreements relative to the fair value of the Common Stock on the date of conversion as described further under footnote 10 to the accompanying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Gain on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the nine months ended September 30, 2025, the Company recorded a $5.4 million gain on the exercise of Anson warrants, resulting from the settlement of warrant liabilities for exercised awarrants (See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generated minimal revenues, has incurred operating losses since inception, expects to continue to incur significant operating losses for the foreseeable future and may never become profitable. Until such time as the Company is able to establish a significant revenue stream from the sale of its therapeutic products, it is dependent upon obtaining necessary equity and/or debt financing to continue operations. The Company cannot make any assurances that sales of NRX-101 will commence in the near term or that additional financings will be available to it on acceptable terms or at all. This could negatively impact our business and operations and could also lead to the reduction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At-The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15, 2024, the Company increased the maximum aggregate offering amount of the shares of Common Stock issuable under that certain at-the-market offering agreement, dated August 14, 2023 (the “Offering Agreement”), with H.C. Wainwright &amp; Co., and filed a prospectus supplement under the Offering Agreement for an aggregate of $4.9 million (the “ATM Offering”). On August 14, 2024, the Company reduced the amount under the Offering Agreement to $0 and suspended the ATM Offering. On April 17, 2025, the Company reinstated the ATM Offering and filed a prospectus supplement under the Offering Agreement for an aggregate of $20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Through September 30, 2025, the Company received aggregate net cash proceeds to the Company from the ATM Offering of approximately $6.1 million, with $4.7 million of net aggregate net cash proceeds received during the nine months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selected financial information and statistics for each of the periods shown below:</w:t>
      </w:r>
    </w:p>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3830"/>
        <w:gridCol w:w="60"/>
        <w:gridCol w:w="196"/>
        <w:gridCol w:w="1023"/>
        <w:gridCol w:w="80"/>
        <w:gridCol w:w="60"/>
        <w:gridCol w:w="196"/>
        <w:gridCol w:w="1023"/>
        <w:gridCol w:w="8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Data:</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3,651</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and accrued interest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w:t>
            </w:r>
          </w:p>
        </w:tc>
        <w:tc>
          <w:tcPr>
            <w:tcW w:w="8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26,874</w:t>
            </w:r>
          </w:p>
        </w:tc>
        <w:tc>
          <w:tcPr>
            <w:tcW w:w="8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111" w:type="dxa"/>
        <w:jc w:val="left"/>
        <w:tblInd w:w="0" w:type="dxa"/>
        <w:tblLayout w:type="fixed"/>
        <w:tblCellMar>
          <w:top w:w="0" w:type="dxa"/>
          <w:left w:w="0" w:type="dxa"/>
          <w:bottom w:w="0" w:type="dxa"/>
          <w:right w:w="0" w:type="dxa"/>
        </w:tblCellMar>
      </w:tblPr>
      <w:tblGrid>
        <w:gridCol w:w="3365"/>
        <w:gridCol w:w="60"/>
        <w:gridCol w:w="126"/>
        <w:gridCol w:w="660"/>
        <w:gridCol w:w="81"/>
        <w:gridCol w:w="60"/>
        <w:gridCol w:w="126"/>
        <w:gridCol w:w="553"/>
        <w:gridCol w:w="80"/>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Statement of Cash Flow Data:</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(10,399</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5,590</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operating activities used approximately $10.4 million of cash, primarily resulting from a net loss of $29.0 million partially offset by net non-cash losses of $17.9 million, including $8.0 million in change in fair value of convertible promissory notes, $0.7 million of stock-based compensation and Common Stock issued in exchange for services, $4.2 million loss in convertible note conversion, $1.3 million of loss on Consideration Shares and Warrants, $0.4 million in debt issuance costs, $0.7 million in loss on issuance of Register Direct offering, $8.5 million loss in change in fair value of warrant liabilities, $5.4 million in gain on exercise of warrants, and changes in operating assets and liabilities of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2024, operating activities used approximately $8.5 million of cash, primarily resulting from a net loss of $16.0 million, partially offset by (a) net non-cash losses of $2.1 million, including a gain of $1.0 million in change in fair value of convertible promissory notes, and gain of $0.2 million in change in fair value of warrants, $0.4 million of stock-based compensation, $1.3 million of contract costs related to Alvogen termination, $0.8 million of default penalties, $0.5 million in debt issuance costs, and (b) changes in operating assets and liabilities of $5.4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$2.6 million for the nine months ended September 30, 2025, compared to no cash used in investing activities during the comparable period in 2024. The outflows in the current period were primarily related to the cash consideration paid in connection with the acquisition of Dura, net of cash acquired. The Company did not incur any significant capital expenditure during either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financing activities provided $18.7 million of cash resulting from $9.4 million in proceeds from issuance of Common Stock and warrants related to the RD Offering and $5.0 million in proceeds from the Anson Notes, $4.8 million in proceeds from issuance of Common Stock in connection with ATM offering, offset by $0.4 million in repayments of and by $0.2 million of proceeds from insurance notes, and $0.2 million in debt issuance costs due to the fair value election on Anson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2024, financing activities provided $5.6 million of cash resulting from $1.0 million in proceeds from issuance of Common Stock and warrants issued in a private placement, $4.9 million in proceeds from issuance of Common Stock and warrants, $2.9 million in proceeds from the Anson Notes, and $2.1 million from warrant proceeds offset by $4.8 million in repayments of the convertible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Note 10, Debt, and Note 11, Commitments and Contingencies, of the notes to the Company’s condensed consolidated financial statements as of and for the nine months ended September 30, 2025 included elsewhere in this report for further discussion of the Company’s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Milestone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Dura Acquisition </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Dura Definitive Purchase Agreement, The Company may be required to pay up to $3.0 million in contingent earn-out payments based on EBITDA performance during the first three years following Closing. Payments are subject to the Seller’s continued employment and are prorated based on actual results achieved. The purchase price is also subject to customary post-closing adjustments for working capital, cash,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not party to any off-balance sheet transactions. The Company has no guarantees or obligations other than those which arise out of normal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evaluates its estimates and judgments on an ongoing basis. The most critical estimates relate to stock-based compensation, the valuation of warrants, and the valuation of convertible notes payable. NRx bases its estimates and assumptions on current facts, historical experiences, and various other factors that NRx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Company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the Company applies those principles. While its significant accounting policies are more fully described in Note 3 to its financial statements, the Company believes the following are the critical accounting policies used in the preparation of its financial statements that require significant estimates and judgments.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 the grant date based on the closing trading price for the Company’s stock. The straight-line method of expense recognition is applied to awards with service-only conditions. We account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Anson Warrants, Consideration Warrants, and Anson Registered Direct Offering Warrants were estimated using a Black-Scholes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As permitted under Financial Accounting Standards Board </w:t>
      </w:r>
      <w:r>
        <w:rPr>
          <w:rFonts w:ascii="Times New Roman" w:hAnsi="Times New Roman"/>
          <w:i/>
          <w:caps w:val="false"/>
          <w:smallCaps w:val="false"/>
          <w:sz w:val="20"/>
        </w:rPr>
        <w:t>(</w:t>
      </w:r>
      <w:r>
        <w:rPr>
          <w:rFonts w:ascii="Times New Roman" w:hAnsi="Times New Roman"/>
          <w:caps w:val="false"/>
          <w:smallCaps w:val="false"/>
          <w:sz w:val="20"/>
        </w:rPr>
        <w:t>“FASB”</w:t>
      </w:r>
      <w:r>
        <w:rPr>
          <w:rFonts w:ascii="Times New Roman" w:hAnsi="Times New Roman"/>
          <w:i/>
          <w:caps w:val="false"/>
          <w:smallCaps w:val="false"/>
          <w:sz w:val="20"/>
        </w:rPr>
        <w:t>)</w:t>
      </w:r>
      <w:r>
        <w:rPr>
          <w:rFonts w:ascii="Times New Roman" w:hAnsi="Times New Roman"/>
          <w:caps w:val="false"/>
          <w:smallCaps w:val="false"/>
          <w:sz w:val="20"/>
        </w:rPr>
        <w:t xml:space="preserve"> Accounting Standards Codification </w:t>
      </w:r>
      <w:r>
        <w:rPr>
          <w:rFonts w:ascii="Times New Roman" w:hAnsi="Times New Roman"/>
          <w:i/>
          <w:caps w:val="false"/>
          <w:smallCaps w:val="false"/>
          <w:sz w:val="20"/>
        </w:rPr>
        <w:t>(</w:t>
      </w:r>
      <w:r>
        <w:rPr>
          <w:rFonts w:ascii="Times New Roman" w:hAnsi="Times New Roman"/>
          <w:caps w:val="false"/>
          <w:smallCaps w:val="false"/>
          <w:sz w:val="20"/>
        </w:rPr>
        <w:t>“ASC”</w:t>
      </w:r>
      <w:r>
        <w:rPr>
          <w:rFonts w:ascii="Times New Roman" w:hAnsi="Times New Roman"/>
          <w:i/>
          <w:caps w:val="false"/>
          <w:smallCaps w:val="false"/>
          <w:sz w:val="20"/>
        </w:rPr>
        <w:t>)</w:t>
      </w:r>
      <w:r>
        <w:rPr>
          <w:rFonts w:ascii="Times New Roman" w:hAnsi="Times New Roman"/>
          <w:caps w:val="false"/>
          <w:smallCaps w:val="false"/>
          <w:sz w:val="20"/>
        </w:rPr>
        <w:t xml:space="preserve"> Topic 825, Financial Instruments (“ASC 825”), the Company elects to account for its convertible promissory notes, which meets the required criteria, at fair value at inception and at each subsequent reporting date. Subsequent changes in fair value are recorded as a component of non-operating loss in the condensed consolidated statements of operations. As a result of electing the fair value option, direct costs and fees related to the convertible promissory notes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the convertible notes payable using a Monte Carlo simulation model, which uses as inputs the fair value of our Common Stock and estimates for the equity volatility and volume volatility of our Common Stock, the time to expiration (i.e. expected termination date) of the convertible note, the risk-free interest rate for a period that approximates the time to expiration, and probability of default. Therefore, we estimate our expected future equity and volume volatility based on the historical volatility of both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80"/>
        <w:jc w:val="both"/>
        <w:rPr>
          <w:rFonts w:ascii="Times New Roman" w:hAnsi="Times New Roman"/>
          <w:caps w:val="false"/>
          <w:smallCaps w:val="false"/>
          <w:sz w:val="20"/>
        </w:rPr>
      </w:pPr>
      <w:r>
        <w:rPr>
          <w:rFonts w:ascii="Times New Roman" w:hAnsi="Times New Roman"/>
          <w:caps w:val="false"/>
          <w:smallCaps w:val="false"/>
          <w:sz w:val="20"/>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 </w:t>
      </w:r>
    </w:p>
    <w:p>
      <w:pPr>
        <w:pStyle w:val="TextBody"/>
        <w:bidi w:val="0"/>
        <w:spacing w:before="0" w:after="0"/>
        <w:ind w:left="0" w:right="0" w:firstLine="58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Purchase Price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account for business combinations in accordance with ASC Topic 805 Business Combinations, which requires that the assets acquired and liabilities assumed in a business combination be recognized at their fair values as of the acquisition date and that the excess of consideration transferred over the fair value of net identifiable assets be recorded as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allocation of the purchase price to tangible assets (clinic equipment, leasehold improvements) and identifiable intangible assets (e.g., contracts, clinic trade names) and liabilities assumed (e.g., assumed leases, employee benefit obligations) is based on management’s estimate of fair value as of the acquisition date. This allocation process is considered a critical accounting estimate due to the significant judgments and assumptions inherent in determining the estimated fair values, including the selection of valuation methods (e.g., relief from royalty, multi-period excess earnings, replacement cost), discount rates, expected future cash flows, attrition rates, and useful lives of intangible assets. For the Dura acquisition, the estimated useful lives of acquired intangible assets ranged from 3 to 8 years, and discount rates applied ranged from 12% to 15%. Subsequent adjustments, within the one-year measurement period, may be made as additional information becomes available regarding facts and circumstances that existed at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i/>
          <w:caps w:val="false"/>
          <w:smallCaps w:val="false"/>
          <w:sz w:val="20"/>
        </w:rPr>
      </w:pPr>
      <w:r>
        <w:rPr>
          <w:rFonts w:ascii="Times New Roman" w:hAnsi="Times New Roman"/>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Goodwill recorded in connection with Dura acquisitions is attributable to the assembled workforce, anticipated growth in the Florida region, and synergies expected from integrating the clinics into our existing operations. Goodwill is not amortized but is subject to annual impairment testing and more frequently if indicators of impairment exist. We test goodwill for impairment for its reporting units on an annual basis, or when events occur, or when circumstances indicate the fair value of a reporting unit is below its carrying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perform our annual goodwill impairment assessment on December 31st of each year or as impairment indicators dictate.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 evaluating the potential impairment of goodwill, management first assess a range of qualitative factors, including but not limited to, macroeconomic conditions, industry conditions, the competitive environment, changes in the market for our products and services, regulatory and political developments, entity specific factors such as strategy and changes in key personnel, and the overall financial performance for each of our reporting units. If, after completing this assessment, it is determined that it is more likely than not that the fair value of a reporting unit is less than its carrying value, we then proceed to the impairment testing methodology using an appropriate valuation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compare the carrying value of the reporting unit, including goodwill, with its fair value, as determined by its estimated discounted cash flows. If the carrying value of a reporting unit exceeds its fair value, then the amount of impairment to be recognized is recognized as the amount by which the carrying amount exceeds the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 required, we may arrive at our estimates of fair value using a discounted cash flow methodology which includes estimates of future cash flows to be generated by specifically identified assets, as well as selecting a discount rate to measure the present value of those anticipated cash flows. Estimating future cash flows requires significant judgment and includes making assumptions about projected growth rates, industry-specific factors, working capital requirements, weighted average cost of capital, and current and anticipated operating conditions. The use of different assumptions or estimates for future cash flows could produce different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September 30, 2025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that evaluation, our Chief Executive Officer and Chief Financial Officer concluded that our disclosure controls and procedures were effective as of September 30, 2025 in providing reasonable assurance of achieving the desired control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controls over financial reporting that occurred during the three months ended September 30, 2025 that have materially affected, or are reasonably likely to materially affect, the Company’s internal control 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from time to time, involved in various legal proceedings incidental to the conduct of our business. Historically, the outcome of nearly all such legal proceedings has not, in the aggregate, had a material adverse effect on our business, financial condition, results of operations or liquidity. See Note 11, Commitments and Contingencies, of the notes to the Company’s unaudited condensed consolidated financial statements as of and for the three and nine months ended September 30, 2025 (“Note 11”) included elsewhere in this report for further discussion of certain legal proceedings in which we are involved. Other than as set forth below and/or in Note 11, there are no additional pending or threatened legal proceedings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9, 2025, Hope Therapeutics, Inc. entered into an Asset Purchase and Contribution Agreement (the “</w:t>
      </w:r>
      <w:r>
        <w:rPr>
          <w:rFonts w:ascii="Times New Roman" w:hAnsi="Times New Roman"/>
          <w:i/>
          <w:caps w:val="false"/>
          <w:smallCaps w:val="false"/>
          <w:sz w:val="20"/>
        </w:rPr>
        <w:t>Kadima Purchase</w:t>
      </w:r>
      <w:r>
        <w:rPr>
          <w:rFonts w:ascii="Times New Roman" w:hAnsi="Times New Roman"/>
          <w:caps w:val="false"/>
          <w:smallCaps w:val="false"/>
          <w:sz w:val="20"/>
        </w:rPr>
        <w:t xml:space="preserve"> </w:t>
      </w:r>
      <w:r>
        <w:rPr>
          <w:rFonts w:ascii="Times New Roman" w:hAnsi="Times New Roman"/>
          <w:i/>
          <w:caps w:val="false"/>
          <w:smallCaps w:val="false"/>
          <w:sz w:val="20"/>
        </w:rPr>
        <w:t>Agreement</w:t>
      </w:r>
      <w:r>
        <w:rPr>
          <w:rFonts w:ascii="Times New Roman" w:hAnsi="Times New Roman"/>
          <w:caps w:val="false"/>
          <w:smallCaps w:val="false"/>
          <w:sz w:val="20"/>
        </w:rPr>
        <w:t>”), with HTX Management Company, LLC, Kadima Neuropsychiatry Institute, Medical Corp., Kadima Holdings, Inc., and David Feifel, M.D., PH.D. (collectively, “</w:t>
      </w:r>
      <w:r>
        <w:rPr>
          <w:rFonts w:ascii="Times New Roman" w:hAnsi="Times New Roman"/>
          <w:i/>
          <w:caps w:val="false"/>
          <w:smallCaps w:val="false"/>
          <w:sz w:val="20"/>
        </w:rPr>
        <w:t>Kadima</w:t>
      </w:r>
      <w:r>
        <w:rPr>
          <w:rFonts w:ascii="Times New Roman" w:hAnsi="Times New Roman"/>
          <w:caps w:val="false"/>
          <w:smallCaps w:val="false"/>
          <w:sz w:val="20"/>
        </w:rPr>
        <w:t>”), pursuant to which the Company agreed to purchase, and Kadima agreed to sell, certain assets of Kadima, subject to the satisfaction of certain closing conditions (the “</w:t>
      </w:r>
      <w:r>
        <w:rPr>
          <w:rFonts w:ascii="Times New Roman" w:hAnsi="Times New Roman"/>
          <w:i/>
          <w:caps w:val="false"/>
          <w:smallCaps w:val="false"/>
          <w:sz w:val="20"/>
        </w:rPr>
        <w:t>Acquisition</w:t>
      </w:r>
      <w:r>
        <w:rPr>
          <w:rFonts w:ascii="Times New Roman" w:hAnsi="Times New Roman"/>
          <w:caps w:val="false"/>
          <w:smallCaps w:val="false"/>
          <w:sz w:val="20"/>
        </w:rPr>
        <w:t>”). As of the date of this Report, the parties have not closed the Acquisition and the matter has entered arbitration. At this stage of the arbitration, it is too early to determine if the matter would reasonably be expected to have a material adverse effect on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disclosed the risk factors that materially affect our business, financial condition or results of operations under the heading “Risk Factors” in our Annual Report on Form 10-K for the year ended December 31, 2024 filed with the SEC on March 14, 2025 (the “2024 Form 10-K”). Except as set forth below, there have been no material changes to the Risk Factors disclosed in Part I, Item 1A, Risk Factors, of the Company's 2024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There is no assurance that the anticipated acquisition of Kadima (as defined below) will be completed or that the Company will realize the anticipated benefits from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9, 2025, HOPE entered into an Asset Purchase and Contribution Agreement (the “Kadima Purchase Agreement”), with HTX Management Company, LLC, Kadima Neuropsychiatry Institute, Medical Corp., Kadima Holdings, Inc., and David Feifel, M.D., PH.D. (collectively, “Kadima”), pursuant to which the Company agreed to purchase, and Kadima agreed to sell, certain assets of Kadima, subject to the satisfaction of certain closing conditions (the “Kadima Acquisition”). As of the date of this Quarterly Report on Form 10-Q, the parties have not closed the Kadima Acquisition and the matter has entered arbitration. At this stage of the arbitration, it is too early to determine if the matter would reasonably be expected to have a material adverse effect on our financial condition. Even if the transactions contemplated by the Kadima Purchase Agreement are completed, the acquisition of the assets being purchased thereunder may not materialize into revenue and generate the financial and strategic benefits the Company expected. The failure to close the Kadima Acquisition would negatively impact the Company’s revenues and return on investment. In addition, should the Kadima Acquisition be consummated, the Company may face operational challenges and unforeseen liabilities that may negatively impact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The Company may not realize the anticipated benefits from its acquisition of Dura and Cohen, which could adversely affect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recently completed the acquisition of Dura and Cohen. However, there can be no assurance that the Company will be able to successfully integrate Dura’s and Cohen’s operations, personnel, or technologies into its business in a timely or cost-effective manner, or at all. The anticipated benefits of these acquisitions, including expected revenue growth, operational synergies, and enhanced market opportunities, may not be achieved to the extent expected, or may take longer than anticipated to realize. In addition, unforeseen liabilities, increased expenses, operational challenges, or the diversion of management’s attention could negatively impact the Company’s business following the acquisition. If the Company is unable to achieve the intended strategic or financial benefits of these acquisitions, the Company’s business, financial condition, results of operations, and stockholder value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unregistered sales of equity securities occurred during the three months ended September 30, 2025, that were not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defaults upon senior securities occurred during the three months ended September 30, 2025, that were not previously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 w:hAnsi="Times New Roman"/>
          <w:caps w:val="false"/>
          <w:smallCaps w:val="false"/>
          <w:sz w:val="20"/>
        </w:rPr>
        <w:t xml:space="preserve">None of our directors or executive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during the quarter ended </w:t>
      </w:r>
      <w:r>
        <w:rPr>
          <w:rStyle w:val="Emphasis"/>
          <w:rFonts w:ascii="Times New Roman" w:hAnsi="Times New Roman"/>
          <w:caps w:val="false"/>
          <w:smallCaps w:val="false"/>
          <w:sz w:val="20"/>
        </w:rPr>
        <w:t xml:space="preserve">September 30, 2025, </w:t>
      </w:r>
      <w:r>
        <w:rPr>
          <w:rFonts w:ascii="Times New Roman" w:hAnsi="Times New Roman"/>
          <w:caps w:val="false"/>
          <w:smallCaps w:val="false"/>
          <w:sz w:val="20"/>
        </w:rPr>
        <w:t xml:space="preserve">as such terms are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(a) of Regulation S-K. Additionally,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 or terminate a Rule </w:t>
      </w:r>
      <w:r>
        <w:rPr>
          <w:rStyle w:val="Emphasis"/>
          <w:rFonts w:ascii="Times New Roman" w:hAnsi="Times New Roman"/>
          <w:caps w:val="false"/>
          <w:smallCaps w:val="false"/>
          <w:sz w:val="20"/>
        </w:rPr>
        <w:t>10b5–1</w:t>
      </w:r>
      <w:r>
        <w:rPr>
          <w:rFonts w:ascii="Times New Roman" w:hAnsi="Times New Roman"/>
          <w:caps w:val="false"/>
          <w:smallCaps w:val="false"/>
          <w:sz w:val="20"/>
        </w:rPr>
        <w:t xml:space="preserve"> trading arrangement during the quarter ended </w:t>
      </w:r>
      <w:r>
        <w:rPr>
          <w:rStyle w:val="Emphasis"/>
          <w:rFonts w:ascii="Times New Roman" w:hAnsi="Times New Roman"/>
          <w:caps w:val="false"/>
          <w:smallCaps w:val="false"/>
          <w:sz w:val="20"/>
        </w:rPr>
        <w:t>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83383.htm">
              <w:r>
                <w:rPr>
                  <w:rStyle w:val="InternetLink"/>
                  <w:rFonts w:ascii="Times New Roman" w:hAnsi="Times New Roman"/>
                  <w:caps w:val="false"/>
                  <w:smallCaps w:val="false"/>
                  <w:sz w:val="20"/>
                  <w:u w:val="single"/>
                </w:rPr>
                <w:t>Certification of Principal Executive Officer pursuant to Section 302 of the Sarbanes-Oxley Act of 2002.</w:t>
              </w:r>
            </w:hyperlink>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83384.htm">
              <w:r>
                <w:rPr>
                  <w:rStyle w:val="InternetLink"/>
                  <w:rFonts w:ascii="Times New Roman" w:hAnsi="Times New Roman"/>
                  <w:caps w:val="false"/>
                  <w:smallCaps w:val="false"/>
                  <w:sz w:val="20"/>
                  <w:u w:val="single"/>
                </w:rPr>
                <w:t>Certification of Principal Financial Officer pursuant to Section 302 of the Sarbanes-Oxley Act of 2002.</w:t>
              </w:r>
            </w:hyperlink>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83385.htm">
              <w:r>
                <w:rPr>
                  <w:rStyle w:val="InternetLink"/>
                  <w:rFonts w:ascii="Times New Roman" w:hAnsi="Times New Roman"/>
                  <w:caps w:val="false"/>
                  <w:smallCaps w:val="false"/>
                  <w:sz w:val="20"/>
                  <w:u w:val="single"/>
                </w:rPr>
                <w:t>Certification of Principal Executive Officer pursuant to Section 906 of the Sarbanes-Oxley Act of 2002.</w:t>
              </w:r>
            </w:hyperlink>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pPr>
            <w:hyperlink w:anchor="ex_883386.htm">
              <w:r>
                <w:rPr>
                  <w:rStyle w:val="InternetLink"/>
                  <w:rFonts w:ascii="Times New Roman" w:hAnsi="Times New Roman"/>
                  <w:caps w:val="false"/>
                  <w:smallCaps w:val="false"/>
                  <w:sz w:val="20"/>
                  <w:u w:val="single"/>
                </w:rPr>
                <w:t>Certification of Principal Financial Officer pursuant to Section 906 of the Sarbanes-Oxley Act of 2002.</w:t>
              </w:r>
            </w:hyperlink>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Interactive data files pursuant to Rule 405 of Regulation S-T formatted in Inline XBRL: (i) Condensed Consolidated Balance Sheets; (ii) Unaudited Condensed Consolidated Statements of Operations; (iii) Unaudited Condensed Consolidated Statements of Changes in Stockholders' Equity (Deficit); (iv) Unaudited Condensed Consolidated Statements of Cash Flows; and (v) Notes to Unaudited Financial Statements.</w:t>
            </w:r>
          </w:p>
        </w:tc>
      </w:tr>
      <w:tr>
        <w:trPr/>
        <w:tc>
          <w:tcPr>
            <w:tcW w:w="710" w:type="dxa"/>
            <w:tcBorders/>
            <w:tcMar>
              <w:bottom w:w="0" w:type="dxa"/>
            </w:tcMar>
            <w:vAlign w:val="center"/>
          </w:tcPr>
          <w:p>
            <w:pPr>
              <w:pStyle w:val="TableContents"/>
              <w:bidi w:val="0"/>
              <w:spacing w:before="0" w:after="0"/>
              <w:ind w:left="180" w:right="0" w:hanging="16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in iXBRL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r>
        <w:trPr/>
        <w:tc>
          <w:tcPr>
            <w:tcW w:w="1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2105"/>
        <w:gridCol w:w="320"/>
        <w:gridCol w:w="3755"/>
      </w:tblGrid>
      <w:tr>
        <w:trPr/>
        <w:tc>
          <w:tcPr>
            <w:tcW w:w="2105"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NRX PHARMACEUTICALS, INC.</w:t>
            </w:r>
          </w:p>
        </w:tc>
      </w:tr>
      <w:tr>
        <w:trPr/>
        <w:tc>
          <w:tcPr>
            <w:tcW w:w="2105"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7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Interim Chief Executive Officer</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65 </w:t>
      </w:r>
    </w:p>
    <w:p>
      <w:pPr>
        <w:pStyle w:val="TextBody"/>
        <w:bidi w:val="0"/>
        <w:spacing w:before="0" w:after="0"/>
        <w:ind w:left="0" w:right="0" w:hanging="0"/>
        <w:jc w:val="left"/>
        <w:rPr>
          <w:caps w:val="false"/>
          <w:smallCaps w:val="false"/>
        </w:rPr>
      </w:pPr>
      <w:bookmarkStart w:id="3" w:name="ex_883383.htm"/>
      <w:bookmarkStart w:id="4" w:name="ksex_883383"/>
      <w:bookmarkEnd w:id="3"/>
      <w:bookmarkEnd w:id="4"/>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13a-14(a) AND 15d-14(a),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Jonathan Javitt, Interim Chief Executive Officer of NRx Pharmaceuticals, Inc.,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NRx Pharmaceuticals, Inc. (the “Registrant”);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105"/>
        <w:gridCol w:w="3755"/>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37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21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r>
      <w:tr>
        <w:trPr/>
        <w:tc>
          <w:tcPr>
            <w:tcW w:w="21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Interim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883384.htm"/>
      <w:bookmarkStart w:id="6" w:name="ksex_883384"/>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ACTING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13a-14(a) AND 15d-14(a),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Abrams, Chief Financial Officer of NRx Pharmaceuticals, Inc.,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NRx Pharmaceuticals, Inc. (the “Registrant”);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Quarterly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2105"/>
        <w:gridCol w:w="4190"/>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41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Abrams</w:t>
            </w:r>
          </w:p>
        </w:tc>
      </w:tr>
      <w:tr>
        <w:trPr/>
        <w:tc>
          <w:tcPr>
            <w:tcW w:w="210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Abrams</w:t>
            </w:r>
          </w:p>
        </w:tc>
      </w:tr>
      <w:tr>
        <w:trPr/>
        <w:tc>
          <w:tcPr>
            <w:tcW w:w="210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7" w:name="ex_883385.htm"/>
      <w:bookmarkStart w:id="8" w:name="ksex_883385"/>
      <w:bookmarkEnd w:id="7"/>
      <w:bookmarkEnd w:id="8"/>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CHIEF EXECUTIVE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filing of the Quarterly Report on Form 10-Q for the period ended September 30, 2025 (the “Report”) by NRx Pharmaceuticals, Inc. (the “Registrant”), I, Jonathan Javitt, as Interim Chief Executive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Section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105"/>
        <w:gridCol w:w="3755"/>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37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Jonathan Javitt</w:t>
            </w:r>
          </w:p>
        </w:tc>
      </w:tr>
      <w:tr>
        <w:trPr/>
        <w:tc>
          <w:tcPr>
            <w:tcW w:w="21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r>
      <w:tr>
        <w:trPr/>
        <w:tc>
          <w:tcPr>
            <w:tcW w:w="21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Interim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9" w:name="ex_883386.htm"/>
      <w:bookmarkStart w:id="10" w:name="ksex_883386"/>
      <w:bookmarkEnd w:id="9"/>
      <w:bookmarkEnd w:id="10"/>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THE ACTING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filing of the Quarterly Report on Form 10-Q for the period ended September 30, 2025 (the “Report”) by NRx Pharmaceuticals, Inc. (the “Registrant”), I, Michael Abrams, as Chief Financial Officer of the Registrant hereby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4"/>
        <w:gridCol w:w="9981"/>
      </w:tblGrid>
      <w:tr>
        <w:trPr/>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Section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Registrant.</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2105"/>
        <w:gridCol w:w="4190"/>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41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Abrams</w:t>
            </w:r>
          </w:p>
        </w:tc>
      </w:tr>
      <w:tr>
        <w:trPr/>
        <w:tc>
          <w:tcPr>
            <w:tcW w:w="210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Abrams</w:t>
            </w:r>
          </w:p>
        </w:tc>
      </w:tr>
      <w:tr>
        <w:trPr/>
        <w:tc>
          <w:tcPr>
            <w:tcW w:w="210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41170</Words>
  <Characters>227205</Characters>
  <CharactersWithSpaces>271300</CharactersWithSpaces>
  <Paragraphs>9210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