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ind w:left="0" w:right="0" w:hanging="0"/>
        <w:jc w:val="center"/>
        <w:rPr/>
      </w:pPr>
      <w:r>
        <w:rPr/>
        <w:t> </w:t>
      </w:r>
      <w:r>
        <w:rPr>
          <w:rFonts w:ascii="Times New Roman" w:hAnsi="Times New Roman"/>
          <w:b/>
          <w:sz w:val="15"/>
        </w:rPr>
        <w:t>UNITED STATES</w:t>
      </w:r>
    </w:p>
    <w:p>
      <w:pPr>
        <w:pStyle w:val="TextBody"/>
        <w:spacing w:before="0" w:after="0"/>
        <w:ind w:left="0" w:right="0" w:hanging="0"/>
        <w:jc w:val="center"/>
        <w:rPr>
          <w:rFonts w:ascii="Times New Roman" w:hAnsi="Times New Roman"/>
          <w:b/>
          <w:sz w:val="15"/>
        </w:rPr>
      </w:pPr>
      <w:r>
        <w:rPr>
          <w:rFonts w:ascii="Times New Roman" w:hAnsi="Times New Roman"/>
          <w:b/>
          <w:sz w:val="15"/>
        </w:rPr>
        <w:t>SECURITIES AND EXCHANGE COMMISSION</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Washington, D.C. 20549</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FORM 10-Q</w:t>
      </w:r>
    </w:p>
    <w:p>
      <w:pPr>
        <w:pStyle w:val="TextBody"/>
        <w:spacing w:before="0" w:after="0"/>
        <w:ind w:left="0" w:right="0" w:firstLine="720"/>
        <w:jc w:val="center"/>
        <w:rPr/>
      </w:pPr>
      <w:r>
        <w:rPr/>
        <w:t> </w:t>
      </w:r>
    </w:p>
    <w:tbl>
      <w:tblPr>
        <w:tblW w:w="8095" w:type="dxa"/>
        <w:jc w:val="left"/>
        <w:tblInd w:w="0" w:type="dxa"/>
        <w:tblCellMar>
          <w:top w:w="0" w:type="dxa"/>
          <w:left w:w="0" w:type="dxa"/>
          <w:bottom w:w="0" w:type="dxa"/>
          <w:right w:w="0" w:type="dxa"/>
        </w:tblCellMar>
      </w:tblPr>
      <w:tblGrid>
        <w:gridCol w:w="245"/>
        <w:gridCol w:w="7850"/>
      </w:tblGrid>
      <w:tr>
        <w:trPr/>
        <w:tc>
          <w:tcPr>
            <w:tcW w:w="245" w:type="dxa"/>
            <w:tcBorders/>
            <w:shd w:fill="auto" w:val="clear"/>
            <w:vAlign w:val="center"/>
          </w:tcPr>
          <w:p>
            <w:pPr>
              <w:pStyle w:val="TableContents"/>
              <w:spacing w:before="0" w:after="0"/>
              <w:ind w:left="0" w:right="0" w:hanging="0"/>
              <w:jc w:val="left"/>
              <w:rPr/>
            </w:pPr>
            <w:r>
              <w:rPr/>
              <w:t>☒</w:t>
            </w:r>
          </w:p>
        </w:tc>
        <w:tc>
          <w:tcPr>
            <w:tcW w:w="7850" w:type="dxa"/>
            <w:tcBorders/>
            <w:shd w:fill="auto" w:val="clear"/>
            <w:vAlign w:val="center"/>
          </w:tcPr>
          <w:p>
            <w:pPr>
              <w:pStyle w:val="TableContents"/>
              <w:spacing w:before="0" w:after="0"/>
              <w:ind w:left="0" w:right="0" w:hanging="0"/>
              <w:jc w:val="both"/>
              <w:rPr>
                <w:rFonts w:ascii="Times New Roman" w:hAnsi="Times New Roman"/>
                <w:b/>
                <w:sz w:val="15"/>
              </w:rPr>
            </w:pPr>
            <w:r>
              <w:rPr>
                <w:rFonts w:ascii="Times New Roman" w:hAnsi="Times New Roman"/>
                <w:b/>
                <w:sz w:val="15"/>
              </w:rPr>
              <w:t>QUARTERLY REPORT PURSUANT TO SECTION 13 OR 15(d) OF THE SECURITIES EXCHANGE ACT OF 1934</w:t>
            </w:r>
          </w:p>
        </w:tc>
      </w:tr>
    </w:tbl>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For the quarterly period ended June 30, 2019</w:t>
      </w:r>
    </w:p>
    <w:p>
      <w:pPr>
        <w:pStyle w:val="TextBody"/>
        <w:spacing w:before="0" w:after="0"/>
        <w:ind w:left="0" w:right="0" w:firstLine="720"/>
        <w:jc w:val="center"/>
        <w:rPr/>
      </w:pPr>
      <w:r>
        <w:rPr/>
        <w:t> </w:t>
      </w:r>
    </w:p>
    <w:p>
      <w:pPr>
        <w:pStyle w:val="TextBody"/>
        <w:spacing w:before="0" w:after="0"/>
        <w:ind w:left="0" w:right="0" w:firstLine="720"/>
        <w:jc w:val="center"/>
        <w:rPr>
          <w:rFonts w:ascii="Times New Roman" w:hAnsi="Times New Roman"/>
          <w:sz w:val="15"/>
        </w:rPr>
      </w:pPr>
      <w:r>
        <w:rPr>
          <w:rFonts w:ascii="Times New Roman" w:hAnsi="Times New Roman"/>
          <w:sz w:val="15"/>
        </w:rPr>
        <w:t>or</w:t>
      </w:r>
    </w:p>
    <w:p>
      <w:pPr>
        <w:pStyle w:val="TextBody"/>
        <w:spacing w:before="0" w:after="0"/>
        <w:ind w:left="0" w:right="0" w:firstLine="720"/>
        <w:jc w:val="center"/>
        <w:rPr>
          <w:rFonts w:ascii="Times New Roman" w:hAnsi="Times New Roman"/>
          <w:sz w:val="15"/>
        </w:rPr>
      </w:pPr>
      <w:r>
        <w:rPr>
          <w:rFonts w:ascii="Times New Roman" w:hAnsi="Times New Roman"/>
          <w:sz w:val="15"/>
        </w:rPr>
      </w:r>
    </w:p>
    <w:tbl>
      <w:tblPr>
        <w:tblW w:w="8095" w:type="dxa"/>
        <w:jc w:val="left"/>
        <w:tblInd w:w="0" w:type="dxa"/>
        <w:tblCellMar>
          <w:top w:w="0" w:type="dxa"/>
          <w:left w:w="0" w:type="dxa"/>
          <w:bottom w:w="0" w:type="dxa"/>
          <w:right w:w="0" w:type="dxa"/>
        </w:tblCellMar>
      </w:tblPr>
      <w:tblGrid>
        <w:gridCol w:w="245"/>
        <w:gridCol w:w="7850"/>
      </w:tblGrid>
      <w:tr>
        <w:trPr/>
        <w:tc>
          <w:tcPr>
            <w:tcW w:w="245" w:type="dxa"/>
            <w:tcBorders/>
            <w:shd w:fill="auto" w:val="clear"/>
            <w:vAlign w:val="center"/>
          </w:tcPr>
          <w:p>
            <w:pPr>
              <w:pStyle w:val="TableContents"/>
              <w:spacing w:before="0" w:after="0"/>
              <w:ind w:left="0" w:right="0" w:hanging="0"/>
              <w:jc w:val="left"/>
              <w:rPr/>
            </w:pPr>
            <w:r>
              <w:rPr/>
              <w:t>☐</w:t>
            </w:r>
          </w:p>
        </w:tc>
        <w:tc>
          <w:tcPr>
            <w:tcW w:w="7850" w:type="dxa"/>
            <w:tcBorders/>
            <w:shd w:fill="auto" w:val="clear"/>
            <w:vAlign w:val="center"/>
          </w:tcPr>
          <w:p>
            <w:pPr>
              <w:pStyle w:val="TableContents"/>
              <w:spacing w:before="0" w:after="0"/>
              <w:ind w:left="0" w:right="0" w:hanging="0"/>
              <w:jc w:val="both"/>
              <w:rPr>
                <w:rFonts w:ascii="Times New Roman" w:hAnsi="Times New Roman"/>
                <w:b/>
                <w:sz w:val="15"/>
              </w:rPr>
            </w:pPr>
            <w:r>
              <w:rPr>
                <w:rFonts w:ascii="Times New Roman" w:hAnsi="Times New Roman"/>
                <w:b/>
                <w:sz w:val="15"/>
              </w:rPr>
              <w:t>TRANSITION REPORT PURSUANT TO SECTION 13 OR 15(d) OF THE SECURITIES EXCHANGE ACT OF 1934</w:t>
            </w:r>
          </w:p>
        </w:tc>
      </w:tr>
    </w:tbl>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For the transition period from  __________ to __________</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 xml:space="preserve">Commission File Number:  </w:t>
      </w:r>
      <w:r>
        <w:rPr>
          <w:rFonts w:ascii="Times New Roman" w:hAnsi="Times New Roman"/>
          <w:b/>
          <w:sz w:val="15"/>
        </w:rPr>
        <w:t>001-38302</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sz w:val="15"/>
        </w:rPr>
      </w:pPr>
      <w:r>
        <w:rPr>
          <w:rFonts w:ascii="Times New Roman" w:hAnsi="Times New Roman"/>
          <w:sz w:val="15"/>
        </w:rPr>
        <w:t>(Exact name of registrant as specified in its charter)</w:t>
      </w:r>
    </w:p>
    <w:p>
      <w:pPr>
        <w:pStyle w:val="TextBody"/>
        <w:spacing w:before="0" w:after="0"/>
        <w:ind w:left="0" w:right="0" w:firstLine="720"/>
        <w:jc w:val="center"/>
        <w:rPr/>
      </w:pPr>
      <w:r>
        <w:rPr/>
        <w:t> </w:t>
      </w:r>
    </w:p>
    <w:tbl>
      <w:tblPr>
        <w:tblW w:w="3220" w:type="dxa"/>
        <w:jc w:val="left"/>
        <w:tblInd w:w="0" w:type="dxa"/>
        <w:tblCellMar>
          <w:top w:w="0" w:type="dxa"/>
          <w:left w:w="0" w:type="dxa"/>
          <w:bottom w:w="0" w:type="dxa"/>
          <w:right w:w="0" w:type="dxa"/>
        </w:tblCellMar>
      </w:tblPr>
      <w:tblGrid>
        <w:gridCol w:w="1820"/>
        <w:gridCol w:w="1400"/>
      </w:tblGrid>
      <w:tr>
        <w:trPr/>
        <w:tc>
          <w:tcPr>
            <w:tcW w:w="1820"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Delaware</w:t>
            </w:r>
          </w:p>
        </w:tc>
        <w:tc>
          <w:tcPr>
            <w:tcW w:w="1400"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82-2844431</w:t>
            </w:r>
          </w:p>
        </w:tc>
      </w:tr>
      <w:tr>
        <w:trPr/>
        <w:tc>
          <w:tcPr>
            <w:tcW w:w="182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(State or other jurisdiction of</w:t>
            </w:r>
          </w:p>
          <w:p>
            <w:pPr>
              <w:pStyle w:val="TableContents"/>
              <w:spacing w:before="0" w:after="0"/>
              <w:ind w:left="0" w:right="0" w:hanging="0"/>
              <w:jc w:val="center"/>
              <w:rPr>
                <w:rFonts w:ascii="Times New Roman" w:hAnsi="Times New Roman"/>
                <w:sz w:val="15"/>
              </w:rPr>
            </w:pPr>
            <w:r>
              <w:rPr>
                <w:rFonts w:ascii="Times New Roman" w:hAnsi="Times New Roman"/>
                <w:sz w:val="15"/>
              </w:rPr>
              <w:t>incorporation or organization)</w:t>
            </w:r>
          </w:p>
        </w:tc>
        <w:tc>
          <w:tcPr>
            <w:tcW w:w="140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(I.R.S. Employer</w:t>
            </w:r>
          </w:p>
          <w:p>
            <w:pPr>
              <w:pStyle w:val="TableContents"/>
              <w:spacing w:before="0" w:after="0"/>
              <w:ind w:left="0" w:right="0" w:hanging="0"/>
              <w:jc w:val="center"/>
              <w:rPr>
                <w:rFonts w:ascii="Times New Roman" w:hAnsi="Times New Roman"/>
                <w:sz w:val="15"/>
              </w:rPr>
            </w:pPr>
            <w:r>
              <w:rPr>
                <w:rFonts w:ascii="Times New Roman" w:hAnsi="Times New Roman"/>
                <w:sz w:val="15"/>
              </w:rPr>
              <w:t>Identification Number)</w:t>
            </w:r>
          </w:p>
        </w:tc>
      </w:tr>
    </w:tbl>
    <w:p>
      <w:pPr>
        <w:pStyle w:val="TextBody"/>
        <w:spacing w:before="0" w:after="0"/>
        <w:ind w:left="0" w:right="0" w:firstLine="720"/>
        <w:jc w:val="left"/>
        <w:rPr/>
      </w:pPr>
      <w:r>
        <w:rPr/>
        <w:t> </w:t>
      </w:r>
    </w:p>
    <w:tbl>
      <w:tblPr>
        <w:tblW w:w="3070" w:type="dxa"/>
        <w:jc w:val="left"/>
        <w:tblInd w:w="0" w:type="dxa"/>
        <w:tblCellMar>
          <w:top w:w="0" w:type="dxa"/>
          <w:left w:w="0" w:type="dxa"/>
          <w:bottom w:w="0" w:type="dxa"/>
          <w:right w:w="0" w:type="dxa"/>
        </w:tblCellMar>
      </w:tblPr>
      <w:tblGrid>
        <w:gridCol w:w="2375"/>
        <w:gridCol w:w="695"/>
      </w:tblGrid>
      <w:tr>
        <w:trPr/>
        <w:tc>
          <w:tcPr>
            <w:tcW w:w="2375"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2645 N. Federal Highway, Suite 230</w:t>
            </w:r>
          </w:p>
          <w:p>
            <w:pPr>
              <w:pStyle w:val="TableContents"/>
              <w:spacing w:before="0" w:after="0"/>
              <w:ind w:left="0" w:right="0" w:hanging="0"/>
              <w:jc w:val="center"/>
              <w:rPr>
                <w:rFonts w:ascii="Times New Roman" w:hAnsi="Times New Roman"/>
                <w:b/>
                <w:sz w:val="15"/>
              </w:rPr>
            </w:pPr>
            <w:r>
              <w:rPr>
                <w:rFonts w:ascii="Times New Roman" w:hAnsi="Times New Roman"/>
                <w:b/>
                <w:sz w:val="15"/>
              </w:rPr>
              <w:t>Delray Beach, FL</w:t>
            </w:r>
          </w:p>
        </w:tc>
        <w:tc>
          <w:tcPr>
            <w:tcW w:w="695"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33483</w:t>
            </w:r>
          </w:p>
        </w:tc>
      </w:tr>
      <w:tr>
        <w:trPr/>
        <w:tc>
          <w:tcPr>
            <w:tcW w:w="237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(Address of principal executive offices)</w:t>
            </w:r>
          </w:p>
        </w:tc>
        <w:tc>
          <w:tcPr>
            <w:tcW w:w="69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(Zip Code)</w:t>
            </w:r>
          </w:p>
        </w:tc>
      </w:tr>
    </w:tbl>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 xml:space="preserve">Registrant’s telephone number, including area code:   </w:t>
      </w:r>
      <w:r>
        <w:rPr>
          <w:rFonts w:ascii="Times New Roman" w:hAnsi="Times New Roman"/>
          <w:b/>
          <w:sz w:val="15"/>
        </w:rPr>
        <w:t>(310) 734-2300</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N/A </w:t>
      </w:r>
    </w:p>
    <w:p>
      <w:pPr>
        <w:pStyle w:val="TextBody"/>
        <w:spacing w:before="0" w:after="0"/>
        <w:ind w:left="0" w:right="0" w:hanging="0"/>
        <w:jc w:val="center"/>
        <w:rPr>
          <w:rFonts w:ascii="Times New Roman" w:hAnsi="Times New Roman"/>
          <w:sz w:val="15"/>
        </w:rPr>
      </w:pPr>
      <w:r>
        <w:rPr>
          <w:rFonts w:ascii="Times New Roman" w:hAnsi="Times New Roman"/>
          <w:sz w:val="15"/>
        </w:rPr>
        <w:t>(Former name, former address and former fiscal year if changed since last report)</w:t>
      </w:r>
    </w:p>
    <w:p>
      <w:pPr>
        <w:pStyle w:val="TextBody"/>
        <w:spacing w:before="0" w:after="0"/>
        <w:ind w:left="0" w:right="0" w:hanging="0"/>
        <w:jc w:val="left"/>
        <w:rPr/>
      </w:pPr>
      <w:r>
        <w:rPr/>
        <w:t> </w:t>
      </w:r>
    </w:p>
    <w:p>
      <w:pPr>
        <w:pStyle w:val="TextBody"/>
        <w:spacing w:before="0" w:after="0"/>
        <w:ind w:left="0" w:right="0" w:hanging="0"/>
        <w:jc w:val="left"/>
        <w:rPr/>
      </w:pPr>
      <w:r>
        <w:rPr/>
        <w:t> </w:t>
      </w:r>
      <w:r>
        <w:rPr>
          <w:rFonts w:ascii="Times New Roman" w:hAnsi="Times New Roman"/>
          <w:sz w:val="15"/>
          <w:u w:val="single"/>
        </w:rPr>
        <w:t>Securities registered pursuant to section 12(b) of the Act:</w:t>
      </w:r>
    </w:p>
    <w:p>
      <w:pPr>
        <w:pStyle w:val="TextBody"/>
        <w:spacing w:before="0" w:after="0"/>
        <w:ind w:left="0" w:right="0" w:firstLine="720"/>
        <w:jc w:val="center"/>
        <w:rPr/>
      </w:pPr>
      <w:r>
        <w:rPr/>
        <w:t> </w:t>
      </w:r>
    </w:p>
    <w:tbl>
      <w:tblPr>
        <w:tblW w:w="9735" w:type="dxa"/>
        <w:jc w:val="left"/>
        <w:tblInd w:w="0" w:type="dxa"/>
        <w:tblCellMar>
          <w:top w:w="0" w:type="dxa"/>
          <w:left w:w="0" w:type="dxa"/>
          <w:bottom w:w="28" w:type="dxa"/>
          <w:right w:w="0" w:type="dxa"/>
        </w:tblCellMar>
      </w:tblPr>
      <w:tblGrid>
        <w:gridCol w:w="6260"/>
        <w:gridCol w:w="60"/>
        <w:gridCol w:w="1250"/>
        <w:gridCol w:w="60"/>
        <w:gridCol w:w="2105"/>
      </w:tblGrid>
      <w:tr>
        <w:trPr/>
        <w:tc>
          <w:tcPr>
            <w:tcW w:w="626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Title of each class</w:t>
            </w:r>
          </w:p>
        </w:tc>
        <w:tc>
          <w:tcPr>
            <w:tcW w:w="60" w:type="dxa"/>
            <w:tcBorders/>
            <w:shd w:fill="auto" w:val="clear"/>
            <w:tcMar>
              <w:bottom w:w="0" w:type="dxa"/>
            </w:tcMar>
            <w:vAlign w:val="center"/>
          </w:tcPr>
          <w:p>
            <w:pPr>
              <w:pStyle w:val="TableContents"/>
              <w:spacing w:before="0" w:after="0"/>
              <w:rPr/>
            </w:pPr>
            <w:r>
              <w:rPr/>
              <w:t> </w:t>
            </w:r>
          </w:p>
        </w:tc>
        <w:tc>
          <w:tcPr>
            <w:tcW w:w="1250"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Trading Symbol(s)</w:t>
            </w:r>
          </w:p>
        </w:tc>
        <w:tc>
          <w:tcPr>
            <w:tcW w:w="60" w:type="dxa"/>
            <w:tcBorders/>
            <w:shd w:fill="auto" w:val="clear"/>
            <w:tcMar>
              <w:bottom w:w="0" w:type="dxa"/>
            </w:tcMar>
            <w:vAlign w:val="center"/>
          </w:tcPr>
          <w:p>
            <w:pPr>
              <w:pStyle w:val="TableContents"/>
              <w:spacing w:before="0" w:after="0"/>
              <w:rPr/>
            </w:pPr>
            <w:r>
              <w:rPr/>
              <w:t> </w:t>
            </w:r>
          </w:p>
        </w:tc>
        <w:tc>
          <w:tcPr>
            <w:tcW w:w="2105"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Name of each exchange on</w:t>
            </w:r>
          </w:p>
          <w:p>
            <w:pPr>
              <w:pStyle w:val="TableContents"/>
              <w:spacing w:before="0" w:after="0"/>
              <w:ind w:left="0" w:right="0" w:hanging="0"/>
              <w:jc w:val="center"/>
              <w:rPr>
                <w:rFonts w:ascii="Times New Roman" w:hAnsi="Times New Roman"/>
                <w:b/>
                <w:sz w:val="15"/>
              </w:rPr>
            </w:pPr>
            <w:r>
              <w:rPr>
                <w:rFonts w:ascii="Times New Roman" w:hAnsi="Times New Roman"/>
                <w:b/>
                <w:sz w:val="15"/>
              </w:rPr>
              <w:t>which registered</w:t>
            </w:r>
          </w:p>
        </w:tc>
      </w:tr>
      <w:tr>
        <w:trPr/>
        <w:tc>
          <w:tcPr>
            <w:tcW w:w="6260"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Units, each consisting of one share of Common Stock, one Right and one-half of one Warrant</w:t>
            </w:r>
          </w:p>
        </w:tc>
        <w:tc>
          <w:tcPr>
            <w:tcW w:w="60" w:type="dxa"/>
            <w:tcBorders/>
            <w:shd w:fill="CCEEFF" w:val="clear"/>
            <w:tcMar>
              <w:bottom w:w="0" w:type="dxa"/>
            </w:tcMar>
            <w:vAlign w:val="center"/>
          </w:tcPr>
          <w:p>
            <w:pPr>
              <w:pStyle w:val="TableContents"/>
              <w:spacing w:before="0" w:after="0"/>
              <w:rPr/>
            </w:pPr>
            <w:r>
              <w:rPr/>
              <w:t> </w:t>
            </w:r>
          </w:p>
        </w:tc>
        <w:tc>
          <w:tcPr>
            <w:tcW w:w="1250"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BRPAU</w:t>
            </w:r>
          </w:p>
        </w:tc>
        <w:tc>
          <w:tcPr>
            <w:tcW w:w="60" w:type="dxa"/>
            <w:tcBorders/>
            <w:shd w:fill="CCEEFF" w:val="clear"/>
            <w:tcMar>
              <w:bottom w:w="0" w:type="dxa"/>
            </w:tcMar>
            <w:vAlign w:val="center"/>
          </w:tcPr>
          <w:p>
            <w:pPr>
              <w:pStyle w:val="TableContents"/>
              <w:spacing w:before="0" w:after="0"/>
              <w:rPr/>
            </w:pPr>
            <w:r>
              <w:rPr/>
              <w:t> </w:t>
            </w:r>
          </w:p>
        </w:tc>
        <w:tc>
          <w:tcPr>
            <w:tcW w:w="2105"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The NASDAQ Stock Market LLC</w:t>
            </w:r>
          </w:p>
        </w:tc>
      </w:tr>
      <w:tr>
        <w:trPr/>
        <w:tc>
          <w:tcPr>
            <w:tcW w:w="626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Common Stock, par value $0.001 per share</w:t>
            </w:r>
          </w:p>
        </w:tc>
        <w:tc>
          <w:tcPr>
            <w:tcW w:w="60" w:type="dxa"/>
            <w:tcBorders/>
            <w:shd w:fill="auto" w:val="clear"/>
            <w:tcMar>
              <w:bottom w:w="0" w:type="dxa"/>
            </w:tcMar>
            <w:vAlign w:val="center"/>
          </w:tcPr>
          <w:p>
            <w:pPr>
              <w:pStyle w:val="TableContents"/>
              <w:spacing w:before="0" w:after="0"/>
              <w:rPr/>
            </w:pPr>
            <w:r>
              <w:rPr/>
              <w:t> </w:t>
            </w:r>
          </w:p>
        </w:tc>
        <w:tc>
          <w:tcPr>
            <w:tcW w:w="125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BRPA</w:t>
            </w:r>
          </w:p>
        </w:tc>
        <w:tc>
          <w:tcPr>
            <w:tcW w:w="60" w:type="dxa"/>
            <w:tcBorders/>
            <w:shd w:fill="auto" w:val="clear"/>
            <w:tcMar>
              <w:bottom w:w="0" w:type="dxa"/>
            </w:tcMar>
            <w:vAlign w:val="center"/>
          </w:tcPr>
          <w:p>
            <w:pPr>
              <w:pStyle w:val="TableContents"/>
              <w:spacing w:before="0" w:after="0"/>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The NASDAQ Stock Market LLC</w:t>
            </w:r>
          </w:p>
        </w:tc>
      </w:tr>
      <w:tr>
        <w:trPr/>
        <w:tc>
          <w:tcPr>
            <w:tcW w:w="6260"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Rights, exchangeable into one-tenth of one share of Common Stock</w:t>
            </w:r>
          </w:p>
        </w:tc>
        <w:tc>
          <w:tcPr>
            <w:tcW w:w="60" w:type="dxa"/>
            <w:tcBorders/>
            <w:shd w:fill="CCEEFF" w:val="clear"/>
            <w:tcMar>
              <w:bottom w:w="0" w:type="dxa"/>
            </w:tcMar>
            <w:vAlign w:val="center"/>
          </w:tcPr>
          <w:p>
            <w:pPr>
              <w:pStyle w:val="TableContents"/>
              <w:spacing w:before="0" w:after="0"/>
              <w:rPr/>
            </w:pPr>
            <w:r>
              <w:rPr/>
              <w:t> </w:t>
            </w:r>
          </w:p>
        </w:tc>
        <w:tc>
          <w:tcPr>
            <w:tcW w:w="1250"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BRPAR</w:t>
            </w:r>
          </w:p>
        </w:tc>
        <w:tc>
          <w:tcPr>
            <w:tcW w:w="60" w:type="dxa"/>
            <w:tcBorders/>
            <w:shd w:fill="CCEEFF" w:val="clear"/>
            <w:tcMar>
              <w:bottom w:w="0" w:type="dxa"/>
            </w:tcMar>
            <w:vAlign w:val="center"/>
          </w:tcPr>
          <w:p>
            <w:pPr>
              <w:pStyle w:val="TableContents"/>
              <w:spacing w:before="0" w:after="0"/>
              <w:rPr/>
            </w:pPr>
            <w:r>
              <w:rPr/>
              <w:t> </w:t>
            </w:r>
          </w:p>
        </w:tc>
        <w:tc>
          <w:tcPr>
            <w:tcW w:w="2105" w:type="dxa"/>
            <w:tcBorders/>
            <w:shd w:fill="CCEEFF"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The NASDAQ Stock Market LLC</w:t>
            </w:r>
          </w:p>
        </w:tc>
      </w:tr>
      <w:tr>
        <w:trPr/>
        <w:tc>
          <w:tcPr>
            <w:tcW w:w="626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Warrants, each whole warrant exercisable for one share of Common Stock at an exercise price of $11.50</w:t>
            </w:r>
          </w:p>
        </w:tc>
        <w:tc>
          <w:tcPr>
            <w:tcW w:w="60" w:type="dxa"/>
            <w:tcBorders/>
            <w:shd w:fill="auto" w:val="clear"/>
            <w:tcMar>
              <w:bottom w:w="0" w:type="dxa"/>
            </w:tcMar>
            <w:vAlign w:val="center"/>
          </w:tcPr>
          <w:p>
            <w:pPr>
              <w:pStyle w:val="TableContents"/>
              <w:spacing w:before="0" w:after="0"/>
              <w:rPr/>
            </w:pPr>
            <w:r>
              <w:rPr/>
              <w:t> </w:t>
            </w:r>
          </w:p>
        </w:tc>
        <w:tc>
          <w:tcPr>
            <w:tcW w:w="1250"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BRPAW</w:t>
            </w:r>
          </w:p>
        </w:tc>
        <w:tc>
          <w:tcPr>
            <w:tcW w:w="60" w:type="dxa"/>
            <w:tcBorders/>
            <w:shd w:fill="auto" w:val="clear"/>
            <w:tcMar>
              <w:bottom w:w="0" w:type="dxa"/>
            </w:tcMar>
            <w:vAlign w:val="center"/>
          </w:tcPr>
          <w:p>
            <w:pPr>
              <w:pStyle w:val="TableContents"/>
              <w:spacing w:before="0" w:after="0"/>
              <w:rPr/>
            </w:pPr>
            <w:r>
              <w:rPr/>
              <w:t> </w:t>
            </w:r>
          </w:p>
        </w:tc>
        <w:tc>
          <w:tcPr>
            <w:tcW w:w="2105" w:type="dxa"/>
            <w:tcBorders/>
            <w:shd w:fill="auto" w:val="clear"/>
            <w:tcMar>
              <w:bottom w:w="0" w:type="dxa"/>
            </w:tcM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The NASDAQ Stock Market LLC</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firstLine="720"/>
        <w:jc w:val="left"/>
        <w:rPr/>
      </w:pPr>
      <w:r>
        <w:rPr/>
        <w:t> </w:t>
      </w:r>
      <w:bookmarkStart w:id="0" w:name="FIS_UNIDENTIFIED_TABLE_2"/>
      <w:bookmarkEnd w:id="0"/>
      <w:r>
        <w:rPr/>
        <w:t xml:space="preserve"> </w:t>
      </w:r>
    </w:p>
    <w:tbl>
      <w:tblPr>
        <w:tblW w:w="3505" w:type="dxa"/>
        <w:jc w:val="left"/>
        <w:tblInd w:w="0" w:type="dxa"/>
        <w:tblCellMar>
          <w:top w:w="0" w:type="dxa"/>
          <w:left w:w="0" w:type="dxa"/>
          <w:bottom w:w="0" w:type="dxa"/>
          <w:right w:w="0" w:type="dxa"/>
        </w:tblCellMar>
      </w:tblPr>
      <w:tblGrid>
        <w:gridCol w:w="1550"/>
        <w:gridCol w:w="60"/>
        <w:gridCol w:w="1895"/>
      </w:tblGrid>
      <w:tr>
        <w:trPr/>
        <w:tc>
          <w:tcPr>
            <w:tcW w:w="155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Large accelerated filer  ☐</w:t>
            </w:r>
          </w:p>
        </w:tc>
        <w:tc>
          <w:tcPr>
            <w:tcW w:w="60" w:type="dxa"/>
            <w:tcBorders/>
            <w:shd w:fill="auto" w:val="clear"/>
            <w:vAlign w:val="center"/>
          </w:tcPr>
          <w:p>
            <w:pPr>
              <w:pStyle w:val="TableContents"/>
              <w:spacing w:before="0" w:after="0"/>
              <w:rPr/>
            </w:pPr>
            <w:r>
              <w:rPr/>
              <w:t> </w:t>
            </w:r>
          </w:p>
        </w:tc>
        <w:tc>
          <w:tcPr>
            <w:tcW w:w="189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Accelerated filer  ☐</w:t>
            </w:r>
          </w:p>
        </w:tc>
      </w:tr>
      <w:tr>
        <w:trPr/>
        <w:tc>
          <w:tcPr>
            <w:tcW w:w="155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Non-accelerated filer  ☒</w:t>
            </w:r>
          </w:p>
        </w:tc>
        <w:tc>
          <w:tcPr>
            <w:tcW w:w="60" w:type="dxa"/>
            <w:tcBorders/>
            <w:shd w:fill="auto" w:val="clear"/>
            <w:vAlign w:val="center"/>
          </w:tcPr>
          <w:p>
            <w:pPr>
              <w:pStyle w:val="TableContents"/>
              <w:spacing w:before="0" w:after="0"/>
              <w:rPr/>
            </w:pPr>
            <w:r>
              <w:rPr/>
              <w:t> </w:t>
            </w:r>
          </w:p>
        </w:tc>
        <w:tc>
          <w:tcPr>
            <w:tcW w:w="189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Smaller reporting company  ☒</w:t>
            </w:r>
          </w:p>
        </w:tc>
      </w:tr>
      <w:tr>
        <w:trPr/>
        <w:tc>
          <w:tcPr>
            <w:tcW w:w="155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89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Emerging growth company  ☒</w:t>
            </w:r>
          </w:p>
        </w:tc>
      </w:tr>
    </w:tbl>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Indicate by check mark whether the registrant is a shell company (as defined in Rule 12b-2 of the Exchange Act).  Yes   ☒     No   ☐</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As of August 14, 2019, there were 6,915,728 shares of the Company’s common stock, par value $0.001, issued and outstanding.</w:t>
      </w:r>
    </w:p>
    <w:p>
      <w:pPr>
        <w:pStyle w:val="TextBody"/>
        <w:spacing w:before="0" w:after="0"/>
        <w:rPr/>
      </w:pPr>
      <w:r>
        <w:rPr/>
        <w:t> </w:t>
      </w:r>
    </w:p>
    <w:p>
      <w:pPr>
        <w:pStyle w:val="TextBody"/>
        <w:spacing w:before="0" w:after="90"/>
        <w:ind w:left="0" w:right="0" w:hanging="0"/>
        <w:jc w:val="center"/>
        <w:rPr>
          <w:bdr w:val="single" w:sz="2" w:space="1" w:color="000000"/>
        </w:rPr>
      </w:pPr>
      <w:r>
        <w:rPr>
          <w:bdr w:val="single" w:sz="2" w:space="1" w:color="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 w:name="pgbrk"/>
      <w:bookmarkStart w:id="2" w:name="pgbrk"/>
      <w:bookmarkEnd w:id="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 w:name="hdr"/>
      <w:bookmarkEnd w:id="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TABLE OF CONTENTS</w:t>
      </w:r>
    </w:p>
    <w:p>
      <w:pPr>
        <w:pStyle w:val="TextBody"/>
        <w:spacing w:before="0" w:after="0"/>
        <w:ind w:left="0" w:right="0" w:firstLine="720"/>
        <w:jc w:val="center"/>
        <w:rPr/>
      </w:pPr>
      <w:r>
        <w:rPr/>
        <w:t> </w:t>
      </w:r>
    </w:p>
    <w:tbl>
      <w:tblPr>
        <w:tblW w:w="8355" w:type="dxa"/>
        <w:jc w:val="left"/>
        <w:tblInd w:w="0" w:type="dxa"/>
        <w:tblCellMar>
          <w:top w:w="0" w:type="dxa"/>
          <w:left w:w="0" w:type="dxa"/>
          <w:bottom w:w="0" w:type="dxa"/>
          <w:right w:w="0" w:type="dxa"/>
        </w:tblCellMar>
      </w:tblPr>
      <w:tblGrid>
        <w:gridCol w:w="665"/>
        <w:gridCol w:w="7505"/>
        <w:gridCol w:w="185"/>
      </w:tblGrid>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PART I.</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FINANCIAL INFORMATION</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1.</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FINANCIAL STATEMENTS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rPr/>
            </w:pPr>
            <w:r>
              <w:rPr/>
              <w:t> </w:t>
            </w:r>
          </w:p>
        </w:tc>
        <w:tc>
          <w:tcPr>
            <w:tcW w:w="7505" w:type="dxa"/>
            <w:tcBorders/>
            <w:shd w:fill="CCEEFF" w:val="clear"/>
            <w:vAlign w:val="center"/>
          </w:tcPr>
          <w:p>
            <w:pPr>
              <w:pStyle w:val="TableContents"/>
              <w:spacing w:before="0" w:after="0"/>
              <w:ind w:left="360" w:right="0" w:hanging="0"/>
              <w:jc w:val="left"/>
              <w:rPr>
                <w:rFonts w:ascii="Times New Roman" w:hAnsi="Times New Roman"/>
                <w:sz w:val="15"/>
              </w:rPr>
            </w:pPr>
            <w:r>
              <w:rPr>
                <w:rFonts w:ascii="Times New Roman" w:hAnsi="Times New Roman"/>
                <w:sz w:val="15"/>
              </w:rPr>
              <w:t>Condensed Balance Sheets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rPr/>
            </w:pPr>
            <w:r>
              <w:rPr/>
              <w:t> </w:t>
            </w:r>
          </w:p>
        </w:tc>
        <w:tc>
          <w:tcPr>
            <w:tcW w:w="7505" w:type="dxa"/>
            <w:tcBorders/>
            <w:shd w:fill="CCEEFF" w:val="clear"/>
            <w:vAlign w:val="center"/>
          </w:tcPr>
          <w:p>
            <w:pPr>
              <w:pStyle w:val="TableContents"/>
              <w:spacing w:before="0" w:after="0"/>
              <w:ind w:left="360" w:right="0" w:hanging="0"/>
              <w:jc w:val="left"/>
              <w:rPr>
                <w:rFonts w:ascii="Times New Roman" w:hAnsi="Times New Roman"/>
                <w:sz w:val="15"/>
              </w:rPr>
            </w:pPr>
            <w:r>
              <w:rPr>
                <w:rFonts w:ascii="Times New Roman" w:hAnsi="Times New Roman"/>
                <w:sz w:val="15"/>
              </w:rPr>
              <w:t>Condensed Statements of Operations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2</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rPr/>
            </w:pPr>
            <w:r>
              <w:rPr/>
              <w:t> </w:t>
            </w:r>
          </w:p>
        </w:tc>
        <w:tc>
          <w:tcPr>
            <w:tcW w:w="7505" w:type="dxa"/>
            <w:tcBorders/>
            <w:shd w:fill="CCEEFF" w:val="clear"/>
            <w:vAlign w:val="center"/>
          </w:tcPr>
          <w:p>
            <w:pPr>
              <w:pStyle w:val="TableContents"/>
              <w:spacing w:before="0" w:after="0"/>
              <w:ind w:left="360" w:right="0" w:hanging="0"/>
              <w:jc w:val="left"/>
              <w:rPr>
                <w:rFonts w:ascii="Times New Roman" w:hAnsi="Times New Roman"/>
                <w:sz w:val="15"/>
              </w:rPr>
            </w:pPr>
            <w:r>
              <w:rPr>
                <w:rFonts w:ascii="Times New Roman" w:hAnsi="Times New Roman"/>
                <w:sz w:val="15"/>
              </w:rPr>
              <w:t>Condensed Statements of Changes in Stockholders’ Equity</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3</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rPr/>
            </w:pPr>
            <w:r>
              <w:rPr/>
              <w:t> </w:t>
            </w:r>
          </w:p>
        </w:tc>
        <w:tc>
          <w:tcPr>
            <w:tcW w:w="7505" w:type="dxa"/>
            <w:tcBorders/>
            <w:shd w:fill="CCEEFF" w:val="clear"/>
            <w:vAlign w:val="center"/>
          </w:tcPr>
          <w:p>
            <w:pPr>
              <w:pStyle w:val="TableContents"/>
              <w:spacing w:before="0" w:after="0"/>
              <w:ind w:left="360" w:right="0" w:hanging="0"/>
              <w:jc w:val="left"/>
              <w:rPr>
                <w:rFonts w:ascii="Times New Roman" w:hAnsi="Times New Roman"/>
                <w:sz w:val="15"/>
              </w:rPr>
            </w:pPr>
            <w:r>
              <w:rPr>
                <w:rFonts w:ascii="Times New Roman" w:hAnsi="Times New Roman"/>
                <w:sz w:val="15"/>
              </w:rPr>
              <w:t>Condensed Statements of Cash Flows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rPr/>
            </w:pPr>
            <w:r>
              <w:rPr/>
              <w:t> </w:t>
            </w:r>
          </w:p>
        </w:tc>
        <w:tc>
          <w:tcPr>
            <w:tcW w:w="7505" w:type="dxa"/>
            <w:tcBorders/>
            <w:shd w:fill="CCEEFF" w:val="clear"/>
            <w:vAlign w:val="center"/>
          </w:tcPr>
          <w:p>
            <w:pPr>
              <w:pStyle w:val="TableContents"/>
              <w:spacing w:before="0" w:after="0"/>
              <w:ind w:left="360" w:right="0" w:hanging="0"/>
              <w:jc w:val="left"/>
              <w:rPr>
                <w:rFonts w:ascii="Times New Roman" w:hAnsi="Times New Roman"/>
                <w:sz w:val="15"/>
              </w:rPr>
            </w:pPr>
            <w:r>
              <w:rPr>
                <w:rFonts w:ascii="Times New Roman" w:hAnsi="Times New Roman"/>
                <w:sz w:val="15"/>
              </w:rPr>
              <w:t>Notes to Condensed Financial Statements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5</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2.</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MANAGEMENT’S DISCUSSION AND ANALYSIS OF FINANCIAL CONDITION AND RESULTS OF OPERATIONS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10</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3.</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QUANTITATIVE AND QUALITATIVE DISCLOSURES ABOUT MARKET RISK</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13</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4.</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CONTROLS AND PROCEDURES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13</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PART II.</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OTHER INFORMATION</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1.</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LEGAL PROCEEDINGS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1A.</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RISK FACTORS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2.</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UNREGISTERED SALES OF EQUITY SECURITIES AND USE OF PROCEEDS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3.</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DEFAULTS UPON SENIOR SECURITIES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4.</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MINE SAFETY DISCLOSURES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5.</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OTHER INFORMATION</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14</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66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ITEM 6.</w:t>
            </w:r>
          </w:p>
        </w:tc>
        <w:tc>
          <w:tcPr>
            <w:tcW w:w="750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EXHIBITS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15</w:t>
            </w:r>
          </w:p>
        </w:tc>
      </w:tr>
      <w:tr>
        <w:trPr/>
        <w:tc>
          <w:tcPr>
            <w:tcW w:w="665" w:type="dxa"/>
            <w:tcBorders/>
            <w:shd w:fill="auto" w:val="clear"/>
            <w:vAlign w:val="center"/>
          </w:tcPr>
          <w:p>
            <w:pPr>
              <w:pStyle w:val="TableContents"/>
              <w:spacing w:before="0" w:after="0"/>
              <w:rPr/>
            </w:pPr>
            <w:r>
              <w:rPr/>
              <w:t> </w:t>
            </w:r>
          </w:p>
        </w:tc>
        <w:tc>
          <w:tcPr>
            <w:tcW w:w="7505" w:type="dxa"/>
            <w:tcBorders/>
            <w:shd w:fill="auto" w:val="clear"/>
            <w:vAlign w:val="center"/>
          </w:tcPr>
          <w:p>
            <w:pPr>
              <w:pStyle w:val="TableContents"/>
              <w:spacing w:before="0" w:after="0"/>
              <w:rPr/>
            </w:pPr>
            <w:r>
              <w:rPr/>
              <w:t> </w:t>
            </w:r>
          </w:p>
        </w:tc>
        <w:tc>
          <w:tcPr>
            <w:tcW w:w="185" w:type="dxa"/>
            <w:tcBorders/>
            <w:shd w:fill="auto" w:val="clear"/>
            <w:vAlign w:val="center"/>
          </w:tcPr>
          <w:p>
            <w:pPr>
              <w:pStyle w:val="TableContents"/>
              <w:spacing w:before="0" w:after="0"/>
              <w:rPr/>
            </w:pPr>
            <w:r>
              <w:rPr/>
              <w:t> </w:t>
            </w:r>
          </w:p>
        </w:tc>
      </w:tr>
      <w:tr>
        <w:trPr/>
        <w:tc>
          <w:tcPr>
            <w:tcW w:w="8170" w:type="dxa"/>
            <w:gridSpan w:val="2"/>
            <w:tcBorders/>
            <w:shd w:fill="CCEEFF" w:val="clear"/>
            <w:vAlign w:val="center"/>
          </w:tcPr>
          <w:p>
            <w:pPr>
              <w:pStyle w:val="TableContents"/>
              <w:spacing w:before="0" w:after="0"/>
              <w:ind w:left="0" w:right="60" w:hanging="0"/>
              <w:jc w:val="left"/>
              <w:rPr>
                <w:rFonts w:ascii="Times New Roman" w:hAnsi="Times New Roman"/>
                <w:sz w:val="15"/>
              </w:rPr>
            </w:pPr>
            <w:r>
              <w:rPr>
                <w:rFonts w:ascii="Times New Roman" w:hAnsi="Times New Roman"/>
                <w:sz w:val="15"/>
              </w:rPr>
              <w:t>SIGNATURES</w:t>
            </w:r>
          </w:p>
        </w:tc>
        <w:tc>
          <w:tcPr>
            <w:tcW w:w="185" w:type="dxa"/>
            <w:tcBorders/>
            <w:shd w:fill="CCEEFF" w:val="clear"/>
            <w:vAlign w:val="center"/>
          </w:tcPr>
          <w:p>
            <w:pPr>
              <w:pStyle w:val="TableContents"/>
              <w:spacing w:before="0" w:after="0"/>
              <w:ind w:left="0" w:right="0" w:hanging="0"/>
              <w:jc w:val="right"/>
              <w:rPr>
                <w:rFonts w:ascii="Times New Roman" w:hAnsi="Times New Roman"/>
                <w:sz w:val="15"/>
              </w:rPr>
            </w:pPr>
            <w:r>
              <w:rPr>
                <w:rFonts w:ascii="Times New Roman" w:hAnsi="Times New Roman"/>
                <w:sz w:val="15"/>
              </w:rPr>
              <w:t>16</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1"/>
      <w:bookmarkStart w:id="5" w:name="pgbrk1"/>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 w:name="ftr"/>
      <w:bookmarkEnd w:id="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 w:name="pb"/>
      <w:bookmarkStart w:id="8" w:name="pb"/>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 w:name="hdr1"/>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15"/>
        </w:rPr>
      </w:pPr>
      <w:r>
        <w:rPr>
          <w:rFonts w:ascii="Times New Roman" w:hAnsi="Times New Roman"/>
          <w:b/>
          <w:sz w:val="15"/>
        </w:rPr>
        <w:t>P ART I - FINANCIAL INFORMATION</w:t>
      </w:r>
    </w:p>
    <w:p>
      <w:pPr>
        <w:pStyle w:val="TextBody"/>
        <w:spacing w:before="0" w:after="0"/>
        <w:ind w:left="0" w:right="0" w:firstLine="720"/>
        <w:jc w:val="center"/>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 TEM 1. FINANCIAL STATEMENTS</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Condensed Balance Sheets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8380"/>
        <w:gridCol w:w="905"/>
        <w:gridCol w:w="920"/>
      </w:tblGrid>
      <w:tr>
        <w:trPr/>
        <w:tc>
          <w:tcPr>
            <w:tcW w:w="8380"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June 30,</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92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December 31,</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(Unaudited)</w:t>
            </w:r>
          </w:p>
          <w:p>
            <w:pPr>
              <w:pStyle w:val="TableContents"/>
              <w:spacing w:before="0" w:after="0"/>
              <w:jc w:val="left"/>
              <w:rPr/>
            </w:pPr>
            <w:r>
              <w:rPr/>
              <w:t> </w:t>
            </w:r>
          </w:p>
        </w:tc>
        <w:tc>
          <w:tcPr>
            <w:tcW w:w="9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ASSETS</w:t>
            </w:r>
          </w:p>
        </w:tc>
        <w:tc>
          <w:tcPr>
            <w:tcW w:w="905"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2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Current Assets</w:t>
            </w:r>
          </w:p>
        </w:tc>
        <w:tc>
          <w:tcPr>
            <w:tcW w:w="90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Cash</w:t>
            </w:r>
          </w:p>
        </w:tc>
        <w:tc>
          <w:tcPr>
            <w:tcW w:w="905" w:type="dxa"/>
            <w:tcBorders/>
            <w:shd w:fill="CCEEFF" w:val="clear"/>
            <w:vAlign w:val="center"/>
          </w:tcPr>
          <w:p>
            <w:pPr>
              <w:pStyle w:val="TableContents"/>
              <w:spacing w:before="0" w:after="0"/>
              <w:jc w:val="left"/>
              <w:rPr/>
            </w:pPr>
            <w:r>
              <w:rPr/>
              <w:t> </w:t>
            </w:r>
            <w:r>
              <w:rPr>
                <w:rFonts w:ascii="Times New Roman" w:hAnsi="Times New Roman"/>
                <w:sz w:val="15"/>
              </w:rPr>
              <w:t>$1,394</w:t>
            </w:r>
            <w:r>
              <w:rPr/>
              <w:t> </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$11,079</w:t>
            </w:r>
            <w:r>
              <w:rPr/>
              <w:t> </w:t>
            </w:r>
          </w:p>
        </w:tc>
      </w:tr>
      <w:tr>
        <w:trPr/>
        <w:tc>
          <w:tcPr>
            <w:tcW w:w="8380" w:type="dxa"/>
            <w:tcBorders/>
            <w:shd w:fill="auto"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Prepaid expenses and other current assets</w:t>
            </w:r>
          </w:p>
        </w:tc>
        <w:tc>
          <w:tcPr>
            <w:tcW w:w="90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39,883</w:t>
            </w:r>
            <w:r>
              <w:rPr/>
              <w:t> </w:t>
            </w:r>
          </w:p>
        </w:tc>
        <w:tc>
          <w:tcPr>
            <w:tcW w:w="92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19,114</w:t>
            </w:r>
            <w:r>
              <w:rPr/>
              <w:t> </w:t>
            </w:r>
          </w:p>
        </w:tc>
      </w:tr>
      <w:tr>
        <w:trPr/>
        <w:tc>
          <w:tcPr>
            <w:tcW w:w="8380" w:type="dxa"/>
            <w:tcBorders/>
            <w:shd w:fill="CCEEFF" w:val="clear"/>
            <w:vAlign w:val="center"/>
          </w:tcPr>
          <w:p>
            <w:pPr>
              <w:pStyle w:val="TableContents"/>
              <w:spacing w:before="0" w:after="0"/>
              <w:ind w:left="720" w:right="0" w:hanging="360"/>
              <w:jc w:val="left"/>
              <w:rPr>
                <w:rFonts w:ascii="Times New Roman" w:hAnsi="Times New Roman"/>
                <w:sz w:val="15"/>
              </w:rPr>
            </w:pPr>
            <w:r>
              <w:rPr>
                <w:rFonts w:ascii="Times New Roman" w:hAnsi="Times New Roman"/>
                <w:sz w:val="15"/>
              </w:rPr>
              <w:t>Total Current Assets</w:t>
            </w:r>
          </w:p>
        </w:tc>
        <w:tc>
          <w:tcPr>
            <w:tcW w:w="905" w:type="dxa"/>
            <w:tcBorders/>
            <w:shd w:fill="CCEEFF" w:val="clear"/>
            <w:vAlign w:val="center"/>
          </w:tcPr>
          <w:p>
            <w:pPr>
              <w:pStyle w:val="TableContents"/>
              <w:spacing w:before="0" w:after="0"/>
              <w:jc w:val="left"/>
              <w:rPr/>
            </w:pPr>
            <w:r>
              <w:rPr/>
              <w:t>  </w:t>
            </w:r>
            <w:r>
              <w:rPr>
                <w:rFonts w:ascii="Times New Roman" w:hAnsi="Times New Roman"/>
                <w:sz w:val="15"/>
              </w:rPr>
              <w:t>41,277</w:t>
            </w:r>
            <w:r>
              <w:rPr/>
              <w:t> </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30,193</w:t>
            </w:r>
            <w:r>
              <w:rPr/>
              <w:t> </w:t>
            </w:r>
          </w:p>
        </w:tc>
      </w:tr>
      <w:tr>
        <w:trPr/>
        <w:tc>
          <w:tcPr>
            <w:tcW w:w="8380"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jc w:val="left"/>
              <w:rPr/>
            </w:pPr>
            <w:r>
              <w:rPr/>
              <w:t>    </w:t>
            </w:r>
          </w:p>
        </w:tc>
        <w:tc>
          <w:tcPr>
            <w:tcW w:w="920" w:type="dxa"/>
            <w:tcBorders/>
            <w:shd w:fill="auto" w:val="clear"/>
            <w:vAlign w:val="center"/>
          </w:tcPr>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Cash and marketable securities held in Trust Account</w:t>
            </w:r>
          </w:p>
        </w:tc>
        <w:tc>
          <w:tcPr>
            <w:tcW w:w="90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50,061,450</w:t>
            </w:r>
            <w:r>
              <w:rPr/>
              <w:t> </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70,765,966</w:t>
            </w: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Total Assets</w:t>
            </w:r>
          </w:p>
        </w:tc>
        <w:tc>
          <w:tcPr>
            <w:tcW w:w="905" w:type="dxa"/>
            <w:tcBorders/>
            <w:shd w:fill="auto" w:val="clear"/>
            <w:vAlign w:val="center"/>
          </w:tcPr>
          <w:p>
            <w:pPr>
              <w:pStyle w:val="TableContents"/>
              <w:spacing w:before="0" w:after="0"/>
              <w:jc w:val="left"/>
              <w:rPr/>
            </w:pPr>
            <w:r>
              <w:rPr/>
              <w:t> </w:t>
            </w:r>
            <w:r>
              <w:rPr>
                <w:rFonts w:ascii="Times New Roman" w:hAnsi="Times New Roman"/>
                <w:b/>
                <w:sz w:val="15"/>
                <w:bdr w:val="double" w:sz="8" w:space="1" w:color="000000"/>
              </w:rPr>
              <w:t>$50,102,727</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b/>
                <w:sz w:val="15"/>
                <w:bdr w:val="double" w:sz="8" w:space="1" w:color="000000"/>
              </w:rPr>
              <w:t>$70,796,159</w:t>
            </w:r>
            <w:r>
              <w:rPr/>
              <w:t> </w:t>
            </w:r>
          </w:p>
        </w:tc>
      </w:tr>
      <w:tr>
        <w:trPr/>
        <w:tc>
          <w:tcPr>
            <w:tcW w:w="838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LIABILITIES AND STOCKHOLDERS’ EQUITY</w:t>
            </w:r>
          </w:p>
        </w:tc>
        <w:tc>
          <w:tcPr>
            <w:tcW w:w="905" w:type="dxa"/>
            <w:tcBorders/>
            <w:shd w:fill="auto" w:val="clear"/>
            <w:vAlign w:val="center"/>
          </w:tcPr>
          <w:p>
            <w:pPr>
              <w:pStyle w:val="TableContents"/>
              <w:spacing w:before="0" w:after="0"/>
              <w:jc w:val="left"/>
              <w:rPr/>
            </w:pPr>
            <w:r>
              <w:rPr/>
              <w:t>    </w:t>
            </w:r>
          </w:p>
        </w:tc>
        <w:tc>
          <w:tcPr>
            <w:tcW w:w="920" w:type="dxa"/>
            <w:tcBorders/>
            <w:shd w:fill="auto" w:val="clear"/>
            <w:vAlign w:val="center"/>
          </w:tcPr>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Current liabilities</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Accounts payable and accrued expenses</w:t>
            </w:r>
          </w:p>
        </w:tc>
        <w:tc>
          <w:tcPr>
            <w:tcW w:w="905" w:type="dxa"/>
            <w:tcBorders/>
            <w:shd w:fill="auto" w:val="clear"/>
            <w:vAlign w:val="center"/>
          </w:tcPr>
          <w:p>
            <w:pPr>
              <w:pStyle w:val="TableContents"/>
              <w:spacing w:before="0" w:after="0"/>
              <w:jc w:val="left"/>
              <w:rPr/>
            </w:pPr>
            <w:r>
              <w:rPr/>
              <w:t> </w:t>
            </w:r>
            <w:r>
              <w:rPr>
                <w:rFonts w:ascii="Times New Roman" w:hAnsi="Times New Roman"/>
                <w:sz w:val="15"/>
              </w:rPr>
              <w:t>$432,448</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sz w:val="15"/>
              </w:rPr>
              <w:t>$551,099</w:t>
            </w:r>
            <w:r>
              <w:rPr/>
              <w:t> </w:t>
            </w:r>
          </w:p>
        </w:tc>
      </w:tr>
      <w:tr>
        <w:trPr/>
        <w:tc>
          <w:tcPr>
            <w:tcW w:w="8380"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Income taxes payable</w:t>
            </w:r>
          </w:p>
        </w:tc>
        <w:tc>
          <w:tcPr>
            <w:tcW w:w="90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88,703</w:t>
            </w:r>
            <w:r>
              <w:rPr/>
              <w:t> </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16,311</w:t>
            </w:r>
            <w:r>
              <w:rPr/>
              <w:t> </w:t>
            </w:r>
          </w:p>
        </w:tc>
      </w:tr>
      <w:tr>
        <w:trPr/>
        <w:tc>
          <w:tcPr>
            <w:tcW w:w="8380" w:type="dxa"/>
            <w:tcBorders/>
            <w:shd w:fill="auto" w:val="clear"/>
            <w:vAlign w:val="center"/>
          </w:tcPr>
          <w:p>
            <w:pPr>
              <w:pStyle w:val="TableContents"/>
              <w:spacing w:before="0" w:after="0"/>
              <w:ind w:left="720" w:right="0" w:hanging="360"/>
              <w:jc w:val="left"/>
              <w:rPr>
                <w:rFonts w:ascii="Times New Roman" w:hAnsi="Times New Roman"/>
                <w:sz w:val="15"/>
              </w:rPr>
            </w:pPr>
            <w:r>
              <w:rPr>
                <w:rFonts w:ascii="Times New Roman" w:hAnsi="Times New Roman"/>
                <w:sz w:val="15"/>
              </w:rPr>
              <w:t>Total Current Liabilities</w:t>
            </w:r>
          </w:p>
        </w:tc>
        <w:tc>
          <w:tcPr>
            <w:tcW w:w="905" w:type="dxa"/>
            <w:tcBorders/>
            <w:shd w:fill="auto" w:val="clear"/>
            <w:vAlign w:val="center"/>
          </w:tcPr>
          <w:p>
            <w:pPr>
              <w:pStyle w:val="TableContents"/>
              <w:spacing w:before="0" w:after="0"/>
              <w:jc w:val="left"/>
              <w:rPr/>
            </w:pPr>
            <w:r>
              <w:rPr/>
              <w:t>  </w:t>
            </w:r>
            <w:r>
              <w:rPr>
                <w:rFonts w:ascii="Times New Roman" w:hAnsi="Times New Roman"/>
                <w:sz w:val="15"/>
              </w:rPr>
              <w:t>521,151</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sz w:val="15"/>
              </w:rPr>
              <w:t>567,410</w:t>
            </w:r>
            <w:r>
              <w:rPr/>
              <w:t> </w:t>
            </w:r>
          </w:p>
        </w:tc>
      </w:tr>
      <w:tr>
        <w:trPr/>
        <w:tc>
          <w:tcPr>
            <w:tcW w:w="838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Promisorry note - related party</w:t>
            </w:r>
          </w:p>
        </w:tc>
        <w:tc>
          <w:tcPr>
            <w:tcW w:w="905" w:type="dxa"/>
            <w:tcBorders/>
            <w:shd w:fill="auto" w:val="clear"/>
            <w:vAlign w:val="center"/>
          </w:tcPr>
          <w:p>
            <w:pPr>
              <w:pStyle w:val="TableContents"/>
              <w:spacing w:before="0" w:after="0"/>
              <w:jc w:val="left"/>
              <w:rPr/>
            </w:pPr>
            <w:r>
              <w:rPr/>
              <w:t>  </w:t>
            </w:r>
            <w:r>
              <w:rPr>
                <w:rFonts w:ascii="Times New Roman" w:hAnsi="Times New Roman"/>
                <w:sz w:val="15"/>
              </w:rPr>
              <w:t>206,865</w:t>
              <w:br/>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sz w:val="15"/>
              </w:rPr>
              <w:br/>
            </w:r>
            <w:r>
              <w:rPr/>
              <w:t> </w:t>
            </w:r>
          </w:p>
        </w:tc>
      </w:tr>
      <w:tr>
        <w:trPr/>
        <w:tc>
          <w:tcPr>
            <w:tcW w:w="838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Promissory notes payable</w:t>
            </w:r>
          </w:p>
        </w:tc>
        <w:tc>
          <w:tcPr>
            <w:tcW w:w="90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1,380,000</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690,000</w:t>
            </w: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Total Liabilities</w:t>
            </w:r>
          </w:p>
        </w:tc>
        <w:tc>
          <w:tcPr>
            <w:tcW w:w="90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2,108,016</w:t>
            </w:r>
            <w:r>
              <w:rPr/>
              <w:t> </w:t>
            </w:r>
          </w:p>
        </w:tc>
        <w:tc>
          <w:tcPr>
            <w:tcW w:w="92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1,257,410</w:t>
            </w:r>
            <w:r>
              <w:rPr/>
              <w:t> </w:t>
            </w:r>
          </w:p>
        </w:tc>
      </w:tr>
      <w:tr>
        <w:trPr/>
        <w:tc>
          <w:tcPr>
            <w:tcW w:w="838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Commitments and Contingencies (Note 5)</w:t>
            </w:r>
          </w:p>
        </w:tc>
        <w:tc>
          <w:tcPr>
            <w:tcW w:w="905" w:type="dxa"/>
            <w:tcBorders/>
            <w:shd w:fill="auto" w:val="clear"/>
            <w:vAlign w:val="center"/>
          </w:tcPr>
          <w:p>
            <w:pPr>
              <w:pStyle w:val="TableContents"/>
              <w:spacing w:before="0" w:after="0"/>
              <w:jc w:val="left"/>
              <w:rPr/>
            </w:pPr>
            <w:r>
              <w:rPr/>
              <w:t>    </w:t>
            </w:r>
          </w:p>
        </w:tc>
        <w:tc>
          <w:tcPr>
            <w:tcW w:w="920" w:type="dxa"/>
            <w:tcBorders/>
            <w:shd w:fill="auto" w:val="clear"/>
            <w:vAlign w:val="center"/>
          </w:tcPr>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Common stock subject to possible redemption, 4,114,378 and 6,310,461 shares at redemption value as of June 30, 2019 and December 31, 2018, respectively</w:t>
            </w:r>
          </w:p>
        </w:tc>
        <w:tc>
          <w:tcPr>
            <w:tcW w:w="905" w:type="dxa"/>
            <w:tcBorders/>
            <w:shd w:fill="auto" w:val="clear"/>
            <w:vAlign w:val="center"/>
          </w:tcPr>
          <w:p>
            <w:pPr>
              <w:pStyle w:val="TableContents"/>
              <w:spacing w:before="0" w:after="0"/>
              <w:jc w:val="left"/>
              <w:rPr/>
            </w:pPr>
            <w:r>
              <w:rPr/>
              <w:t>  </w:t>
            </w:r>
            <w:r>
              <w:rPr>
                <w:rFonts w:ascii="Times New Roman" w:hAnsi="Times New Roman"/>
                <w:sz w:val="15"/>
              </w:rPr>
              <w:t>42,994,703</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sz w:val="15"/>
              </w:rPr>
              <w:t>64,538,743</w:t>
            </w:r>
            <w:r>
              <w:rPr/>
              <w:t> </w:t>
            </w:r>
          </w:p>
        </w:tc>
      </w:tr>
      <w:tr>
        <w:trPr/>
        <w:tc>
          <w:tcPr>
            <w:tcW w:w="838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0"/>
              <w:jc w:val="left"/>
              <w:rPr/>
            </w:pPr>
            <w:r>
              <w:rPr/>
              <w:t>    </w:t>
            </w:r>
          </w:p>
        </w:tc>
        <w:tc>
          <w:tcPr>
            <w:tcW w:w="920" w:type="dxa"/>
            <w:tcBorders/>
            <w:shd w:fill="CCEEFF" w:val="clear"/>
            <w:vAlign w:val="center"/>
          </w:tcPr>
          <w:p>
            <w:pPr>
              <w:pStyle w:val="TableContents"/>
              <w:spacing w:before="0" w:after="0"/>
              <w:jc w:val="left"/>
              <w:rPr/>
            </w:pP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Stockholders’ Equity</w:t>
            </w:r>
          </w:p>
        </w:tc>
        <w:tc>
          <w:tcPr>
            <w:tcW w:w="905" w:type="dxa"/>
            <w:tcBorders/>
            <w:shd w:fill="auto" w:val="clear"/>
            <w:vAlign w:val="center"/>
          </w:tcPr>
          <w:p>
            <w:pPr>
              <w:pStyle w:val="TableContents"/>
              <w:spacing w:before="0" w:after="0"/>
              <w:jc w:val="left"/>
              <w:rPr/>
            </w:pPr>
            <w:r>
              <w:rPr/>
              <w:t>    </w:t>
            </w:r>
          </w:p>
        </w:tc>
        <w:tc>
          <w:tcPr>
            <w:tcW w:w="920" w:type="dxa"/>
            <w:tcBorders/>
            <w:shd w:fill="auto" w:val="clear"/>
            <w:vAlign w:val="center"/>
          </w:tcPr>
          <w:p>
            <w:pPr>
              <w:pStyle w:val="TableContents"/>
              <w:spacing w:before="0" w:after="0"/>
              <w:jc w:val="left"/>
              <w:rPr/>
            </w:pPr>
            <w:r>
              <w:rPr/>
              <w:t>    </w:t>
            </w:r>
          </w:p>
        </w:tc>
      </w:tr>
      <w:tr>
        <w:trPr/>
        <w:tc>
          <w:tcPr>
            <w:tcW w:w="8380" w:type="dxa"/>
            <w:tcBorders/>
            <w:shd w:fill="CCEEFF" w:val="clear"/>
            <w:vAlign w:val="center"/>
          </w:tcPr>
          <w:p>
            <w:pPr>
              <w:pStyle w:val="TableContents"/>
              <w:spacing w:before="0" w:after="0"/>
              <w:ind w:left="540" w:right="0" w:hanging="360"/>
              <w:jc w:val="both"/>
              <w:rPr>
                <w:rFonts w:ascii="Times New Roman" w:hAnsi="Times New Roman"/>
                <w:sz w:val="15"/>
              </w:rPr>
            </w:pPr>
            <w:r>
              <w:rPr>
                <w:rFonts w:ascii="Times New Roman" w:hAnsi="Times New Roman"/>
                <w:sz w:val="15"/>
              </w:rPr>
              <w:t>Preferred stock, $0.001 par value; 1,000,000 authorized; none issued and outstanding</w:t>
            </w:r>
          </w:p>
        </w:tc>
        <w:tc>
          <w:tcPr>
            <w:tcW w:w="905" w:type="dxa"/>
            <w:tcBorders/>
            <w:shd w:fill="CCEEFF" w:val="clear"/>
            <w:vAlign w:val="center"/>
          </w:tcPr>
          <w:p>
            <w:pPr>
              <w:pStyle w:val="TableContents"/>
              <w:spacing w:before="0" w:after="0"/>
              <w:jc w:val="left"/>
              <w:rPr/>
            </w:pPr>
            <w:r>
              <w:rPr/>
              <w:t>  — </w:t>
            </w:r>
          </w:p>
        </w:tc>
        <w:tc>
          <w:tcPr>
            <w:tcW w:w="920" w:type="dxa"/>
            <w:tcBorders/>
            <w:shd w:fill="CCEEFF" w:val="clear"/>
            <w:vAlign w:val="center"/>
          </w:tcPr>
          <w:p>
            <w:pPr>
              <w:pStyle w:val="TableContents"/>
              <w:spacing w:before="0" w:after="0"/>
              <w:jc w:val="left"/>
              <w:rPr/>
            </w:pPr>
            <w:r>
              <w:rPr/>
              <w:t>  — </w:t>
            </w:r>
          </w:p>
        </w:tc>
      </w:tr>
      <w:tr>
        <w:trPr/>
        <w:tc>
          <w:tcPr>
            <w:tcW w:w="8380" w:type="dxa"/>
            <w:tcBorders/>
            <w:shd w:fill="auto"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Common stock, $0.001 par value; 100,000,000 shares authorized; 2,801,350 and 2,725,039 shares issued and outstanding (excluding 4,114,378 and 6,310,461 shares subject to possible redemption) as of June 30, 2019 and December 31, 2018, respectively</w:t>
            </w:r>
          </w:p>
        </w:tc>
        <w:tc>
          <w:tcPr>
            <w:tcW w:w="905" w:type="dxa"/>
            <w:tcBorders/>
            <w:shd w:fill="auto" w:val="clear"/>
            <w:vAlign w:val="center"/>
          </w:tcPr>
          <w:p>
            <w:pPr>
              <w:pStyle w:val="TableContents"/>
              <w:spacing w:before="0" w:after="0"/>
              <w:jc w:val="left"/>
              <w:rPr/>
            </w:pPr>
            <w:r>
              <w:rPr/>
              <w:t>  </w:t>
            </w:r>
            <w:r>
              <w:rPr>
                <w:rFonts w:ascii="Times New Roman" w:hAnsi="Times New Roman"/>
                <w:sz w:val="15"/>
              </w:rPr>
              <w:t>2,801</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sz w:val="15"/>
              </w:rPr>
              <w:t>2,725</w:t>
            </w:r>
            <w:r>
              <w:rPr/>
              <w:t> </w:t>
            </w:r>
          </w:p>
        </w:tc>
      </w:tr>
      <w:tr>
        <w:trPr/>
        <w:tc>
          <w:tcPr>
            <w:tcW w:w="8380"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Additional paid-in capital</w:t>
            </w:r>
          </w:p>
        </w:tc>
        <w:tc>
          <w:tcPr>
            <w:tcW w:w="905" w:type="dxa"/>
            <w:tcBorders/>
            <w:shd w:fill="CCEEFF" w:val="clear"/>
            <w:vAlign w:val="center"/>
          </w:tcPr>
          <w:p>
            <w:pPr>
              <w:pStyle w:val="TableContents"/>
              <w:spacing w:before="0" w:after="0"/>
              <w:jc w:val="left"/>
              <w:rPr/>
            </w:pPr>
            <w:r>
              <w:rPr/>
              <w:t>  </w:t>
            </w:r>
            <w:r>
              <w:rPr>
                <w:rFonts w:ascii="Times New Roman" w:hAnsi="Times New Roman"/>
                <w:sz w:val="15"/>
              </w:rPr>
              <w:t>4,672,153</w:t>
            </w:r>
            <w:r>
              <w:rPr/>
              <w:t> </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5,036,213</w:t>
            </w:r>
            <w:r>
              <w:rPr/>
              <w:t> </w:t>
            </w:r>
          </w:p>
        </w:tc>
      </w:tr>
      <w:tr>
        <w:trPr/>
        <w:tc>
          <w:tcPr>
            <w:tcW w:w="8380" w:type="dxa"/>
            <w:tcBorders/>
            <w:shd w:fill="auto"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Retained earnings/(Accumulated deficit)</w:t>
            </w:r>
          </w:p>
        </w:tc>
        <w:tc>
          <w:tcPr>
            <w:tcW w:w="90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325,054</w:t>
            </w:r>
            <w:r>
              <w:rPr/>
              <w:t> </w:t>
            </w:r>
          </w:p>
        </w:tc>
        <w:tc>
          <w:tcPr>
            <w:tcW w:w="92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(38,932</w:t>
            </w:r>
            <w:r>
              <w:rPr>
                <w:rFonts w:ascii="Times New Roman" w:hAnsi="Times New Roman"/>
                <w:sz w:val="15"/>
              </w:rPr>
              <w:t>)</w:t>
            </w:r>
          </w:p>
        </w:tc>
      </w:tr>
      <w:tr>
        <w:trPr/>
        <w:tc>
          <w:tcPr>
            <w:tcW w:w="8380" w:type="dxa"/>
            <w:tcBorders/>
            <w:shd w:fill="CCEEFF" w:val="clear"/>
            <w:vAlign w:val="center"/>
          </w:tcPr>
          <w:p>
            <w:pPr>
              <w:pStyle w:val="TableContents"/>
              <w:spacing w:before="0" w:after="0"/>
              <w:ind w:left="540" w:right="0" w:hanging="360"/>
              <w:jc w:val="left"/>
              <w:rPr>
                <w:rFonts w:ascii="Times New Roman" w:hAnsi="Times New Roman"/>
                <w:b/>
                <w:sz w:val="15"/>
              </w:rPr>
            </w:pPr>
            <w:r>
              <w:rPr>
                <w:rFonts w:ascii="Times New Roman" w:hAnsi="Times New Roman"/>
                <w:b/>
                <w:sz w:val="15"/>
              </w:rPr>
              <w:t>Total Stockholders’ Equity</w:t>
            </w:r>
          </w:p>
        </w:tc>
        <w:tc>
          <w:tcPr>
            <w:tcW w:w="90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5,000,008</w:t>
            </w:r>
            <w:r>
              <w:rPr/>
              <w:t> </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5,000,006</w:t>
            </w:r>
            <w:r>
              <w:rPr/>
              <w:t> </w:t>
            </w:r>
          </w:p>
        </w:tc>
      </w:tr>
      <w:tr>
        <w:trPr/>
        <w:tc>
          <w:tcPr>
            <w:tcW w:w="8380" w:type="dxa"/>
            <w:tcBorders/>
            <w:shd w:fill="auto"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TOTAL LIABILITIES AND STOCKHOLDERS’ EQUITY</w:t>
            </w:r>
          </w:p>
        </w:tc>
        <w:tc>
          <w:tcPr>
            <w:tcW w:w="905" w:type="dxa"/>
            <w:tcBorders/>
            <w:shd w:fill="auto" w:val="clear"/>
            <w:vAlign w:val="center"/>
          </w:tcPr>
          <w:p>
            <w:pPr>
              <w:pStyle w:val="TableContents"/>
              <w:spacing w:before="0" w:after="0"/>
              <w:jc w:val="left"/>
              <w:rPr/>
            </w:pPr>
            <w:r>
              <w:rPr/>
              <w:t> </w:t>
            </w:r>
            <w:r>
              <w:rPr>
                <w:rFonts w:ascii="Times New Roman" w:hAnsi="Times New Roman"/>
                <w:b/>
                <w:sz w:val="15"/>
                <w:bdr w:val="double" w:sz="8" w:space="1" w:color="000000"/>
              </w:rPr>
              <w:t>$50,102,727</w:t>
            </w:r>
            <w:r>
              <w:rPr/>
              <w:t> </w:t>
            </w:r>
          </w:p>
        </w:tc>
        <w:tc>
          <w:tcPr>
            <w:tcW w:w="920" w:type="dxa"/>
            <w:tcBorders/>
            <w:shd w:fill="auto" w:val="clear"/>
            <w:vAlign w:val="center"/>
          </w:tcPr>
          <w:p>
            <w:pPr>
              <w:pStyle w:val="TableContents"/>
              <w:spacing w:before="0" w:after="0"/>
              <w:jc w:val="left"/>
              <w:rPr/>
            </w:pPr>
            <w:r>
              <w:rPr/>
              <w:t> </w:t>
            </w:r>
            <w:r>
              <w:rPr>
                <w:rFonts w:ascii="Times New Roman" w:hAnsi="Times New Roman"/>
                <w:b/>
                <w:sz w:val="15"/>
                <w:bdr w:val="double" w:sz="8" w:space="1" w:color="000000"/>
              </w:rPr>
              <w:t>$70,796,159</w:t>
            </w: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The accompanying notes are an integral part of the condensed financial statements.</w:t>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 w:name="pgbrk2"/>
      <w:bookmarkStart w:id="11" w:name="pgbrk2"/>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 w:name="ftr1"/>
      <w:bookmarkEnd w:id="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r>
        <w:rPr>
          <w:rFonts w:ascii="Times New Roman" w:hAnsi="Times New Roman"/>
          <w:sz w:val="15"/>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 w:name="pb1"/>
      <w:bookmarkStart w:id="14" w:name="pb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5" w:name="hdr2"/>
      <w:bookmarkEnd w:id="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firstLine="72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Condensed Statements of Operations</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tbl>
      <w:tblPr>
        <w:tblW w:w="7090" w:type="dxa"/>
        <w:jc w:val="left"/>
        <w:tblInd w:w="0" w:type="dxa"/>
        <w:tblCellMar>
          <w:top w:w="0" w:type="dxa"/>
          <w:left w:w="0" w:type="dxa"/>
          <w:bottom w:w="0" w:type="dxa"/>
          <w:right w:w="0" w:type="dxa"/>
        </w:tblCellMar>
      </w:tblPr>
      <w:tblGrid>
        <w:gridCol w:w="3815"/>
        <w:gridCol w:w="815"/>
        <w:gridCol w:w="815"/>
        <w:gridCol w:w="815"/>
        <w:gridCol w:w="830"/>
      </w:tblGrid>
      <w:tr>
        <w:trPr/>
        <w:tc>
          <w:tcPr>
            <w:tcW w:w="3815" w:type="dxa"/>
            <w:tcBorders/>
            <w:shd w:fill="auto" w:val="clear"/>
            <w:vAlign w:val="center"/>
          </w:tcPr>
          <w:p>
            <w:pPr>
              <w:pStyle w:val="TableContents"/>
              <w:spacing w:before="0" w:after="0"/>
              <w:ind w:left="0" w:right="0" w:hanging="0"/>
              <w:rPr/>
            </w:pPr>
            <w:r>
              <w:rPr/>
              <w:t> </w:t>
            </w:r>
          </w:p>
        </w:tc>
        <w:tc>
          <w:tcPr>
            <w:tcW w:w="163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Three Months Ended</w:t>
            </w:r>
          </w:p>
          <w:p>
            <w:pPr>
              <w:pStyle w:val="TableContents"/>
              <w:spacing w:before="0" w:after="0"/>
              <w:jc w:val="center"/>
              <w:rPr>
                <w:rFonts w:ascii="Times New Roman" w:hAnsi="Times New Roman"/>
                <w:sz w:val="14"/>
                <w:bdr w:val="single" w:sz="12" w:space="1" w:color="000000"/>
              </w:rPr>
            </w:pPr>
            <w:r>
              <w:rPr>
                <w:rFonts w:ascii="Times New Roman" w:hAnsi="Times New Roman"/>
                <w:b/>
                <w:sz w:val="14"/>
                <w:bdr w:val="single" w:sz="12" w:space="1" w:color="000000"/>
              </w:rPr>
              <w:t>June 30,</w:t>
            </w:r>
            <w:r>
              <w:rPr>
                <w:rFonts w:ascii="Times New Roman" w:hAnsi="Times New Roman"/>
                <w:sz w:val="14"/>
                <w:bdr w:val="single" w:sz="12" w:space="1" w:color="000000"/>
              </w:rPr>
              <w:t> </w:t>
            </w:r>
          </w:p>
          <w:p>
            <w:pPr>
              <w:pStyle w:val="TableContents"/>
              <w:spacing w:before="0" w:after="0"/>
              <w:jc w:val="left"/>
              <w:rPr/>
            </w:pPr>
            <w:r>
              <w:rPr/>
              <w:t> </w:t>
            </w:r>
          </w:p>
        </w:tc>
        <w:tc>
          <w:tcPr>
            <w:tcW w:w="164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Six Months Ended</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June 30,</w:t>
            </w:r>
          </w:p>
          <w:p>
            <w:pPr>
              <w:pStyle w:val="TableContents"/>
              <w:spacing w:before="0" w:after="0"/>
              <w:jc w:val="left"/>
              <w:rPr/>
            </w:pPr>
            <w:r>
              <w:rPr/>
              <w:t> </w:t>
            </w:r>
          </w:p>
        </w:tc>
      </w:tr>
      <w:tr>
        <w:trPr/>
        <w:tc>
          <w:tcPr>
            <w:tcW w:w="3815"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r>
      <w:tr>
        <w:trPr/>
        <w:tc>
          <w:tcPr>
            <w:tcW w:w="3815"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Operating expenses</w:t>
            </w:r>
          </w:p>
        </w:tc>
        <w:tc>
          <w:tcPr>
            <w:tcW w:w="815" w:type="dxa"/>
            <w:tcBorders/>
            <w:shd w:fill="CCEEFF" w:val="clear"/>
            <w:vAlign w:val="center"/>
          </w:tcPr>
          <w:p>
            <w:pPr>
              <w:pStyle w:val="TableContents"/>
              <w:spacing w:before="0" w:after="0"/>
              <w:jc w:val="left"/>
              <w:rPr/>
            </w:pPr>
            <w:r>
              <w:rPr/>
              <w:t> </w:t>
            </w:r>
            <w:r>
              <w:rPr>
                <w:rFonts w:ascii="Times New Roman" w:hAnsi="Times New Roman"/>
                <w:sz w:val="15"/>
                <w:bdr w:val="single" w:sz="12" w:space="1" w:color="000000"/>
              </w:rPr>
              <w:t>$175,742</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bdr w:val="single" w:sz="12" w:space="1" w:color="000000"/>
              </w:rPr>
              <w:t>$271,810</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bdr w:val="single" w:sz="12" w:space="1" w:color="000000"/>
              </w:rPr>
              <w:t>$338,923</w:t>
            </w:r>
            <w:r>
              <w:rPr/>
              <w:t> </w:t>
            </w:r>
          </w:p>
        </w:tc>
        <w:tc>
          <w:tcPr>
            <w:tcW w:w="830" w:type="dxa"/>
            <w:tcBorders/>
            <w:shd w:fill="CCEEFF" w:val="clear"/>
            <w:vAlign w:val="center"/>
          </w:tcPr>
          <w:p>
            <w:pPr>
              <w:pStyle w:val="TableContents"/>
              <w:spacing w:before="0" w:after="0"/>
              <w:jc w:val="left"/>
              <w:rPr/>
            </w:pPr>
            <w:r>
              <w:rPr/>
              <w:t> </w:t>
            </w:r>
            <w:r>
              <w:rPr>
                <w:rFonts w:ascii="Times New Roman" w:hAnsi="Times New Roman"/>
                <w:sz w:val="15"/>
                <w:bdr w:val="single" w:sz="12" w:space="1" w:color="000000"/>
              </w:rPr>
              <w:t>$464,184</w:t>
            </w:r>
            <w:r>
              <w:rPr/>
              <w:t> </w:t>
            </w:r>
          </w:p>
        </w:tc>
      </w:tr>
      <w:tr>
        <w:trPr/>
        <w:tc>
          <w:tcPr>
            <w:tcW w:w="3815" w:type="dxa"/>
            <w:tcBorders/>
            <w:shd w:fill="auto" w:val="clear"/>
            <w:vAlign w:val="center"/>
          </w:tcPr>
          <w:p>
            <w:pPr>
              <w:pStyle w:val="TableContents"/>
              <w:spacing w:before="0" w:after="0"/>
              <w:ind w:left="540" w:right="0" w:hanging="360"/>
              <w:jc w:val="left"/>
              <w:rPr>
                <w:rFonts w:ascii="Times New Roman" w:hAnsi="Times New Roman"/>
                <w:b/>
                <w:sz w:val="15"/>
              </w:rPr>
            </w:pPr>
            <w:r>
              <w:rPr>
                <w:rFonts w:ascii="Times New Roman" w:hAnsi="Times New Roman"/>
                <w:b/>
                <w:sz w:val="15"/>
              </w:rPr>
              <w:t>Loss from operations</w:t>
            </w:r>
          </w:p>
        </w:tc>
        <w:tc>
          <w:tcPr>
            <w:tcW w:w="815" w:type="dxa"/>
            <w:tcBorders/>
            <w:shd w:fill="auto" w:val="clear"/>
            <w:vAlign w:val="center"/>
          </w:tcPr>
          <w:p>
            <w:pPr>
              <w:pStyle w:val="TableContents"/>
              <w:spacing w:before="0" w:after="0"/>
              <w:jc w:val="left"/>
              <w:rPr/>
            </w:pPr>
            <w:r>
              <w:rPr/>
              <w:t>  </w:t>
            </w:r>
            <w:r>
              <w:rPr>
                <w:rFonts w:ascii="Times New Roman" w:hAnsi="Times New Roman"/>
                <w:b/>
                <w:sz w:val="15"/>
              </w:rPr>
              <w:t>(175,742)</w:t>
            </w:r>
          </w:p>
        </w:tc>
        <w:tc>
          <w:tcPr>
            <w:tcW w:w="815" w:type="dxa"/>
            <w:tcBorders/>
            <w:shd w:fill="auto" w:val="clear"/>
            <w:vAlign w:val="center"/>
          </w:tcPr>
          <w:p>
            <w:pPr>
              <w:pStyle w:val="TableContents"/>
              <w:spacing w:before="0" w:after="0"/>
              <w:jc w:val="left"/>
              <w:rPr/>
            </w:pPr>
            <w:r>
              <w:rPr/>
              <w:t>  </w:t>
            </w:r>
            <w:r>
              <w:rPr>
                <w:rFonts w:ascii="Times New Roman" w:hAnsi="Times New Roman"/>
                <w:b/>
                <w:sz w:val="15"/>
              </w:rPr>
              <w:t>(271,810)</w:t>
            </w:r>
          </w:p>
        </w:tc>
        <w:tc>
          <w:tcPr>
            <w:tcW w:w="815" w:type="dxa"/>
            <w:tcBorders/>
            <w:shd w:fill="auto" w:val="clear"/>
            <w:vAlign w:val="center"/>
          </w:tcPr>
          <w:p>
            <w:pPr>
              <w:pStyle w:val="TableContents"/>
              <w:spacing w:before="0" w:after="0"/>
              <w:jc w:val="left"/>
              <w:rPr/>
            </w:pPr>
            <w:r>
              <w:rPr/>
              <w:t>  </w:t>
            </w:r>
            <w:r>
              <w:rPr>
                <w:rFonts w:ascii="Times New Roman" w:hAnsi="Times New Roman"/>
                <w:b/>
                <w:sz w:val="15"/>
              </w:rPr>
              <w:t>(338,923)</w:t>
            </w:r>
          </w:p>
        </w:tc>
        <w:tc>
          <w:tcPr>
            <w:tcW w:w="830" w:type="dxa"/>
            <w:tcBorders/>
            <w:shd w:fill="auto" w:val="clear"/>
            <w:vAlign w:val="center"/>
          </w:tcPr>
          <w:p>
            <w:pPr>
              <w:pStyle w:val="TableContents"/>
              <w:spacing w:before="0" w:after="0"/>
              <w:jc w:val="left"/>
              <w:rPr/>
            </w:pPr>
            <w:r>
              <w:rPr/>
              <w:t>  </w:t>
            </w:r>
            <w:r>
              <w:rPr>
                <w:rFonts w:ascii="Times New Roman" w:hAnsi="Times New Roman"/>
                <w:b/>
                <w:sz w:val="15"/>
              </w:rPr>
              <w:t>(464,184)</w:t>
            </w:r>
          </w:p>
        </w:tc>
      </w:tr>
      <w:tr>
        <w:trPr/>
        <w:tc>
          <w:tcPr>
            <w:tcW w:w="3815" w:type="dxa"/>
            <w:tcBorders/>
            <w:shd w:fill="CCEEFF" w:val="clear"/>
            <w:vAlign w:val="center"/>
          </w:tcPr>
          <w:p>
            <w:pPr>
              <w:pStyle w:val="TableContents"/>
              <w:spacing w:before="0" w:after="0"/>
              <w:ind w:left="0" w:right="0" w:hanging="0"/>
              <w:rPr/>
            </w:pPr>
            <w:r>
              <w:rPr/>
              <w:t> </w:t>
            </w:r>
          </w:p>
        </w:tc>
        <w:tc>
          <w:tcPr>
            <w:tcW w:w="815" w:type="dxa"/>
            <w:tcBorders/>
            <w:shd w:fill="CCEEFF" w:val="cle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830" w:type="dxa"/>
            <w:tcBorders/>
            <w:shd w:fill="CCEEFF" w:val="clear"/>
            <w:vAlign w:val="center"/>
          </w:tcPr>
          <w:p>
            <w:pPr>
              <w:pStyle w:val="TableContents"/>
              <w:spacing w:before="0" w:after="0"/>
              <w:jc w:val="left"/>
              <w:rPr/>
            </w:pPr>
            <w:r>
              <w:rPr/>
              <w:t>    </w:t>
            </w:r>
          </w:p>
        </w:tc>
      </w:tr>
      <w:tr>
        <w:trPr/>
        <w:tc>
          <w:tcPr>
            <w:tcW w:w="3815" w:type="dxa"/>
            <w:tcBorders/>
            <w:shd w:fill="auto"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Other income:</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Interest income</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392,439</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272,482</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775,301</w:t>
            </w:r>
            <w:r>
              <w:rPr/>
              <w:t> </w:t>
            </w:r>
          </w:p>
        </w:tc>
        <w:tc>
          <w:tcPr>
            <w:tcW w:w="830" w:type="dxa"/>
            <w:tcBorders/>
            <w:shd w:fill="CCEEFF" w:val="clear"/>
            <w:vAlign w:val="center"/>
          </w:tcPr>
          <w:p>
            <w:pPr>
              <w:pStyle w:val="TableContents"/>
              <w:spacing w:before="0" w:after="0"/>
              <w:jc w:val="left"/>
              <w:rPr/>
            </w:pPr>
            <w:r>
              <w:rPr/>
              <w:t>  </w:t>
            </w:r>
            <w:r>
              <w:rPr>
                <w:rFonts w:ascii="Times New Roman" w:hAnsi="Times New Roman"/>
                <w:sz w:val="15"/>
              </w:rPr>
              <w:t>486,051</w:t>
            </w:r>
            <w:r>
              <w:rPr/>
              <w:t> </w:t>
            </w:r>
          </w:p>
        </w:tc>
      </w:tr>
      <w:tr>
        <w:trPr/>
        <w:tc>
          <w:tcPr>
            <w:tcW w:w="3815" w:type="dxa"/>
            <w:tcBorders/>
            <w:shd w:fill="auto"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Unrealized gain on marketable securities held in Trust Account</w:t>
            </w:r>
          </w:p>
        </w:tc>
        <w:tc>
          <w:tcPr>
            <w:tcW w:w="815" w:type="dxa"/>
            <w:tcBorders/>
            <w:shd w:fill="auto" w:val="clear"/>
            <w:vAlign w:val="center"/>
          </w:tcPr>
          <w:p>
            <w:pPr>
              <w:pStyle w:val="TableContents"/>
              <w:spacing w:before="0" w:after="0"/>
              <w:jc w:val="left"/>
              <w:rPr/>
            </w:pPr>
            <w:r>
              <w:rPr/>
              <w:t> </w:t>
            </w:r>
            <w:r>
              <w:rPr>
                <w:bdr w:val="single" w:sz="12" w:space="1" w:color="000000"/>
              </w:rPr>
              <w:t> —</w:t>
            </w:r>
            <w:r>
              <w:rPr/>
              <w:t> </w:t>
            </w:r>
          </w:p>
        </w:tc>
        <w:tc>
          <w:tcPr>
            <w:tcW w:w="81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1,674</w:t>
            </w:r>
            <w:r>
              <w:rPr/>
              <w:t> </w:t>
            </w:r>
          </w:p>
        </w:tc>
        <w:tc>
          <w:tcPr>
            <w:tcW w:w="815" w:type="dxa"/>
            <w:tcBorders/>
            <w:shd w:fill="auto" w:val="clear"/>
            <w:vAlign w:val="center"/>
          </w:tcPr>
          <w:p>
            <w:pPr>
              <w:pStyle w:val="TableContents"/>
              <w:spacing w:before="0" w:after="0"/>
              <w:jc w:val="left"/>
              <w:rPr/>
            </w:pPr>
            <w:r>
              <w:rPr/>
              <w:t> </w:t>
            </w:r>
            <w:r>
              <w:rPr>
                <w:bdr w:val="single" w:sz="12" w:space="1" w:color="000000"/>
              </w:rPr>
              <w:t> —</w:t>
            </w:r>
            <w:r>
              <w:rPr/>
              <w:t> </w:t>
            </w:r>
          </w:p>
        </w:tc>
        <w:tc>
          <w:tcPr>
            <w:tcW w:w="83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75</w:t>
            </w:r>
          </w:p>
        </w:tc>
      </w:tr>
      <w:tr>
        <w:trPr/>
        <w:tc>
          <w:tcPr>
            <w:tcW w:w="3815"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Other income, net</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392,439</w:t>
            </w:r>
            <w:r>
              <w:rPr/>
              <w:t> </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274,156</w:t>
            </w:r>
            <w:r>
              <w:rPr/>
              <w:t> </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775,301</w:t>
            </w:r>
            <w:r>
              <w:rPr/>
              <w:t> </w:t>
            </w:r>
          </w:p>
        </w:tc>
        <w:tc>
          <w:tcPr>
            <w:tcW w:w="830"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486,126</w:t>
            </w:r>
          </w:p>
        </w:tc>
      </w:tr>
      <w:tr>
        <w:trPr/>
        <w:tc>
          <w:tcPr>
            <w:tcW w:w="3815"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Income before provision for income taxes</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216,697</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2,346</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436,378</w:t>
            </w:r>
            <w:r>
              <w:rPr/>
              <w:t> </w:t>
            </w:r>
          </w:p>
        </w:tc>
        <w:tc>
          <w:tcPr>
            <w:tcW w:w="830" w:type="dxa"/>
            <w:tcBorders/>
            <w:shd w:fill="CCEEFF" w:val="clear"/>
            <w:vAlign w:val="center"/>
          </w:tcPr>
          <w:p>
            <w:pPr>
              <w:pStyle w:val="TableContents"/>
              <w:spacing w:before="0" w:after="0"/>
              <w:jc w:val="left"/>
              <w:rPr/>
            </w:pPr>
            <w:r>
              <w:rPr/>
              <w:t>  </w:t>
            </w:r>
            <w:r>
              <w:rPr>
                <w:rFonts w:ascii="Times New Roman" w:hAnsi="Times New Roman"/>
                <w:sz w:val="15"/>
              </w:rPr>
              <w:t>21,942</w:t>
            </w:r>
            <w:r>
              <w:rPr/>
              <w:t> </w:t>
            </w:r>
          </w:p>
        </w:tc>
      </w:tr>
      <w:tr>
        <w:trPr/>
        <w:tc>
          <w:tcPr>
            <w:tcW w:w="3815" w:type="dxa"/>
            <w:tcBorders/>
            <w:shd w:fill="auto"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Provision for income taxes</w:t>
            </w:r>
          </w:p>
        </w:tc>
        <w:tc>
          <w:tcPr>
            <w:tcW w:w="81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(40,676</w:t>
            </w:r>
            <w:r>
              <w:rPr>
                <w:rFonts w:ascii="Times New Roman" w:hAnsi="Times New Roman"/>
                <w:sz w:val="15"/>
              </w:rPr>
              <w:t>)</w:t>
            </w:r>
          </w:p>
        </w:tc>
        <w:tc>
          <w:tcPr>
            <w:tcW w:w="81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(8,948</w:t>
            </w:r>
            <w:r>
              <w:rPr>
                <w:rFonts w:ascii="Times New Roman" w:hAnsi="Times New Roman"/>
                <w:sz w:val="15"/>
              </w:rPr>
              <w:t>)</w:t>
            </w:r>
          </w:p>
        </w:tc>
        <w:tc>
          <w:tcPr>
            <w:tcW w:w="81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(72,392</w:t>
            </w:r>
            <w:r>
              <w:rPr>
                <w:rFonts w:ascii="Times New Roman" w:hAnsi="Times New Roman"/>
                <w:sz w:val="15"/>
              </w:rPr>
              <w:t>)</w:t>
            </w:r>
          </w:p>
        </w:tc>
        <w:tc>
          <w:tcPr>
            <w:tcW w:w="83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(13,063</w:t>
            </w:r>
            <w:r>
              <w:rPr>
                <w:rFonts w:ascii="Times New Roman" w:hAnsi="Times New Roman"/>
                <w:sz w:val="15"/>
              </w:rPr>
              <w:t>)</w:t>
            </w:r>
          </w:p>
        </w:tc>
      </w:tr>
      <w:tr>
        <w:trPr/>
        <w:tc>
          <w:tcPr>
            <w:tcW w:w="3815" w:type="dxa"/>
            <w:tcBorders/>
            <w:shd w:fill="CCEE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Net income (loss)</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$176,021</w:t>
            </w:r>
            <w:r>
              <w:rPr/>
              <w:t> </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$(6,602</w:t>
            </w:r>
            <w:r>
              <w:rPr>
                <w:rFonts w:ascii="Times New Roman" w:hAnsi="Times New Roman"/>
                <w:b/>
                <w:sz w:val="15"/>
              </w:rPr>
              <w:t>)</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$363,986</w:t>
            </w:r>
            <w:r>
              <w:rPr/>
              <w:t> </w:t>
            </w:r>
          </w:p>
        </w:tc>
        <w:tc>
          <w:tcPr>
            <w:tcW w:w="830"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$8,879</w:t>
            </w:r>
            <w:r>
              <w:rPr/>
              <w:t> </w:t>
            </w:r>
          </w:p>
        </w:tc>
      </w:tr>
      <w:tr>
        <w:trPr/>
        <w:tc>
          <w:tcPr>
            <w:tcW w:w="3815"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Weighted average shares outstanding, basic and diluted (1)</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2,794,297</w:t>
            </w:r>
            <w:r>
              <w:rPr/>
              <w:t> </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2,605,782</w:t>
            </w:r>
            <w:r>
              <w:rPr/>
              <w:t> </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2,759,859</w:t>
            </w:r>
            <w:r>
              <w:rPr/>
              <w:t> </w:t>
            </w:r>
          </w:p>
        </w:tc>
        <w:tc>
          <w:tcPr>
            <w:tcW w:w="830"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2,598,424</w:t>
            </w:r>
            <w:r>
              <w:rPr/>
              <w:t> </w:t>
            </w:r>
          </w:p>
        </w:tc>
      </w:tr>
      <w:tr>
        <w:trPr/>
        <w:tc>
          <w:tcPr>
            <w:tcW w:w="3815"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Basic and diluted net loss per common share (2)</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$(0.03</w:t>
            </w:r>
            <w:r>
              <w:rPr>
                <w:rFonts w:ascii="Times New Roman" w:hAnsi="Times New Roman"/>
                <w:b/>
                <w:sz w:val="15"/>
              </w:rPr>
              <w:t>)</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$(0.06</w:t>
            </w:r>
            <w:r>
              <w:rPr>
                <w:rFonts w:ascii="Times New Roman" w:hAnsi="Times New Roman"/>
                <w:b/>
                <w:sz w:val="15"/>
              </w:rPr>
              <w:t>)</w:t>
            </w:r>
          </w:p>
        </w:tc>
        <w:tc>
          <w:tcPr>
            <w:tcW w:w="815"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$(0.06</w:t>
            </w:r>
            <w:r>
              <w:rPr>
                <w:rFonts w:ascii="Times New Roman" w:hAnsi="Times New Roman"/>
                <w:b/>
                <w:sz w:val="15"/>
              </w:rPr>
              <w:t>)</w:t>
            </w:r>
          </w:p>
        </w:tc>
        <w:tc>
          <w:tcPr>
            <w:tcW w:w="830" w:type="dxa"/>
            <w:tcBorders/>
            <w:shd w:fill="CCEEFF" w:val="clear"/>
            <w:vAlign w:val="center"/>
          </w:tcPr>
          <w:p>
            <w:pPr>
              <w:pStyle w:val="TableContents"/>
              <w:spacing w:before="0" w:after="0"/>
              <w:jc w:val="left"/>
              <w:rPr/>
            </w:pPr>
            <w:r>
              <w:rPr/>
              <w:t> </w:t>
            </w:r>
            <w:r>
              <w:rPr>
                <w:rFonts w:ascii="Times New Roman" w:hAnsi="Times New Roman"/>
                <w:b/>
                <w:sz w:val="15"/>
                <w:bdr w:val="double" w:sz="8" w:space="1" w:color="000000"/>
              </w:rPr>
              <w:t>$(0.13</w:t>
            </w:r>
            <w:r>
              <w:rPr>
                <w:rFonts w:ascii="Times New Roman" w:hAnsi="Times New Roman"/>
                <w:b/>
                <w:sz w:val="15"/>
              </w:rPr>
              <w:t>)</w:t>
            </w:r>
          </w:p>
        </w:tc>
      </w:tr>
    </w:tbl>
    <w:p>
      <w:pPr>
        <w:pStyle w:val="TextBody"/>
        <w:spacing w:before="0" w:after="0"/>
        <w:ind w:left="0" w:right="0" w:hanging="0"/>
        <w:jc w:val="both"/>
        <w:rPr/>
      </w:pPr>
      <w:r>
        <w:rPr/>
        <w:t> </w:t>
      </w:r>
    </w:p>
    <w:tbl>
      <w:tblPr>
        <w:tblW w:w="8440" w:type="dxa"/>
        <w:jc w:val="left"/>
        <w:tblInd w:w="0" w:type="dxa"/>
        <w:tblCellMar>
          <w:top w:w="0" w:type="dxa"/>
          <w:left w:w="0" w:type="dxa"/>
          <w:bottom w:w="0" w:type="dxa"/>
          <w:right w:w="0" w:type="dxa"/>
        </w:tblCellMar>
      </w:tblPr>
      <w:tblGrid>
        <w:gridCol w:w="200"/>
        <w:gridCol w:w="8240"/>
      </w:tblGrid>
      <w:tr>
        <w:trPr/>
        <w:tc>
          <w:tcPr>
            <w:tcW w:w="20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w:t>
            </w:r>
          </w:p>
        </w:tc>
        <w:tc>
          <w:tcPr>
            <w:tcW w:w="824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Excludes an aggregate of up to 4,114,378 and 6,412,916 shares subject to possible redemption at June 30, 2019 and 2018, respectively.</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(2)</w:t>
            </w:r>
          </w:p>
        </w:tc>
        <w:tc>
          <w:tcPr>
            <w:tcW w:w="10027"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Net loss per common share - basic and diluted excludes income attributable to common stock subject to possible redemption of $259,727 and $158,321 for the three months ended June 30, 2019 and 2018, respectively, and $518,924 and $355,325, for the six months ended June 30, 2019 and 2018, respectively.</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The accompanying notes are an integral part of the condensed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3"/>
      <w:bookmarkStart w:id="17" w:name="pgbrk3"/>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8" w:name="ftr2"/>
      <w:bookmarkEnd w:id="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9" w:name="pn"/>
      <w:bookmarkEnd w:id="19"/>
      <w:r>
        <w:rPr>
          <w:rFonts w:ascii="Times New Roman" w:hAnsi="Times New Roman"/>
          <w:sz w:val="15"/>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 w:name="pb2"/>
      <w:bookmarkStart w:id="21" w:name="pb2"/>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2" w:name="hdr3"/>
      <w:bookmarkEnd w:id="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Condensed Statements of Changes in Stockholders’ Equity</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Three Months Ended June 30, 2018</w:t>
      </w:r>
    </w:p>
    <w:p>
      <w:pPr>
        <w:pStyle w:val="TextBody"/>
        <w:spacing w:before="0" w:after="0"/>
        <w:ind w:left="0" w:right="0" w:hanging="0"/>
        <w:jc w:val="both"/>
        <w:rPr/>
      </w:pPr>
      <w:r>
        <w:rPr/>
        <w:t> </w:t>
      </w:r>
    </w:p>
    <w:tbl>
      <w:tblPr>
        <w:tblW w:w="7485" w:type="dxa"/>
        <w:jc w:val="left"/>
        <w:tblInd w:w="0" w:type="dxa"/>
        <w:tblCellMar>
          <w:top w:w="0" w:type="dxa"/>
          <w:left w:w="0" w:type="dxa"/>
          <w:bottom w:w="0" w:type="dxa"/>
          <w:right w:w="0" w:type="dxa"/>
        </w:tblCellMar>
      </w:tblPr>
      <w:tblGrid>
        <w:gridCol w:w="3800"/>
        <w:gridCol w:w="755"/>
        <w:gridCol w:w="515"/>
        <w:gridCol w:w="770"/>
        <w:gridCol w:w="785"/>
        <w:gridCol w:w="860"/>
      </w:tblGrid>
      <w:tr>
        <w:trPr/>
        <w:tc>
          <w:tcPr>
            <w:tcW w:w="3800" w:type="dxa"/>
            <w:tcBorders/>
            <w:shd w:fill="auto" w:val="clear"/>
            <w:vAlign w:val="center"/>
          </w:tcPr>
          <w:p>
            <w:pPr>
              <w:pStyle w:val="TableContents"/>
              <w:spacing w:before="0" w:after="0"/>
              <w:ind w:left="0" w:right="0" w:hanging="0"/>
              <w:rPr/>
            </w:pPr>
            <w:r>
              <w:rPr/>
              <w:t> </w:t>
            </w:r>
          </w:p>
        </w:tc>
        <w:tc>
          <w:tcPr>
            <w:tcW w:w="127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Common Stock</w:t>
            </w:r>
          </w:p>
          <w:p>
            <w:pPr>
              <w:pStyle w:val="TableContents"/>
              <w:spacing w:before="0" w:after="0"/>
              <w:jc w:val="left"/>
              <w:rPr/>
            </w:pPr>
            <w:r>
              <w:rPr/>
              <w:t> </w:t>
            </w:r>
          </w:p>
        </w:tc>
        <w:tc>
          <w:tcPr>
            <w:tcW w:w="77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Additional</w:t>
            </w:r>
          </w:p>
          <w:p>
            <w:pPr>
              <w:pStyle w:val="TableContents"/>
              <w:spacing w:before="0" w:after="0"/>
              <w:jc w:val="center"/>
              <w:rPr>
                <w:rFonts w:ascii="Times New Roman" w:hAnsi="Times New Roman"/>
                <w:b/>
                <w:sz w:val="14"/>
              </w:rPr>
            </w:pPr>
            <w:r>
              <w:rPr>
                <w:rFonts w:ascii="Times New Roman" w:hAnsi="Times New Roman"/>
                <w:b/>
                <w:sz w:val="14"/>
              </w:rPr>
              <w:t>Paid-in</w:t>
            </w:r>
          </w:p>
          <w:p>
            <w:pPr>
              <w:pStyle w:val="TableContents"/>
              <w:spacing w:before="0" w:after="0"/>
              <w:jc w:val="left"/>
              <w:rPr/>
            </w:pPr>
            <w:r>
              <w:rPr/>
              <w:t> </w:t>
            </w:r>
          </w:p>
        </w:tc>
        <w:tc>
          <w:tcPr>
            <w:tcW w:w="78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Accumulated</w:t>
            </w:r>
          </w:p>
          <w:p>
            <w:pPr>
              <w:pStyle w:val="TableContents"/>
              <w:spacing w:before="0" w:after="0"/>
              <w:jc w:val="left"/>
              <w:rPr/>
            </w:pPr>
            <w:r>
              <w:rPr/>
              <w:t> </w:t>
            </w:r>
          </w:p>
        </w:tc>
        <w:tc>
          <w:tcPr>
            <w:tcW w:w="86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Stockholders’</w:t>
            </w:r>
          </w:p>
          <w:p>
            <w:pPr>
              <w:pStyle w:val="TableContents"/>
              <w:spacing w:before="0" w:after="0"/>
              <w:jc w:val="left"/>
              <w:rPr/>
            </w:pPr>
            <w:r>
              <w:rPr/>
              <w:t> </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Shares</w:t>
            </w:r>
          </w:p>
          <w:p>
            <w:pPr>
              <w:pStyle w:val="TableContents"/>
              <w:spacing w:before="0" w:after="0"/>
              <w:jc w:val="left"/>
              <w:rPr/>
            </w:pPr>
            <w:r>
              <w:rPr/>
              <w:t> </w:t>
            </w:r>
          </w:p>
        </w:tc>
        <w:tc>
          <w:tcPr>
            <w:tcW w:w="5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Amount</w:t>
            </w:r>
          </w:p>
          <w:p>
            <w:pPr>
              <w:pStyle w:val="TableContents"/>
              <w:spacing w:before="0" w:after="0"/>
              <w:jc w:val="left"/>
              <w:rPr/>
            </w:pPr>
            <w:r>
              <w:rPr/>
              <w:t> </w:t>
            </w:r>
          </w:p>
        </w:tc>
        <w:tc>
          <w:tcPr>
            <w:tcW w:w="77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Capital</w:t>
            </w:r>
          </w:p>
          <w:p>
            <w:pPr>
              <w:pStyle w:val="TableContents"/>
              <w:spacing w:before="0" w:after="0"/>
              <w:jc w:val="left"/>
              <w:rPr/>
            </w:pPr>
            <w:r>
              <w:rPr/>
              <w:t> </w:t>
            </w:r>
          </w:p>
        </w:tc>
        <w:tc>
          <w:tcPr>
            <w:tcW w:w="78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Deficit</w:t>
            </w:r>
          </w:p>
          <w:p>
            <w:pPr>
              <w:pStyle w:val="TableContents"/>
              <w:spacing w:before="0" w:after="0"/>
              <w:jc w:val="left"/>
              <w:rPr/>
            </w:pPr>
            <w:r>
              <w:rPr/>
              <w:t> </w:t>
            </w:r>
          </w:p>
        </w:tc>
        <w:tc>
          <w:tcPr>
            <w:tcW w:w="86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Equity</w:t>
            </w:r>
          </w:p>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January 1, 2018</w:t>
            </w:r>
          </w:p>
        </w:tc>
        <w:tc>
          <w:tcPr>
            <w:tcW w:w="755" w:type="dxa"/>
            <w:tcBorders/>
            <w:shd w:fill="CCEEFF" w:val="clear"/>
            <w:vAlign w:val="center"/>
          </w:tcPr>
          <w:p>
            <w:pPr>
              <w:pStyle w:val="TableContents"/>
              <w:spacing w:before="0" w:after="0"/>
              <w:jc w:val="left"/>
              <w:rPr/>
            </w:pPr>
            <w:r>
              <w:rPr/>
              <w:t>  </w:t>
            </w:r>
            <w:r>
              <w:rPr>
                <w:rFonts w:ascii="Times New Roman" w:hAnsi="Times New Roman"/>
                <w:b/>
                <w:sz w:val="14"/>
              </w:rPr>
              <w:t>2,590,985</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b/>
                <w:sz w:val="14"/>
              </w:rPr>
              <w:t>$2,591</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b/>
                <w:sz w:val="14"/>
              </w:rPr>
              <w:t>$5,102,443</w:t>
            </w:r>
            <w:r>
              <w:rPr>
                <w:sz w:val="14"/>
              </w:rPr>
              <w:t> </w:t>
            </w:r>
          </w:p>
        </w:tc>
        <w:tc>
          <w:tcPr>
            <w:tcW w:w="785" w:type="dxa"/>
            <w:tcBorders/>
            <w:shd w:fill="CCEEFF" w:val="clear"/>
            <w:vAlign w:val="center"/>
          </w:tcPr>
          <w:p>
            <w:pPr>
              <w:pStyle w:val="TableContents"/>
              <w:spacing w:before="0" w:after="0"/>
              <w:jc w:val="left"/>
              <w:rPr/>
            </w:pPr>
            <w:r>
              <w:rPr/>
              <w:t> </w:t>
            </w:r>
            <w:r>
              <w:rPr>
                <w:rFonts w:ascii="Times New Roman" w:hAnsi="Times New Roman"/>
                <w:b/>
                <w:sz w:val="14"/>
              </w:rPr>
              <w:t>$(105,033)</w:t>
            </w:r>
          </w:p>
        </w:tc>
        <w:tc>
          <w:tcPr>
            <w:tcW w:w="860" w:type="dxa"/>
            <w:tcBorders/>
            <w:shd w:fill="CCEEFF" w:val="clear"/>
            <w:vAlign w:val="center"/>
          </w:tcPr>
          <w:p>
            <w:pPr>
              <w:pStyle w:val="TableContents"/>
              <w:spacing w:before="0" w:after="0"/>
              <w:jc w:val="left"/>
              <w:rPr/>
            </w:pPr>
            <w:r>
              <w:rPr/>
              <w:t> </w:t>
            </w:r>
            <w:r>
              <w:rPr>
                <w:rFonts w:ascii="Times New Roman" w:hAnsi="Times New Roman"/>
                <w:b/>
                <w:sz w:val="14"/>
              </w:rPr>
              <w:t>$5,000,001</w:t>
            </w:r>
            <w:r>
              <w:rPr>
                <w:sz w:val="14"/>
              </w:rPr>
              <w:t> </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Change in value of common stock subject to possible redemption</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14,797</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15</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(15,492)</w:t>
            </w:r>
          </w:p>
        </w:tc>
        <w:tc>
          <w:tcPr>
            <w:tcW w:w="785" w:type="dxa"/>
            <w:tcBorders/>
            <w:shd w:fill="CCEEFF" w:val="clear"/>
            <w:vAlign w:val="center"/>
          </w:tcPr>
          <w:p>
            <w:pPr>
              <w:pStyle w:val="TableContents"/>
              <w:spacing w:before="0" w:after="0"/>
              <w:jc w:val="left"/>
              <w:rPr/>
            </w:pPr>
            <w:r>
              <w:rPr/>
              <w:t>  — </w:t>
            </w:r>
          </w:p>
        </w:tc>
        <w:tc>
          <w:tcPr>
            <w:tcW w:w="860" w:type="dxa"/>
            <w:tcBorders/>
            <w:shd w:fill="CCEEFF" w:val="clear"/>
            <w:vAlign w:val="center"/>
          </w:tcPr>
          <w:p>
            <w:pPr>
              <w:pStyle w:val="TableContents"/>
              <w:spacing w:before="0" w:after="0"/>
              <w:jc w:val="left"/>
              <w:rPr/>
            </w:pPr>
            <w:r>
              <w:rPr/>
              <w:t>  </w:t>
            </w:r>
            <w:r>
              <w:rPr>
                <w:rFonts w:ascii="Times New Roman" w:hAnsi="Times New Roman"/>
                <w:sz w:val="14"/>
              </w:rPr>
              <w:t>(15,477)</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Net income</w:t>
            </w:r>
          </w:p>
        </w:tc>
        <w:tc>
          <w:tcPr>
            <w:tcW w:w="75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5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7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8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15,481</w:t>
            </w:r>
            <w:r>
              <w:rPr>
                <w:sz w:val="14"/>
              </w:rPr>
              <w:t> </w:t>
            </w:r>
          </w:p>
        </w:tc>
        <w:tc>
          <w:tcPr>
            <w:tcW w:w="86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15,481</w:t>
            </w:r>
            <w:r>
              <w:rPr>
                <w:sz w:val="14"/>
              </w:rPr>
              <w:t> </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March 31, 2018 (unaudited)</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2,605,782</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2,606</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5,086,951</w:t>
            </w:r>
            <w:r>
              <w:rPr>
                <w:sz w:val="14"/>
              </w:rPr>
              <w:t> </w:t>
            </w:r>
          </w:p>
        </w:tc>
        <w:tc>
          <w:tcPr>
            <w:tcW w:w="785" w:type="dxa"/>
            <w:tcBorders/>
            <w:shd w:fill="CCEEFF" w:val="clear"/>
            <w:vAlign w:val="center"/>
          </w:tcPr>
          <w:p>
            <w:pPr>
              <w:pStyle w:val="TableContents"/>
              <w:spacing w:before="0" w:after="0"/>
              <w:jc w:val="left"/>
              <w:rPr/>
            </w:pPr>
            <w:r>
              <w:rPr/>
              <w:t>  </w:t>
            </w:r>
            <w:r>
              <w:rPr>
                <w:rFonts w:ascii="Times New Roman" w:hAnsi="Times New Roman"/>
                <w:sz w:val="14"/>
              </w:rPr>
              <w:t>(89,552)</w:t>
            </w:r>
          </w:p>
        </w:tc>
        <w:tc>
          <w:tcPr>
            <w:tcW w:w="860" w:type="dxa"/>
            <w:tcBorders/>
            <w:shd w:fill="CCEEFF" w:val="clear"/>
            <w:vAlign w:val="center"/>
          </w:tcPr>
          <w:p>
            <w:pPr>
              <w:pStyle w:val="TableContents"/>
              <w:spacing w:before="0" w:after="0"/>
              <w:jc w:val="left"/>
              <w:rPr/>
            </w:pPr>
            <w:r>
              <w:rPr/>
              <w:t>  </w:t>
            </w:r>
            <w:r>
              <w:rPr>
                <w:rFonts w:ascii="Times New Roman" w:hAnsi="Times New Roman"/>
                <w:sz w:val="14"/>
              </w:rPr>
              <w:t>5,000,005</w:t>
            </w:r>
            <w:r>
              <w:rPr>
                <w:sz w:val="14"/>
              </w:rPr>
              <w:t> </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Change in value of common stock subject to possible redemption</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16,802</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17</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6,589</w:t>
            </w:r>
            <w:r>
              <w:rPr>
                <w:sz w:val="14"/>
              </w:rPr>
              <w:t> </w:t>
            </w:r>
          </w:p>
        </w:tc>
        <w:tc>
          <w:tcPr>
            <w:tcW w:w="785" w:type="dxa"/>
            <w:tcBorders/>
            <w:shd w:fill="CCEEFF" w:val="clear"/>
            <w:vAlign w:val="center"/>
          </w:tcPr>
          <w:p>
            <w:pPr>
              <w:pStyle w:val="TableContents"/>
              <w:spacing w:before="0" w:after="0"/>
              <w:jc w:val="left"/>
              <w:rPr/>
            </w:pPr>
            <w:r>
              <w:rPr/>
              <w:t>  — </w:t>
            </w:r>
          </w:p>
        </w:tc>
        <w:tc>
          <w:tcPr>
            <w:tcW w:w="860" w:type="dxa"/>
            <w:tcBorders/>
            <w:shd w:fill="CCEEFF" w:val="clear"/>
            <w:vAlign w:val="center"/>
          </w:tcPr>
          <w:p>
            <w:pPr>
              <w:pStyle w:val="TableContents"/>
              <w:spacing w:before="0" w:after="0"/>
              <w:jc w:val="left"/>
              <w:rPr/>
            </w:pPr>
            <w:r>
              <w:rPr/>
              <w:t>  </w:t>
            </w:r>
            <w:r>
              <w:rPr>
                <w:rFonts w:ascii="Times New Roman" w:hAnsi="Times New Roman"/>
                <w:sz w:val="14"/>
              </w:rPr>
              <w:t>6,606</w:t>
            </w:r>
            <w:r>
              <w:rPr>
                <w:sz w:val="14"/>
              </w:rPr>
              <w:t> </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Net income</w:t>
            </w:r>
          </w:p>
        </w:tc>
        <w:tc>
          <w:tcPr>
            <w:tcW w:w="75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5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7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85"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(6,602</w:t>
            </w:r>
            <w:r>
              <w:rPr>
                <w:rFonts w:ascii="Times New Roman" w:hAnsi="Times New Roman"/>
                <w:sz w:val="14"/>
              </w:rPr>
              <w:t>)</w:t>
            </w:r>
          </w:p>
        </w:tc>
        <w:tc>
          <w:tcPr>
            <w:tcW w:w="86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(6,602</w:t>
            </w:r>
            <w:r>
              <w:rPr>
                <w:rFonts w:ascii="Times New Roman" w:hAnsi="Times New Roman"/>
                <w:sz w:val="14"/>
              </w:rPr>
              <w:t>)</w:t>
            </w:r>
          </w:p>
        </w:tc>
      </w:tr>
      <w:tr>
        <w:trPr/>
        <w:tc>
          <w:tcPr>
            <w:tcW w:w="380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785" w:type="dxa"/>
            <w:tcBorders/>
            <w:shd w:fill="auto" w:val="clear"/>
            <w:vAlign w:val="center"/>
          </w:tcPr>
          <w:p>
            <w:pPr>
              <w:pStyle w:val="TableContents"/>
              <w:spacing w:before="0" w:after="0"/>
              <w:jc w:val="left"/>
              <w:rPr/>
            </w:pPr>
            <w:r>
              <w:rPr/>
              <w:t>    </w:t>
            </w:r>
          </w:p>
        </w:tc>
        <w:tc>
          <w:tcPr>
            <w:tcW w:w="860" w:type="dxa"/>
            <w:tcBorders/>
            <w:shd w:fill="auto" w:val="clear"/>
            <w:vAlign w:val="center"/>
          </w:tcPr>
          <w:p>
            <w:pPr>
              <w:pStyle w:val="TableContents"/>
              <w:spacing w:before="0" w:after="0"/>
              <w:jc w:val="left"/>
              <w:rPr/>
            </w:pPr>
            <w:r>
              <w:rPr/>
              <w:t>    </w:t>
            </w:r>
          </w:p>
        </w:tc>
      </w:tr>
      <w:tr>
        <w:trPr/>
        <w:tc>
          <w:tcPr>
            <w:tcW w:w="3800"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June 30, 2018 (unaudited)</w:t>
            </w:r>
          </w:p>
        </w:tc>
        <w:tc>
          <w:tcPr>
            <w:tcW w:w="75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4"/>
                <w:bdr w:val="double" w:sz="8" w:space="1" w:color="000000"/>
              </w:rPr>
              <w:t>2,622,584</w:t>
            </w:r>
          </w:p>
        </w:tc>
        <w:tc>
          <w:tcPr>
            <w:tcW w:w="515"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$2,623</w:t>
            </w:r>
          </w:p>
        </w:tc>
        <w:tc>
          <w:tcPr>
            <w:tcW w:w="770"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$5,093,540</w:t>
            </w:r>
          </w:p>
        </w:tc>
        <w:tc>
          <w:tcPr>
            <w:tcW w:w="785"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$(96,154</w:t>
            </w:r>
            <w:r>
              <w:rPr>
                <w:rFonts w:ascii="Times New Roman" w:hAnsi="Times New Roman"/>
                <w:b/>
                <w:sz w:val="14"/>
              </w:rPr>
              <w:t>)</w:t>
            </w:r>
          </w:p>
        </w:tc>
        <w:tc>
          <w:tcPr>
            <w:tcW w:w="860"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$5,000,009</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Three Months Ended June 30, 2019</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674"/>
        <w:gridCol w:w="755"/>
        <w:gridCol w:w="515"/>
        <w:gridCol w:w="770"/>
        <w:gridCol w:w="1643"/>
        <w:gridCol w:w="848"/>
      </w:tblGrid>
      <w:tr>
        <w:trPr/>
        <w:tc>
          <w:tcPr>
            <w:tcW w:w="5674" w:type="dxa"/>
            <w:tcBorders/>
            <w:shd w:fill="auto" w:val="clear"/>
            <w:vAlign w:val="center"/>
          </w:tcPr>
          <w:p>
            <w:pPr>
              <w:pStyle w:val="TableContents"/>
              <w:spacing w:before="0" w:after="0"/>
              <w:ind w:left="0" w:right="0" w:hanging="0"/>
              <w:rPr/>
            </w:pPr>
            <w:r>
              <w:rPr/>
              <w:t> </w:t>
            </w:r>
          </w:p>
        </w:tc>
        <w:tc>
          <w:tcPr>
            <w:tcW w:w="127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Common Stock</w:t>
            </w:r>
          </w:p>
          <w:p>
            <w:pPr>
              <w:pStyle w:val="TableContents"/>
              <w:spacing w:before="0" w:after="0"/>
              <w:jc w:val="left"/>
              <w:rPr/>
            </w:pPr>
            <w:r>
              <w:rPr/>
              <w:t> </w:t>
            </w:r>
          </w:p>
        </w:tc>
        <w:tc>
          <w:tcPr>
            <w:tcW w:w="77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Additional</w:t>
            </w:r>
          </w:p>
          <w:p>
            <w:pPr>
              <w:pStyle w:val="TableContents"/>
              <w:spacing w:before="0" w:after="0"/>
              <w:jc w:val="center"/>
              <w:rPr>
                <w:rFonts w:ascii="Times New Roman" w:hAnsi="Times New Roman"/>
                <w:b/>
                <w:sz w:val="14"/>
              </w:rPr>
            </w:pPr>
            <w:r>
              <w:rPr>
                <w:rFonts w:ascii="Times New Roman" w:hAnsi="Times New Roman"/>
                <w:b/>
                <w:sz w:val="14"/>
              </w:rPr>
              <w:t>Paid-in</w:t>
            </w:r>
          </w:p>
          <w:p>
            <w:pPr>
              <w:pStyle w:val="TableContents"/>
              <w:spacing w:before="0" w:after="0"/>
              <w:jc w:val="left"/>
              <w:rPr/>
            </w:pPr>
            <w:r>
              <w:rPr/>
              <w:t> </w:t>
            </w:r>
          </w:p>
        </w:tc>
        <w:tc>
          <w:tcPr>
            <w:tcW w:w="1643"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Retained Earnings/ (Accumulated</w:t>
            </w:r>
          </w:p>
          <w:p>
            <w:pPr>
              <w:pStyle w:val="TableContents"/>
              <w:spacing w:before="0" w:after="0"/>
              <w:jc w:val="left"/>
              <w:rPr/>
            </w:pPr>
            <w:r>
              <w:rPr/>
              <w:t> </w:t>
            </w:r>
          </w:p>
        </w:tc>
        <w:tc>
          <w:tcPr>
            <w:tcW w:w="848"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Stockholders’</w:t>
            </w:r>
          </w:p>
          <w:p>
            <w:pPr>
              <w:pStyle w:val="TableContents"/>
              <w:spacing w:before="0" w:after="0"/>
              <w:jc w:val="left"/>
              <w:rPr/>
            </w:pPr>
            <w:r>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Shares</w:t>
            </w:r>
          </w:p>
          <w:p>
            <w:pPr>
              <w:pStyle w:val="TableContents"/>
              <w:spacing w:before="0" w:after="0"/>
              <w:jc w:val="left"/>
              <w:rPr/>
            </w:pPr>
            <w:r>
              <w:rPr/>
              <w:t> </w:t>
            </w:r>
          </w:p>
        </w:tc>
        <w:tc>
          <w:tcPr>
            <w:tcW w:w="5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Amount</w:t>
            </w:r>
          </w:p>
          <w:p>
            <w:pPr>
              <w:pStyle w:val="TableContents"/>
              <w:spacing w:before="0" w:after="0"/>
              <w:jc w:val="left"/>
              <w:rPr/>
            </w:pPr>
            <w:r>
              <w:rPr/>
              <w:t> </w:t>
            </w:r>
          </w:p>
        </w:tc>
        <w:tc>
          <w:tcPr>
            <w:tcW w:w="77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Capital</w:t>
            </w:r>
          </w:p>
          <w:p>
            <w:pPr>
              <w:pStyle w:val="TableContents"/>
              <w:spacing w:before="0" w:after="0"/>
              <w:jc w:val="left"/>
              <w:rPr/>
            </w:pPr>
            <w:r>
              <w:rPr/>
              <w:t> </w:t>
            </w:r>
          </w:p>
        </w:tc>
        <w:tc>
          <w:tcPr>
            <w:tcW w:w="164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Deficit)</w:t>
            </w:r>
          </w:p>
          <w:p>
            <w:pPr>
              <w:pStyle w:val="TableContents"/>
              <w:spacing w:before="0" w:after="0"/>
              <w:jc w:val="left"/>
              <w:rPr/>
            </w:pPr>
            <w:r>
              <w:rPr/>
              <w:t> </w:t>
            </w:r>
          </w:p>
        </w:tc>
        <w:tc>
          <w:tcPr>
            <w:tcW w:w="84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Equity</w:t>
            </w:r>
          </w:p>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January 1, 2019</w:t>
            </w:r>
          </w:p>
        </w:tc>
        <w:tc>
          <w:tcPr>
            <w:tcW w:w="755" w:type="dxa"/>
            <w:tcBorders/>
            <w:shd w:fill="CCEEFF" w:val="clear"/>
            <w:vAlign w:val="center"/>
          </w:tcPr>
          <w:p>
            <w:pPr>
              <w:pStyle w:val="TableContents"/>
              <w:spacing w:before="0" w:after="0"/>
              <w:jc w:val="left"/>
              <w:rPr/>
            </w:pPr>
            <w:r>
              <w:rPr/>
              <w:t>  </w:t>
            </w:r>
            <w:r>
              <w:rPr>
                <w:rFonts w:ascii="Times New Roman" w:hAnsi="Times New Roman"/>
                <w:b/>
                <w:sz w:val="14"/>
              </w:rPr>
              <w:t>2,725,039</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b/>
                <w:sz w:val="14"/>
              </w:rPr>
              <w:t>$2,725</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b/>
                <w:sz w:val="14"/>
              </w:rPr>
              <w:t>$5,036,213</w:t>
            </w:r>
            <w:r>
              <w:rPr>
                <w:sz w:val="14"/>
              </w:rPr>
              <w:t> </w:t>
            </w:r>
          </w:p>
        </w:tc>
        <w:tc>
          <w:tcPr>
            <w:tcW w:w="1643" w:type="dxa"/>
            <w:tcBorders/>
            <w:shd w:fill="CCEEFF" w:val="clear"/>
            <w:vAlign w:val="center"/>
          </w:tcPr>
          <w:p>
            <w:pPr>
              <w:pStyle w:val="TableContents"/>
              <w:spacing w:before="0" w:after="0"/>
              <w:jc w:val="left"/>
              <w:rPr/>
            </w:pPr>
            <w:r>
              <w:rPr/>
              <w:t> </w:t>
            </w:r>
            <w:r>
              <w:rPr>
                <w:rFonts w:ascii="Times New Roman" w:hAnsi="Times New Roman"/>
                <w:b/>
                <w:sz w:val="14"/>
              </w:rPr>
              <w:t>$(38,932)</w:t>
            </w:r>
          </w:p>
        </w:tc>
        <w:tc>
          <w:tcPr>
            <w:tcW w:w="848" w:type="dxa"/>
            <w:tcBorders/>
            <w:shd w:fill="CCEEFF" w:val="clear"/>
            <w:vAlign w:val="center"/>
          </w:tcPr>
          <w:p>
            <w:pPr>
              <w:pStyle w:val="TableContents"/>
              <w:spacing w:before="0" w:after="0"/>
              <w:jc w:val="left"/>
              <w:rPr/>
            </w:pPr>
            <w:r>
              <w:rPr/>
              <w:t> </w:t>
            </w:r>
            <w:r>
              <w:rPr>
                <w:rFonts w:ascii="Times New Roman" w:hAnsi="Times New Roman"/>
                <w:b/>
                <w:sz w:val="14"/>
              </w:rPr>
              <w:t>$5,000,006</w:t>
            </w:r>
            <w:r>
              <w:rPr>
                <w:sz w:val="14"/>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Change in value of common stock subject to possible redemption</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69,258</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69</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(188,035)</w:t>
            </w:r>
          </w:p>
        </w:tc>
        <w:tc>
          <w:tcPr>
            <w:tcW w:w="1643" w:type="dxa"/>
            <w:tcBorders/>
            <w:shd w:fill="CCEEFF" w:val="clear"/>
            <w:vAlign w:val="center"/>
          </w:tcPr>
          <w:p>
            <w:pPr>
              <w:pStyle w:val="TableContents"/>
              <w:spacing w:before="0" w:after="0"/>
              <w:jc w:val="left"/>
              <w:rPr/>
            </w:pPr>
            <w:r>
              <w:rPr/>
              <w:t>  — </w:t>
            </w:r>
          </w:p>
        </w:tc>
        <w:tc>
          <w:tcPr>
            <w:tcW w:w="848" w:type="dxa"/>
            <w:tcBorders/>
            <w:shd w:fill="CCEEFF" w:val="clear"/>
            <w:vAlign w:val="center"/>
          </w:tcPr>
          <w:p>
            <w:pPr>
              <w:pStyle w:val="TableContents"/>
              <w:spacing w:before="0" w:after="0"/>
              <w:jc w:val="left"/>
              <w:rPr/>
            </w:pPr>
            <w:r>
              <w:rPr/>
              <w:t>  </w:t>
            </w:r>
            <w:r>
              <w:rPr>
                <w:rFonts w:ascii="Times New Roman" w:hAnsi="Times New Roman"/>
                <w:sz w:val="14"/>
              </w:rPr>
              <w:t>(187,966)</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Net income</w:t>
            </w:r>
          </w:p>
        </w:tc>
        <w:tc>
          <w:tcPr>
            <w:tcW w:w="75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5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7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1643"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187,965</w:t>
            </w:r>
            <w:r>
              <w:rPr>
                <w:sz w:val="14"/>
              </w:rPr>
              <w:t> </w:t>
            </w:r>
          </w:p>
        </w:tc>
        <w:tc>
          <w:tcPr>
            <w:tcW w:w="848"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187,965</w:t>
            </w:r>
            <w:r>
              <w:rPr>
                <w:sz w:val="14"/>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March 31, 2019 (unaudited)</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2,794,297</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2,794</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4,848,178</w:t>
            </w:r>
            <w:r>
              <w:rPr>
                <w:sz w:val="14"/>
              </w:rPr>
              <w:t> </w:t>
            </w:r>
          </w:p>
        </w:tc>
        <w:tc>
          <w:tcPr>
            <w:tcW w:w="1643" w:type="dxa"/>
            <w:tcBorders/>
            <w:shd w:fill="CCEEFF" w:val="clear"/>
            <w:vAlign w:val="center"/>
          </w:tcPr>
          <w:p>
            <w:pPr>
              <w:pStyle w:val="TableContents"/>
              <w:spacing w:before="0" w:after="0"/>
              <w:jc w:val="left"/>
              <w:rPr/>
            </w:pPr>
            <w:r>
              <w:rPr/>
              <w:t>  </w:t>
            </w:r>
            <w:r>
              <w:rPr>
                <w:rFonts w:ascii="Times New Roman" w:hAnsi="Times New Roman"/>
                <w:sz w:val="14"/>
              </w:rPr>
              <w:t>149,033</w:t>
            </w:r>
            <w:r>
              <w:rPr>
                <w:sz w:val="14"/>
              </w:rPr>
              <w:t> </w:t>
            </w:r>
          </w:p>
        </w:tc>
        <w:tc>
          <w:tcPr>
            <w:tcW w:w="848" w:type="dxa"/>
            <w:tcBorders/>
            <w:shd w:fill="CCEEFF" w:val="clear"/>
            <w:vAlign w:val="center"/>
          </w:tcPr>
          <w:p>
            <w:pPr>
              <w:pStyle w:val="TableContents"/>
              <w:spacing w:before="0" w:after="0"/>
              <w:jc w:val="left"/>
              <w:rPr/>
            </w:pPr>
            <w:r>
              <w:rPr/>
              <w:t>  </w:t>
            </w:r>
            <w:r>
              <w:rPr>
                <w:rFonts w:ascii="Times New Roman" w:hAnsi="Times New Roman"/>
                <w:sz w:val="14"/>
              </w:rPr>
              <w:t>5,000,005</w:t>
            </w:r>
            <w:r>
              <w:rPr>
                <w:sz w:val="14"/>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Change in value of common stock subject to possible redemption</w:t>
            </w:r>
          </w:p>
        </w:tc>
        <w:tc>
          <w:tcPr>
            <w:tcW w:w="755" w:type="dxa"/>
            <w:tcBorders/>
            <w:shd w:fill="CCEEFF" w:val="clear"/>
            <w:vAlign w:val="center"/>
          </w:tcPr>
          <w:p>
            <w:pPr>
              <w:pStyle w:val="TableContents"/>
              <w:spacing w:before="0" w:after="0"/>
              <w:jc w:val="left"/>
              <w:rPr/>
            </w:pPr>
            <w:r>
              <w:rPr/>
              <w:t>  </w:t>
            </w:r>
            <w:r>
              <w:rPr>
                <w:rFonts w:ascii="Times New Roman" w:hAnsi="Times New Roman"/>
                <w:sz w:val="14"/>
              </w:rPr>
              <w:t>7,053</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sz w:val="14"/>
              </w:rPr>
              <w:t>7</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(367,234)</w:t>
            </w:r>
          </w:p>
        </w:tc>
        <w:tc>
          <w:tcPr>
            <w:tcW w:w="1643" w:type="dxa"/>
            <w:tcBorders/>
            <w:shd w:fill="CCEEFF" w:val="clear"/>
            <w:vAlign w:val="center"/>
          </w:tcPr>
          <w:p>
            <w:pPr>
              <w:pStyle w:val="TableContents"/>
              <w:spacing w:before="0" w:after="0"/>
              <w:jc w:val="left"/>
              <w:rPr/>
            </w:pPr>
            <w:r>
              <w:rPr/>
              <w:t>  — </w:t>
            </w:r>
          </w:p>
        </w:tc>
        <w:tc>
          <w:tcPr>
            <w:tcW w:w="848" w:type="dxa"/>
            <w:tcBorders/>
            <w:shd w:fill="CCEEFF" w:val="clear"/>
            <w:vAlign w:val="center"/>
          </w:tcPr>
          <w:p>
            <w:pPr>
              <w:pStyle w:val="TableContents"/>
              <w:spacing w:before="0" w:after="0"/>
              <w:jc w:val="left"/>
              <w:rPr/>
            </w:pPr>
            <w:r>
              <w:rPr/>
              <w:t>  </w:t>
            </w:r>
            <w:r>
              <w:rPr>
                <w:rFonts w:ascii="Times New Roman" w:hAnsi="Times New Roman"/>
                <w:sz w:val="14"/>
              </w:rPr>
              <w:t>(367,227)</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Capital contribution to Trust Account to extend the date by which the Company is required to consummate a Business Combination</w:t>
            </w:r>
          </w:p>
        </w:tc>
        <w:tc>
          <w:tcPr>
            <w:tcW w:w="755" w:type="dxa"/>
            <w:tcBorders/>
            <w:shd w:fill="CCEEFF" w:val="clear"/>
            <w:vAlign w:val="center"/>
          </w:tcPr>
          <w:p>
            <w:pPr>
              <w:pStyle w:val="TableContents"/>
              <w:spacing w:before="0" w:after="0"/>
              <w:jc w:val="left"/>
              <w:rPr/>
            </w:pPr>
            <w:r>
              <w:rPr/>
              <w:t>  — </w:t>
            </w:r>
          </w:p>
        </w:tc>
        <w:tc>
          <w:tcPr>
            <w:tcW w:w="515" w:type="dxa"/>
            <w:tcBorders/>
            <w:shd w:fill="CCEEFF" w:val="clear"/>
            <w:vAlign w:val="center"/>
          </w:tcPr>
          <w:p>
            <w:pPr>
              <w:pStyle w:val="TableContents"/>
              <w:spacing w:before="0" w:after="0"/>
              <w:jc w:val="left"/>
              <w:rPr/>
            </w:pPr>
            <w:r>
              <w:rPr/>
              <w:t>  — </w:t>
            </w:r>
          </w:p>
        </w:tc>
        <w:tc>
          <w:tcPr>
            <w:tcW w:w="770" w:type="dxa"/>
            <w:tcBorders/>
            <w:shd w:fill="CCEEFF" w:val="clear"/>
            <w:vAlign w:val="center"/>
          </w:tcPr>
          <w:p>
            <w:pPr>
              <w:pStyle w:val="TableContents"/>
              <w:spacing w:before="0" w:after="0"/>
              <w:jc w:val="left"/>
              <w:rPr/>
            </w:pPr>
            <w:r>
              <w:rPr/>
              <w:t>  </w:t>
            </w:r>
            <w:r>
              <w:rPr>
                <w:rFonts w:ascii="Times New Roman" w:hAnsi="Times New Roman"/>
                <w:sz w:val="14"/>
              </w:rPr>
              <w:t>191,209</w:t>
            </w:r>
            <w:r>
              <w:rPr>
                <w:sz w:val="14"/>
              </w:rPr>
              <w:t> </w:t>
            </w:r>
          </w:p>
        </w:tc>
        <w:tc>
          <w:tcPr>
            <w:tcW w:w="1643" w:type="dxa"/>
            <w:tcBorders/>
            <w:shd w:fill="CCEEFF" w:val="clear"/>
            <w:vAlign w:val="center"/>
          </w:tcPr>
          <w:p>
            <w:pPr>
              <w:pStyle w:val="TableContents"/>
              <w:spacing w:before="0" w:after="0"/>
              <w:jc w:val="left"/>
              <w:rPr/>
            </w:pPr>
            <w:r>
              <w:rPr/>
              <w:t>  — </w:t>
            </w:r>
          </w:p>
        </w:tc>
        <w:tc>
          <w:tcPr>
            <w:tcW w:w="848" w:type="dxa"/>
            <w:tcBorders/>
            <w:shd w:fill="CCEEFF" w:val="clear"/>
            <w:vAlign w:val="center"/>
          </w:tcPr>
          <w:p>
            <w:pPr>
              <w:pStyle w:val="TableContents"/>
              <w:spacing w:before="0" w:after="0"/>
              <w:jc w:val="left"/>
              <w:rPr/>
            </w:pPr>
            <w:r>
              <w:rPr/>
              <w:t>  </w:t>
            </w:r>
            <w:r>
              <w:rPr>
                <w:rFonts w:ascii="Times New Roman" w:hAnsi="Times New Roman"/>
                <w:sz w:val="14"/>
              </w:rPr>
              <w:t>191,209</w:t>
            </w:r>
            <w:r>
              <w:rPr>
                <w:sz w:val="14"/>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sz w:val="14"/>
              </w:rPr>
            </w:pPr>
            <w:r>
              <w:rPr>
                <w:rFonts w:ascii="Times New Roman" w:hAnsi="Times New Roman"/>
                <w:sz w:val="14"/>
              </w:rPr>
              <w:t>Net income</w:t>
            </w:r>
          </w:p>
        </w:tc>
        <w:tc>
          <w:tcPr>
            <w:tcW w:w="75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5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7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1643"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176,021</w:t>
            </w:r>
            <w:r>
              <w:rPr>
                <w:sz w:val="14"/>
              </w:rPr>
              <w:t> </w:t>
            </w:r>
          </w:p>
        </w:tc>
        <w:tc>
          <w:tcPr>
            <w:tcW w:w="848"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4"/>
                <w:bdr w:val="single" w:sz="12" w:space="1" w:color="000000"/>
              </w:rPr>
              <w:t>176,021</w:t>
            </w:r>
            <w:r>
              <w:rPr>
                <w:sz w:val="14"/>
              </w:rPr>
              <w:t> </w:t>
            </w:r>
          </w:p>
        </w:tc>
      </w:tr>
      <w:tr>
        <w:trPr/>
        <w:tc>
          <w:tcPr>
            <w:tcW w:w="5674"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jc w:val="left"/>
              <w:rPr/>
            </w:pPr>
            <w:r>
              <w:rPr/>
              <w:t>    </w:t>
            </w:r>
          </w:p>
        </w:tc>
        <w:tc>
          <w:tcPr>
            <w:tcW w:w="515" w:type="dxa"/>
            <w:tcBorders/>
            <w:shd w:fill="auto" w:val="clear"/>
            <w:vAlign w:val="center"/>
          </w:tcPr>
          <w:p>
            <w:pPr>
              <w:pStyle w:val="TableContents"/>
              <w:spacing w:before="0" w:after="0"/>
              <w:jc w:val="left"/>
              <w:rPr/>
            </w:pPr>
            <w:r>
              <w:rPr/>
              <w:t>    </w:t>
            </w:r>
          </w:p>
        </w:tc>
        <w:tc>
          <w:tcPr>
            <w:tcW w:w="770" w:type="dxa"/>
            <w:tcBorders/>
            <w:shd w:fill="auto" w:val="clear"/>
            <w:vAlign w:val="center"/>
          </w:tcPr>
          <w:p>
            <w:pPr>
              <w:pStyle w:val="TableContents"/>
              <w:spacing w:before="0" w:after="0"/>
              <w:jc w:val="left"/>
              <w:rPr/>
            </w:pPr>
            <w:r>
              <w:rPr/>
              <w:t>    </w:t>
            </w:r>
          </w:p>
        </w:tc>
        <w:tc>
          <w:tcPr>
            <w:tcW w:w="1643" w:type="dxa"/>
            <w:tcBorders/>
            <w:shd w:fill="auto" w:val="clear"/>
            <w:vAlign w:val="center"/>
          </w:tcPr>
          <w:p>
            <w:pPr>
              <w:pStyle w:val="TableContents"/>
              <w:spacing w:before="0" w:after="0"/>
              <w:jc w:val="left"/>
              <w:rPr/>
            </w:pPr>
            <w:r>
              <w:rPr/>
              <w:t>    </w:t>
            </w:r>
          </w:p>
        </w:tc>
        <w:tc>
          <w:tcPr>
            <w:tcW w:w="848" w:type="dxa"/>
            <w:tcBorders/>
            <w:shd w:fill="auto" w:val="clear"/>
            <w:vAlign w:val="center"/>
          </w:tcPr>
          <w:p>
            <w:pPr>
              <w:pStyle w:val="TableContents"/>
              <w:spacing w:before="0" w:after="0"/>
              <w:jc w:val="left"/>
              <w:rPr/>
            </w:pPr>
            <w:r>
              <w:rPr/>
              <w:t>    </w:t>
            </w:r>
          </w:p>
        </w:tc>
      </w:tr>
      <w:tr>
        <w:trPr/>
        <w:tc>
          <w:tcPr>
            <w:tcW w:w="5674" w:type="dxa"/>
            <w:tcBorders/>
            <w:shd w:fill="CCEEFF" w:val="clear"/>
            <w:vAlign w:val="center"/>
          </w:tcPr>
          <w:p>
            <w:pPr>
              <w:pStyle w:val="TableContents"/>
              <w:spacing w:before="0" w:after="0"/>
              <w:ind w:left="180" w:right="0" w:hanging="180"/>
              <w:jc w:val="left"/>
              <w:rPr>
                <w:rFonts w:ascii="Times New Roman" w:hAnsi="Times New Roman"/>
                <w:b/>
                <w:sz w:val="14"/>
              </w:rPr>
            </w:pPr>
            <w:r>
              <w:rPr>
                <w:rFonts w:ascii="Times New Roman" w:hAnsi="Times New Roman"/>
                <w:b/>
                <w:sz w:val="14"/>
              </w:rPr>
              <w:t>Balance – June 30, 2019 (unaudited)</w:t>
            </w:r>
          </w:p>
        </w:tc>
        <w:tc>
          <w:tcPr>
            <w:tcW w:w="75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b/>
                <w:sz w:val="14"/>
                <w:bdr w:val="double" w:sz="8" w:space="1" w:color="000000"/>
              </w:rPr>
              <w:t>2,801,350</w:t>
            </w:r>
            <w:r>
              <w:rPr>
                <w:sz w:val="14"/>
              </w:rPr>
              <w:t> </w:t>
            </w:r>
          </w:p>
        </w:tc>
        <w:tc>
          <w:tcPr>
            <w:tcW w:w="515"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$2,801</w:t>
            </w:r>
            <w:r>
              <w:rPr>
                <w:sz w:val="14"/>
              </w:rPr>
              <w:t> </w:t>
            </w:r>
          </w:p>
        </w:tc>
        <w:tc>
          <w:tcPr>
            <w:tcW w:w="770"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$4,672,153</w:t>
            </w:r>
            <w:r>
              <w:rPr>
                <w:sz w:val="14"/>
              </w:rPr>
              <w:t> </w:t>
            </w:r>
          </w:p>
        </w:tc>
        <w:tc>
          <w:tcPr>
            <w:tcW w:w="1643"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$325,054</w:t>
            </w:r>
            <w:r>
              <w:rPr>
                <w:sz w:val="14"/>
              </w:rPr>
              <w:t> </w:t>
            </w:r>
          </w:p>
        </w:tc>
        <w:tc>
          <w:tcPr>
            <w:tcW w:w="848" w:type="dxa"/>
            <w:tcBorders/>
            <w:shd w:fill="CCEEFF" w:val="clear"/>
            <w:vAlign w:val="center"/>
          </w:tcPr>
          <w:p>
            <w:pPr>
              <w:pStyle w:val="TableContents"/>
              <w:spacing w:before="0" w:after="0"/>
              <w:jc w:val="left"/>
              <w:rPr/>
            </w:pPr>
            <w:r>
              <w:rPr/>
              <w:t> </w:t>
            </w:r>
            <w:r>
              <w:rPr>
                <w:rFonts w:ascii="Times New Roman" w:hAnsi="Times New Roman"/>
                <w:b/>
                <w:sz w:val="14"/>
                <w:bdr w:val="double" w:sz="8" w:space="1" w:color="000000"/>
              </w:rPr>
              <w:t>$5,000,008</w:t>
            </w:r>
            <w:r>
              <w:rPr>
                <w:sz w:val="14"/>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The accompanying notes are an integral part of the condensed financial statements.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4"/>
      <w:bookmarkStart w:id="24" w:name="pgbrk4"/>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5" w:name="ftr3"/>
      <w:bookmarkEnd w:id="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6" w:name="pn1"/>
      <w:bookmarkEnd w:id="26"/>
      <w:r>
        <w:rPr>
          <w:rFonts w:ascii="Times New Roman" w:hAnsi="Times New Roman"/>
          <w:sz w:val="15"/>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 w:name="pb3"/>
      <w:bookmarkStart w:id="28" w:name="pb3"/>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9" w:name="hdr4"/>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Condensed Statements of Cash Flows</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tbl>
      <w:tblPr>
        <w:tblW w:w="6300" w:type="dxa"/>
        <w:jc w:val="left"/>
        <w:tblInd w:w="0" w:type="dxa"/>
        <w:tblCellMar>
          <w:top w:w="0" w:type="dxa"/>
          <w:left w:w="0" w:type="dxa"/>
          <w:bottom w:w="0" w:type="dxa"/>
          <w:right w:w="0" w:type="dxa"/>
        </w:tblCellMar>
      </w:tblPr>
      <w:tblGrid>
        <w:gridCol w:w="4640"/>
        <w:gridCol w:w="920"/>
        <w:gridCol w:w="740"/>
      </w:tblGrid>
      <w:tr>
        <w:trPr/>
        <w:tc>
          <w:tcPr>
            <w:tcW w:w="4640" w:type="dxa"/>
            <w:tcBorders/>
            <w:shd w:fill="auto" w:val="clear"/>
            <w:vAlign w:val="center"/>
          </w:tcPr>
          <w:p>
            <w:pPr>
              <w:pStyle w:val="TableContents"/>
              <w:spacing w:before="0" w:after="0"/>
              <w:ind w:left="0" w:right="0" w:hanging="0"/>
              <w:rPr/>
            </w:pPr>
            <w:r>
              <w:rPr/>
              <w:t> </w:t>
            </w:r>
          </w:p>
        </w:tc>
        <w:tc>
          <w:tcPr>
            <w:tcW w:w="1660"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Six Months Ended June 30,</w:t>
            </w:r>
          </w:p>
          <w:p>
            <w:pPr>
              <w:pStyle w:val="TableContents"/>
              <w:spacing w:before="0" w:after="0"/>
              <w:jc w:val="left"/>
              <w:rPr/>
            </w:pPr>
            <w:r>
              <w:rPr/>
              <w:t> </w:t>
            </w:r>
          </w:p>
        </w:tc>
      </w:tr>
      <w:tr>
        <w:trPr/>
        <w:tc>
          <w:tcPr>
            <w:tcW w:w="4640" w:type="dxa"/>
            <w:tcBorders/>
            <w:shd w:fill="auto" w:val="clear"/>
            <w:vAlign w:val="center"/>
          </w:tcPr>
          <w:p>
            <w:pPr>
              <w:pStyle w:val="TableContents"/>
              <w:spacing w:before="0" w:after="0"/>
              <w:ind w:left="0" w:right="0" w:hanging="0"/>
              <w:rPr/>
            </w:pPr>
            <w:r>
              <w:rPr/>
              <w:t> </w:t>
            </w:r>
          </w:p>
        </w:tc>
        <w:tc>
          <w:tcPr>
            <w:tcW w:w="92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74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Cash Flows from Operating Activities:</w:t>
            </w:r>
          </w:p>
        </w:tc>
        <w:tc>
          <w:tcPr>
            <w:tcW w:w="92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4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Net income</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$363,986</w:t>
            </w:r>
            <w:r>
              <w:rPr/>
              <w:t> </w:t>
            </w:r>
          </w:p>
        </w:tc>
        <w:tc>
          <w:tcPr>
            <w:tcW w:w="740" w:type="dxa"/>
            <w:tcBorders/>
            <w:shd w:fill="FFFFFF" w:val="clear"/>
            <w:vAlign w:val="center"/>
          </w:tcPr>
          <w:p>
            <w:pPr>
              <w:pStyle w:val="TableContents"/>
              <w:spacing w:before="0" w:after="0"/>
              <w:jc w:val="left"/>
              <w:rPr/>
            </w:pPr>
            <w:r>
              <w:rPr/>
              <w:t> </w:t>
            </w:r>
            <w:r>
              <w:rPr>
                <w:rFonts w:ascii="Times New Roman" w:hAnsi="Times New Roman"/>
                <w:sz w:val="15"/>
              </w:rPr>
              <w:t>$8,879</w:t>
            </w: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Adjustments to reconcile net income to net cash used in operating activities:</w:t>
            </w:r>
          </w:p>
        </w:tc>
        <w:tc>
          <w:tcPr>
            <w:tcW w:w="920" w:type="dxa"/>
            <w:tcBorders/>
            <w:shd w:fill="CCEEFF" w:val="clear"/>
            <w:vAlign w:val="center"/>
          </w:tcPr>
          <w:p>
            <w:pPr>
              <w:pStyle w:val="TableContents"/>
              <w:spacing w:before="0" w:after="0"/>
              <w:jc w:val="left"/>
              <w:rPr/>
            </w:pPr>
            <w:r>
              <w:rPr/>
              <w:t>    </w:t>
            </w:r>
          </w:p>
        </w:tc>
        <w:tc>
          <w:tcPr>
            <w:tcW w:w="740" w:type="dxa"/>
            <w:tcBorders/>
            <w:shd w:fill="CCEEFF" w:val="clear"/>
            <w:vAlign w:val="center"/>
          </w:tcPr>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Interest earned on cash and marketable securities held in Trust Account</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(775,301)</w:t>
            </w:r>
          </w:p>
        </w:tc>
        <w:tc>
          <w:tcPr>
            <w:tcW w:w="740" w:type="dxa"/>
            <w:tcBorders/>
            <w:shd w:fill="FFFFFF" w:val="clear"/>
            <w:vAlign w:val="center"/>
          </w:tcPr>
          <w:p>
            <w:pPr>
              <w:pStyle w:val="TableContents"/>
              <w:spacing w:before="0" w:after="0"/>
              <w:jc w:val="left"/>
              <w:rPr/>
            </w:pPr>
            <w:r>
              <w:rPr/>
              <w:t>  </w:t>
            </w:r>
            <w:r>
              <w:rPr>
                <w:rFonts w:ascii="Times New Roman" w:hAnsi="Times New Roman"/>
                <w:sz w:val="15"/>
              </w:rPr>
              <w:t>(486,051)</w:t>
            </w:r>
          </w:p>
        </w:tc>
      </w:tr>
      <w:tr>
        <w:trPr/>
        <w:tc>
          <w:tcPr>
            <w:tcW w:w="4640" w:type="dxa"/>
            <w:tcBorders/>
            <w:shd w:fill="CCEE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Unrealized gain on marketable securities held in Trust Account</w:t>
            </w:r>
          </w:p>
        </w:tc>
        <w:tc>
          <w:tcPr>
            <w:tcW w:w="920" w:type="dxa"/>
            <w:tcBorders/>
            <w:shd w:fill="CCEEFF" w:val="clear"/>
            <w:vAlign w:val="center"/>
          </w:tcPr>
          <w:p>
            <w:pPr>
              <w:pStyle w:val="TableContents"/>
              <w:spacing w:before="0" w:after="0"/>
              <w:jc w:val="left"/>
              <w:rPr/>
            </w:pPr>
            <w:r>
              <w:rPr/>
              <w:t>  — </w:t>
            </w:r>
          </w:p>
        </w:tc>
        <w:tc>
          <w:tcPr>
            <w:tcW w:w="740" w:type="dxa"/>
            <w:tcBorders/>
            <w:shd w:fill="CCEEFF" w:val="clear"/>
            <w:vAlign w:val="center"/>
          </w:tcPr>
          <w:p>
            <w:pPr>
              <w:pStyle w:val="TableContents"/>
              <w:spacing w:before="0" w:after="0"/>
              <w:jc w:val="left"/>
              <w:rPr/>
            </w:pPr>
            <w:r>
              <w:rPr/>
              <w:t>  </w:t>
            </w:r>
            <w:r>
              <w:rPr>
                <w:rFonts w:ascii="Times New Roman" w:hAnsi="Times New Roman"/>
                <w:sz w:val="15"/>
              </w:rPr>
              <w:t>(75)</w:t>
            </w:r>
          </w:p>
        </w:tc>
      </w:tr>
      <w:tr>
        <w:trPr/>
        <w:tc>
          <w:tcPr>
            <w:tcW w:w="4640" w:type="dxa"/>
            <w:tcBorders/>
            <w:shd w:fill="FFFFFF" w:val="clear"/>
            <w:vAlign w:val="center"/>
          </w:tcPr>
          <w:p>
            <w:pPr>
              <w:pStyle w:val="TableContents"/>
              <w:spacing w:before="0" w:after="0"/>
              <w:ind w:left="540" w:right="0" w:hanging="360"/>
              <w:jc w:val="left"/>
              <w:rPr>
                <w:rFonts w:ascii="Times New Roman" w:hAnsi="Times New Roman"/>
                <w:sz w:val="15"/>
              </w:rPr>
            </w:pPr>
            <w:r>
              <w:rPr>
                <w:rFonts w:ascii="Times New Roman" w:hAnsi="Times New Roman"/>
                <w:sz w:val="15"/>
              </w:rPr>
              <w:t>Changes in operating assets and liabilities:</w:t>
            </w:r>
          </w:p>
        </w:tc>
        <w:tc>
          <w:tcPr>
            <w:tcW w:w="920" w:type="dxa"/>
            <w:tcBorders/>
            <w:shd w:fill="FFFFFF" w:val="clear"/>
            <w:vAlign w:val="center"/>
          </w:tcPr>
          <w:p>
            <w:pPr>
              <w:pStyle w:val="TableContents"/>
              <w:spacing w:before="0" w:after="0"/>
              <w:jc w:val="left"/>
              <w:rPr/>
            </w:pPr>
            <w:r>
              <w:rPr/>
              <w:t>    </w:t>
            </w:r>
          </w:p>
        </w:tc>
        <w:tc>
          <w:tcPr>
            <w:tcW w:w="740" w:type="dxa"/>
            <w:tcBorders/>
            <w:shd w:fill="FFFFFF" w:val="clear"/>
            <w:vAlign w:val="center"/>
          </w:tcPr>
          <w:p>
            <w:pPr>
              <w:pStyle w:val="TableContents"/>
              <w:spacing w:before="0" w:after="0"/>
              <w:jc w:val="left"/>
              <w:rPr/>
            </w:pPr>
            <w:r>
              <w:rPr/>
              <w:t>    </w:t>
            </w:r>
          </w:p>
        </w:tc>
      </w:tr>
      <w:tr>
        <w:trPr/>
        <w:tc>
          <w:tcPr>
            <w:tcW w:w="4640" w:type="dxa"/>
            <w:tcBorders/>
            <w:shd w:fill="CCEEFF" w:val="clear"/>
            <w:vAlign w:val="center"/>
          </w:tcPr>
          <w:p>
            <w:pPr>
              <w:pStyle w:val="TableContents"/>
              <w:spacing w:before="0" w:after="0"/>
              <w:ind w:left="720" w:right="0" w:hanging="360"/>
              <w:jc w:val="left"/>
              <w:rPr>
                <w:rFonts w:ascii="Times New Roman" w:hAnsi="Times New Roman"/>
                <w:sz w:val="15"/>
              </w:rPr>
            </w:pPr>
            <w:r>
              <w:rPr>
                <w:rFonts w:ascii="Times New Roman" w:hAnsi="Times New Roman"/>
                <w:sz w:val="15"/>
              </w:rPr>
              <w:t>Prepaid expenses and other current assets</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(20,769)</w:t>
            </w:r>
          </w:p>
        </w:tc>
        <w:tc>
          <w:tcPr>
            <w:tcW w:w="740" w:type="dxa"/>
            <w:tcBorders/>
            <w:shd w:fill="CCEEFF" w:val="clear"/>
            <w:vAlign w:val="center"/>
          </w:tcPr>
          <w:p>
            <w:pPr>
              <w:pStyle w:val="TableContents"/>
              <w:spacing w:before="0" w:after="0"/>
              <w:jc w:val="left"/>
              <w:rPr/>
            </w:pPr>
            <w:r>
              <w:rPr/>
              <w:t>  </w:t>
            </w:r>
            <w:r>
              <w:rPr>
                <w:rFonts w:ascii="Times New Roman" w:hAnsi="Times New Roman"/>
                <w:sz w:val="15"/>
              </w:rPr>
              <w:t>10,569</w:t>
            </w:r>
            <w:r>
              <w:rPr/>
              <w:t> </w:t>
            </w:r>
          </w:p>
        </w:tc>
      </w:tr>
      <w:tr>
        <w:trPr/>
        <w:tc>
          <w:tcPr>
            <w:tcW w:w="4640" w:type="dxa"/>
            <w:tcBorders/>
            <w:shd w:fill="FFFFFF" w:val="clear"/>
            <w:vAlign w:val="center"/>
          </w:tcPr>
          <w:p>
            <w:pPr>
              <w:pStyle w:val="TableContents"/>
              <w:spacing w:before="0" w:after="0"/>
              <w:ind w:left="720" w:right="0" w:hanging="360"/>
              <w:jc w:val="left"/>
              <w:rPr>
                <w:rFonts w:ascii="Times New Roman" w:hAnsi="Times New Roman"/>
                <w:sz w:val="15"/>
              </w:rPr>
            </w:pPr>
            <w:r>
              <w:rPr>
                <w:rFonts w:ascii="Times New Roman" w:hAnsi="Times New Roman"/>
                <w:sz w:val="15"/>
              </w:rPr>
              <w:t>Accounts payable and accrued expenses</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(118,651)</w:t>
            </w:r>
          </w:p>
        </w:tc>
        <w:tc>
          <w:tcPr>
            <w:tcW w:w="740" w:type="dxa"/>
            <w:tcBorders/>
            <w:shd w:fill="FFFFFF" w:val="clear"/>
            <w:vAlign w:val="center"/>
          </w:tcPr>
          <w:p>
            <w:pPr>
              <w:pStyle w:val="TableContents"/>
              <w:spacing w:before="0" w:after="0"/>
              <w:jc w:val="left"/>
              <w:rPr/>
            </w:pPr>
            <w:r>
              <w:rPr/>
              <w:t>  </w:t>
            </w:r>
            <w:r>
              <w:rPr>
                <w:rFonts w:ascii="Times New Roman" w:hAnsi="Times New Roman"/>
                <w:sz w:val="15"/>
              </w:rPr>
              <w:t>118,715</w:t>
            </w:r>
            <w:r>
              <w:rPr/>
              <w:t> </w:t>
            </w:r>
          </w:p>
        </w:tc>
      </w:tr>
      <w:tr>
        <w:trPr/>
        <w:tc>
          <w:tcPr>
            <w:tcW w:w="4640" w:type="dxa"/>
            <w:tcBorders/>
            <w:shd w:fill="CCEEFF" w:val="clear"/>
            <w:vAlign w:val="center"/>
          </w:tcPr>
          <w:p>
            <w:pPr>
              <w:pStyle w:val="TableContents"/>
              <w:spacing w:before="0" w:after="0"/>
              <w:ind w:left="720" w:right="0" w:hanging="360"/>
              <w:jc w:val="left"/>
              <w:rPr>
                <w:rFonts w:ascii="Times New Roman" w:hAnsi="Times New Roman"/>
                <w:sz w:val="15"/>
              </w:rPr>
            </w:pPr>
            <w:r>
              <w:rPr>
                <w:rFonts w:ascii="Times New Roman" w:hAnsi="Times New Roman"/>
                <w:sz w:val="15"/>
              </w:rPr>
              <w:t>Income taxes payable</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72,392</w:t>
            </w:r>
            <w:r>
              <w:rPr/>
              <w:t> </w:t>
            </w:r>
          </w:p>
        </w:tc>
        <w:tc>
          <w:tcPr>
            <w:tcW w:w="74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13,063</w:t>
            </w:r>
            <w:r>
              <w:rPr/>
              <w:t> </w:t>
            </w:r>
          </w:p>
        </w:tc>
      </w:tr>
      <w:tr>
        <w:trPr/>
        <w:tc>
          <w:tcPr>
            <w:tcW w:w="4640" w:type="dxa"/>
            <w:tcBorders/>
            <w:shd w:fill="FFFFFF" w:val="clear"/>
            <w:vAlign w:val="center"/>
          </w:tcPr>
          <w:p>
            <w:pPr>
              <w:pStyle w:val="TableContents"/>
              <w:spacing w:before="0" w:after="0"/>
              <w:ind w:left="900" w:right="0" w:hanging="360"/>
              <w:jc w:val="left"/>
              <w:rPr>
                <w:rFonts w:ascii="Times New Roman" w:hAnsi="Times New Roman"/>
                <w:b/>
                <w:sz w:val="15"/>
              </w:rPr>
            </w:pPr>
            <w:r>
              <w:rPr>
                <w:rFonts w:ascii="Times New Roman" w:hAnsi="Times New Roman"/>
                <w:b/>
                <w:sz w:val="15"/>
              </w:rPr>
              <w:t>Net cash used in operating activities</w:t>
            </w:r>
          </w:p>
        </w:tc>
        <w:tc>
          <w:tcPr>
            <w:tcW w:w="92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(478,343</w:t>
            </w:r>
            <w:r>
              <w:rPr>
                <w:rFonts w:ascii="Times New Roman" w:hAnsi="Times New Roman"/>
                <w:b/>
                <w:sz w:val="15"/>
              </w:rPr>
              <w:t>)</w:t>
            </w:r>
          </w:p>
        </w:tc>
        <w:tc>
          <w:tcPr>
            <w:tcW w:w="74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(334,900</w:t>
            </w:r>
            <w:r>
              <w:rPr>
                <w:rFonts w:ascii="Times New Roman" w:hAnsi="Times New Roman"/>
                <w:b/>
                <w:sz w:val="15"/>
              </w:rPr>
              <w:t>)</w:t>
            </w:r>
          </w:p>
        </w:tc>
      </w:tr>
      <w:tr>
        <w:trPr/>
        <w:tc>
          <w:tcPr>
            <w:tcW w:w="4640" w:type="dxa"/>
            <w:tcBorders/>
            <w:shd w:fill="CCEEFF" w:val="clear"/>
            <w:vAlign w:val="center"/>
          </w:tcPr>
          <w:p>
            <w:pPr>
              <w:pStyle w:val="TableContents"/>
              <w:spacing w:before="0" w:after="0"/>
              <w:ind w:left="0" w:right="0" w:hanging="0"/>
              <w:rPr/>
            </w:pPr>
            <w:r>
              <w:rPr/>
              <w:t> </w:t>
            </w:r>
          </w:p>
        </w:tc>
        <w:tc>
          <w:tcPr>
            <w:tcW w:w="920" w:type="dxa"/>
            <w:tcBorders/>
            <w:shd w:fill="CCEEFF" w:val="clear"/>
            <w:vAlign w:val="center"/>
          </w:tcPr>
          <w:p>
            <w:pPr>
              <w:pStyle w:val="TableContents"/>
              <w:spacing w:before="0" w:after="0"/>
              <w:jc w:val="left"/>
              <w:rPr/>
            </w:pPr>
            <w:r>
              <w:rPr/>
              <w:t>    </w:t>
            </w:r>
          </w:p>
        </w:tc>
        <w:tc>
          <w:tcPr>
            <w:tcW w:w="740" w:type="dxa"/>
            <w:tcBorders/>
            <w:shd w:fill="CCEEFF" w:val="clear"/>
            <w:vAlign w:val="center"/>
          </w:tcPr>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Cash Flows from Investing Activities:</w:t>
            </w:r>
          </w:p>
        </w:tc>
        <w:tc>
          <w:tcPr>
            <w:tcW w:w="920" w:type="dxa"/>
            <w:tcBorders/>
            <w:shd w:fill="FFFFFF" w:val="clear"/>
            <w:vAlign w:val="center"/>
          </w:tcPr>
          <w:p>
            <w:pPr>
              <w:pStyle w:val="TableContents"/>
              <w:spacing w:before="0" w:after="0"/>
              <w:jc w:val="left"/>
              <w:rPr/>
            </w:pPr>
            <w:r>
              <w:rPr/>
              <w:t>    </w:t>
            </w:r>
          </w:p>
        </w:tc>
        <w:tc>
          <w:tcPr>
            <w:tcW w:w="740" w:type="dxa"/>
            <w:tcBorders/>
            <w:shd w:fill="FFFFFF" w:val="clear"/>
            <w:vAlign w:val="center"/>
          </w:tcPr>
          <w:p>
            <w:pPr>
              <w:pStyle w:val="TableContents"/>
              <w:spacing w:before="0" w:after="0"/>
              <w:jc w:val="left"/>
              <w:rPr/>
            </w:pP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Cash withdrawn from Trust Account</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22,099,233</w:t>
            </w:r>
            <w:r>
              <w:rPr/>
              <w:t> </w:t>
            </w:r>
          </w:p>
        </w:tc>
        <w:tc>
          <w:tcPr>
            <w:tcW w:w="740" w:type="dxa"/>
            <w:tcBorders/>
            <w:shd w:fill="CCEEFF" w:val="clear"/>
            <w:vAlign w:val="center"/>
          </w:tcPr>
          <w:p>
            <w:pPr>
              <w:pStyle w:val="TableContents"/>
              <w:spacing w:before="0" w:after="0"/>
              <w:jc w:val="left"/>
              <w:rPr/>
            </w:pPr>
            <w:r>
              <w:rPr/>
              <w:t>  —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Investment of cash in Trust Account</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(690,000)</w:t>
            </w:r>
          </w:p>
        </w:tc>
        <w:tc>
          <w:tcPr>
            <w:tcW w:w="740" w:type="dxa"/>
            <w:tcBorders/>
            <w:shd w:fill="FFFFFF" w:val="clear"/>
            <w:vAlign w:val="center"/>
          </w:tcPr>
          <w:p>
            <w:pPr>
              <w:pStyle w:val="TableContents"/>
              <w:spacing w:before="0" w:after="0"/>
              <w:jc w:val="left"/>
              <w:rPr/>
            </w:pPr>
            <w:r>
              <w:rPr/>
              <w:t>  —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Cash withdrawn from Trust Account to pay franchise taxes</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261,793</w:t>
            </w:r>
            <w:r>
              <w:rPr/>
              <w:t> </w:t>
            </w:r>
          </w:p>
        </w:tc>
        <w:tc>
          <w:tcPr>
            <w:tcW w:w="74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32,639</w:t>
            </w:r>
            <w:r>
              <w:rPr/>
              <w:t> </w:t>
            </w:r>
          </w:p>
        </w:tc>
      </w:tr>
      <w:tr>
        <w:trPr/>
        <w:tc>
          <w:tcPr>
            <w:tcW w:w="4640" w:type="dxa"/>
            <w:tcBorders/>
            <w:shd w:fill="FFFFFF" w:val="clear"/>
            <w:vAlign w:val="center"/>
          </w:tcPr>
          <w:p>
            <w:pPr>
              <w:pStyle w:val="TableContents"/>
              <w:spacing w:before="0" w:after="0"/>
              <w:ind w:left="900" w:right="0" w:hanging="360"/>
              <w:jc w:val="left"/>
              <w:rPr>
                <w:rFonts w:ascii="Times New Roman" w:hAnsi="Times New Roman"/>
                <w:b/>
                <w:sz w:val="15"/>
              </w:rPr>
            </w:pPr>
            <w:r>
              <w:rPr>
                <w:rFonts w:ascii="Times New Roman" w:hAnsi="Times New Roman"/>
                <w:b/>
                <w:sz w:val="15"/>
              </w:rPr>
              <w:t>Net cash provided by investing activities</w:t>
            </w:r>
          </w:p>
        </w:tc>
        <w:tc>
          <w:tcPr>
            <w:tcW w:w="92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21,671,026</w:t>
            </w:r>
            <w:r>
              <w:rPr/>
              <w:t> </w:t>
            </w:r>
          </w:p>
        </w:tc>
        <w:tc>
          <w:tcPr>
            <w:tcW w:w="74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32,639</w:t>
            </w:r>
            <w:r>
              <w:rPr/>
              <w:t> </w:t>
            </w:r>
          </w:p>
        </w:tc>
      </w:tr>
      <w:tr>
        <w:trPr/>
        <w:tc>
          <w:tcPr>
            <w:tcW w:w="4640" w:type="dxa"/>
            <w:tcBorders/>
            <w:shd w:fill="CCEEFF" w:val="clear"/>
            <w:vAlign w:val="center"/>
          </w:tcPr>
          <w:p>
            <w:pPr>
              <w:pStyle w:val="TableContents"/>
              <w:spacing w:before="0" w:after="0"/>
              <w:ind w:left="0" w:right="0" w:hanging="0"/>
              <w:rPr/>
            </w:pPr>
            <w:r>
              <w:rPr/>
              <w:t> </w:t>
            </w:r>
          </w:p>
        </w:tc>
        <w:tc>
          <w:tcPr>
            <w:tcW w:w="920" w:type="dxa"/>
            <w:tcBorders/>
            <w:shd w:fill="CCEEFF" w:val="clear"/>
            <w:vAlign w:val="center"/>
          </w:tcPr>
          <w:p>
            <w:pPr>
              <w:pStyle w:val="TableContents"/>
              <w:spacing w:before="0" w:after="0"/>
              <w:jc w:val="left"/>
              <w:rPr/>
            </w:pPr>
            <w:r>
              <w:rPr/>
              <w:t>    </w:t>
            </w:r>
          </w:p>
        </w:tc>
        <w:tc>
          <w:tcPr>
            <w:tcW w:w="740" w:type="dxa"/>
            <w:tcBorders/>
            <w:shd w:fill="CCEEFF" w:val="clear"/>
            <w:vAlign w:val="center"/>
          </w:tcPr>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Cash Flows from Financing Activities:</w:t>
            </w:r>
          </w:p>
        </w:tc>
        <w:tc>
          <w:tcPr>
            <w:tcW w:w="920" w:type="dxa"/>
            <w:tcBorders/>
            <w:shd w:fill="FFFFFF" w:val="clear"/>
            <w:vAlign w:val="center"/>
          </w:tcPr>
          <w:p>
            <w:pPr>
              <w:pStyle w:val="TableContents"/>
              <w:spacing w:before="0" w:after="0"/>
              <w:jc w:val="left"/>
              <w:rPr/>
            </w:pPr>
            <w:r>
              <w:rPr/>
              <w:t>    </w:t>
            </w:r>
          </w:p>
        </w:tc>
        <w:tc>
          <w:tcPr>
            <w:tcW w:w="740" w:type="dxa"/>
            <w:tcBorders/>
            <w:shd w:fill="FFFFFF" w:val="clear"/>
            <w:vAlign w:val="center"/>
          </w:tcPr>
          <w:p>
            <w:pPr>
              <w:pStyle w:val="TableContents"/>
              <w:spacing w:before="0" w:after="0"/>
              <w:jc w:val="left"/>
              <w:rPr/>
            </w:pP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Proceeds from promissory notes</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690,000</w:t>
              <w:br/>
            </w:r>
            <w:r>
              <w:rPr/>
              <w:t> </w:t>
            </w:r>
          </w:p>
        </w:tc>
        <w:tc>
          <w:tcPr>
            <w:tcW w:w="740" w:type="dxa"/>
            <w:tcBorders/>
            <w:shd w:fill="CCEEFF" w:val="clear"/>
            <w:vAlign w:val="center"/>
          </w:tcPr>
          <w:p>
            <w:pPr>
              <w:pStyle w:val="TableContents"/>
              <w:spacing w:before="0" w:after="0"/>
              <w:jc w:val="left"/>
              <w:rPr/>
            </w:pPr>
            <w:r>
              <w:rPr/>
              <w:t>  —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Proceeds from promissory note - related party</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271,865</w:t>
              <w:br/>
            </w:r>
            <w:r>
              <w:rPr/>
              <w:t> </w:t>
            </w:r>
          </w:p>
        </w:tc>
        <w:tc>
          <w:tcPr>
            <w:tcW w:w="740" w:type="dxa"/>
            <w:tcBorders/>
            <w:shd w:fill="FFFFFF" w:val="clear"/>
            <w:vAlign w:val="center"/>
          </w:tcPr>
          <w:p>
            <w:pPr>
              <w:pStyle w:val="TableContents"/>
              <w:spacing w:before="0" w:after="0"/>
              <w:jc w:val="left"/>
              <w:rPr/>
            </w:pPr>
            <w:r>
              <w:rPr/>
              <w:t>  —</w:t>
            </w:r>
            <w:r>
              <w:rPr>
                <w:rFonts w:ascii="Times New Roman" w:hAnsi="Times New Roman"/>
                <w:sz w:val="15"/>
              </w:rPr>
              <w:br/>
            </w: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Repayment of promissory note - related party</w:t>
            </w:r>
          </w:p>
        </w:tc>
        <w:tc>
          <w:tcPr>
            <w:tcW w:w="920" w:type="dxa"/>
            <w:tcBorders/>
            <w:shd w:fill="CCEEFF" w:val="clear"/>
            <w:vAlign w:val="center"/>
          </w:tcPr>
          <w:p>
            <w:pPr>
              <w:pStyle w:val="TableContents"/>
              <w:spacing w:before="0" w:after="0"/>
              <w:jc w:val="left"/>
              <w:rPr/>
            </w:pPr>
            <w:r>
              <w:rPr/>
              <w:t>  </w:t>
            </w:r>
            <w:r>
              <w:rPr>
                <w:rFonts w:ascii="Times New Roman" w:hAnsi="Times New Roman"/>
                <w:sz w:val="15"/>
              </w:rPr>
              <w:t>(65,000)</w:t>
            </w:r>
          </w:p>
        </w:tc>
        <w:tc>
          <w:tcPr>
            <w:tcW w:w="740" w:type="dxa"/>
            <w:tcBorders/>
            <w:shd w:fill="CCEEFF" w:val="clear"/>
            <w:vAlign w:val="center"/>
          </w:tcPr>
          <w:p>
            <w:pPr>
              <w:pStyle w:val="TableContents"/>
              <w:spacing w:before="0" w:after="0"/>
              <w:jc w:val="left"/>
              <w:rPr/>
            </w:pPr>
            <w:r>
              <w:rPr/>
              <w:t>  —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Redemption of common stock</w:t>
            </w:r>
          </w:p>
        </w:tc>
        <w:tc>
          <w:tcPr>
            <w:tcW w:w="920" w:type="dxa"/>
            <w:tcBorders/>
            <w:shd w:fill="FFFFFF" w:val="clear"/>
            <w:vAlign w:val="center"/>
          </w:tcPr>
          <w:p>
            <w:pPr>
              <w:pStyle w:val="TableContents"/>
              <w:spacing w:before="0" w:after="0"/>
              <w:jc w:val="left"/>
              <w:rPr/>
            </w:pPr>
            <w:r>
              <w:rPr/>
              <w:t>  </w:t>
            </w:r>
            <w:r>
              <w:rPr>
                <w:rFonts w:ascii="Times New Roman" w:hAnsi="Times New Roman"/>
                <w:sz w:val="15"/>
              </w:rPr>
              <w:t>(22,099,233)</w:t>
            </w:r>
          </w:p>
        </w:tc>
        <w:tc>
          <w:tcPr>
            <w:tcW w:w="740" w:type="dxa"/>
            <w:tcBorders/>
            <w:shd w:fill="FFFFFF" w:val="clear"/>
            <w:vAlign w:val="center"/>
          </w:tcPr>
          <w:p>
            <w:pPr>
              <w:pStyle w:val="TableContents"/>
              <w:spacing w:before="0" w:after="0"/>
              <w:jc w:val="left"/>
              <w:rPr/>
            </w:pPr>
            <w:r>
              <w:rPr/>
              <w:t>  —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Payment of offering costs</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74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(7,500</w:t>
            </w:r>
            <w:r>
              <w:rPr>
                <w:rFonts w:ascii="Times New Roman" w:hAnsi="Times New Roman"/>
                <w:sz w:val="15"/>
              </w:rPr>
              <w:t>)</w:t>
            </w:r>
          </w:p>
        </w:tc>
      </w:tr>
      <w:tr>
        <w:trPr/>
        <w:tc>
          <w:tcPr>
            <w:tcW w:w="4640" w:type="dxa"/>
            <w:tcBorders/>
            <w:shd w:fill="FFFFFF" w:val="clear"/>
            <w:vAlign w:val="center"/>
          </w:tcPr>
          <w:p>
            <w:pPr>
              <w:pStyle w:val="TableContents"/>
              <w:spacing w:before="0" w:after="0"/>
              <w:ind w:left="900" w:right="0" w:hanging="360"/>
              <w:jc w:val="left"/>
              <w:rPr>
                <w:rFonts w:ascii="Times New Roman" w:hAnsi="Times New Roman"/>
                <w:b/>
                <w:sz w:val="15"/>
              </w:rPr>
            </w:pPr>
            <w:r>
              <w:rPr>
                <w:rFonts w:ascii="Times New Roman" w:hAnsi="Times New Roman"/>
                <w:b/>
                <w:sz w:val="15"/>
              </w:rPr>
              <w:t>Net cash used in financing activities</w:t>
            </w:r>
          </w:p>
        </w:tc>
        <w:tc>
          <w:tcPr>
            <w:tcW w:w="92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(21,202,368</w:t>
            </w:r>
            <w:r>
              <w:rPr>
                <w:rFonts w:ascii="Times New Roman" w:hAnsi="Times New Roman"/>
                <w:b/>
                <w:sz w:val="15"/>
              </w:rPr>
              <w:t>)</w:t>
            </w:r>
          </w:p>
        </w:tc>
        <w:tc>
          <w:tcPr>
            <w:tcW w:w="740" w:type="dxa"/>
            <w:tcBorders/>
            <w:shd w:fill="FFFFFF" w:val="clear"/>
            <w:vAlign w:val="center"/>
          </w:tcPr>
          <w:p>
            <w:pPr>
              <w:pStyle w:val="TableContents"/>
              <w:spacing w:before="0" w:after="0"/>
              <w:jc w:val="left"/>
              <w:rPr/>
            </w:pPr>
            <w:r>
              <w:rPr/>
              <w:t> </w:t>
            </w:r>
            <w:r>
              <w:rPr>
                <w:bdr w:val="single" w:sz="12" w:space="1" w:color="000000"/>
              </w:rPr>
              <w:t> </w:t>
            </w:r>
            <w:r>
              <w:rPr>
                <w:rFonts w:ascii="Times New Roman" w:hAnsi="Times New Roman"/>
                <w:b/>
                <w:sz w:val="15"/>
                <w:bdr w:val="single" w:sz="12" w:space="1" w:color="000000"/>
              </w:rPr>
              <w:t>(7,500</w:t>
            </w:r>
            <w:r>
              <w:rPr>
                <w:rFonts w:ascii="Times New Roman" w:hAnsi="Times New Roman"/>
                <w:b/>
                <w:sz w:val="15"/>
              </w:rPr>
              <w:t>)</w:t>
            </w:r>
          </w:p>
        </w:tc>
      </w:tr>
      <w:tr>
        <w:trPr/>
        <w:tc>
          <w:tcPr>
            <w:tcW w:w="4640" w:type="dxa"/>
            <w:tcBorders/>
            <w:shd w:fill="CCEEFF" w:val="clear"/>
            <w:vAlign w:val="center"/>
          </w:tcPr>
          <w:p>
            <w:pPr>
              <w:pStyle w:val="TableContents"/>
              <w:spacing w:before="0" w:after="0"/>
              <w:ind w:left="0" w:right="0" w:hanging="0"/>
              <w:rPr/>
            </w:pPr>
            <w:r>
              <w:rPr/>
              <w:t> </w:t>
            </w:r>
          </w:p>
        </w:tc>
        <w:tc>
          <w:tcPr>
            <w:tcW w:w="920" w:type="dxa"/>
            <w:tcBorders/>
            <w:shd w:fill="CCEEFF" w:val="clear"/>
            <w:vAlign w:val="center"/>
          </w:tcPr>
          <w:p>
            <w:pPr>
              <w:pStyle w:val="TableContents"/>
              <w:spacing w:before="0" w:after="0"/>
              <w:jc w:val="left"/>
              <w:rPr/>
            </w:pPr>
            <w:r>
              <w:rPr/>
              <w:t>    </w:t>
            </w:r>
          </w:p>
        </w:tc>
        <w:tc>
          <w:tcPr>
            <w:tcW w:w="740" w:type="dxa"/>
            <w:tcBorders/>
            <w:shd w:fill="CCEEFF" w:val="clear"/>
            <w:vAlign w:val="center"/>
          </w:tcPr>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Net Change in Cash</w:t>
            </w:r>
          </w:p>
        </w:tc>
        <w:tc>
          <w:tcPr>
            <w:tcW w:w="920" w:type="dxa"/>
            <w:tcBorders/>
            <w:shd w:fill="FFFFFF" w:val="clear"/>
            <w:vAlign w:val="center"/>
          </w:tcPr>
          <w:p>
            <w:pPr>
              <w:pStyle w:val="TableContents"/>
              <w:spacing w:before="0" w:after="0"/>
              <w:jc w:val="left"/>
              <w:rPr/>
            </w:pPr>
            <w:r>
              <w:rPr/>
              <w:t>  </w:t>
            </w:r>
            <w:r>
              <w:rPr>
                <w:rFonts w:ascii="Times New Roman" w:hAnsi="Times New Roman"/>
                <w:b/>
                <w:sz w:val="15"/>
              </w:rPr>
              <w:t>(9,685)</w:t>
            </w:r>
          </w:p>
        </w:tc>
        <w:tc>
          <w:tcPr>
            <w:tcW w:w="740" w:type="dxa"/>
            <w:tcBorders/>
            <w:shd w:fill="FFFFFF" w:val="clear"/>
            <w:vAlign w:val="center"/>
          </w:tcPr>
          <w:p>
            <w:pPr>
              <w:pStyle w:val="TableContents"/>
              <w:spacing w:before="0" w:after="0"/>
              <w:jc w:val="left"/>
              <w:rPr/>
            </w:pPr>
            <w:r>
              <w:rPr/>
              <w:t>  </w:t>
            </w:r>
            <w:r>
              <w:rPr>
                <w:rFonts w:ascii="Times New Roman" w:hAnsi="Times New Roman"/>
                <w:b/>
                <w:sz w:val="15"/>
              </w:rPr>
              <w:t>(309,761)</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Cash – Beginning</w:t>
            </w:r>
          </w:p>
        </w:tc>
        <w:tc>
          <w:tcPr>
            <w:tcW w:w="92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11,079</w:t>
            </w:r>
            <w:r>
              <w:rPr/>
              <w:t> </w:t>
            </w:r>
          </w:p>
        </w:tc>
        <w:tc>
          <w:tcPr>
            <w:tcW w:w="740" w:type="dxa"/>
            <w:tcBorders/>
            <w:shd w:fill="CCEEFF"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449,374</w:t>
            </w: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Cash – Ending</w:t>
            </w:r>
          </w:p>
        </w:tc>
        <w:tc>
          <w:tcPr>
            <w:tcW w:w="920" w:type="dxa"/>
            <w:tcBorders/>
            <w:shd w:fill="FFFFFF" w:val="clear"/>
            <w:vAlign w:val="center"/>
          </w:tcPr>
          <w:p>
            <w:pPr>
              <w:pStyle w:val="TableContents"/>
              <w:spacing w:before="0" w:after="0"/>
              <w:jc w:val="left"/>
              <w:rPr/>
            </w:pPr>
            <w:r>
              <w:rPr/>
              <w:t> </w:t>
            </w:r>
            <w:r>
              <w:rPr>
                <w:rFonts w:ascii="Times New Roman" w:hAnsi="Times New Roman"/>
                <w:b/>
                <w:sz w:val="15"/>
                <w:bdr w:val="double" w:sz="8" w:space="1" w:color="000000"/>
              </w:rPr>
              <w:t>$1,394</w:t>
            </w:r>
            <w:r>
              <w:rPr/>
              <w:t> </w:t>
            </w:r>
          </w:p>
        </w:tc>
        <w:tc>
          <w:tcPr>
            <w:tcW w:w="740" w:type="dxa"/>
            <w:tcBorders/>
            <w:shd w:fill="FFFFFF" w:val="clear"/>
            <w:vAlign w:val="center"/>
          </w:tcPr>
          <w:p>
            <w:pPr>
              <w:pStyle w:val="TableContents"/>
              <w:spacing w:before="0" w:after="0"/>
              <w:jc w:val="left"/>
              <w:rPr/>
            </w:pPr>
            <w:r>
              <w:rPr/>
              <w:t> </w:t>
            </w:r>
            <w:r>
              <w:rPr>
                <w:rFonts w:ascii="Times New Roman" w:hAnsi="Times New Roman"/>
                <w:b/>
                <w:sz w:val="15"/>
                <w:bdr w:val="double" w:sz="8" w:space="1" w:color="000000"/>
              </w:rPr>
              <w:t>$139,613</w:t>
            </w:r>
            <w:r>
              <w:rPr/>
              <w:t> </w:t>
            </w:r>
          </w:p>
        </w:tc>
      </w:tr>
      <w:tr>
        <w:trPr/>
        <w:tc>
          <w:tcPr>
            <w:tcW w:w="4640" w:type="dxa"/>
            <w:tcBorders/>
            <w:shd w:fill="CCEEFF" w:val="clear"/>
            <w:vAlign w:val="center"/>
          </w:tcPr>
          <w:p>
            <w:pPr>
              <w:pStyle w:val="TableContents"/>
              <w:spacing w:before="0" w:after="0"/>
              <w:ind w:left="0" w:right="0" w:hanging="0"/>
              <w:rPr/>
            </w:pPr>
            <w:r>
              <w:rPr/>
              <w:t> </w:t>
            </w:r>
          </w:p>
        </w:tc>
        <w:tc>
          <w:tcPr>
            <w:tcW w:w="920" w:type="dxa"/>
            <w:tcBorders/>
            <w:shd w:fill="CCEEFF" w:val="clear"/>
            <w:vAlign w:val="center"/>
          </w:tcPr>
          <w:p>
            <w:pPr>
              <w:pStyle w:val="TableContents"/>
              <w:spacing w:before="0" w:after="0"/>
              <w:jc w:val="left"/>
              <w:rPr/>
            </w:pPr>
            <w:r>
              <w:rPr/>
              <w:t>    </w:t>
            </w:r>
          </w:p>
        </w:tc>
        <w:tc>
          <w:tcPr>
            <w:tcW w:w="740" w:type="dxa"/>
            <w:tcBorders/>
            <w:shd w:fill="CCEEFF" w:val="clear"/>
            <w:vAlign w:val="center"/>
          </w:tcPr>
          <w:p>
            <w:pPr>
              <w:pStyle w:val="TableContents"/>
              <w:spacing w:before="0" w:after="0"/>
              <w:jc w:val="left"/>
              <w:rPr/>
            </w:pP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b/>
                <w:sz w:val="15"/>
              </w:rPr>
            </w:pPr>
            <w:r>
              <w:rPr>
                <w:rFonts w:ascii="Times New Roman" w:hAnsi="Times New Roman"/>
                <w:b/>
                <w:sz w:val="15"/>
              </w:rPr>
              <w:t>Non-Cash Investing and Financing activities:</w:t>
            </w:r>
          </w:p>
        </w:tc>
        <w:tc>
          <w:tcPr>
            <w:tcW w:w="920" w:type="dxa"/>
            <w:tcBorders/>
            <w:shd w:fill="FFFFFF" w:val="clear"/>
            <w:vAlign w:val="center"/>
          </w:tcPr>
          <w:p>
            <w:pPr>
              <w:pStyle w:val="TableContents"/>
              <w:spacing w:before="0" w:after="0"/>
              <w:jc w:val="left"/>
              <w:rPr/>
            </w:pPr>
            <w:r>
              <w:rPr/>
              <w:t>    </w:t>
            </w:r>
          </w:p>
        </w:tc>
        <w:tc>
          <w:tcPr>
            <w:tcW w:w="740" w:type="dxa"/>
            <w:tcBorders/>
            <w:shd w:fill="FFFFFF" w:val="clear"/>
            <w:vAlign w:val="center"/>
          </w:tcPr>
          <w:p>
            <w:pPr>
              <w:pStyle w:val="TableContents"/>
              <w:spacing w:before="0" w:after="0"/>
              <w:jc w:val="left"/>
              <w:rPr/>
            </w:pPr>
            <w:r>
              <w:rPr/>
              <w:t>    </w:t>
            </w:r>
          </w:p>
        </w:tc>
      </w:tr>
      <w:tr>
        <w:trPr/>
        <w:tc>
          <w:tcPr>
            <w:tcW w:w="4640" w:type="dxa"/>
            <w:tcBorders/>
            <w:shd w:fill="CCEE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Change in value of common stock subject to possible redemption</w:t>
            </w:r>
          </w:p>
        </w:tc>
        <w:tc>
          <w:tcPr>
            <w:tcW w:w="920"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$555,193</w:t>
            </w:r>
            <w:r>
              <w:rPr/>
              <w:t> </w:t>
            </w:r>
          </w:p>
        </w:tc>
        <w:tc>
          <w:tcPr>
            <w:tcW w:w="740"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$8,871</w:t>
            </w:r>
            <w:r>
              <w:rPr/>
              <w:t> </w:t>
            </w:r>
          </w:p>
        </w:tc>
      </w:tr>
      <w:tr>
        <w:trPr/>
        <w:tc>
          <w:tcPr>
            <w:tcW w:w="4640" w:type="dxa"/>
            <w:tcBorders/>
            <w:shd w:fill="FFFFFF" w:val="clear"/>
            <w:vAlign w:val="center"/>
          </w:tcPr>
          <w:p>
            <w:pPr>
              <w:pStyle w:val="TableContents"/>
              <w:spacing w:before="0" w:after="0"/>
              <w:ind w:left="360" w:right="0" w:hanging="360"/>
              <w:jc w:val="left"/>
              <w:rPr>
                <w:rFonts w:ascii="Times New Roman" w:hAnsi="Times New Roman"/>
                <w:sz w:val="15"/>
              </w:rPr>
            </w:pPr>
            <w:r>
              <w:rPr>
                <w:rFonts w:ascii="Times New Roman" w:hAnsi="Times New Roman"/>
                <w:sz w:val="15"/>
              </w:rPr>
              <w:t>Capital contribution to Trust Account</w:t>
            </w:r>
          </w:p>
        </w:tc>
        <w:tc>
          <w:tcPr>
            <w:tcW w:w="920" w:type="dxa"/>
            <w:tcBorders/>
            <w:shd w:fill="FFFFFF" w:val="clear"/>
            <w:vAlign w:val="center"/>
          </w:tcPr>
          <w:p>
            <w:pPr>
              <w:pStyle w:val="TableContents"/>
              <w:spacing w:before="0" w:after="0"/>
              <w:jc w:val="left"/>
              <w:rPr/>
            </w:pPr>
            <w:r>
              <w:rPr/>
              <w:t> </w:t>
            </w:r>
            <w:r>
              <w:rPr>
                <w:rFonts w:ascii="Times New Roman" w:hAnsi="Times New Roman"/>
                <w:sz w:val="15"/>
                <w:bdr w:val="double" w:sz="8" w:space="1" w:color="000000"/>
              </w:rPr>
              <w:t>$191,209</w:t>
            </w:r>
            <w:r>
              <w:rPr/>
              <w:t> </w:t>
            </w:r>
          </w:p>
        </w:tc>
        <w:tc>
          <w:tcPr>
            <w:tcW w:w="740" w:type="dxa"/>
            <w:tcBorders/>
            <w:shd w:fill="FFFFFF" w:val="clear"/>
            <w:vAlign w:val="center"/>
          </w:tcPr>
          <w:p>
            <w:pPr>
              <w:pStyle w:val="TableContents"/>
              <w:spacing w:before="0" w:after="0"/>
              <w:jc w:val="left"/>
              <w:rPr/>
            </w:pPr>
            <w:r>
              <w:rPr/>
              <w:t> </w:t>
            </w:r>
            <w:r>
              <w:rPr>
                <w:rFonts w:ascii="Times New Roman" w:hAnsi="Times New Roman"/>
                <w:sz w:val="15"/>
                <w:bdr w:val="double" w:sz="8" w:space="1" w:color="000000"/>
              </w:rPr>
              <w:t>$</w:t>
            </w:r>
            <w:r>
              <w:rPr>
                <w:bdr w:val="double" w:sz="8" w:space="1" w:color="000000"/>
              </w:rPr>
              <w:t>—</w:t>
            </w: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15"/>
        </w:rPr>
      </w:pPr>
      <w:r>
        <w:rPr>
          <w:rFonts w:ascii="Times New Roman" w:hAnsi="Times New Roman"/>
          <w:sz w:val="15"/>
        </w:rPr>
        <w:t>The accompanying notes are an integral part of the condensed financial statements.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 w:name="pgbrk5"/>
      <w:bookmarkStart w:id="31" w:name="pgbrk5"/>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2" w:name="ftr4"/>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3" w:name="pn2"/>
      <w:bookmarkEnd w:id="33"/>
      <w:r>
        <w:rPr>
          <w:rFonts w:ascii="Times New Roman" w:hAnsi="Times New Roman"/>
          <w:sz w:val="15"/>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 w:name="pb4"/>
      <w:bookmarkStart w:id="35" w:name="pb4"/>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36" w:name="hdr5"/>
      <w:bookmarkEnd w:id="36"/>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b/>
          <w:sz w:val="15"/>
        </w:rPr>
      </w:pPr>
      <w:r>
        <w:rPr>
          <w:rFonts w:ascii="Times New Roman" w:hAnsi="Times New Roman"/>
          <w:b/>
          <w:sz w:val="15"/>
        </w:rPr>
        <w:t>NOTES TO CONDENSED FINANCIAL STATEMENTS</w:t>
      </w:r>
    </w:p>
    <w:p>
      <w:pPr>
        <w:pStyle w:val="TextBody"/>
        <w:spacing w:before="0" w:after="0"/>
        <w:ind w:left="0" w:right="0" w:hanging="0"/>
        <w:jc w:val="center"/>
        <w:rPr>
          <w:rFonts w:ascii="Times New Roman" w:hAnsi="Times New Roman"/>
          <w:b/>
          <w:sz w:val="15"/>
        </w:rPr>
      </w:pPr>
      <w:r>
        <w:rPr>
          <w:rFonts w:ascii="Times New Roman" w:hAnsi="Times New Roman"/>
          <w:b/>
          <w:sz w:val="15"/>
        </w:rPr>
        <w:t>JUNE 30, 2019</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15"/>
        </w:rPr>
      </w:pPr>
      <w:r>
        <w:rPr>
          <w:rFonts w:ascii="Times New Roman" w:hAnsi="Times New Roman"/>
          <w:b/>
          <w:sz w:val="15"/>
        </w:rPr>
        <w:t>NOTE 1. DESCRIPTION OF ORGANIZATION AND BUSINESS OPERATIONS</w:t>
      </w:r>
    </w:p>
    <w:p>
      <w:pPr>
        <w:pStyle w:val="TextBody"/>
        <w:spacing w:before="0" w:after="0"/>
        <w:ind w:left="0" w:right="0" w:firstLine="540"/>
        <w:jc w:val="left"/>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Although the Company is not limited to a particular industry or geographic region for purposes of consummating a Business Combination, the Company is focusing on businesses in the senior housing and care industry in the United States.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All activity through June 30, 2019 relates to the Company’s formation, the initial public offering (the “Initial Public Offering”) of 6,900,000 units (the “Units”) that occurred on November 22, 2017, the simultaneous sale of 272,500 units (the “Private Placement Units”) in a private placement to Big Rock Partners Sponsor, LLC (the “Sponsor”), and the Company’s search for a target business with which to complete a Business Combination.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initially had until November 22, 2018 to complete a Business Combination. However, if the Company anticipated that it could not consummate a Business Combination by November 22, 2018, the Company could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were required to deposit into the Trust Account $690,000 ($0.10 per share) for each three month extension, up to an aggregate of $1,380,000, or $0.20 per share, if the Company extended for the full six months, on or prior to the date of the applicable deadline.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On November 20, 2018, the period of time for the Company to consummate a Business Combination was extended for an additional three month period ending on February 22, 2019, and, accordingly, $690,000 was deposited into the Trust Account. The deposit was funded by a non-interest bearing unsecured promissory note from BRAC Lending Group LLC, an affiliate of the underwriter (the “Investor”)(see Note 4). The note is repayable upon the consummation of a Business Combination (see Note 4). On February 21, 2019, the Company further extended the time required to consummate a Business Combination to May 22, 2019 and deposited an additional $690,000 into the Trust Account.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On May 21, 2019, the Company’s stockholders approved an amendment to its Amended and Restated Certificate of Incorporation to extend the period of time for which the Company is required to consummate a Business Combination to August 22, 2019 (the “Extended Date”). The number of shares of common stock presented for redemption in connection with the extension was 2,119,772. The Company paid cash in the aggregate amount of $22,099,233, or approximately $10.43 per share, to redeeming stockholders. The Company agreed to deposit, or cause to be deposited on its behalf, into the Trust Account $0.02 for each public share outstanding for each 30-day extension period utilized through the Extended Date. Through June 30, 2019, the Company deposited an aggregate of $191,209 into the Trust Account,  which was contributed to the Trust Account by a third party and is not required to be repaid by the Company. Accordingly, the Company has recorded this amount as a credit to additional paid in capital in the accompanying condensed statements of stockholders’ equity. In July 2019, the Company deposited an additional $95,605 into the Trust Account for the third, and final, 30-day extension period. The Company now has until August 22, 2019 to consummate a Business Combination (see Note 7). In order to pay for part of the third extension payment, the Company issued an unsecured promissory note (the “Note”) in favor of the Investor, in the original principal amount of $6,814. The Note does not bear interest and matures upon closing of a Business Combination by the Company. If the Company fails to consummate a Business Combination, the outstanding debt under the Note will be forgiven, except to the extent of any funds held outside of the Company's Trust Account after paying all other fees and expenses of the Company.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has scheduled a special meeting of stockholders for August 21, 2019, pursuant to which it will seek stockholder approval to, among other matters, amend the Company’s Amended and Restated Certificate of Incorporation to extend the period of time for which the Company is required to consummate a Business Combination from August 22, 2019 to November 22, 2019. There is no assurance that the Company’s stockholders will vote to approve the extension of time with which the Company has to complete a Business Combination. If the Company does not obtain stockholder approval, the Company would wind up its affairs and liquidate (see Note 7).</w:t>
      </w:r>
    </w:p>
    <w:p>
      <w:pPr>
        <w:pStyle w:val="TextBody"/>
        <w:spacing w:before="0" w:after="0"/>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NASDAQ Notification</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On January 7, 2019, the Company received a notice from the staff of the Listing Qualifications Department of Nasdaq (the “Staff”)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 The Company held its annual meeting of stockholders on May 21, 2019 and, accordingly, the Staff determined that the Company is currently in compliance with Nasdaq Listing Rule 5620(a) for continued listing and the matter was closed.</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15"/>
        </w:rPr>
        <w:t>On August 9, 2019, the Company received a notice from the Staff stating that the Company was no longer in compliance with Nasdaq Listing Rule 5550(a)(3) for continued listing due to its failure to maintain a minimum of 300 public holders. The Company has</w:t>
      </w:r>
      <w:r>
        <w:rPr/>
        <w:t xml:space="preserve"> </w:t>
      </w:r>
      <w:r>
        <w:rPr>
          <w:rFonts w:ascii="Times New Roman" w:hAnsi="Times New Roman"/>
          <w:color w:val="000000"/>
          <w:sz w:val="15"/>
        </w:rPr>
        <w:t>until September 23, 2019 to provide Nasdaq with a specific plan to achieve and sustain compliance with the listing requirement. The notice is a notification of deficiency, not of imminent delisting, and has no current effect on the listing or trading of the Company's securities on Nasdaq.</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color w:val="000000"/>
          <w:sz w:val="15"/>
        </w:rPr>
      </w:pPr>
      <w:r>
        <w:rPr>
          <w:rFonts w:ascii="Times New Roman" w:hAnsi="Times New Roman"/>
          <w:color w:val="000000"/>
          <w:sz w:val="15"/>
        </w:rPr>
        <w:t>The Company intends to submit a plan to regain compliance within the required timeframe. If Nasdaq accepts the Company's plan, Nasdaq may grant the Company an extension of up to 180 calendar days from the date of the notice to evidence compliance with the Rule. If Nasdaq does not accept the Company's plan, the Company will have the opportunity to appeal the decision in front of a Nasdaq Hearings Panel.</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 w:name="pgbrk6"/>
      <w:bookmarkStart w:id="38" w:name="pgbrk6"/>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39" w:name="ftr5"/>
      <w:bookmarkEnd w:id="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0" w:name="pn3"/>
      <w:bookmarkEnd w:id="40"/>
      <w:r>
        <w:rPr>
          <w:rFonts w:ascii="Times New Roman" w:hAnsi="Times New Roman"/>
          <w:sz w:val="15"/>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 w:name="pb5"/>
      <w:bookmarkStart w:id="42" w:name="pb5"/>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43" w:name="hdr6"/>
      <w:bookmarkEnd w:id="43"/>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b/>
          <w:sz w:val="15"/>
        </w:rPr>
      </w:pPr>
      <w:r>
        <w:rPr>
          <w:rFonts w:ascii="Times New Roman" w:hAnsi="Times New Roman"/>
          <w:b/>
          <w:sz w:val="15"/>
        </w:rPr>
        <w:t>NOTES TO CONDENSED FINANCIAL STATEMENTS</w:t>
      </w:r>
    </w:p>
    <w:p>
      <w:pPr>
        <w:pStyle w:val="TextBody"/>
        <w:spacing w:before="0" w:after="0"/>
        <w:ind w:left="0" w:right="0" w:hanging="0"/>
        <w:jc w:val="center"/>
        <w:rPr>
          <w:rFonts w:ascii="Times New Roman" w:hAnsi="Times New Roman"/>
          <w:b/>
          <w:sz w:val="15"/>
        </w:rPr>
      </w:pPr>
      <w:r>
        <w:rPr>
          <w:rFonts w:ascii="Times New Roman" w:hAnsi="Times New Roman"/>
          <w:b/>
          <w:sz w:val="15"/>
        </w:rPr>
        <w:t>JUNE 30, 2019</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15"/>
        </w:rPr>
      </w:pPr>
      <w:r>
        <w:rPr>
          <w:rFonts w:ascii="Times New Roman" w:hAnsi="Times New Roman"/>
          <w:b/>
          <w:sz w:val="15"/>
        </w:rPr>
        <w:t>NOTE 2. LIQUIDITY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As of June 30, 2019, the Company had $1,394 in its operating bank account, $50,061,450 in cash and marketable securities held in the Trust Account to be used for a Business Combination or to repurchase or convert stock in connection therewith and a working capital deficit of $371,171, which excludes franchise and income taxes payable of $108,703, of which such amounts will be paid from interest earned on the Trust Account. As of June 30, 2019, approximately $1,112,000 of the amount on deposit in the Trust Account represented interest income, which is available to pay the Company’s tax obligations. To date, the Company has withdrawn approximately $304,000 of interest from the Trust Account in order to pay the Company’s taxes, of which approximately $262,000 was withdrawn during the six months ended June 30, 2019.</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On November 17, 2018, the Company entered into an agreement (the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4). In addition, the Investor agreed to loan the Company all funds necessary to pay expenses incurred in connection with and in order to consummate a business combination (the “Business Combination Expenses”) and such loans will be added to the Notes (as defined in Note 4).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4).</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August 22, 2019 (or November 22, 2019, if the extension amendment is approved) to consummate a Business Combination. There is no assurance that the Company will be able to do so prior to August 22, 2019 (or November 22, 2019, if the extension amendment is approved).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NOTE 3.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Basis of presentation</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accompanying unaudited condensed financial statements should be read in conjunction with the Company’s Annual Report on Form 10-K for the year ended December 31, 2018 as filed with the SEC on March 15, 2019, which contains the audited financial statements and notes thereto. The interim results for the three and six months ended June 30, 2019 are not necessarily indicative of the results to be expected for the year ending December 31, 2019 or for any future interim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Use of estimates</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revenues and expenses during the reporting period.</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 w:name="pgbrk7"/>
      <w:bookmarkStart w:id="45" w:name="pgbrk7"/>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46" w:name="ftr6"/>
      <w:bookmarkEnd w:id="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7" w:name="pn4"/>
      <w:bookmarkEnd w:id="47"/>
      <w:r>
        <w:rPr>
          <w:rFonts w:ascii="Times New Roman" w:hAnsi="Times New Roman"/>
          <w:sz w:val="15"/>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8" w:name="pb6"/>
      <w:bookmarkStart w:id="49" w:name="pb6"/>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50" w:name="hdr7"/>
      <w:bookmarkEnd w:id="50"/>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b/>
          <w:sz w:val="15"/>
        </w:rPr>
      </w:pPr>
      <w:r>
        <w:rPr>
          <w:rFonts w:ascii="Times New Roman" w:hAnsi="Times New Roman"/>
          <w:b/>
          <w:sz w:val="15"/>
        </w:rPr>
        <w:t>NOTES TO CONDENSED FINANCIAL STATEMENTS</w:t>
      </w:r>
    </w:p>
    <w:p>
      <w:pPr>
        <w:pStyle w:val="TextBody"/>
        <w:spacing w:before="0" w:after="0"/>
        <w:ind w:left="0" w:right="0" w:hanging="0"/>
        <w:jc w:val="center"/>
        <w:rPr>
          <w:rFonts w:ascii="Times New Roman" w:hAnsi="Times New Roman"/>
          <w:b/>
          <w:sz w:val="15"/>
        </w:rPr>
      </w:pPr>
      <w:r>
        <w:rPr>
          <w:rFonts w:ascii="Times New Roman" w:hAnsi="Times New Roman"/>
          <w:b/>
          <w:sz w:val="15"/>
        </w:rPr>
        <w:t>JUNE 30, 2019</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15"/>
        </w:rPr>
      </w:pPr>
      <w:r>
        <w:rPr>
          <w:rFonts w:ascii="Times New Roman" w:hAnsi="Times New Roman"/>
          <w:sz w:val="15"/>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Cash and marketable securities held in Trust Account</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At June 30, 2019 and December 31, 2018, the assets held in the Trust Account were held in money market funds. During the six months ended June 30, 2019, the Company withdrew $261,793 of interest income to pay its franchise tax obligations.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Net loss per common share</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June 30, 2019 and December 31, 2018, which are not currently redeemable and are not redeemable at fair value, have been excluded from the calculation of basic net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are contingent upon the occurrence of future events. As a result, diluted loss per common share is the same as basic income per common share for the periods presented.</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Reconciliation of net loss per common share</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Company’s net income (loss) is adjusted for the portion of income that is attributable to common stock subject to possible redemption, as these shares only participate in the earnings of the Trust Account and not the income or losses of the Company. Accordingly, basic and diluted loss per share is calculated as follows:</w:t>
      </w:r>
    </w:p>
    <w:p>
      <w:pPr>
        <w:pStyle w:val="TextBody"/>
        <w:spacing w:before="0" w:after="0"/>
        <w:ind w:left="0" w:right="0" w:hanging="0"/>
        <w:jc w:val="both"/>
        <w:rPr/>
      </w:pPr>
      <w:r>
        <w:rPr/>
        <w:t> </w:t>
      </w:r>
    </w:p>
    <w:tbl>
      <w:tblPr>
        <w:tblW w:w="7954" w:type="dxa"/>
        <w:jc w:val="left"/>
        <w:tblInd w:w="0" w:type="dxa"/>
        <w:tblCellMar>
          <w:top w:w="0" w:type="dxa"/>
          <w:left w:w="0" w:type="dxa"/>
          <w:bottom w:w="0" w:type="dxa"/>
          <w:right w:w="0" w:type="dxa"/>
        </w:tblCellMar>
      </w:tblPr>
      <w:tblGrid>
        <w:gridCol w:w="4535"/>
        <w:gridCol w:w="887"/>
        <w:gridCol w:w="887"/>
        <w:gridCol w:w="815"/>
        <w:gridCol w:w="830"/>
      </w:tblGrid>
      <w:tr>
        <w:trPr/>
        <w:tc>
          <w:tcPr>
            <w:tcW w:w="4535" w:type="dxa"/>
            <w:tcBorders/>
            <w:shd w:fill="auto" w:val="clear"/>
            <w:vAlign w:val="center"/>
          </w:tcPr>
          <w:p>
            <w:pPr>
              <w:pStyle w:val="TableContents"/>
              <w:spacing w:before="0" w:after="0"/>
              <w:ind w:left="0" w:right="0" w:hanging="0"/>
              <w:rPr/>
            </w:pPr>
            <w:r>
              <w:rPr/>
              <w:t> </w:t>
            </w:r>
          </w:p>
        </w:tc>
        <w:tc>
          <w:tcPr>
            <w:tcW w:w="1774"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Three Months Ended June 30,</w:t>
            </w:r>
          </w:p>
          <w:p>
            <w:pPr>
              <w:pStyle w:val="TableContents"/>
              <w:spacing w:before="0" w:after="0"/>
              <w:jc w:val="left"/>
              <w:rPr/>
            </w:pPr>
            <w:r>
              <w:rPr/>
              <w:t> </w:t>
            </w:r>
          </w:p>
        </w:tc>
        <w:tc>
          <w:tcPr>
            <w:tcW w:w="164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Six Months Ended June 30,</w:t>
            </w:r>
          </w:p>
          <w:p>
            <w:pPr>
              <w:pStyle w:val="TableContents"/>
              <w:spacing w:before="0" w:after="0"/>
              <w:jc w:val="left"/>
              <w:rPr/>
            </w:pPr>
            <w:r>
              <w:rPr/>
              <w:t> </w:t>
            </w:r>
          </w:p>
        </w:tc>
      </w:tr>
      <w:tr>
        <w:trPr/>
        <w:tc>
          <w:tcPr>
            <w:tcW w:w="4535" w:type="dxa"/>
            <w:tcBorders/>
            <w:shd w:fill="auto" w:val="clear"/>
            <w:vAlign w:val="center"/>
          </w:tcPr>
          <w:p>
            <w:pPr>
              <w:pStyle w:val="TableContents"/>
              <w:spacing w:before="0" w:after="0"/>
              <w:ind w:left="0" w:right="0" w:hanging="0"/>
              <w:rPr/>
            </w:pPr>
            <w:r>
              <w:rPr/>
              <w:t> </w:t>
            </w:r>
          </w:p>
        </w:tc>
        <w:tc>
          <w:tcPr>
            <w:tcW w:w="88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887"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2019</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sz w:val="14"/>
                <w:bdr w:val="single" w:sz="12" w:space="1" w:color="000000"/>
              </w:rPr>
            </w:pPr>
            <w:r>
              <w:rPr>
                <w:rFonts w:ascii="Times New Roman" w:hAnsi="Times New Roman"/>
                <w:b/>
                <w:sz w:val="14"/>
                <w:bdr w:val="single" w:sz="12" w:space="1" w:color="000000"/>
              </w:rPr>
              <w:t>2018</w:t>
            </w:r>
          </w:p>
          <w:p>
            <w:pPr>
              <w:pStyle w:val="TableContents"/>
              <w:spacing w:before="0" w:after="0"/>
              <w:jc w:val="left"/>
              <w:rPr/>
            </w:pPr>
            <w:r>
              <w:rPr/>
              <w:t> </w:t>
            </w:r>
          </w:p>
        </w:tc>
      </w:tr>
      <w:tr>
        <w:trPr/>
        <w:tc>
          <w:tcPr>
            <w:tcW w:w="453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Net income (loss)</w:t>
            </w:r>
          </w:p>
        </w:tc>
        <w:tc>
          <w:tcPr>
            <w:tcW w:w="887" w:type="dxa"/>
            <w:tcBorders/>
            <w:shd w:fill="CCEEFF" w:val="clear"/>
            <w:vAlign w:val="center"/>
          </w:tcPr>
          <w:p>
            <w:pPr>
              <w:pStyle w:val="TableContents"/>
              <w:spacing w:before="0" w:after="0"/>
              <w:jc w:val="left"/>
              <w:rPr/>
            </w:pPr>
            <w:r>
              <w:rPr/>
              <w:t> </w:t>
            </w:r>
            <w:r>
              <w:rPr>
                <w:rFonts w:ascii="Times New Roman" w:hAnsi="Times New Roman"/>
                <w:sz w:val="15"/>
              </w:rPr>
              <w:t>$176,021</w:t>
            </w:r>
            <w:r>
              <w:rPr/>
              <w:t> </w:t>
            </w:r>
          </w:p>
        </w:tc>
        <w:tc>
          <w:tcPr>
            <w:tcW w:w="887" w:type="dxa"/>
            <w:tcBorders/>
            <w:shd w:fill="CCEEFF" w:val="clear"/>
            <w:vAlign w:val="center"/>
          </w:tcPr>
          <w:p>
            <w:pPr>
              <w:pStyle w:val="TableContents"/>
              <w:spacing w:before="0" w:after="0"/>
              <w:jc w:val="left"/>
              <w:rPr/>
            </w:pPr>
            <w:r>
              <w:rPr/>
              <w:t> </w:t>
            </w:r>
            <w:r>
              <w:rPr>
                <w:rFonts w:ascii="Times New Roman" w:hAnsi="Times New Roman"/>
                <w:sz w:val="15"/>
              </w:rPr>
              <w:t>$(6,602)</w:t>
            </w:r>
          </w:p>
        </w:tc>
        <w:tc>
          <w:tcPr>
            <w:tcW w:w="815" w:type="dxa"/>
            <w:tcBorders/>
            <w:shd w:fill="CCEEFF" w:val="clear"/>
            <w:vAlign w:val="center"/>
          </w:tcPr>
          <w:p>
            <w:pPr>
              <w:pStyle w:val="TableContents"/>
              <w:spacing w:before="0" w:after="0"/>
              <w:jc w:val="left"/>
              <w:rPr/>
            </w:pPr>
            <w:r>
              <w:rPr/>
              <w:t> </w:t>
            </w:r>
            <w:r>
              <w:rPr>
                <w:rFonts w:ascii="Times New Roman" w:hAnsi="Times New Roman"/>
                <w:sz w:val="15"/>
              </w:rPr>
              <w:t>$363,986</w:t>
            </w:r>
            <w:r>
              <w:rPr/>
              <w:t> </w:t>
            </w:r>
          </w:p>
        </w:tc>
        <w:tc>
          <w:tcPr>
            <w:tcW w:w="830" w:type="dxa"/>
            <w:tcBorders/>
            <w:shd w:fill="CCEEFF" w:val="clear"/>
            <w:vAlign w:val="center"/>
          </w:tcPr>
          <w:p>
            <w:pPr>
              <w:pStyle w:val="TableContents"/>
              <w:spacing w:before="0" w:after="0"/>
              <w:jc w:val="left"/>
              <w:rPr/>
            </w:pPr>
            <w:r>
              <w:rPr/>
              <w:t> </w:t>
            </w:r>
            <w:r>
              <w:rPr>
                <w:rFonts w:ascii="Times New Roman" w:hAnsi="Times New Roman"/>
                <w:sz w:val="15"/>
              </w:rPr>
              <w:t>$8,879</w:t>
            </w:r>
            <w:r>
              <w:rPr/>
              <w:t> </w:t>
            </w:r>
          </w:p>
        </w:tc>
      </w:tr>
      <w:tr>
        <w:trPr/>
        <w:tc>
          <w:tcPr>
            <w:tcW w:w="4535" w:type="dxa"/>
            <w:tcBorders/>
            <w:shd w:fill="auto" w:val="clear"/>
            <w:vAlign w:val="center"/>
          </w:tcPr>
          <w:p>
            <w:pPr>
              <w:pStyle w:val="TableContents"/>
              <w:spacing w:before="0" w:after="0"/>
              <w:ind w:left="180" w:right="0" w:hanging="180"/>
              <w:jc w:val="left"/>
              <w:rPr>
                <w:rFonts w:ascii="Times New Roman" w:hAnsi="Times New Roman"/>
                <w:sz w:val="15"/>
              </w:rPr>
            </w:pPr>
            <w:r>
              <w:rPr>
                <w:rFonts w:ascii="Times New Roman" w:hAnsi="Times New Roman"/>
                <w:sz w:val="15"/>
              </w:rPr>
              <w:t>Less: Income attributable to common stock subject to possible redemption</w:t>
            </w:r>
          </w:p>
        </w:tc>
        <w:tc>
          <w:tcPr>
            <w:tcW w:w="887"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(259,727</w:t>
            </w:r>
            <w:r>
              <w:rPr>
                <w:rFonts w:ascii="Times New Roman" w:hAnsi="Times New Roman"/>
                <w:sz w:val="15"/>
              </w:rPr>
              <w:t>)</w:t>
            </w:r>
          </w:p>
        </w:tc>
        <w:tc>
          <w:tcPr>
            <w:tcW w:w="887"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(158,321</w:t>
            </w:r>
            <w:r>
              <w:rPr>
                <w:rFonts w:ascii="Times New Roman" w:hAnsi="Times New Roman"/>
                <w:sz w:val="15"/>
              </w:rPr>
              <w:t>)</w:t>
            </w:r>
          </w:p>
        </w:tc>
        <w:tc>
          <w:tcPr>
            <w:tcW w:w="815"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(518,924</w:t>
            </w:r>
            <w:r>
              <w:rPr>
                <w:rFonts w:ascii="Times New Roman" w:hAnsi="Times New Roman"/>
                <w:sz w:val="15"/>
              </w:rPr>
              <w:t>)</w:t>
            </w:r>
          </w:p>
        </w:tc>
        <w:tc>
          <w:tcPr>
            <w:tcW w:w="830" w:type="dxa"/>
            <w:tcBorders/>
            <w:shd w:fill="auto" w:val="clear"/>
            <w:vAlign w:val="center"/>
          </w:tcPr>
          <w:p>
            <w:pPr>
              <w:pStyle w:val="TableContents"/>
              <w:spacing w:before="0" w:after="0"/>
              <w:jc w:val="left"/>
              <w:rPr/>
            </w:pPr>
            <w:r>
              <w:rPr/>
              <w:t> </w:t>
            </w:r>
            <w:r>
              <w:rPr>
                <w:bdr w:val="single" w:sz="12" w:space="1" w:color="000000"/>
              </w:rPr>
              <w:t> </w:t>
            </w:r>
            <w:r>
              <w:rPr>
                <w:rFonts w:ascii="Times New Roman" w:hAnsi="Times New Roman"/>
                <w:sz w:val="15"/>
                <w:bdr w:val="single" w:sz="12" w:space="1" w:color="000000"/>
              </w:rPr>
              <w:t>(355,325</w:t>
            </w:r>
            <w:r>
              <w:rPr>
                <w:rFonts w:ascii="Times New Roman" w:hAnsi="Times New Roman"/>
                <w:sz w:val="15"/>
              </w:rPr>
              <w:t>)</w:t>
            </w:r>
          </w:p>
        </w:tc>
      </w:tr>
      <w:tr>
        <w:trPr/>
        <w:tc>
          <w:tcPr>
            <w:tcW w:w="453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Adjusted net loss</w:t>
            </w:r>
          </w:p>
        </w:tc>
        <w:tc>
          <w:tcPr>
            <w:tcW w:w="887"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$(83,706</w:t>
            </w:r>
            <w:r>
              <w:rPr>
                <w:rFonts w:ascii="Times New Roman" w:hAnsi="Times New Roman"/>
                <w:sz w:val="15"/>
              </w:rPr>
              <w:t>)</w:t>
            </w:r>
          </w:p>
        </w:tc>
        <w:tc>
          <w:tcPr>
            <w:tcW w:w="887"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$(164,923</w:t>
            </w:r>
            <w:r>
              <w:rPr>
                <w:rFonts w:ascii="Times New Roman" w:hAnsi="Times New Roman"/>
                <w:sz w:val="15"/>
              </w:rPr>
              <w:t>)</w:t>
            </w:r>
          </w:p>
        </w:tc>
        <w:tc>
          <w:tcPr>
            <w:tcW w:w="815"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$(154,938</w:t>
            </w:r>
            <w:r>
              <w:rPr>
                <w:rFonts w:ascii="Times New Roman" w:hAnsi="Times New Roman"/>
                <w:sz w:val="15"/>
              </w:rPr>
              <w:t>)</w:t>
            </w:r>
          </w:p>
        </w:tc>
        <w:tc>
          <w:tcPr>
            <w:tcW w:w="830"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$(346,446</w:t>
            </w:r>
            <w:r>
              <w:rPr>
                <w:rFonts w:ascii="Times New Roman" w:hAnsi="Times New Roman"/>
                <w:sz w:val="15"/>
              </w:rPr>
              <w:t>)</w:t>
            </w:r>
          </w:p>
        </w:tc>
      </w:tr>
      <w:tr>
        <w:trPr/>
        <w:tc>
          <w:tcPr>
            <w:tcW w:w="4535" w:type="dxa"/>
            <w:tcBorders/>
            <w:shd w:fill="auto" w:val="clear"/>
            <w:vAlign w:val="center"/>
          </w:tcPr>
          <w:p>
            <w:pPr>
              <w:pStyle w:val="TableContents"/>
              <w:spacing w:before="0" w:after="0"/>
              <w:ind w:left="0" w:right="0" w:hanging="0"/>
              <w:rPr/>
            </w:pPr>
            <w:r>
              <w:rPr/>
              <w:t> </w:t>
            </w:r>
          </w:p>
        </w:tc>
        <w:tc>
          <w:tcPr>
            <w:tcW w:w="887" w:type="dxa"/>
            <w:tcBorders/>
            <w:shd w:fill="auto" w:val="clear"/>
            <w:vAlign w:val="center"/>
          </w:tcPr>
          <w:p>
            <w:pPr>
              <w:pStyle w:val="TableContents"/>
              <w:spacing w:before="0" w:after="0"/>
              <w:jc w:val="left"/>
              <w:rPr/>
            </w:pPr>
            <w:r>
              <w:rPr/>
              <w:t>    </w:t>
            </w:r>
          </w:p>
        </w:tc>
        <w:tc>
          <w:tcPr>
            <w:tcW w:w="887"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453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Weighted average shares outstanding, basic and diluted</w:t>
            </w:r>
          </w:p>
        </w:tc>
        <w:tc>
          <w:tcPr>
            <w:tcW w:w="887"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2,794,297</w:t>
            </w:r>
            <w:r>
              <w:rPr/>
              <w:t> </w:t>
            </w:r>
          </w:p>
        </w:tc>
        <w:tc>
          <w:tcPr>
            <w:tcW w:w="887"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2,605,782</w:t>
            </w:r>
            <w:r>
              <w:rPr/>
              <w:t> </w:t>
            </w:r>
          </w:p>
        </w:tc>
        <w:tc>
          <w:tcPr>
            <w:tcW w:w="815"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2,759,859</w:t>
            </w:r>
            <w:r>
              <w:rPr/>
              <w:t> </w:t>
            </w:r>
          </w:p>
        </w:tc>
        <w:tc>
          <w:tcPr>
            <w:tcW w:w="830" w:type="dxa"/>
            <w:tcBorders/>
            <w:shd w:fill="CCEEFF" w:val="clear"/>
            <w:vAlign w:val="center"/>
          </w:tcPr>
          <w:p>
            <w:pPr>
              <w:pStyle w:val="TableContents"/>
              <w:spacing w:before="0" w:after="0"/>
              <w:jc w:val="left"/>
              <w:rPr/>
            </w:pPr>
            <w:r>
              <w:rPr/>
              <w:t> </w:t>
            </w:r>
            <w:r>
              <w:rPr>
                <w:bdr w:val="double" w:sz="8" w:space="1" w:color="000000"/>
              </w:rPr>
              <w:t> </w:t>
            </w:r>
            <w:r>
              <w:rPr>
                <w:rFonts w:ascii="Times New Roman" w:hAnsi="Times New Roman"/>
                <w:sz w:val="15"/>
                <w:bdr w:val="double" w:sz="8" w:space="1" w:color="000000"/>
              </w:rPr>
              <w:t>2,598,424</w:t>
            </w:r>
            <w:r>
              <w:rPr/>
              <w:t> </w:t>
            </w:r>
          </w:p>
        </w:tc>
      </w:tr>
      <w:tr>
        <w:trPr/>
        <w:tc>
          <w:tcPr>
            <w:tcW w:w="4535" w:type="dxa"/>
            <w:tcBorders/>
            <w:shd w:fill="auto" w:val="clear"/>
            <w:vAlign w:val="center"/>
          </w:tcPr>
          <w:p>
            <w:pPr>
              <w:pStyle w:val="TableContents"/>
              <w:spacing w:before="0" w:after="0"/>
              <w:ind w:left="0" w:right="0" w:hanging="0"/>
              <w:rPr/>
            </w:pPr>
            <w:r>
              <w:rPr/>
              <w:t> </w:t>
            </w:r>
          </w:p>
        </w:tc>
        <w:tc>
          <w:tcPr>
            <w:tcW w:w="887" w:type="dxa"/>
            <w:tcBorders/>
            <w:shd w:fill="auto" w:val="clear"/>
            <w:vAlign w:val="center"/>
          </w:tcPr>
          <w:p>
            <w:pPr>
              <w:pStyle w:val="TableContents"/>
              <w:spacing w:before="0" w:after="0"/>
              <w:jc w:val="left"/>
              <w:rPr/>
            </w:pPr>
            <w:r>
              <w:rPr/>
              <w:t>    </w:t>
            </w:r>
          </w:p>
        </w:tc>
        <w:tc>
          <w:tcPr>
            <w:tcW w:w="887"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4535"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Basic and diluted net loss per common share</w:t>
            </w:r>
          </w:p>
        </w:tc>
        <w:tc>
          <w:tcPr>
            <w:tcW w:w="887"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$(0.03</w:t>
            </w:r>
            <w:r>
              <w:rPr>
                <w:rFonts w:ascii="Times New Roman" w:hAnsi="Times New Roman"/>
                <w:sz w:val="15"/>
              </w:rPr>
              <w:t>)</w:t>
            </w:r>
          </w:p>
        </w:tc>
        <w:tc>
          <w:tcPr>
            <w:tcW w:w="887"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$(0.06</w:t>
            </w:r>
            <w:r>
              <w:rPr>
                <w:rFonts w:ascii="Times New Roman" w:hAnsi="Times New Roman"/>
                <w:sz w:val="15"/>
              </w:rPr>
              <w:t>)</w:t>
            </w:r>
          </w:p>
        </w:tc>
        <w:tc>
          <w:tcPr>
            <w:tcW w:w="815"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$(0.06</w:t>
            </w:r>
            <w:r>
              <w:rPr>
                <w:rFonts w:ascii="Times New Roman" w:hAnsi="Times New Roman"/>
                <w:sz w:val="15"/>
              </w:rPr>
              <w:t>)</w:t>
            </w:r>
          </w:p>
        </w:tc>
        <w:tc>
          <w:tcPr>
            <w:tcW w:w="830" w:type="dxa"/>
            <w:tcBorders/>
            <w:shd w:fill="CCEEFF" w:val="clear"/>
            <w:vAlign w:val="center"/>
          </w:tcPr>
          <w:p>
            <w:pPr>
              <w:pStyle w:val="TableContents"/>
              <w:spacing w:before="0" w:after="0"/>
              <w:jc w:val="left"/>
              <w:rPr/>
            </w:pPr>
            <w:r>
              <w:rPr/>
              <w:t> </w:t>
            </w:r>
            <w:r>
              <w:rPr>
                <w:rFonts w:ascii="Times New Roman" w:hAnsi="Times New Roman"/>
                <w:sz w:val="15"/>
                <w:bdr w:val="double" w:sz="8" w:space="1" w:color="000000"/>
              </w:rPr>
              <w:t>$(0.13</w:t>
            </w:r>
            <w:r>
              <w:rPr>
                <w:rFonts w:ascii="Times New Roman" w:hAnsi="Times New Roman"/>
                <w:sz w:val="15"/>
              </w:rPr>
              <w:t>)</w:t>
            </w:r>
          </w:p>
        </w:tc>
      </w:tr>
    </w:tbl>
    <w:p>
      <w:pPr>
        <w:pStyle w:val="TextBody"/>
        <w:spacing w:before="0" w:after="0"/>
        <w:ind w:left="0" w:right="0" w:firstLine="36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NOTE 4. INVESTOR AGREEMENT AND PROMISSORY NOTES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On November 17, 2018, the Company entered into an Agreement with the Sponsor and the Investor. Pursuant to the Agreement, the Sponsor transferred an aggregate of 1,500,000 Founders Shares (as defined in Note 5) to the Investor in exchange for the agreements set forth below and aggregate cash consideration of $1.00.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As of June 30, 2019, the outstanding balance under the Notes amounted to an aggregate of $1,380,000.</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 w:name="pgbrk8"/>
      <w:bookmarkStart w:id="52" w:name="pgbrk8"/>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3" w:name="ftr7"/>
      <w:bookmarkEnd w:id="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4" w:name="pn5"/>
      <w:bookmarkEnd w:id="54"/>
      <w:r>
        <w:rPr>
          <w:rFonts w:ascii="Times New Roman" w:hAnsi="Times New Roman"/>
          <w:sz w:val="15"/>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5" w:name="pb7"/>
      <w:bookmarkStart w:id="56" w:name="pb7"/>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57" w:name="hdr8"/>
      <w:bookmarkEnd w:id="57"/>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b/>
          <w:sz w:val="15"/>
        </w:rPr>
      </w:pPr>
      <w:r>
        <w:rPr>
          <w:rFonts w:ascii="Times New Roman" w:hAnsi="Times New Roman"/>
          <w:b/>
          <w:sz w:val="15"/>
        </w:rPr>
        <w:t>NOTES TO CONDENSED FINANCIAL STATEMENTS</w:t>
      </w:r>
    </w:p>
    <w:p>
      <w:pPr>
        <w:pStyle w:val="TextBody"/>
        <w:spacing w:before="0" w:after="0"/>
        <w:ind w:left="0" w:right="0" w:hanging="0"/>
        <w:jc w:val="center"/>
        <w:rPr>
          <w:rFonts w:ascii="Times New Roman" w:hAnsi="Times New Roman"/>
          <w:b/>
          <w:sz w:val="15"/>
        </w:rPr>
      </w:pPr>
      <w:r>
        <w:rPr>
          <w:rFonts w:ascii="Times New Roman" w:hAnsi="Times New Roman"/>
          <w:b/>
          <w:sz w:val="15"/>
        </w:rPr>
        <w:t>JUNE 30, 2019</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15"/>
        </w:rPr>
      </w:pPr>
      <w:r>
        <w:rPr>
          <w:rFonts w:ascii="Times New Roman" w:hAnsi="Times New Roman"/>
          <w:sz w:val="15"/>
        </w:rPr>
        <w:t>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 At June 30, 2019, the outstanding balance under this loan amounted to $206,865.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NOTE 5. COMMITMENTS AND CONTINGENCIES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Registration Rights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Business Combination Marketing Agreement</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NOTE 6. STOCKHOLDERS’ EQUITY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b/>
          <w:i/>
          <w:sz w:val="15"/>
        </w:rPr>
        <w:t>Preferred Stock</w:t>
      </w:r>
      <w:r>
        <w:rPr>
          <w:rFonts w:ascii="Times New Roman" w:hAnsi="Times New Roman"/>
          <w:sz w:val="15"/>
        </w:rPr>
        <w:t xml:space="preserve"> — The Company is authorized to issue 1,000,000 shares of preferred stock with a par value of $0.001 per share with such designation, rights and preferences as may be determined from time to time by the Company’s Board of Directors. At June 30, 2019 and December 31, 2018, there were no shares of preferred stock issued or outstanding.</w:t>
      </w:r>
    </w:p>
    <w:p>
      <w:pPr>
        <w:pStyle w:val="TextBody"/>
        <w:spacing w:before="0" w:after="0"/>
        <w:ind w:left="0" w:right="0" w:firstLine="36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b/>
          <w:i/>
          <w:sz w:val="15"/>
        </w:rPr>
        <w:t>Common Stock</w:t>
      </w:r>
      <w:r>
        <w:rPr>
          <w:rFonts w:ascii="Times New Roman" w:hAnsi="Times New Roman"/>
          <w:sz w:val="15"/>
        </w:rPr>
        <w:t xml:space="preserve"> — The Company is authorized to issue 100,000,000 shares of common stock with a par value of $0.001 per share. Holders of the Company’s common stock are entitled to one vote for each share. At June 30, 2019 and December 31, 2018, there were 2,801,350 and 2,725,039, respectively, shares of common stock issued and outstanding (excluding 4,114,378 and 6,310,461 shares of common stock subject to possible redemption, respectively).</w:t>
      </w:r>
    </w:p>
    <w:p>
      <w:pPr>
        <w:pStyle w:val="TextBody"/>
        <w:spacing w:before="0" w:after="0"/>
        <w:ind w:left="0" w:right="0" w:firstLine="36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9"/>
      <w:bookmarkStart w:id="59" w:name="pgbrk9"/>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0" w:name="ftr8"/>
      <w:bookmarkEnd w:id="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61" w:name="pn6"/>
      <w:bookmarkEnd w:id="61"/>
      <w:r>
        <w:rPr>
          <w:rFonts w:ascii="Times New Roman" w:hAnsi="Times New Roman"/>
          <w:sz w:val="15"/>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2" w:name="pb8"/>
      <w:bookmarkStart w:id="63" w:name="pb8"/>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bookmarkStart w:id="64" w:name="hdr9"/>
      <w:bookmarkEnd w:id="64"/>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BIG ROCK PARTNERS ACQUISITION CORP.</w:t>
      </w:r>
    </w:p>
    <w:p>
      <w:pPr>
        <w:pStyle w:val="TextBody"/>
        <w:spacing w:before="0" w:after="0"/>
        <w:ind w:left="0" w:right="0" w:hanging="0"/>
        <w:jc w:val="center"/>
        <w:rPr>
          <w:rFonts w:ascii="Times New Roman" w:hAnsi="Times New Roman"/>
          <w:b/>
          <w:sz w:val="15"/>
        </w:rPr>
      </w:pPr>
      <w:r>
        <w:rPr>
          <w:rFonts w:ascii="Times New Roman" w:hAnsi="Times New Roman"/>
          <w:b/>
          <w:sz w:val="15"/>
        </w:rPr>
        <w:t>NOTES TO CONDENSED FINANCIAL STATEMENTS</w:t>
      </w:r>
    </w:p>
    <w:p>
      <w:pPr>
        <w:pStyle w:val="TextBody"/>
        <w:spacing w:before="0" w:after="0"/>
        <w:ind w:left="0" w:right="0" w:hanging="0"/>
        <w:jc w:val="center"/>
        <w:rPr>
          <w:rFonts w:ascii="Times New Roman" w:hAnsi="Times New Roman"/>
          <w:b/>
          <w:sz w:val="15"/>
        </w:rPr>
      </w:pPr>
      <w:r>
        <w:rPr>
          <w:rFonts w:ascii="Times New Roman" w:hAnsi="Times New Roman"/>
          <w:b/>
          <w:sz w:val="15"/>
        </w:rPr>
        <w:t>JUNE 30, 2019</w:t>
      </w:r>
    </w:p>
    <w:p>
      <w:pPr>
        <w:pStyle w:val="TextBody"/>
        <w:spacing w:before="0" w:after="0"/>
        <w:ind w:left="0" w:right="0" w:hanging="0"/>
        <w:jc w:val="center"/>
        <w:rPr>
          <w:rFonts w:ascii="Times New Roman" w:hAnsi="Times New Roman"/>
          <w:b/>
          <w:sz w:val="15"/>
        </w:rPr>
      </w:pPr>
      <w:r>
        <w:rPr>
          <w:rFonts w:ascii="Times New Roman" w:hAnsi="Times New Roman"/>
          <w:b/>
          <w:sz w:val="15"/>
        </w:rPr>
        <w:t>(Unaudited)</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15"/>
        </w:rPr>
      </w:pPr>
      <w:r>
        <w:rPr>
          <w:rFonts w:ascii="Times New Roman" w:hAnsi="Times New Roman"/>
          <w:b/>
          <w:sz w:val="15"/>
        </w:rPr>
        <w:t>NOTE 7. SUBSEQUENT EVENTS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evaluates subsequent events and transactions that occur after the balance sheet date up to the date that the condensed financial statements were issued. Other than as described below, the Company did not identify any subsequent events that would have required adjustment or disclosure in the condensed financial statements.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In July 2019, the Company deposited $95,605 into the Trust Account for the third, and final, 30-day extension period. The Company now has until August 22, 2019 to consummate a Business Combination. In order to pay for part of the third extension payment, the Company issued an unsecured promissory note (the “Promissory Note”) in favor of the Investor, in the original principal amount of $6,814. The Note does not bear interest and matures upon closing of a Business Combination by the Company. If the Company fails to consummate a Business Combination, the outstanding debt under the Note will be forgiven, except to the extent of any funds held outside of the Company's Trust Account after paying all other fees and expenses of the Company.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The Company has scheduled a special meeting of stockholders for August 21, 2019, pursuant to which it will seek stockholder approval to, among other matters, amend the Company’s Amended and Restated Certificate of Incorporation to extend the period of time for which the Company is required to consummate a Business Combination from August 22, 2019 to November 22, 2019. There is no assurance that the Company’s stockholders will vote to approve the extension of time with which the Company has to complete a Business Combination. If the Company does not obtain stockholder approval, the Company would wind up its affairs and liquidate.</w:t>
      </w:r>
    </w:p>
    <w:p>
      <w:pPr>
        <w:pStyle w:val="TextBody"/>
        <w:spacing w:before="0" w:after="0"/>
        <w:ind w:left="0" w:right="0" w:firstLine="720"/>
        <w:jc w:val="both"/>
        <w:rPr/>
      </w:pPr>
      <w:r>
        <w:rPr/>
        <w:t> </w:t>
      </w:r>
    </w:p>
    <w:p>
      <w:pPr>
        <w:pStyle w:val="TextBody"/>
        <w:spacing w:before="0" w:after="0"/>
        <w:ind w:left="0" w:right="0" w:firstLine="720"/>
        <w:jc w:val="both"/>
        <w:rPr/>
      </w:pPr>
      <w:r>
        <w:rPr>
          <w:rFonts w:ascii="Times New Roman" w:hAnsi="Times New Roman"/>
          <w:sz w:val="15"/>
        </w:rPr>
        <w:t>On August 9, 2019, the Company received a notice from the Staff stating that the Company was no longer in compliance with Nasdaq Listing Rule 5550(a)(3) for continued listing due to its failure to maintain a minimum of 300 public holders. The Company has</w:t>
      </w:r>
      <w:r>
        <w:rPr/>
        <w:t xml:space="preserve"> </w:t>
      </w:r>
      <w:r>
        <w:rPr>
          <w:rFonts w:ascii="Times New Roman" w:hAnsi="Times New Roman"/>
          <w:color w:val="000000"/>
          <w:sz w:val="15"/>
        </w:rPr>
        <w:t>until September 23, 2019 to provide Nasdaq with a specific plan to achieve and sustain compliance with the listing requirement. The notice is a notification of deficiency, not of imminent delisting, and has no current effect on the listing or trading of the Company's securities on Nasdaq.</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color w:val="000000"/>
          <w:sz w:val="15"/>
        </w:rPr>
      </w:pPr>
      <w:r>
        <w:rPr>
          <w:rFonts w:ascii="Times New Roman" w:hAnsi="Times New Roman"/>
          <w:color w:val="000000"/>
          <w:sz w:val="15"/>
        </w:rPr>
        <w:t>The Company intends to submit a plan to regain compliance within the required timeframe. If Nasdaq accepts the Company's plan, Nasdaq may grant the Company an extension of up to 180 calendar days from the date of the notice to evidence compliance with the Rule. If Nasdaq does not accept the Company's plan, the Company will have the opportunity to appeal the decision in front of a Nasdaq Hearings Panel.</w:t>
      </w:r>
    </w:p>
    <w:p>
      <w:pPr>
        <w:pStyle w:val="TextBody"/>
        <w:spacing w:before="0" w:after="0"/>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10"/>
      <w:bookmarkStart w:id="66" w:name="pgbrk10"/>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67" w:name="ftr9"/>
      <w:bookmarkEnd w:id="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68" w:name="pn7"/>
      <w:bookmarkEnd w:id="68"/>
      <w:r>
        <w:rPr>
          <w:rFonts w:ascii="Times New Roman" w:hAnsi="Times New Roman"/>
          <w:sz w:val="15"/>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9" w:name="pb9"/>
      <w:bookmarkStart w:id="70" w:name="pb9"/>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1" w:name="hdr10"/>
      <w:bookmarkEnd w:id="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2. MANAGEMENT’S DISCUSSION AND ANALYSIS OF FINANCIAL CONDITION AND RESULTS OF OPERATIONS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i/>
          <w:sz w:val="15"/>
        </w:rPr>
      </w:pPr>
      <w:r>
        <w:rPr>
          <w:rFonts w:ascii="Times New Roman" w:hAnsi="Times New Roman"/>
          <w:i/>
          <w:sz w:val="15"/>
        </w:rPr>
        <w:t>References in this report to “we,” “us” or the “Company” refer to Big Rock Partners Acquisition Corp. References to our “management” or our “management team” refer to our officers and directors, and references to the “Sponsor” refer to Big Rock Partners Sponsor, LLC, a company affiliated with our Chairman, President and Chief Executive Officer.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pStyle w:val="TextBody"/>
        <w:spacing w:before="0" w:after="0"/>
        <w:ind w:left="0" w:right="0" w:firstLine="360"/>
        <w:jc w:val="left"/>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Special Note Regarding Forward-Looking Statements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This Quarterly Report on Form 10-Q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ending December 31, 2018 filed with the SEC on March 15, 2019.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spacing w:before="0" w:after="0"/>
        <w:ind w:left="0" w:right="0" w:firstLine="72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Overview</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pStyle w:val="TextBody"/>
        <w:spacing w:before="0" w:after="0"/>
        <w:ind w:left="0" w:right="0" w:hanging="0"/>
        <w:jc w:val="left"/>
        <w:rPr/>
      </w:pPr>
      <w:r>
        <w:rPr/>
        <w:t> </w:t>
      </w:r>
    </w:p>
    <w:p>
      <w:pPr>
        <w:pStyle w:val="TextBody"/>
        <w:spacing w:before="0" w:after="0"/>
        <w:ind w:left="1440" w:right="0" w:hanging="1440"/>
        <w:jc w:val="both"/>
        <w:rPr>
          <w:rFonts w:ascii="Times New Roman" w:hAnsi="Times New Roman"/>
          <w:b/>
          <w:sz w:val="15"/>
        </w:rPr>
      </w:pPr>
      <w:r>
        <w:rPr>
          <w:rFonts w:ascii="Times New Roman" w:hAnsi="Times New Roman"/>
          <w:b/>
          <w:sz w:val="15"/>
        </w:rPr>
        <w:t>Recent Developments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we have to consummate a Business Combination up to two times for an aggregate of up to six months and the Investor agreed to loan us the funds necessary to obtain the extensions (the “Extension(s)”). On November 20, 2018, we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we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Pursuant to the Agreement, the Investor has also agreed to loan us all funds necessary to pay expenses incurred in connection with and in order to consummate a Business Combination (the “Business Combination Expenses”) and such loans will be added to the Notes. Also, pursuant to the Agreement, the Sponsor has agreed to be responsible for all our liabilities as of November 17, 2018, except for liabilities associated with the possible redemption of shares by our shareholders, as described in our Amended and Restated Certificate of Incorporation. The Sponsor has also agreed to loan us the funds necessary to pay our expenses other than the Business Combination Expenses through the closing of a Business Combination when and as needed in order for us to continue in operation (the “Non-Business Combination Related Expenses”).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11"/>
      <w:bookmarkStart w:id="73" w:name="pgbrk11"/>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4" w:name="ftr10"/>
      <w:bookmarkEnd w:id="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75" w:name="pn8"/>
      <w:bookmarkEnd w:id="75"/>
      <w:r>
        <w:rPr>
          <w:rFonts w:ascii="Times New Roman" w:hAnsi="Times New Roman"/>
          <w:sz w:val="15"/>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6" w:name="pb10"/>
      <w:bookmarkStart w:id="77" w:name="pb10"/>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78" w:name="hdr11"/>
      <w:bookmarkEnd w:id="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The Founder’s Shares transferred by the Sponsor to the Investor will remain in escrow in the name of the Investor, subject to the terms of the Stock Escrow Agreement, dated November 20, 2017, among us, the Sponsor and Continental Stock Transfer &amp; Trust Company. Additionally, the Sponsor assigned the registration rights it was granted, pursuant to the Registration Rights Agreement, dated November 20, 2017 between us and the Sponsor, with respect to the Founder’s Shares to the Investor in connection with the transfer.</w:t>
      </w:r>
    </w:p>
    <w:p>
      <w:pPr>
        <w:pStyle w:val="TextBody"/>
        <w:spacing w:before="0" w:after="0"/>
        <w:ind w:left="0" w:right="0" w:hanging="0"/>
        <w:jc w:val="both"/>
        <w:rPr>
          <w:rFonts w:ascii="Times New Roman" w:hAnsi="Times New Roman"/>
          <w:sz w:val="15"/>
        </w:rPr>
      </w:pPr>
      <w:r>
        <w:rPr>
          <w:rFonts w:ascii="Times New Roman" w:hAnsi="Times New Roman"/>
          <w:sz w:val="15"/>
        </w:rPr>
      </w:r>
    </w:p>
    <w:p>
      <w:pPr>
        <w:pStyle w:val="TextBody"/>
        <w:spacing w:before="0" w:after="0"/>
        <w:ind w:left="0" w:right="0" w:hanging="0"/>
        <w:jc w:val="both"/>
        <w:rPr>
          <w:rFonts w:ascii="Times New Roman" w:hAnsi="Times New Roman"/>
          <w:sz w:val="15"/>
        </w:rPr>
      </w:pPr>
      <w:r>
        <w:rPr>
          <w:rFonts w:ascii="Times New Roman" w:hAnsi="Times New Roman"/>
          <w:sz w:val="15"/>
        </w:rPr>
        <w:t>On May 21, 2019, our stockholders approved an amendment to our Amended and Restated Certificate of Incorporation to extend the period of time for which we are required to consummate a Business Combination to August 22, 2019 (the “Extended Date”). The number of shares of common stock presented for redemption in connection with the extension was 2,119,772. We paid cash in the aggregate amount of $22,099,233, or approximately $10.43 per share, to redeeming stockholders. We agreed to deposit, or cause to be deposited on our behalf, into the Trust Account $0.02 for each public share outstanding for each 30-day extension period utilized through the Extended Date. Through June 30, 2019, we deposited an aggregate of $286,814 into the Trust Account, of which $191,209 was contributed to the Trust Account by a third party and is not required to be repaid by us. In July 2019, we deposited an additional $95,605 into the Trust Account for the third, and final, 30-day extension period. We now have until August 22, 2019 to consummate a Business Combination. In order to pay for part of the third extension payment, we issued an unsecured promissory note (the “Note”) in favor of the Investor, in the original principal amount of $6,814. The Note does not bear interest and matures upon closing of a Business Combination. If we fail to consummate a Business Combination, the outstanding debt under the Note will be forgiven, except to the extent of any funds held outside of the Trust Account after paying all of our other fees and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have scheduled a special meeting of stockholders for August 21, 2019, pursuant to which we will seek stockholder approval to, among other matters, amend our Amended and Restated Certificate of Incorporation to extend the period of time for which we are required to consummate a Business Combination from August 22, 2019 to November 22, 2019. There is no assurance that our stockholders will vote to approve the extension of time with which we have to complete a Business Combination. If we do not obtain stockholder approval, we would wind up its affairs and liquidate.</w:t>
      </w:r>
    </w:p>
    <w:p>
      <w:pPr>
        <w:pStyle w:val="TextBody"/>
        <w:spacing w:before="0" w:after="0"/>
        <w:jc w:val="both"/>
        <w:rPr/>
      </w:pPr>
      <w:r>
        <w:rPr/>
        <w:t> </w:t>
      </w:r>
    </w:p>
    <w:p>
      <w:pPr>
        <w:pStyle w:val="TextBody"/>
        <w:spacing w:before="0" w:after="0"/>
        <w:ind w:left="0" w:right="0" w:hanging="0"/>
        <w:jc w:val="both"/>
        <w:rPr/>
      </w:pPr>
      <w:r>
        <w:rPr>
          <w:rFonts w:ascii="Times New Roman" w:hAnsi="Times New Roman"/>
          <w:sz w:val="15"/>
        </w:rPr>
        <w:t>On August 9, 2019, we received a notice from the Staff stating that we were no longer in compliance with Nasdaq Listing Rule 5550(a)(3) for continued listing due to its failure to maintain a minimum of 300 public holders. We have</w:t>
      </w:r>
      <w:r>
        <w:rPr/>
        <w:t xml:space="preserve"> </w:t>
      </w:r>
      <w:r>
        <w:rPr>
          <w:rFonts w:ascii="Times New Roman" w:hAnsi="Times New Roman"/>
          <w:color w:val="000000"/>
          <w:sz w:val="15"/>
        </w:rPr>
        <w:t>until September 23, 2019 to provide Nasdaq with a specific plan to achieve and sustain compliance with the listing requirement. The notice is a notification of deficiency, not of imminent delisting, and has no current effect on the listing or trading of our securities on Nasdaq.</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We intend to submit a plan to regain compliance within the required timeframe. If Nasdaq accepts our plan, Nasdaq may grant us an extension of up to 180 calendar days from the date of the notice to evidence compliance with the Rule. If Nasdaq does not accept our plan, we will have the opportunity to appeal the decision in front of a Nasdaq Hearings Panel.</w:t>
      </w:r>
    </w:p>
    <w:p>
      <w:pPr>
        <w:pStyle w:val="TextBody"/>
        <w:spacing w:before="0" w:after="0"/>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three months ended June 30, 2019, we had a net income of $176,021, which consists of interest income on securities held in the trust account established for the benefit of our public stockholders (the “Trust Account”) of $392,439, offset by operating costs of $175,742 and provision for income taxes of $40,676.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six months ended June 30, 2019, we had a net income of $363,986, which consists of interest income on securities held in the Trust Account of $775,301, offset by operating costs of $338,923 and provision for income taxes of $72,392.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three months ended June 30, 2018, we had a net loss of $6,602, which consists of operating costs of $271,810 and a provision for income taxes of $8,948, offset by interest income on marketable securities held in the Trust Account of $272,482 and an unrealized gain on marketable securities held in the Trust Account of $1,674.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six months ended June 30, 2018, we had net income of $8,879, which consists of interest income on marketable securities held in the Trust Account of $486,051 and an unrealized gain on marketable securities held in the Trust Account of $75, offset by operating costs of $464,184 and a provision for income taxes of $13,063.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Liquidity and Capital Resources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As of June 30, 2019, we had cash and marketable securities held in the Trust Account of $50,061,450 (including approximately $1,112,000 of interest income) consisting of money market funds. Interest income earned on the balance in the Trust Account may be used by us to pay taxes. To date, we have withdrawn approximately $304,000 of interest from the Trust Account in order to pay our income and franchise taxes, of which approximately $262,000 was withdrawn during the six months ended June 30, 2019.</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six months ended June 30, 2019, cash used in operating activities amounted to $478,343. Net income of $363,986 was the result of interest earned on securities held in the Trust Account of $775,301, offset by changes in operating assets and liabilities, which used $67,028 of cash for operating activities.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For the six months ended June 30, 2018, cash used in operating activities amounted to $334,900. Net income of $8,879 was impacted by interest earned on marketable securities held in the Trust Account of $486,051 and an unrealized gain on marketable securities held in our Trust Account of $75. Changes in operating assets and liabilities provided $142,347 of cash for operating activities.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 w:name="pgbrk12"/>
      <w:bookmarkStart w:id="80" w:name="pgbrk12"/>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1" w:name="ftr11"/>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82" w:name="pn9"/>
      <w:bookmarkEnd w:id="82"/>
      <w:r>
        <w:rPr>
          <w:rFonts w:ascii="Times New Roman" w:hAnsi="Times New Roman"/>
          <w:sz w:val="15"/>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3" w:name="pb11"/>
      <w:bookmarkStart w:id="84" w:name="pb11"/>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5" w:name="hdr12"/>
      <w:bookmarkEnd w:id="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As of June 30, 2019, the Sponsor has loaned us an aggregate of $206,865 in order to pay our Non-Business Combination Related Expenses. Upon consummation of a Business Combination, up to $200,000 of the Non-Business Combination Related Expenses will be repaid by us to the Sponsor provided that we have funds available to us sufficient to repay such expenses (the “Cap”) as well as to pay for all stockholder redemptions, all Business Combination Expenses, repayment of the Note, and any funds necessary for our working capital requirements following closing of the Business Combination. Any remaining amounts in excess of the Cap will be forgiven. If we do not consummate a Business Combination, all outstanding loans made by the Sponsor to cover the Non-Business Combination Related Expenses will be forgiven.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Off-balance sheet financing arrangements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did not have any off-balance sheet arrangements as of June 30, 2019.</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Contractual obligations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do not have any long-term debt, capital lease obligations, operating lease obligations or long-term liabilities.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Critical Accounting Policies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15"/>
        </w:rPr>
      </w:pPr>
      <w:r>
        <w:rPr>
          <w:rFonts w:ascii="Times New Roman" w:hAnsi="Times New Roman"/>
          <w:i/>
          <w:sz w:val="15"/>
        </w:rPr>
        <w:t>Common stock subject to possible redemption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account for our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 w:name="pgbrk13"/>
      <w:bookmarkStart w:id="87" w:name="pgbrk13"/>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88" w:name="ftr12"/>
      <w:bookmarkEnd w:id="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89" w:name="pn10"/>
      <w:bookmarkEnd w:id="89"/>
      <w:r>
        <w:rPr>
          <w:rFonts w:ascii="Times New Roman" w:hAnsi="Times New Roman"/>
          <w:sz w:val="15"/>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0" w:name="pb12"/>
      <w:bookmarkStart w:id="91" w:name="pb12"/>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2" w:name="hdr13"/>
      <w:bookmarkEnd w:id="9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15"/>
        </w:rPr>
      </w:pPr>
      <w:r>
        <w:rPr>
          <w:rFonts w:ascii="Times New Roman" w:hAnsi="Times New Roman"/>
          <w:i/>
          <w:sz w:val="15"/>
        </w:rPr>
        <w:t>Net 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apply the two-class method in calculating earnings per share. Shares of common stock subject to possible redemption which are not currently redeemable and are not redeemable at fair value, have been excluded from the calculation of basic net loss per share since such shares, if redeemed, only participate in their pro rata share of the trust account earnings. Our net income is adjusted for the portion of income that is attributable to common stock subject to possible redemption, as these shares only participate in the earnings of the Trust Account and not our income or losses.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15"/>
        </w:rPr>
      </w:pPr>
      <w:r>
        <w:rPr>
          <w:rFonts w:ascii="Times New Roman" w:hAnsi="Times New Roman"/>
          <w:b/>
          <w:i/>
          <w:sz w:val="15"/>
        </w:rPr>
        <w:t>Recent accounting pronouncements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Management does not believe that any recently issued, but not yet effective, accounting pronouncements, if currently adopted, would have a material effect on our financial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ITEM 3. QUANTITATIVE AND QUALITATIVE DISCLOSURES ABOUT MARKET RISK</w:t>
      </w:r>
    </w:p>
    <w:p>
      <w:pPr>
        <w:pStyle w:val="TextBody"/>
        <w:spacing w:before="0" w:after="0"/>
        <w:ind w:left="0" w:right="0" w:firstLine="720"/>
        <w:jc w:val="left"/>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Following the consummation of our Initial Public Offering, we invested the funds held in the Trust Account in money market funds meeting certain conditions under Rule 2a-7 under the Investment Company Act, which invest solely in United States Treasuries. Due to these short-term nature of the investments, we do not believe that there will be an associated material exposure to interest rate risk.</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4. CONTROLS AND PROCEDURES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spacing w:before="0" w:after="0"/>
        <w:ind w:left="0" w:right="0" w:firstLine="360"/>
        <w:jc w:val="both"/>
        <w:rPr/>
      </w:pPr>
      <w:r>
        <w:rPr/>
        <w:t>  </w:t>
      </w:r>
    </w:p>
    <w:p>
      <w:pPr>
        <w:pStyle w:val="TextBody"/>
        <w:spacing w:before="0" w:after="0"/>
        <w:ind w:left="0" w:right="0" w:hanging="0"/>
        <w:jc w:val="both"/>
        <w:rPr>
          <w:rFonts w:ascii="Times New Roman" w:hAnsi="Times New Roman"/>
          <w:i/>
          <w:sz w:val="15"/>
        </w:rPr>
      </w:pPr>
      <w:r>
        <w:rPr>
          <w:rFonts w:ascii="Times New Roman" w:hAnsi="Times New Roman"/>
          <w:i/>
          <w:sz w:val="15"/>
        </w:rPr>
        <w:t>Evaluation of Disclosure Controls and Procedures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As required by Rules 13a-15 and 15d-15 under the Exchange Act, our Chief Executive Officer and Chief Financial Officer carried out an evaluation of the effectiveness of the design and operation of our disclosure controls and procedures as of June 30, 2019. Based upon their evaluation, our Chief Executive Officer and Chief Financial Officer concluded that our disclosure controls and procedures (as defined in Rules 13a-15 (e) and 15d-15 (e) under the Exchange Act) were effective as of June 30, 2019.</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i/>
          <w:sz w:val="15"/>
        </w:rPr>
      </w:pPr>
      <w:r>
        <w:rPr>
          <w:rFonts w:ascii="Times New Roman" w:hAnsi="Times New Roman"/>
          <w:i/>
          <w:sz w:val="15"/>
        </w:rPr>
        <w:t>Changes in Internal Control Over Financial Reporting</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During the most recently completed fiscal quarter, there has been no change in our internal control over financial reporting that has materially affected, or is reasonably likely to materially affect, our internal control over financial reporting.</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14"/>
      <w:bookmarkStart w:id="94" w:name="pgbrk14"/>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5" w:name="ftr13"/>
      <w:bookmarkEnd w:id="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96" w:name="pn11"/>
      <w:bookmarkEnd w:id="96"/>
      <w:r>
        <w:rPr>
          <w:rFonts w:ascii="Times New Roman" w:hAnsi="Times New Roman"/>
          <w:sz w:val="15"/>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7" w:name="pb13"/>
      <w:bookmarkStart w:id="98" w:name="pb13"/>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99" w:name="hdr14"/>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PART II - OTHER INFORMATION</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1. LEGAL PROCEEDINGS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None.</w:t>
      </w:r>
    </w:p>
    <w:p>
      <w:pPr>
        <w:pStyle w:val="TextBody"/>
        <w:spacing w:before="0" w:after="0"/>
        <w:ind w:left="0" w:right="0" w:firstLine="72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1A. RISK FACTORS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Factors that could cause our actual results to differ materially from those in this report include the risk factors described in our Annual Report on Form 10-K for the year ended December 31, 2018 filed with the SEC on March 15, 2019. As of the date of this Report, there have been no material changes to the risk factors disclosed in our Annual Report filed with the SEC.</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15"/>
        </w:rPr>
      </w:pPr>
      <w:r>
        <w:rPr>
          <w:rFonts w:ascii="Times New Roman" w:hAnsi="Times New Roman"/>
          <w:b/>
          <w:sz w:val="15"/>
        </w:rPr>
        <w:t>ITEM 2. UNREGISTERED SALES OF EQUITY SECURITIES AND USE OF PROCEEDS</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On May 21, 2019, the Company’s stockholders approved to amend its Amended and Restated Certificate of Incorporation to extend the period of time for which the Company is required to consummate a Business Combination to August 22, 2019. The number of shares of common stock presented for redemption in connection with the extension was 2,119,772. The Company paid cash in the aggregate amount of $22,099,233, or approximately $10.43 per share, to redeeming stockholders. For additional information, see Note 1 to the condensed financial statements.</w:t>
      </w:r>
    </w:p>
    <w:p>
      <w:pPr>
        <w:pStyle w:val="TextBody"/>
        <w:spacing w:before="0" w:after="0"/>
        <w:ind w:left="0" w:right="0" w:firstLine="720"/>
        <w:jc w:val="left"/>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3. DEFAULTS UPON SENIOR SECURITIES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None.</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4. MINE SAFETY DISCLOSURES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Not applicable.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5. OTHER INFORMATION</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None.</w:t>
      </w:r>
    </w:p>
    <w:p>
      <w:pPr>
        <w:pStyle w:val="TextBody"/>
        <w:spacing w:before="0" w:after="0"/>
        <w:ind w:left="0" w:right="0" w:firstLine="720"/>
        <w:jc w:val="left"/>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15"/>
      <w:bookmarkStart w:id="101" w:name="pgbrk15"/>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2" w:name="ftr14"/>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03" w:name="pn12"/>
      <w:bookmarkEnd w:id="103"/>
      <w:r>
        <w:rPr>
          <w:rFonts w:ascii="Times New Roman" w:hAnsi="Times New Roman"/>
          <w:sz w:val="15"/>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4" w:name="pb14"/>
      <w:bookmarkStart w:id="105" w:name="pb14"/>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6" w:name="hdr15"/>
      <w:bookmarkEnd w:id="10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ITEM 6. EXHIBITS</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The following exhibits are filed as part of this Quarterly Report on Form 10-Q.</w:t>
      </w:r>
    </w:p>
    <w:p>
      <w:pPr>
        <w:pStyle w:val="TextBody"/>
        <w:spacing w:before="0" w:after="0"/>
        <w:ind w:left="0" w:right="0" w:firstLine="720"/>
        <w:jc w:val="left"/>
        <w:rPr/>
      </w:pPr>
      <w:r>
        <w:rPr/>
        <w:t> </w:t>
      </w:r>
    </w:p>
    <w:tbl>
      <w:tblPr>
        <w:tblW w:w="10205" w:type="dxa"/>
        <w:jc w:val="left"/>
        <w:tblInd w:w="0" w:type="dxa"/>
        <w:tblCellMar>
          <w:top w:w="0" w:type="dxa"/>
          <w:left w:w="0" w:type="dxa"/>
          <w:bottom w:w="28" w:type="dxa"/>
          <w:right w:w="0" w:type="dxa"/>
        </w:tblCellMar>
      </w:tblPr>
      <w:tblGrid>
        <w:gridCol w:w="624"/>
        <w:gridCol w:w="60"/>
        <w:gridCol w:w="9521"/>
      </w:tblGrid>
      <w:tr>
        <w:trPr/>
        <w:tc>
          <w:tcPr>
            <w:tcW w:w="624" w:type="dxa"/>
            <w:tcBorders>
              <w:bottom w:val="single" w:sz="12" w:space="0" w:color="000000"/>
            </w:tcBorders>
            <w:shd w:fill="auto" w:val="clear"/>
            <w:vAlign w:val="center"/>
          </w:tcPr>
          <w:p>
            <w:pPr>
              <w:pStyle w:val="TableContents"/>
              <w:spacing w:before="0" w:after="0"/>
              <w:ind w:left="0" w:right="0" w:hanging="0"/>
              <w:jc w:val="left"/>
              <w:rPr>
                <w:rFonts w:ascii="Times New Roman" w:hAnsi="Times New Roman"/>
                <w:b/>
                <w:sz w:val="15"/>
              </w:rPr>
            </w:pPr>
            <w:r>
              <w:rPr>
                <w:rFonts w:ascii="Times New Roman" w:hAnsi="Times New Roman"/>
                <w:b/>
                <w:sz w:val="15"/>
              </w:rPr>
              <w:t>No.</w:t>
            </w:r>
          </w:p>
        </w:tc>
        <w:tc>
          <w:tcPr>
            <w:tcW w:w="60" w:type="dxa"/>
            <w:tcBorders/>
            <w:shd w:fill="auto" w:val="clear"/>
            <w:tcMar>
              <w:bottom w:w="0" w:type="dxa"/>
            </w:tcMar>
            <w:vAlign w:val="center"/>
          </w:tcPr>
          <w:p>
            <w:pPr>
              <w:pStyle w:val="TableContents"/>
              <w:spacing w:before="0" w:after="0"/>
              <w:rPr/>
            </w:pPr>
            <w:r>
              <w:rPr/>
              <w:t> </w:t>
            </w:r>
          </w:p>
        </w:tc>
        <w:tc>
          <w:tcPr>
            <w:tcW w:w="9521" w:type="dxa"/>
            <w:tcBorders>
              <w:bottom w:val="single" w:sz="12" w:space="0" w:color="000000"/>
            </w:tcBorders>
            <w:shd w:fill="auto" w:val="clear"/>
            <w:vAlign w:val="center"/>
          </w:tcPr>
          <w:p>
            <w:pPr>
              <w:pStyle w:val="TableContents"/>
              <w:spacing w:before="0" w:after="0"/>
              <w:ind w:left="0" w:right="0" w:hanging="0"/>
              <w:jc w:val="both"/>
              <w:rPr>
                <w:rFonts w:ascii="Times New Roman" w:hAnsi="Times New Roman"/>
                <w:b/>
                <w:sz w:val="15"/>
              </w:rPr>
            </w:pPr>
            <w:r>
              <w:rPr>
                <w:rFonts w:ascii="Times New Roman" w:hAnsi="Times New Roman"/>
                <w:b/>
                <w:sz w:val="15"/>
              </w:rPr>
              <w:t>Description of Exhibit</w:t>
            </w:r>
          </w:p>
        </w:tc>
      </w:tr>
      <w:tr>
        <w:trPr/>
        <w:tc>
          <w:tcPr>
            <w:tcW w:w="624" w:type="dxa"/>
            <w:tcBorders/>
            <w:shd w:fill="CCEEFF" w:val="clear"/>
            <w:tcMar>
              <w:bottom w:w="0" w:type="dxa"/>
            </w:tcMar>
            <w:vAlign w:val="center"/>
          </w:tcPr>
          <w:p>
            <w:pPr>
              <w:pStyle w:val="TableContents"/>
              <w:spacing w:before="0" w:after="0"/>
              <w:ind w:left="0" w:right="0" w:hanging="0"/>
              <w:jc w:val="left"/>
              <w:rPr/>
            </w:pPr>
            <w:hyperlink r:id="rId2">
              <w:r>
                <w:rPr>
                  <w:rStyle w:val="InternetLink"/>
                  <w:rFonts w:ascii="Times New Roman" w:hAnsi="Times New Roman"/>
                  <w:sz w:val="15"/>
                </w:rPr>
                <w:t>3.1</w:t>
              </w:r>
            </w:hyperlink>
            <w:r>
              <w:rPr>
                <w:rFonts w:ascii="Times New Roman" w:hAnsi="Times New Roman"/>
                <w:sz w:val="15"/>
              </w:rPr>
              <w:t xml:space="preserve">   </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Amendment to Amended and Restated Certificate of Incorporation (incorporated by reference to Exhibit 3.1 to the Company’s Form 8-K, filed on May 22, 2019) </w:t>
            </w:r>
          </w:p>
        </w:tc>
      </w:tr>
      <w:tr>
        <w:trPr/>
        <w:tc>
          <w:tcPr>
            <w:tcW w:w="624" w:type="dxa"/>
            <w:tcBorders/>
            <w:shd w:fill="auto" w:val="clear"/>
            <w:tcMar>
              <w:bottom w:w="0" w:type="dxa"/>
            </w:tcMar>
            <w:vAlign w:val="center"/>
          </w:tcPr>
          <w:p>
            <w:pPr>
              <w:pStyle w:val="TableContents"/>
              <w:spacing w:before="0" w:after="0"/>
              <w:ind w:left="0" w:right="0" w:hanging="0"/>
              <w:jc w:val="left"/>
              <w:rPr/>
            </w:pPr>
            <w:hyperlink w:anchor="brpa_ex311.htm">
              <w:r>
                <w:rPr>
                  <w:rStyle w:val="InternetLink"/>
                  <w:rFonts w:ascii="Times New Roman" w:hAnsi="Times New Roman"/>
                  <w:sz w:val="15"/>
                </w:rPr>
                <w:t>31.1</w:t>
              </w:r>
            </w:hyperlink>
            <w:r>
              <w:rPr>
                <w:rFonts w:ascii="Times New Roman" w:hAnsi="Times New Roman"/>
                <w:sz w:val="15"/>
              </w:rPr>
              <w:t xml:space="preserve"> *</w:t>
            </w:r>
          </w:p>
        </w:tc>
        <w:tc>
          <w:tcPr>
            <w:tcW w:w="60" w:type="dxa"/>
            <w:tcBorders/>
            <w:shd w:fill="auto" w:val="clear"/>
            <w:tcMar>
              <w:bottom w:w="0" w:type="dxa"/>
            </w:tcMar>
            <w:vAlign w:val="center"/>
          </w:tcPr>
          <w:p>
            <w:pPr>
              <w:pStyle w:val="TableContents"/>
              <w:spacing w:before="0" w:after="0"/>
              <w:rPr/>
            </w:pPr>
            <w:r>
              <w:rPr/>
              <w:t> </w:t>
            </w:r>
          </w:p>
        </w:tc>
        <w:tc>
          <w:tcPr>
            <w:tcW w:w="9521" w:type="dxa"/>
            <w:tcBorders/>
            <w:shd w:fill="auto"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Certification of Principal Executive Officer Pursuant to Securities Exchange Act Rules 13a-14(a) and 15(d)-14(a), as adopted Pursuant to Section 302 of the Sarbanes-Oxley Act of 2002</w:t>
            </w:r>
          </w:p>
        </w:tc>
      </w:tr>
      <w:tr>
        <w:trPr/>
        <w:tc>
          <w:tcPr>
            <w:tcW w:w="624" w:type="dxa"/>
            <w:tcBorders/>
            <w:shd w:fill="CCEEFF" w:val="clear"/>
            <w:tcMar>
              <w:bottom w:w="0" w:type="dxa"/>
            </w:tcMar>
            <w:vAlign w:val="center"/>
          </w:tcPr>
          <w:p>
            <w:pPr>
              <w:pStyle w:val="TableContents"/>
              <w:spacing w:before="0" w:after="0"/>
              <w:ind w:left="0" w:right="0" w:hanging="0"/>
              <w:jc w:val="left"/>
              <w:rPr/>
            </w:pPr>
            <w:hyperlink w:anchor="brpa_ex312.htm">
              <w:r>
                <w:rPr>
                  <w:rStyle w:val="InternetLink"/>
                  <w:rFonts w:ascii="Times New Roman" w:hAnsi="Times New Roman"/>
                  <w:sz w:val="15"/>
                </w:rPr>
                <w:t>31.2</w:t>
              </w:r>
            </w:hyperlink>
            <w:r>
              <w:rPr>
                <w:rFonts w:ascii="Times New Roman" w:hAnsi="Times New Roman"/>
                <w:sz w:val="15"/>
              </w:rPr>
              <w:t xml:space="preserve"> *</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Certification of Principal Financial Officer Pursuant to Securities Exchange Act Rules 13a-14(a) and 15(d)-14(a), as adopted Pursuant to Section 302 of the Sarbanes-Oxley Act of 2002</w:t>
            </w:r>
          </w:p>
        </w:tc>
      </w:tr>
      <w:tr>
        <w:trPr/>
        <w:tc>
          <w:tcPr>
            <w:tcW w:w="624" w:type="dxa"/>
            <w:tcBorders/>
            <w:shd w:fill="auto" w:val="clear"/>
            <w:tcMar>
              <w:bottom w:w="0" w:type="dxa"/>
            </w:tcMar>
            <w:vAlign w:val="center"/>
          </w:tcPr>
          <w:p>
            <w:pPr>
              <w:pStyle w:val="TableContents"/>
              <w:spacing w:before="0" w:after="0"/>
              <w:ind w:left="0" w:right="0" w:hanging="0"/>
              <w:jc w:val="left"/>
              <w:rPr/>
            </w:pPr>
            <w:hyperlink w:anchor="brpa_ex321.htm">
              <w:r>
                <w:rPr>
                  <w:rStyle w:val="InternetLink"/>
                  <w:rFonts w:ascii="Times New Roman" w:hAnsi="Times New Roman"/>
                  <w:sz w:val="15"/>
                </w:rPr>
                <w:t>32.1</w:t>
              </w:r>
            </w:hyperlink>
            <w:r>
              <w:rPr>
                <w:rFonts w:ascii="Times New Roman" w:hAnsi="Times New Roman"/>
                <w:sz w:val="15"/>
              </w:rPr>
              <w:t xml:space="preserve"> **</w:t>
            </w:r>
          </w:p>
        </w:tc>
        <w:tc>
          <w:tcPr>
            <w:tcW w:w="60" w:type="dxa"/>
            <w:tcBorders/>
            <w:shd w:fill="auto" w:val="clear"/>
            <w:tcMar>
              <w:bottom w:w="0" w:type="dxa"/>
            </w:tcMar>
            <w:vAlign w:val="center"/>
          </w:tcPr>
          <w:p>
            <w:pPr>
              <w:pStyle w:val="TableContents"/>
              <w:spacing w:before="0" w:after="0"/>
              <w:rPr/>
            </w:pPr>
            <w:r>
              <w:rPr/>
              <w:t> </w:t>
            </w:r>
          </w:p>
        </w:tc>
        <w:tc>
          <w:tcPr>
            <w:tcW w:w="9521" w:type="dxa"/>
            <w:tcBorders/>
            <w:shd w:fill="auto"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Certification of Principal Executive Officer Pursuant to 18 U.S.C. Section 1350, as adopted Pursuant to Section 906 of the Sarbanes-Oxley Act of 2002</w:t>
            </w:r>
          </w:p>
        </w:tc>
      </w:tr>
      <w:tr>
        <w:trPr/>
        <w:tc>
          <w:tcPr>
            <w:tcW w:w="624" w:type="dxa"/>
            <w:tcBorders/>
            <w:shd w:fill="CCEEFF" w:val="clear"/>
            <w:tcMar>
              <w:bottom w:w="0" w:type="dxa"/>
            </w:tcMar>
            <w:vAlign w:val="center"/>
          </w:tcPr>
          <w:p>
            <w:pPr>
              <w:pStyle w:val="TableContents"/>
              <w:spacing w:before="0" w:after="0"/>
              <w:ind w:left="0" w:right="0" w:hanging="0"/>
              <w:jc w:val="left"/>
              <w:rPr/>
            </w:pPr>
            <w:hyperlink w:anchor="brpa_ex322.htm">
              <w:r>
                <w:rPr>
                  <w:rStyle w:val="InternetLink"/>
                  <w:rFonts w:ascii="Times New Roman" w:hAnsi="Times New Roman"/>
                  <w:sz w:val="15"/>
                </w:rPr>
                <w:t>32.2</w:t>
              </w:r>
            </w:hyperlink>
            <w:r>
              <w:rPr>
                <w:rFonts w:ascii="Times New Roman" w:hAnsi="Times New Roman"/>
                <w:sz w:val="15"/>
              </w:rPr>
              <w:t xml:space="preserve"> **</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Certification of Principal Financial Officer Pursuant to 18 U.S.C. Section 1350, as adopted Pursuant to Section 906 of the Sarbanes-Oxley Act of 2002</w:t>
            </w:r>
          </w:p>
        </w:tc>
      </w:tr>
      <w:tr>
        <w:trPr/>
        <w:tc>
          <w:tcPr>
            <w:tcW w:w="624"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101.INS*</w:t>
            </w:r>
          </w:p>
        </w:tc>
        <w:tc>
          <w:tcPr>
            <w:tcW w:w="60" w:type="dxa"/>
            <w:tcBorders/>
            <w:shd w:fill="auto" w:val="clear"/>
            <w:tcMar>
              <w:bottom w:w="0" w:type="dxa"/>
            </w:tcMar>
            <w:vAlign w:val="center"/>
          </w:tcPr>
          <w:p>
            <w:pPr>
              <w:pStyle w:val="TableContents"/>
              <w:spacing w:before="0" w:after="0"/>
              <w:rPr/>
            </w:pPr>
            <w:r>
              <w:rPr/>
              <w:t> </w:t>
            </w:r>
          </w:p>
        </w:tc>
        <w:tc>
          <w:tcPr>
            <w:tcW w:w="9521" w:type="dxa"/>
            <w:tcBorders/>
            <w:shd w:fill="auto"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Instance Document</w:t>
            </w:r>
          </w:p>
        </w:tc>
      </w:tr>
      <w:tr>
        <w:trPr/>
        <w:tc>
          <w:tcPr>
            <w:tcW w:w="624"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101.CAL*</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Taxonomy Extension Calculation Linkbase Document</w:t>
            </w:r>
          </w:p>
        </w:tc>
      </w:tr>
      <w:tr>
        <w:trPr/>
        <w:tc>
          <w:tcPr>
            <w:tcW w:w="624"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101.SCH*</w:t>
            </w:r>
          </w:p>
        </w:tc>
        <w:tc>
          <w:tcPr>
            <w:tcW w:w="60" w:type="dxa"/>
            <w:tcBorders/>
            <w:shd w:fill="auto" w:val="clear"/>
            <w:tcMar>
              <w:bottom w:w="0" w:type="dxa"/>
            </w:tcMar>
            <w:vAlign w:val="center"/>
          </w:tcPr>
          <w:p>
            <w:pPr>
              <w:pStyle w:val="TableContents"/>
              <w:spacing w:before="0" w:after="0"/>
              <w:rPr/>
            </w:pPr>
            <w:r>
              <w:rPr/>
              <w:t> </w:t>
            </w:r>
          </w:p>
        </w:tc>
        <w:tc>
          <w:tcPr>
            <w:tcW w:w="9521" w:type="dxa"/>
            <w:tcBorders/>
            <w:shd w:fill="auto"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Taxonomy Extension Schema Document</w:t>
            </w:r>
          </w:p>
        </w:tc>
      </w:tr>
      <w:tr>
        <w:trPr/>
        <w:tc>
          <w:tcPr>
            <w:tcW w:w="624"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101.DEF*</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Taxonomy Extension Definition Linkbase Document</w:t>
            </w:r>
          </w:p>
        </w:tc>
      </w:tr>
      <w:tr>
        <w:trPr/>
        <w:tc>
          <w:tcPr>
            <w:tcW w:w="624" w:type="dxa"/>
            <w:tcBorders/>
            <w:shd w:fill="auto"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101.LAB*</w:t>
            </w:r>
          </w:p>
        </w:tc>
        <w:tc>
          <w:tcPr>
            <w:tcW w:w="60" w:type="dxa"/>
            <w:tcBorders/>
            <w:shd w:fill="auto" w:val="clear"/>
            <w:tcMar>
              <w:bottom w:w="0" w:type="dxa"/>
            </w:tcMar>
            <w:vAlign w:val="center"/>
          </w:tcPr>
          <w:p>
            <w:pPr>
              <w:pStyle w:val="TableContents"/>
              <w:spacing w:before="0" w:after="0"/>
              <w:rPr/>
            </w:pPr>
            <w:r>
              <w:rPr/>
              <w:t> </w:t>
            </w:r>
          </w:p>
        </w:tc>
        <w:tc>
          <w:tcPr>
            <w:tcW w:w="9521" w:type="dxa"/>
            <w:tcBorders/>
            <w:shd w:fill="auto"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Taxonomy Extension Labels Linkbase Document</w:t>
            </w:r>
          </w:p>
        </w:tc>
      </w:tr>
      <w:tr>
        <w:trPr/>
        <w:tc>
          <w:tcPr>
            <w:tcW w:w="624" w:type="dxa"/>
            <w:tcBorders/>
            <w:shd w:fill="CCEEFF" w:val="clear"/>
            <w:tcMar>
              <w:bottom w:w="0"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101.PRE*</w:t>
            </w:r>
          </w:p>
        </w:tc>
        <w:tc>
          <w:tcPr>
            <w:tcW w:w="60" w:type="dxa"/>
            <w:tcBorders/>
            <w:shd w:fill="CCEEFF" w:val="clear"/>
            <w:tcMar>
              <w:bottom w:w="0" w:type="dxa"/>
            </w:tcMar>
            <w:vAlign w:val="center"/>
          </w:tcPr>
          <w:p>
            <w:pPr>
              <w:pStyle w:val="TableContents"/>
              <w:spacing w:before="0" w:after="0"/>
              <w:rPr/>
            </w:pPr>
            <w:r>
              <w:rPr/>
              <w:t> </w:t>
            </w:r>
          </w:p>
        </w:tc>
        <w:tc>
          <w:tcPr>
            <w:tcW w:w="9521" w:type="dxa"/>
            <w:tcBorders/>
            <w:shd w:fill="CCEEFF" w:val="clear"/>
            <w:tcMar>
              <w:bottom w:w="0" w:type="dxa"/>
            </w:tcM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XBRL Taxonomy Extension Presentation Linkbase Document</w:t>
            </w:r>
          </w:p>
        </w:tc>
      </w:tr>
    </w:tbl>
    <w:p>
      <w:pPr>
        <w:pStyle w:val="TextBody"/>
        <w:spacing w:before="0" w:after="0"/>
        <w:ind w:left="0" w:right="0" w:firstLine="720"/>
        <w:jc w:val="left"/>
        <w:rPr/>
      </w:pPr>
      <w:r>
        <w:rPr/>
        <w:t> </w:t>
      </w:r>
    </w:p>
    <w:tbl>
      <w:tblPr>
        <w:tblW w:w="1135" w:type="dxa"/>
        <w:jc w:val="left"/>
        <w:tblInd w:w="0" w:type="dxa"/>
        <w:tblCellMar>
          <w:top w:w="0" w:type="dxa"/>
          <w:left w:w="0" w:type="dxa"/>
          <w:bottom w:w="0" w:type="dxa"/>
          <w:right w:w="0" w:type="dxa"/>
        </w:tblCellMar>
      </w:tblPr>
      <w:tblGrid>
        <w:gridCol w:w="185"/>
        <w:gridCol w:w="950"/>
      </w:tblGrid>
      <w:tr>
        <w:trPr/>
        <w:tc>
          <w:tcPr>
            <w:tcW w:w="18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w:t>
            </w:r>
          </w:p>
        </w:tc>
        <w:tc>
          <w:tcPr>
            <w:tcW w:w="950"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Filed herewith.</w:t>
            </w:r>
          </w:p>
        </w:tc>
      </w:tr>
      <w:tr>
        <w:trPr/>
        <w:tc>
          <w:tcPr>
            <w:tcW w:w="18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w:t>
            </w:r>
          </w:p>
        </w:tc>
        <w:tc>
          <w:tcPr>
            <w:tcW w:w="95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Furnished.  </w:t>
            </w:r>
          </w:p>
        </w:tc>
      </w:tr>
    </w:tbl>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16"/>
      <w:bookmarkStart w:id="108" w:name="pgbrk16"/>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09" w:name="ftr15"/>
      <w:bookmarkEnd w:id="10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10" w:name="pn13"/>
      <w:bookmarkEnd w:id="110"/>
      <w:r>
        <w:rPr>
          <w:rFonts w:ascii="Times New Roman" w:hAnsi="Times New Roman"/>
          <w:sz w:val="15"/>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1" w:name="pb15"/>
      <w:bookmarkStart w:id="112" w:name="pb15"/>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3" w:name="hdr16"/>
      <w:bookmarkEnd w:id="11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SIGNATURES</w:t>
      </w: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15"/>
        </w:rPr>
      </w:pPr>
      <w:r>
        <w:rPr>
          <w:rFonts w:ascii="Times New Roman" w:hAnsi="Times New Roman"/>
          <w:sz w:val="15"/>
        </w:rPr>
        <w:t>Pursuant to the requirements of Securities Exchange Act of 1934, the registrant has duly caused this report to be signed on its behalf by the undersigned, thereunto duly authorized.</w:t>
      </w:r>
    </w:p>
    <w:p>
      <w:pPr>
        <w:pStyle w:val="TextBody"/>
        <w:spacing w:before="0" w:after="0"/>
        <w:ind w:left="0" w:right="0" w:firstLine="720"/>
        <w:jc w:val="left"/>
        <w:rPr/>
      </w:pPr>
      <w:r>
        <w:rPr/>
        <w:t> </w:t>
      </w:r>
    </w:p>
    <w:tbl>
      <w:tblPr>
        <w:tblW w:w="5190" w:type="dxa"/>
        <w:jc w:val="left"/>
        <w:tblInd w:w="0" w:type="dxa"/>
        <w:tblCellMar>
          <w:top w:w="0" w:type="dxa"/>
          <w:left w:w="0" w:type="dxa"/>
          <w:bottom w:w="0" w:type="dxa"/>
          <w:right w:w="0" w:type="dxa"/>
        </w:tblCellMar>
      </w:tblPr>
      <w:tblGrid>
        <w:gridCol w:w="1415"/>
        <w:gridCol w:w="335"/>
        <w:gridCol w:w="3440"/>
      </w:tblGrid>
      <w:tr>
        <w:trPr/>
        <w:tc>
          <w:tcPr>
            <w:tcW w:w="1415" w:type="dxa"/>
            <w:tcBorders/>
            <w:shd w:fill="auto" w:val="clear"/>
            <w:vAlign w:val="center"/>
          </w:tcPr>
          <w:p>
            <w:pPr>
              <w:pStyle w:val="TableContents"/>
              <w:spacing w:before="0" w:after="0"/>
              <w:rPr/>
            </w:pPr>
            <w:r>
              <w:rPr/>
              <w:t> </w:t>
            </w:r>
          </w:p>
        </w:tc>
        <w:tc>
          <w:tcPr>
            <w:tcW w:w="3775" w:type="dxa"/>
            <w:gridSpan w:val="2"/>
            <w:tcBorders/>
            <w:shd w:fill="auto" w:val="clear"/>
            <w:vAlign w:val="center"/>
          </w:tcPr>
          <w:p>
            <w:pPr>
              <w:pStyle w:val="TableContents"/>
              <w:spacing w:before="0" w:after="0"/>
              <w:ind w:left="0" w:right="45" w:hanging="0"/>
              <w:jc w:val="left"/>
              <w:rPr>
                <w:rFonts w:ascii="Times New Roman" w:hAnsi="Times New Roman"/>
                <w:b/>
                <w:sz w:val="15"/>
              </w:rPr>
            </w:pPr>
            <w:r>
              <w:rPr>
                <w:rFonts w:ascii="Times New Roman" w:hAnsi="Times New Roman"/>
                <w:b/>
                <w:sz w:val="15"/>
              </w:rPr>
              <w:t>BIG ROCK PARTNERS ACQUISITION CORP.</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rPr/>
            </w:pPr>
            <w:r>
              <w:rPr/>
              <w:t> </w:t>
            </w:r>
          </w:p>
        </w:tc>
      </w:tr>
      <w:tr>
        <w:trPr/>
        <w:tc>
          <w:tcPr>
            <w:tcW w:w="141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 August 14, 2019</w:t>
            </w:r>
          </w:p>
        </w:tc>
        <w:tc>
          <w:tcPr>
            <w:tcW w:w="33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  </w:t>
            </w:r>
          </w:p>
        </w:tc>
        <w:tc>
          <w:tcPr>
            <w:tcW w:w="3440"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Richard Ackerman</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Name: Richard Ackerman</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0" w:right="45" w:hanging="0"/>
              <w:jc w:val="left"/>
              <w:rPr>
                <w:rFonts w:ascii="Times New Roman" w:hAnsi="Times New Roman"/>
                <w:sz w:val="15"/>
              </w:rPr>
            </w:pPr>
            <w:r>
              <w:rPr>
                <w:rFonts w:ascii="Times New Roman" w:hAnsi="Times New Roman"/>
                <w:sz w:val="15"/>
              </w:rPr>
              <w:t>Title:  Chairman, President and Chief Executive Officer</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0" w:right="45" w:hanging="0"/>
              <w:jc w:val="left"/>
              <w:rPr/>
            </w:pPr>
            <w:r>
              <w:rPr/>
              <w:t>           </w:t>
            </w:r>
            <w:r>
              <w:rPr>
                <w:rFonts w:ascii="Times New Roman" w:hAnsi="Times New Roman"/>
                <w:sz w:val="15"/>
              </w:rPr>
              <w:t>(Principal Executive Officer)  </w:t>
            </w:r>
          </w:p>
        </w:tc>
      </w:tr>
      <w:tr>
        <w:trPr/>
        <w:tc>
          <w:tcPr>
            <w:tcW w:w="1415" w:type="dxa"/>
            <w:tcBorders/>
            <w:shd w:fill="auto" w:val="clear"/>
            <w:vAlign w:val="center"/>
          </w:tcPr>
          <w:p>
            <w:pPr>
              <w:pStyle w:val="TableContents"/>
              <w:spacing w:before="0" w:after="0"/>
              <w:rPr/>
            </w:pPr>
            <w:r>
              <w:rPr/>
              <w:t> </w:t>
            </w:r>
          </w:p>
        </w:tc>
        <w:tc>
          <w:tcPr>
            <w:tcW w:w="3775" w:type="dxa"/>
            <w:gridSpan w:val="2"/>
            <w:tcBorders/>
            <w:shd w:fill="auto" w:val="clear"/>
            <w:vAlign w:val="center"/>
          </w:tcPr>
          <w:p>
            <w:pPr>
              <w:pStyle w:val="TableContents"/>
              <w:spacing w:before="0" w:after="0"/>
              <w:rPr/>
            </w:pPr>
            <w:r>
              <w:rPr/>
              <w:t>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rPr/>
            </w:pPr>
            <w:r>
              <w:rPr/>
              <w:t> </w:t>
            </w:r>
          </w:p>
        </w:tc>
      </w:tr>
      <w:tr>
        <w:trPr/>
        <w:tc>
          <w:tcPr>
            <w:tcW w:w="141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 August 14, 2019</w:t>
            </w:r>
          </w:p>
        </w:tc>
        <w:tc>
          <w:tcPr>
            <w:tcW w:w="33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  </w:t>
            </w:r>
          </w:p>
        </w:tc>
        <w:tc>
          <w:tcPr>
            <w:tcW w:w="3440"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Lori B. Wittman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Name: Lori B. Wittman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Title:  Chief Financial Officer and Director</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40" w:type="dxa"/>
            <w:tcBorders/>
            <w:shd w:fill="auto" w:val="clear"/>
            <w:vAlign w:val="center"/>
          </w:tcPr>
          <w:p>
            <w:pPr>
              <w:pStyle w:val="TableContents"/>
              <w:spacing w:before="0" w:after="0"/>
              <w:ind w:left="540" w:right="0" w:hanging="0"/>
              <w:jc w:val="left"/>
              <w:rPr>
                <w:rFonts w:ascii="Times New Roman" w:hAnsi="Times New Roman"/>
                <w:sz w:val="15"/>
              </w:rPr>
            </w:pPr>
            <w:r>
              <w:rPr>
                <w:rFonts w:ascii="Times New Roman" w:hAnsi="Times New Roman"/>
                <w:sz w:val="15"/>
              </w:rPr>
              <w:t>(Principal Financial and Accounting Officer)</w:t>
            </w:r>
          </w:p>
        </w:tc>
      </w:tr>
    </w:tbl>
    <w:p>
      <w:pPr>
        <w:pStyle w:val="TextBody"/>
        <w:spacing w:before="0" w:after="0"/>
        <w:ind w:left="0" w:right="0" w:firstLine="720"/>
        <w:jc w:val="left"/>
        <w:rPr/>
      </w:pPr>
      <w:r>
        <w:rPr/>
        <w:t> </w:t>
      </w:r>
    </w:p>
    <w:p>
      <w:pPr>
        <w:pStyle w:val="TextBody"/>
        <w:spacing w:before="0" w:after="0"/>
        <w:ind w:left="0" w:right="0" w:firstLine="720"/>
        <w:jc w:val="left"/>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17"/>
      <w:bookmarkStart w:id="115" w:name="pgbrk17"/>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16" w:name="ftr16"/>
      <w:bookmarkEnd w:id="1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17" w:name="pn14"/>
      <w:bookmarkEnd w:id="117"/>
      <w:r>
        <w:rPr>
          <w:rFonts w:ascii="Times New Roman" w:hAnsi="Times New Roman"/>
          <w:sz w:val="15"/>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8" w:name="pb16"/>
      <w:bookmarkStart w:id="119" w:name="pb16"/>
      <w:bookmarkEnd w:id="119"/>
    </w:p>
    <w:p>
      <w:pPr>
        <w:pStyle w:val="TextBody"/>
        <w:ind w:left="0" w:right="0" w:hanging="0"/>
        <w:rPr/>
      </w:pPr>
      <w:r>
        <w:rPr/>
      </w:r>
      <w:bookmarkStart w:id="120" w:name="pgbrk18"/>
      <w:bookmarkStart w:id="121" w:name="pgbrk18"/>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2" w:name="hdr17"/>
      <w:bookmarkEnd w:id="12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31.1</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 Richard Ackerman, certify that:</w:t>
      </w:r>
    </w:p>
    <w:p>
      <w:pPr>
        <w:pStyle w:val="TextBody"/>
        <w:spacing w:before="0" w:after="0"/>
        <w:ind w:left="0" w:right="0" w:hanging="0"/>
        <w:jc w:val="left"/>
        <w:rPr/>
      </w:pPr>
      <w:r>
        <w:rPr/>
        <w:t> </w:t>
      </w:r>
    </w:p>
    <w:p>
      <w:pPr>
        <w:pStyle w:val="TextBody"/>
        <w:spacing w:before="0" w:after="0"/>
        <w:rPr>
          <w:rFonts w:ascii="Times New Roman" w:hAnsi="Times New Roman"/>
          <w:sz w:val="15"/>
        </w:rPr>
      </w:pPr>
      <w:r>
        <w:rPr>
          <w:rFonts w:ascii="Times New Roman" w:hAnsi="Times New Roman"/>
          <w:sz w:val="15"/>
        </w:rPr>
        <w:t>1.</w:t>
      </w:r>
    </w:p>
    <w:p>
      <w:pPr>
        <w:pStyle w:val="TextBody"/>
        <w:spacing w:before="0" w:after="0"/>
        <w:ind w:left="0" w:right="0" w:hanging="0"/>
        <w:jc w:val="both"/>
        <w:rPr>
          <w:rFonts w:ascii="Times New Roman" w:hAnsi="Times New Roman"/>
          <w:sz w:val="15"/>
        </w:rPr>
      </w:pPr>
      <w:r>
        <w:rPr>
          <w:rFonts w:ascii="Times New Roman" w:hAnsi="Times New Roman"/>
          <w:sz w:val="15"/>
        </w:rPr>
        <w:t>I have reviewed this Quarterly Report on Form 10-Q of Big Rock Partners Acquisition Corp.;</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2.</w:t>
      </w:r>
    </w:p>
    <w:p>
      <w:pPr>
        <w:pStyle w:val="TextBody"/>
        <w:spacing w:before="0" w:after="0"/>
        <w:ind w:left="0" w:right="0" w:hanging="0"/>
        <w:jc w:val="both"/>
        <w:rPr>
          <w:rFonts w:ascii="Times New Roman" w:hAnsi="Times New Roman"/>
          <w:sz w:val="15"/>
        </w:rPr>
      </w:pPr>
      <w:r>
        <w:rPr>
          <w:rFonts w:ascii="Times New Roman" w:hAnsi="Times New Roman"/>
          <w:sz w:val="1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3.</w:t>
      </w:r>
    </w:p>
    <w:p>
      <w:pPr>
        <w:pStyle w:val="TextBody"/>
        <w:spacing w:before="0" w:after="0"/>
        <w:ind w:left="0" w:right="0" w:hanging="0"/>
        <w:jc w:val="both"/>
        <w:rPr>
          <w:rFonts w:ascii="Times New Roman" w:hAnsi="Times New Roman"/>
          <w:sz w:val="15"/>
        </w:rPr>
      </w:pPr>
      <w:r>
        <w:rPr>
          <w:rFonts w:ascii="Times New Roman" w:hAnsi="Times New Roman"/>
          <w:sz w:val="1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r>
    </w:p>
    <w:p>
      <w:pPr>
        <w:pStyle w:val="TextBody"/>
        <w:spacing w:before="0" w:after="0"/>
        <w:rPr>
          <w:rFonts w:ascii="Times New Roman" w:hAnsi="Times New Roman"/>
          <w:sz w:val="15"/>
        </w:rPr>
      </w:pPr>
      <w:r>
        <w:rPr>
          <w:rFonts w:ascii="Times New Roman" w:hAnsi="Times New Roman"/>
          <w:sz w:val="15"/>
        </w:rPr>
        <w:t>4.</w:t>
      </w:r>
    </w:p>
    <w:p>
      <w:pPr>
        <w:pStyle w:val="TextBody"/>
        <w:spacing w:before="0" w:after="0"/>
        <w:ind w:left="0" w:right="0" w:hanging="0"/>
        <w:jc w:val="both"/>
        <w:rPr>
          <w:rFonts w:ascii="Times New Roman" w:hAnsi="Times New Roman"/>
          <w:sz w:val="15"/>
        </w:rPr>
      </w:pPr>
      <w:r>
        <w:rPr>
          <w:rFonts w:ascii="Times New Roman" w:hAnsi="Times New Roman"/>
          <w:sz w:val="1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(a)</w:t>
      </w:r>
    </w:p>
    <w:p>
      <w:pPr>
        <w:pStyle w:val="TextBody"/>
        <w:spacing w:before="0" w:after="0"/>
        <w:ind w:left="540" w:right="0" w:hanging="0"/>
        <w:jc w:val="both"/>
        <w:rPr>
          <w:rFonts w:ascii="Times New Roman" w:hAnsi="Times New Roman"/>
          <w:sz w:val="15"/>
        </w:rPr>
      </w:pPr>
      <w:r>
        <w:rPr>
          <w:rFonts w:ascii="Times New Roman" w:hAnsi="Times New Roman"/>
          <w:sz w:val="1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72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(b)</w:t>
      </w:r>
    </w:p>
    <w:p>
      <w:pPr>
        <w:pStyle w:val="TextBody"/>
        <w:spacing w:before="0" w:after="0"/>
        <w:ind w:left="540" w:right="0" w:hanging="0"/>
        <w:jc w:val="both"/>
        <w:rPr>
          <w:rFonts w:ascii="Times New Roman" w:hAnsi="Times New Roman"/>
          <w:sz w:val="15"/>
        </w:rPr>
      </w:pPr>
      <w:r>
        <w:rPr>
          <w:rFonts w:ascii="Times New Roman" w:hAnsi="Times New Roman"/>
          <w:sz w:val="1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90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(c)</w:t>
      </w:r>
    </w:p>
    <w:p>
      <w:pPr>
        <w:pStyle w:val="TextBody"/>
        <w:spacing w:before="0" w:after="0"/>
        <w:ind w:left="540" w:right="0" w:hanging="0"/>
        <w:jc w:val="both"/>
        <w:rPr>
          <w:rFonts w:ascii="Times New Roman" w:hAnsi="Times New Roman"/>
          <w:sz w:val="15"/>
        </w:rPr>
      </w:pPr>
      <w:r>
        <w:rPr>
          <w:rFonts w:ascii="Times New Roman" w:hAnsi="Times New Roman"/>
          <w:sz w:val="1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90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(d)</w:t>
      </w:r>
    </w:p>
    <w:p>
      <w:pPr>
        <w:pStyle w:val="TextBody"/>
        <w:spacing w:before="0" w:after="0"/>
        <w:ind w:left="540" w:right="0" w:hanging="0"/>
        <w:jc w:val="both"/>
        <w:rPr>
          <w:rFonts w:ascii="Times New Roman" w:hAnsi="Times New Roman"/>
          <w:sz w:val="15"/>
        </w:rPr>
      </w:pPr>
      <w:r>
        <w:rPr>
          <w:rFonts w:ascii="Times New Roman" w:hAnsi="Times New Roman"/>
          <w:sz w:val="1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180" w:right="0" w:hanging="0"/>
        <w:jc w:val="both"/>
        <w:rPr/>
      </w:pPr>
      <w:r>
        <w:rPr/>
        <w:t> </w:t>
      </w:r>
    </w:p>
    <w:p>
      <w:pPr>
        <w:pStyle w:val="TextBody"/>
        <w:spacing w:before="0" w:after="0"/>
        <w:rPr>
          <w:rFonts w:ascii="Times New Roman" w:hAnsi="Times New Roman"/>
          <w:sz w:val="15"/>
        </w:rPr>
      </w:pPr>
      <w:r>
        <w:rPr>
          <w:rFonts w:ascii="Times New Roman" w:hAnsi="Times New Roman"/>
          <w:sz w:val="15"/>
        </w:rPr>
        <w:t>5.</w:t>
      </w:r>
    </w:p>
    <w:p>
      <w:pPr>
        <w:pStyle w:val="TextBody"/>
        <w:spacing w:before="0" w:after="0"/>
        <w:ind w:left="0" w:right="0" w:hanging="0"/>
        <w:jc w:val="both"/>
        <w:rPr>
          <w:rFonts w:ascii="Times New Roman" w:hAnsi="Times New Roman"/>
          <w:sz w:val="15"/>
        </w:rPr>
      </w:pPr>
      <w:r>
        <w:rPr>
          <w:rFonts w:ascii="Times New Roman" w:hAnsi="Times New Roman"/>
          <w:sz w:val="15"/>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ind w:left="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(a)</w:t>
      </w:r>
    </w:p>
    <w:p>
      <w:pPr>
        <w:pStyle w:val="TextBody"/>
        <w:spacing w:before="0" w:after="0"/>
        <w:ind w:left="540" w:right="0" w:hanging="0"/>
        <w:jc w:val="both"/>
        <w:rPr>
          <w:rFonts w:ascii="Times New Roman" w:hAnsi="Times New Roman"/>
          <w:sz w:val="15"/>
        </w:rPr>
      </w:pPr>
      <w:r>
        <w:rPr>
          <w:rFonts w:ascii="Times New Roman" w:hAnsi="Times New Roman"/>
          <w:sz w:val="1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900" w:right="0" w:hanging="0"/>
        <w:jc w:val="both"/>
        <w:rPr/>
      </w:pPr>
      <w:r>
        <w:rPr/>
        <w:t> </w:t>
      </w:r>
    </w:p>
    <w:p>
      <w:pPr>
        <w:pStyle w:val="TextBody"/>
        <w:spacing w:before="0" w:after="0"/>
        <w:ind w:left="540" w:right="0" w:hanging="0"/>
        <w:rPr>
          <w:rFonts w:ascii="Times New Roman" w:hAnsi="Times New Roman"/>
          <w:sz w:val="15"/>
        </w:rPr>
      </w:pPr>
      <w:r>
        <w:rPr>
          <w:rFonts w:ascii="Times New Roman" w:hAnsi="Times New Roman"/>
          <w:sz w:val="15"/>
        </w:rPr>
        <w:t>(b)</w:t>
      </w:r>
    </w:p>
    <w:p>
      <w:pPr>
        <w:pStyle w:val="TextBody"/>
        <w:spacing w:before="0" w:after="0"/>
        <w:ind w:left="540" w:right="0" w:hanging="0"/>
        <w:jc w:val="both"/>
        <w:rPr>
          <w:rFonts w:ascii="Times New Roman" w:hAnsi="Times New Roman"/>
          <w:sz w:val="15"/>
        </w:rPr>
      </w:pPr>
      <w:r>
        <w:rPr>
          <w:rFonts w:ascii="Times New Roman" w:hAnsi="Times New Roman"/>
          <w:sz w:val="15"/>
        </w:rPr>
        <w:t>Any fraud, whether or not material, that involves management or other employees who have a significant role in the registrant’s internal control over financial reporting.</w:t>
      </w:r>
    </w:p>
    <w:p>
      <w:pPr>
        <w:pStyle w:val="TextBody"/>
        <w:spacing w:before="0" w:after="0"/>
        <w:ind w:left="0" w:right="0" w:hanging="0"/>
        <w:jc w:val="both"/>
        <w:rPr/>
      </w:pPr>
      <w:r>
        <w:rPr/>
        <w:t> </w:t>
      </w:r>
    </w:p>
    <w:tbl>
      <w:tblPr>
        <w:tblW w:w="5235" w:type="dxa"/>
        <w:jc w:val="left"/>
        <w:tblInd w:w="0" w:type="dxa"/>
        <w:tblCellMar>
          <w:top w:w="0" w:type="dxa"/>
          <w:left w:w="0" w:type="dxa"/>
          <w:bottom w:w="0" w:type="dxa"/>
          <w:right w:w="0" w:type="dxa"/>
        </w:tblCellMar>
      </w:tblPr>
      <w:tblGrid>
        <w:gridCol w:w="1415"/>
        <w:gridCol w:w="335"/>
        <w:gridCol w:w="3485"/>
      </w:tblGrid>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85" w:type="dxa"/>
            <w:tcBorders/>
            <w:shd w:fill="auto" w:val="clear"/>
            <w:vAlign w:val="center"/>
          </w:tcPr>
          <w:p>
            <w:pPr>
              <w:pStyle w:val="TableContents"/>
              <w:spacing w:before="0" w:after="0"/>
              <w:rPr/>
            </w:pPr>
            <w:r>
              <w:rPr/>
              <w:t> </w:t>
            </w:r>
          </w:p>
        </w:tc>
      </w:tr>
      <w:tr>
        <w:trPr/>
        <w:tc>
          <w:tcPr>
            <w:tcW w:w="141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 August 14, 2019</w:t>
            </w:r>
          </w:p>
        </w:tc>
        <w:tc>
          <w:tcPr>
            <w:tcW w:w="33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  </w:t>
            </w:r>
          </w:p>
        </w:tc>
        <w:tc>
          <w:tcPr>
            <w:tcW w:w="3485"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Richard Ackerman</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8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Name: Richard Ackerman</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85" w:type="dxa"/>
            <w:tcBorders/>
            <w:shd w:fill="auto" w:val="clear"/>
            <w:vAlign w:val="center"/>
          </w:tcPr>
          <w:p>
            <w:pPr>
              <w:pStyle w:val="TableContents"/>
              <w:spacing w:before="0" w:after="0"/>
              <w:ind w:left="0" w:right="45" w:hanging="0"/>
              <w:jc w:val="left"/>
              <w:rPr>
                <w:rFonts w:ascii="Times New Roman" w:hAnsi="Times New Roman"/>
                <w:sz w:val="15"/>
              </w:rPr>
            </w:pPr>
            <w:r>
              <w:rPr>
                <w:rFonts w:ascii="Times New Roman" w:hAnsi="Times New Roman"/>
                <w:sz w:val="15"/>
              </w:rPr>
              <w:t>Title:  Chairman, President and Chief Executive Officer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3485" w:type="dxa"/>
            <w:tcBorders/>
            <w:shd w:fill="auto" w:val="clear"/>
            <w:vAlign w:val="center"/>
          </w:tcPr>
          <w:p>
            <w:pPr>
              <w:pStyle w:val="TableContents"/>
              <w:spacing w:before="0" w:after="0"/>
              <w:ind w:left="0" w:right="45" w:hanging="0"/>
              <w:jc w:val="left"/>
              <w:rPr>
                <w:rFonts w:ascii="Times New Roman" w:hAnsi="Times New Roman"/>
                <w:sz w:val="15"/>
              </w:rPr>
            </w:pPr>
            <w:r>
              <w:rPr>
                <w:rFonts w:ascii="Times New Roman" w:hAnsi="Times New Roman"/>
                <w:sz w:val="15"/>
              </w:rPr>
              <w:t>(Principal Executive Officer)  </w:t>
            </w:r>
          </w:p>
        </w:tc>
      </w:tr>
      <w:tr>
        <w:trPr/>
        <w:tc>
          <w:tcPr>
            <w:tcW w:w="1415" w:type="dxa"/>
            <w:tcBorders/>
            <w:shd w:fill="auto" w:val="clear"/>
            <w:vAlign w:val="center"/>
          </w:tcPr>
          <w:p>
            <w:pPr>
              <w:pStyle w:val="TableContents"/>
              <w:spacing w:before="0" w:after="0"/>
              <w:rPr/>
            </w:pPr>
            <w:r>
              <w:rPr/>
              <w:t> </w:t>
            </w:r>
          </w:p>
        </w:tc>
        <w:tc>
          <w:tcPr>
            <w:tcW w:w="3820" w:type="dxa"/>
            <w:gridSpan w:val="2"/>
            <w:tcBorders/>
            <w:shd w:fill="auto" w:val="clear"/>
            <w:vAlign w:val="center"/>
          </w:tcPr>
          <w:p>
            <w:pPr>
              <w:pStyle w:val="TableContents"/>
              <w:spacing w:before="0" w:after="0"/>
              <w:rPr/>
            </w:pPr>
            <w:r>
              <w:rPr/>
              <w:t> </w:t>
            </w:r>
          </w:p>
        </w:tc>
      </w:tr>
    </w:tbl>
    <w:p>
      <w:pPr>
        <w:pStyle w:val="TextBody"/>
        <w:spacing w:before="0" w:after="0"/>
        <w:ind w:left="0" w:right="0" w:hanging="0"/>
        <w:jc w:val="left"/>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 w:name="pgbrk19"/>
      <w:bookmarkStart w:id="124" w:name="pgbrk19"/>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25" w:name="ftr17"/>
      <w:bookmarkEnd w:id="1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6" w:name="pb17"/>
      <w:bookmarkStart w:id="127" w:name="pb17"/>
      <w:bookmarkEnd w:id="127"/>
    </w:p>
    <w:p>
      <w:pPr>
        <w:pStyle w:val="TextBody"/>
        <w:ind w:left="0" w:right="0" w:hanging="0"/>
        <w:rPr/>
      </w:pPr>
      <w:r>
        <w:rPr/>
      </w:r>
      <w:bookmarkStart w:id="128" w:name="pgbrk20"/>
      <w:bookmarkStart w:id="129" w:name="pgbrk20"/>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0" w:name="hdr18"/>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 Lori Wittman, certify that:</w:t>
      </w:r>
    </w:p>
    <w:p>
      <w:pPr>
        <w:pStyle w:val="TextBody"/>
        <w:spacing w:before="0" w:after="0"/>
        <w:ind w:left="0" w:right="0" w:firstLine="720"/>
        <w:jc w:val="left"/>
        <w:rPr/>
      </w:pPr>
      <w:r>
        <w:rPr/>
        <w:t> </w:t>
      </w:r>
    </w:p>
    <w:p>
      <w:pPr>
        <w:pStyle w:val="TextBody"/>
        <w:spacing w:before="0" w:after="0"/>
        <w:rPr>
          <w:rFonts w:ascii="Times New Roman" w:hAnsi="Times New Roman"/>
          <w:sz w:val="15"/>
        </w:rPr>
      </w:pPr>
      <w:r>
        <w:rPr>
          <w:rFonts w:ascii="Times New Roman" w:hAnsi="Times New Roman"/>
          <w:sz w:val="15"/>
        </w:rPr>
        <w:t>1.</w:t>
      </w:r>
    </w:p>
    <w:p>
      <w:pPr>
        <w:pStyle w:val="TextBody"/>
        <w:spacing w:before="0" w:after="0"/>
        <w:ind w:left="0" w:right="0" w:hanging="0"/>
        <w:jc w:val="both"/>
        <w:rPr>
          <w:rFonts w:ascii="Times New Roman" w:hAnsi="Times New Roman"/>
          <w:sz w:val="15"/>
        </w:rPr>
      </w:pPr>
      <w:r>
        <w:rPr>
          <w:rFonts w:ascii="Times New Roman" w:hAnsi="Times New Roman"/>
          <w:sz w:val="15"/>
        </w:rPr>
        <w:t>I have reviewed this Quarterly Report on Form 10-Q of Big Rock Partners Acquisition Corp.;</w:t>
      </w:r>
    </w:p>
    <w:p>
      <w:pPr>
        <w:pStyle w:val="TextBody"/>
        <w:spacing w:before="0" w:after="0"/>
        <w:ind w:left="0" w:right="0" w:hanging="0"/>
        <w:jc w:val="left"/>
        <w:rPr/>
      </w:pPr>
      <w:r>
        <w:rPr/>
        <w:t> </w:t>
      </w:r>
    </w:p>
    <w:p>
      <w:pPr>
        <w:pStyle w:val="TextBody"/>
        <w:spacing w:before="0" w:after="0"/>
        <w:rPr>
          <w:rFonts w:ascii="Times New Roman" w:hAnsi="Times New Roman"/>
          <w:sz w:val="15"/>
        </w:rPr>
      </w:pPr>
      <w:r>
        <w:rPr>
          <w:rFonts w:ascii="Times New Roman" w:hAnsi="Times New Roman"/>
          <w:sz w:val="15"/>
        </w:rPr>
        <w:t>2.</w:t>
      </w:r>
    </w:p>
    <w:p>
      <w:pPr>
        <w:pStyle w:val="TextBody"/>
        <w:spacing w:before="0" w:after="0"/>
        <w:ind w:left="0" w:right="0" w:hanging="0"/>
        <w:jc w:val="both"/>
        <w:rPr>
          <w:rFonts w:ascii="Times New Roman" w:hAnsi="Times New Roman"/>
          <w:sz w:val="15"/>
        </w:rPr>
      </w:pPr>
      <w:r>
        <w:rPr>
          <w:rFonts w:ascii="Times New Roman" w:hAnsi="Times New Roman"/>
          <w:sz w:val="1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jc w:val="left"/>
        <w:rPr/>
      </w:pPr>
      <w:r>
        <w:rPr/>
        <w:t> </w:t>
      </w:r>
    </w:p>
    <w:p>
      <w:pPr>
        <w:pStyle w:val="TextBody"/>
        <w:spacing w:before="0" w:after="0"/>
        <w:rPr>
          <w:rFonts w:ascii="Times New Roman" w:hAnsi="Times New Roman"/>
          <w:sz w:val="15"/>
        </w:rPr>
      </w:pPr>
      <w:r>
        <w:rPr>
          <w:rFonts w:ascii="Times New Roman" w:hAnsi="Times New Roman"/>
          <w:sz w:val="15"/>
        </w:rPr>
        <w:t>3.</w:t>
      </w:r>
    </w:p>
    <w:p>
      <w:pPr>
        <w:pStyle w:val="TextBody"/>
        <w:spacing w:before="0" w:after="0"/>
        <w:ind w:left="0" w:right="0" w:hanging="0"/>
        <w:jc w:val="both"/>
        <w:rPr>
          <w:rFonts w:ascii="Times New Roman" w:hAnsi="Times New Roman"/>
          <w:sz w:val="15"/>
        </w:rPr>
      </w:pPr>
      <w:r>
        <w:rPr>
          <w:rFonts w:ascii="Times New Roman" w:hAnsi="Times New Roman"/>
          <w:sz w:val="1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left"/>
        <w:rPr/>
      </w:pPr>
      <w:r>
        <w:rPr/>
        <w:t> </w:t>
      </w:r>
    </w:p>
    <w:p>
      <w:pPr>
        <w:pStyle w:val="TextBody"/>
        <w:spacing w:before="0" w:after="0"/>
        <w:rPr>
          <w:rFonts w:ascii="Times New Roman" w:hAnsi="Times New Roman"/>
          <w:sz w:val="15"/>
        </w:rPr>
      </w:pPr>
      <w:r>
        <w:rPr>
          <w:rFonts w:ascii="Times New Roman" w:hAnsi="Times New Roman"/>
          <w:sz w:val="15"/>
        </w:rPr>
        <w:t>4.</w:t>
      </w:r>
    </w:p>
    <w:p>
      <w:pPr>
        <w:pStyle w:val="TextBody"/>
        <w:spacing w:before="0" w:after="0"/>
        <w:ind w:left="0" w:right="0" w:hanging="0"/>
        <w:jc w:val="both"/>
        <w:rPr>
          <w:rFonts w:ascii="Times New Roman" w:hAnsi="Times New Roman"/>
          <w:sz w:val="15"/>
        </w:rPr>
      </w:pPr>
      <w:r>
        <w:rPr>
          <w:rFonts w:ascii="Times New Roman" w:hAnsi="Times New Roman"/>
          <w:sz w:val="1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(a)</w:t>
      </w:r>
    </w:p>
    <w:p>
      <w:pPr>
        <w:pStyle w:val="TextBody"/>
        <w:spacing w:before="0" w:after="0"/>
        <w:ind w:left="540" w:right="0" w:hanging="0"/>
        <w:jc w:val="both"/>
        <w:rPr>
          <w:rFonts w:ascii="Times New Roman" w:hAnsi="Times New Roman"/>
          <w:sz w:val="15"/>
        </w:rPr>
      </w:pPr>
      <w:r>
        <w:rPr>
          <w:rFonts w:ascii="Times New Roman" w:hAnsi="Times New Roman"/>
          <w:sz w:val="1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90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(b)</w:t>
      </w:r>
    </w:p>
    <w:p>
      <w:pPr>
        <w:pStyle w:val="TextBody"/>
        <w:spacing w:before="0" w:after="0"/>
        <w:ind w:left="540" w:right="0" w:hanging="0"/>
        <w:jc w:val="both"/>
        <w:rPr>
          <w:rFonts w:ascii="Times New Roman" w:hAnsi="Times New Roman"/>
          <w:sz w:val="15"/>
        </w:rPr>
      </w:pPr>
      <w:r>
        <w:rPr>
          <w:rFonts w:ascii="Times New Roman" w:hAnsi="Times New Roman"/>
          <w:sz w:val="1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90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(c)</w:t>
      </w:r>
    </w:p>
    <w:p>
      <w:pPr>
        <w:pStyle w:val="TextBody"/>
        <w:spacing w:before="0" w:after="0"/>
        <w:ind w:left="540" w:right="0" w:hanging="0"/>
        <w:jc w:val="both"/>
        <w:rPr>
          <w:rFonts w:ascii="Times New Roman" w:hAnsi="Times New Roman"/>
          <w:sz w:val="15"/>
        </w:rPr>
      </w:pPr>
      <w:r>
        <w:rPr>
          <w:rFonts w:ascii="Times New Roman" w:hAnsi="Times New Roman"/>
          <w:sz w:val="1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90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(d)</w:t>
      </w:r>
    </w:p>
    <w:p>
      <w:pPr>
        <w:pStyle w:val="TextBody"/>
        <w:spacing w:before="0" w:after="0"/>
        <w:ind w:left="540" w:right="0" w:hanging="0"/>
        <w:jc w:val="both"/>
        <w:rPr>
          <w:rFonts w:ascii="Times New Roman" w:hAnsi="Times New Roman"/>
          <w:sz w:val="15"/>
        </w:rPr>
      </w:pPr>
      <w:r>
        <w:rPr>
          <w:rFonts w:ascii="Times New Roman" w:hAnsi="Times New Roman"/>
          <w:sz w:val="1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left"/>
        <w:rPr/>
      </w:pPr>
      <w:r>
        <w:rPr/>
        <w:t> </w:t>
      </w:r>
    </w:p>
    <w:p>
      <w:pPr>
        <w:pStyle w:val="TextBody"/>
        <w:spacing w:before="0" w:after="0"/>
        <w:rPr>
          <w:rFonts w:ascii="Times New Roman" w:hAnsi="Times New Roman"/>
          <w:sz w:val="15"/>
        </w:rPr>
      </w:pPr>
      <w:r>
        <w:rPr>
          <w:rFonts w:ascii="Times New Roman" w:hAnsi="Times New Roman"/>
          <w:sz w:val="15"/>
        </w:rPr>
        <w:t>5.</w:t>
      </w:r>
    </w:p>
    <w:p>
      <w:pPr>
        <w:pStyle w:val="TextBody"/>
        <w:spacing w:before="0" w:after="0"/>
        <w:ind w:left="0" w:right="0" w:hanging="0"/>
        <w:jc w:val="both"/>
        <w:rPr>
          <w:rFonts w:ascii="Times New Roman" w:hAnsi="Times New Roman"/>
          <w:sz w:val="15"/>
        </w:rPr>
      </w:pPr>
      <w:r>
        <w:rPr>
          <w:rFonts w:ascii="Times New Roman" w:hAnsi="Times New Roman"/>
          <w:sz w:val="15"/>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before="0" w:after="0"/>
        <w:ind w:left="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(a)</w:t>
      </w:r>
    </w:p>
    <w:p>
      <w:pPr>
        <w:pStyle w:val="TextBody"/>
        <w:spacing w:before="0" w:after="0"/>
        <w:ind w:left="540" w:right="0" w:hanging="0"/>
        <w:jc w:val="both"/>
        <w:rPr>
          <w:rFonts w:ascii="Times New Roman" w:hAnsi="Times New Roman"/>
          <w:sz w:val="15"/>
        </w:rPr>
      </w:pPr>
      <w:r>
        <w:rPr>
          <w:rFonts w:ascii="Times New Roman" w:hAnsi="Times New Roman"/>
          <w:sz w:val="1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900" w:right="0" w:hanging="0"/>
        <w:jc w:val="left"/>
        <w:rPr/>
      </w:pPr>
      <w:r>
        <w:rPr/>
        <w:t> </w:t>
      </w:r>
    </w:p>
    <w:p>
      <w:pPr>
        <w:pStyle w:val="TextBody"/>
        <w:spacing w:before="0" w:after="0"/>
        <w:ind w:left="540" w:right="0" w:hanging="0"/>
        <w:rPr>
          <w:rFonts w:ascii="Times New Roman" w:hAnsi="Times New Roman"/>
          <w:sz w:val="15"/>
        </w:rPr>
      </w:pPr>
      <w:r>
        <w:rPr>
          <w:rFonts w:ascii="Times New Roman" w:hAnsi="Times New Roman"/>
          <w:sz w:val="15"/>
        </w:rPr>
        <w:t>(b)</w:t>
      </w:r>
    </w:p>
    <w:p>
      <w:pPr>
        <w:pStyle w:val="TextBody"/>
        <w:spacing w:before="0" w:after="0"/>
        <w:ind w:left="540" w:right="0" w:hanging="0"/>
        <w:jc w:val="both"/>
        <w:rPr>
          <w:rFonts w:ascii="Times New Roman" w:hAnsi="Times New Roman"/>
          <w:sz w:val="15"/>
        </w:rPr>
      </w:pPr>
      <w:r>
        <w:rPr>
          <w:rFonts w:ascii="Times New Roman" w:hAnsi="Times New Roman"/>
          <w:sz w:val="15"/>
        </w:rPr>
        <w:t>Any fraud, whether or not material, that involves management or other employees who have a significant role in the registrant’s internal control over financial reporting.</w:t>
      </w:r>
    </w:p>
    <w:p>
      <w:pPr>
        <w:pStyle w:val="TextBody"/>
        <w:spacing w:before="0" w:after="0"/>
        <w:ind w:left="0" w:right="0" w:firstLine="720"/>
        <w:jc w:val="left"/>
        <w:rPr/>
      </w:pPr>
      <w:r>
        <w:rPr/>
        <w:t> </w:t>
      </w:r>
    </w:p>
    <w:tbl>
      <w:tblPr>
        <w:tblW w:w="4455" w:type="dxa"/>
        <w:jc w:val="left"/>
        <w:tblInd w:w="0" w:type="dxa"/>
        <w:tblCellMar>
          <w:top w:w="0" w:type="dxa"/>
          <w:left w:w="0" w:type="dxa"/>
          <w:bottom w:w="0" w:type="dxa"/>
          <w:right w:w="0" w:type="dxa"/>
        </w:tblCellMar>
      </w:tblPr>
      <w:tblGrid>
        <w:gridCol w:w="1415"/>
        <w:gridCol w:w="335"/>
        <w:gridCol w:w="2705"/>
      </w:tblGrid>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rPr/>
            </w:pPr>
            <w:r>
              <w:rPr/>
              <w:t> </w:t>
            </w:r>
          </w:p>
        </w:tc>
      </w:tr>
      <w:tr>
        <w:trPr/>
        <w:tc>
          <w:tcPr>
            <w:tcW w:w="141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 August 14, 2019</w:t>
            </w:r>
          </w:p>
        </w:tc>
        <w:tc>
          <w:tcPr>
            <w:tcW w:w="33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  </w:t>
            </w:r>
          </w:p>
        </w:tc>
        <w:tc>
          <w:tcPr>
            <w:tcW w:w="2705"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Lori B. Wittman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Name: Lori B. Wittman  </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Title:  Chief Financial Officer and Director</w:t>
            </w:r>
          </w:p>
        </w:tc>
      </w:tr>
      <w:tr>
        <w:trPr/>
        <w:tc>
          <w:tcPr>
            <w:tcW w:w="141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540" w:right="0" w:hanging="0"/>
              <w:jc w:val="left"/>
              <w:rPr>
                <w:rFonts w:ascii="Times New Roman" w:hAnsi="Times New Roman"/>
                <w:sz w:val="15"/>
              </w:rPr>
            </w:pPr>
            <w:r>
              <w:rPr>
                <w:rFonts w:ascii="Times New Roman" w:hAnsi="Times New Roman"/>
                <w:sz w:val="15"/>
              </w:rPr>
              <w:t>(Principal Financial and Accounting Officer)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21"/>
      <w:bookmarkStart w:id="132" w:name="pgbrk21"/>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3" w:name="ftr18"/>
      <w:bookmarkEnd w:id="1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4" w:name="pb18"/>
      <w:bookmarkStart w:id="135" w:name="pb18"/>
      <w:bookmarkEnd w:id="135"/>
    </w:p>
    <w:p>
      <w:pPr>
        <w:pStyle w:val="TextBody"/>
        <w:ind w:left="0" w:right="0" w:hanging="0"/>
        <w:rPr/>
      </w:pPr>
      <w:r>
        <w:rPr/>
      </w:r>
      <w:bookmarkStart w:id="136" w:name="pgbrk22"/>
      <w:bookmarkStart w:id="137" w:name="pgbrk22"/>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38" w:name="hdr19"/>
      <w:bookmarkEnd w:id="1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 PURSUANT TO</w:t>
      </w:r>
    </w:p>
    <w:p>
      <w:pPr>
        <w:pStyle w:val="TextBody"/>
        <w:spacing w:before="0" w:after="0"/>
        <w:ind w:left="0" w:right="0" w:hanging="0"/>
        <w:jc w:val="center"/>
        <w:rPr>
          <w:rFonts w:ascii="Times New Roman" w:hAnsi="Times New Roman"/>
          <w:b/>
          <w:sz w:val="15"/>
        </w:rPr>
      </w:pPr>
      <w:r>
        <w:rPr>
          <w:rFonts w:ascii="Times New Roman" w:hAnsi="Times New Roman"/>
          <w:b/>
          <w:sz w:val="15"/>
        </w:rPr>
        <w:t>18 U.S.C. 1350</w:t>
      </w:r>
    </w:p>
    <w:p>
      <w:pPr>
        <w:pStyle w:val="TextBody"/>
        <w:spacing w:before="0" w:after="0"/>
        <w:ind w:left="0" w:right="0" w:hanging="0"/>
        <w:jc w:val="center"/>
        <w:rPr>
          <w:rFonts w:ascii="Times New Roman" w:hAnsi="Times New Roman"/>
          <w:b/>
          <w:sz w:val="15"/>
        </w:rPr>
      </w:pPr>
      <w:r>
        <w:rPr>
          <w:rFonts w:ascii="Times New Roman" w:hAnsi="Times New Roman"/>
          <w:b/>
          <w:sz w:val="15"/>
        </w:rPr>
        <w:t>(SECTION 906 OF THE SARBANES-OXLEY ACT OF 2002)</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In connection with the accompanying Quarterly Report on Form 10-Q of Big Rock Partners Acquisition Corp. (the “Company”) for the quarterly period ended June 30, 2019, as filed with the Securities and Exchange Commission (the “Report”), the undersigned hereby certifies pursuant to 18 U.S.C. Section 1350, as adopted pursuant to Section 906 of the Sarbanes-Oxley Act of 2002, to my knowledge and belief, that:</w:t>
      </w:r>
    </w:p>
    <w:p>
      <w:pPr>
        <w:pStyle w:val="TextBody"/>
        <w:spacing w:before="0" w:after="0"/>
        <w:ind w:left="0" w:right="0" w:firstLine="720"/>
        <w:jc w:val="both"/>
        <w:rPr/>
      </w:pPr>
      <w:r>
        <w:rPr/>
        <w:t> </w:t>
      </w:r>
    </w:p>
    <w:tbl>
      <w:tblPr>
        <w:tblW w:w="8185" w:type="dxa"/>
        <w:jc w:val="left"/>
        <w:tblInd w:w="0" w:type="dxa"/>
        <w:tblCellMar>
          <w:top w:w="0" w:type="dxa"/>
          <w:left w:w="0" w:type="dxa"/>
          <w:bottom w:w="0" w:type="dxa"/>
          <w:right w:w="0" w:type="dxa"/>
        </w:tblCellMar>
      </w:tblPr>
      <w:tblGrid>
        <w:gridCol w:w="200"/>
        <w:gridCol w:w="7985"/>
      </w:tblGrid>
      <w:tr>
        <w:trPr/>
        <w:tc>
          <w:tcPr>
            <w:tcW w:w="20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1. </w:t>
            </w:r>
          </w:p>
        </w:tc>
        <w:tc>
          <w:tcPr>
            <w:tcW w:w="798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Report fully complies with the requirements of Section 13(a) or 15(d) of the Securities Exchange Act of 1934, as amended; and</w:t>
            </w:r>
          </w:p>
        </w:tc>
      </w:tr>
    </w:tbl>
    <w:p>
      <w:pPr>
        <w:pStyle w:val="TextBody"/>
        <w:spacing w:before="0" w:after="0"/>
        <w:ind w:left="0" w:right="0" w:hanging="0"/>
        <w:jc w:val="both"/>
        <w:rPr/>
      </w:pPr>
      <w:r>
        <w:rPr/>
        <w:t> </w:t>
      </w:r>
    </w:p>
    <w:tbl>
      <w:tblPr>
        <w:tblW w:w="8965" w:type="dxa"/>
        <w:jc w:val="left"/>
        <w:tblInd w:w="0" w:type="dxa"/>
        <w:tblCellMar>
          <w:top w:w="0" w:type="dxa"/>
          <w:left w:w="0" w:type="dxa"/>
          <w:bottom w:w="0" w:type="dxa"/>
          <w:right w:w="0" w:type="dxa"/>
        </w:tblCellMar>
      </w:tblPr>
      <w:tblGrid>
        <w:gridCol w:w="200"/>
        <w:gridCol w:w="8765"/>
      </w:tblGrid>
      <w:tr>
        <w:trPr/>
        <w:tc>
          <w:tcPr>
            <w:tcW w:w="20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2. </w:t>
            </w:r>
          </w:p>
        </w:tc>
        <w:tc>
          <w:tcPr>
            <w:tcW w:w="876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information contained in the Report fairly presents, in all material respects, the financial condition and results of operations of the Company.</w:t>
            </w:r>
          </w:p>
        </w:tc>
      </w:tr>
    </w:tbl>
    <w:p>
      <w:pPr>
        <w:pStyle w:val="TextBody"/>
        <w:spacing w:before="0" w:after="0"/>
        <w:ind w:left="0" w:right="0" w:firstLine="720"/>
        <w:jc w:val="left"/>
        <w:rPr/>
      </w:pPr>
      <w:r>
        <w:rPr/>
        <w:t> </w:t>
      </w:r>
    </w:p>
    <w:p>
      <w:pPr>
        <w:pStyle w:val="TextBody"/>
        <w:spacing w:before="0" w:after="0"/>
        <w:ind w:left="0" w:right="0" w:hanging="0"/>
        <w:jc w:val="both"/>
        <w:rPr/>
      </w:pPr>
      <w:r>
        <w:rPr/>
        <w:t> </w:t>
      </w:r>
    </w:p>
    <w:tbl>
      <w:tblPr>
        <w:tblW w:w="4710" w:type="dxa"/>
        <w:jc w:val="left"/>
        <w:tblInd w:w="0" w:type="dxa"/>
        <w:tblCellMar>
          <w:top w:w="0" w:type="dxa"/>
          <w:left w:w="0" w:type="dxa"/>
          <w:bottom w:w="0" w:type="dxa"/>
          <w:right w:w="0" w:type="dxa"/>
        </w:tblCellMar>
      </w:tblPr>
      <w:tblGrid>
        <w:gridCol w:w="1490"/>
        <w:gridCol w:w="245"/>
        <w:gridCol w:w="2975"/>
      </w:tblGrid>
      <w:tr>
        <w:trPr/>
        <w:tc>
          <w:tcPr>
            <w:tcW w:w="149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Dated: August 14, 2019</w:t>
            </w:r>
          </w:p>
        </w:tc>
        <w:tc>
          <w:tcPr>
            <w:tcW w:w="24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w:t>
            </w:r>
          </w:p>
        </w:tc>
        <w:tc>
          <w:tcPr>
            <w:tcW w:w="2975"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Richard Ackerman</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97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Richard Ackerman</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97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Chairman, President and Chief Executive Officer</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97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(Principal Executive Officer)</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23"/>
      <w:bookmarkStart w:id="140" w:name="pgbrk23"/>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1" w:name="ftr19"/>
      <w:bookmarkEnd w:id="1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2" w:name="pb19"/>
      <w:bookmarkStart w:id="143" w:name="pb19"/>
      <w:bookmarkEnd w:id="143"/>
    </w:p>
    <w:p>
      <w:pPr>
        <w:pStyle w:val="TextBody"/>
        <w:ind w:left="0" w:right="0" w:hanging="0"/>
        <w:rPr/>
      </w:pPr>
      <w:r>
        <w:rPr/>
      </w:r>
      <w:bookmarkStart w:id="144" w:name="pgbrk24"/>
      <w:bookmarkStart w:id="145" w:name="pgbrk24"/>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6" w:name="hdr20"/>
      <w:bookmarkEnd w:id="14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 PURSUANT TO</w:t>
      </w:r>
    </w:p>
    <w:p>
      <w:pPr>
        <w:pStyle w:val="TextBody"/>
        <w:spacing w:before="0" w:after="0"/>
        <w:ind w:left="0" w:right="0" w:hanging="0"/>
        <w:jc w:val="center"/>
        <w:rPr>
          <w:rFonts w:ascii="Times New Roman" w:hAnsi="Times New Roman"/>
          <w:b/>
          <w:sz w:val="15"/>
        </w:rPr>
      </w:pPr>
      <w:r>
        <w:rPr>
          <w:rFonts w:ascii="Times New Roman" w:hAnsi="Times New Roman"/>
          <w:b/>
          <w:sz w:val="15"/>
        </w:rPr>
        <w:t>18 U.S.C. 1350</w:t>
      </w:r>
    </w:p>
    <w:p>
      <w:pPr>
        <w:pStyle w:val="TextBody"/>
        <w:spacing w:before="0" w:after="0"/>
        <w:ind w:left="0" w:right="0" w:hanging="0"/>
        <w:jc w:val="center"/>
        <w:rPr>
          <w:rFonts w:ascii="Times New Roman" w:hAnsi="Times New Roman"/>
          <w:b/>
          <w:sz w:val="15"/>
        </w:rPr>
      </w:pPr>
      <w:r>
        <w:rPr>
          <w:rFonts w:ascii="Times New Roman" w:hAnsi="Times New Roman"/>
          <w:b/>
          <w:sz w:val="15"/>
        </w:rPr>
        <w:t>(SECTION 906 OF THE SARBANES-OXLEY ACT OF 2002)</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In connection with the accompanying Quarterly Report on Form 10-Q of Big Rock Partners Acquisition Corp. (the “Company”) for the quarterly period ended June 30, 2019, as filed with the Securities and Exchange Commission (the “Report”), the undersigned hereby certifies pursuant to 18 U.S.C. Section 1350, as adopted pursuant to Section 906 of the Sarbanes-Oxley Act of 2002, to my knowledge and belief, that:</w:t>
      </w:r>
    </w:p>
    <w:p>
      <w:pPr>
        <w:pStyle w:val="TextBody"/>
        <w:spacing w:before="0" w:after="0"/>
        <w:ind w:left="0" w:right="0" w:firstLine="720"/>
        <w:jc w:val="both"/>
        <w:rPr/>
      </w:pPr>
      <w:r>
        <w:rPr/>
        <w:t> </w:t>
      </w:r>
    </w:p>
    <w:tbl>
      <w:tblPr>
        <w:tblW w:w="8185" w:type="dxa"/>
        <w:jc w:val="left"/>
        <w:tblInd w:w="0" w:type="dxa"/>
        <w:tblCellMar>
          <w:top w:w="0" w:type="dxa"/>
          <w:left w:w="0" w:type="dxa"/>
          <w:bottom w:w="0" w:type="dxa"/>
          <w:right w:w="0" w:type="dxa"/>
        </w:tblCellMar>
      </w:tblPr>
      <w:tblGrid>
        <w:gridCol w:w="200"/>
        <w:gridCol w:w="7985"/>
      </w:tblGrid>
      <w:tr>
        <w:trPr/>
        <w:tc>
          <w:tcPr>
            <w:tcW w:w="20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1. </w:t>
            </w:r>
          </w:p>
        </w:tc>
        <w:tc>
          <w:tcPr>
            <w:tcW w:w="798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Report fully complies with the requirements of Section 13(a) or 15(d) of the Securities Exchange Act of 1934, as amended; and</w:t>
            </w:r>
          </w:p>
        </w:tc>
      </w:tr>
    </w:tbl>
    <w:p>
      <w:pPr>
        <w:pStyle w:val="TextBody"/>
        <w:spacing w:before="0" w:after="0"/>
        <w:ind w:left="0" w:right="0" w:hanging="0"/>
        <w:jc w:val="both"/>
        <w:rPr/>
      </w:pPr>
      <w:r>
        <w:rPr/>
        <w:t> </w:t>
      </w:r>
    </w:p>
    <w:tbl>
      <w:tblPr>
        <w:tblW w:w="8965" w:type="dxa"/>
        <w:jc w:val="left"/>
        <w:tblInd w:w="0" w:type="dxa"/>
        <w:tblCellMar>
          <w:top w:w="0" w:type="dxa"/>
          <w:left w:w="0" w:type="dxa"/>
          <w:bottom w:w="0" w:type="dxa"/>
          <w:right w:w="0" w:type="dxa"/>
        </w:tblCellMar>
      </w:tblPr>
      <w:tblGrid>
        <w:gridCol w:w="200"/>
        <w:gridCol w:w="8765"/>
      </w:tblGrid>
      <w:tr>
        <w:trPr/>
        <w:tc>
          <w:tcPr>
            <w:tcW w:w="20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2. </w:t>
            </w:r>
          </w:p>
        </w:tc>
        <w:tc>
          <w:tcPr>
            <w:tcW w:w="876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the information contained in the Report fairly presents, in all material respects, the financial condition and results of operations of the Company.</w:t>
            </w:r>
          </w:p>
        </w:tc>
      </w:tr>
    </w:tbl>
    <w:p>
      <w:pPr>
        <w:pStyle w:val="TextBody"/>
        <w:spacing w:before="0" w:after="0"/>
        <w:ind w:left="0" w:right="0" w:firstLine="720"/>
        <w:jc w:val="left"/>
        <w:rPr/>
      </w:pPr>
      <w:r>
        <w:rPr/>
        <w:t> </w:t>
      </w:r>
    </w:p>
    <w:p>
      <w:pPr>
        <w:pStyle w:val="TextBody"/>
        <w:spacing w:before="0" w:after="0"/>
        <w:ind w:left="0" w:right="0" w:hanging="0"/>
        <w:jc w:val="both"/>
        <w:rPr/>
      </w:pPr>
      <w:r>
        <w:rPr/>
        <w:t> </w:t>
      </w:r>
    </w:p>
    <w:tbl>
      <w:tblPr>
        <w:tblW w:w="4440" w:type="dxa"/>
        <w:jc w:val="left"/>
        <w:tblInd w:w="0" w:type="dxa"/>
        <w:tblCellMar>
          <w:top w:w="0" w:type="dxa"/>
          <w:left w:w="0" w:type="dxa"/>
          <w:bottom w:w="0" w:type="dxa"/>
          <w:right w:w="0" w:type="dxa"/>
        </w:tblCellMar>
      </w:tblPr>
      <w:tblGrid>
        <w:gridCol w:w="1490"/>
        <w:gridCol w:w="245"/>
        <w:gridCol w:w="2705"/>
      </w:tblGrid>
      <w:tr>
        <w:trPr/>
        <w:tc>
          <w:tcPr>
            <w:tcW w:w="1490"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Dated: August 14, 2019</w:t>
            </w:r>
          </w:p>
        </w:tc>
        <w:tc>
          <w:tcPr>
            <w:tcW w:w="24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By:</w:t>
            </w:r>
          </w:p>
        </w:tc>
        <w:tc>
          <w:tcPr>
            <w:tcW w:w="2705"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/s/ Lori B. Wittman</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Lori B. Wittman</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Chief Financial Officer</w:t>
            </w:r>
          </w:p>
        </w:tc>
      </w:tr>
      <w:tr>
        <w:trPr/>
        <w:tc>
          <w:tcPr>
            <w:tcW w:w="1490" w:type="dxa"/>
            <w:tcBorders/>
            <w:shd w:fill="auto" w:val="clear"/>
            <w:vAlign w:val="center"/>
          </w:tcPr>
          <w:p>
            <w:pPr>
              <w:pStyle w:val="TableContents"/>
              <w:spacing w:before="0" w:after="0"/>
              <w:rPr/>
            </w:pPr>
            <w:r>
              <w:rPr/>
              <w:t> </w:t>
            </w:r>
          </w:p>
        </w:tc>
        <w:tc>
          <w:tcPr>
            <w:tcW w:w="245" w:type="dxa"/>
            <w:tcBorders/>
            <w:shd w:fill="auto" w:val="clear"/>
            <w:vAlign w:val="center"/>
          </w:tcPr>
          <w:p>
            <w:pPr>
              <w:pStyle w:val="TableContents"/>
              <w:spacing w:before="0" w:after="0"/>
              <w:rPr/>
            </w:pPr>
            <w:r>
              <w:rPr/>
              <w:t> </w:t>
            </w:r>
          </w:p>
        </w:tc>
        <w:tc>
          <w:tcPr>
            <w:tcW w:w="2705" w:type="dxa"/>
            <w:tcBorders/>
            <w:shd w:fill="auto" w:val="clear"/>
            <w:vAlign w:val="center"/>
          </w:tcPr>
          <w:p>
            <w:pPr>
              <w:pStyle w:val="TableContents"/>
              <w:spacing w:before="0" w:after="0"/>
              <w:ind w:left="0" w:right="0" w:hanging="0"/>
              <w:jc w:val="left"/>
              <w:rPr>
                <w:rFonts w:ascii="Times New Roman" w:hAnsi="Times New Roman"/>
                <w:sz w:val="15"/>
              </w:rPr>
            </w:pPr>
            <w:r>
              <w:rPr>
                <w:rFonts w:ascii="Times New Roman" w:hAnsi="Times New Roman"/>
                <w:sz w:val="15"/>
              </w:rPr>
              <w:t>(Principal Financial and Accounting Officer)</w:t>
            </w:r>
          </w:p>
        </w:tc>
      </w:tr>
    </w:tbl>
    <w:p>
      <w:pPr>
        <w:pStyle w:val="TextBody"/>
        <w:spacing w:before="0" w:after="0"/>
        <w:ind w:left="0" w:right="0" w:hanging="0"/>
        <w:jc w:val="both"/>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 w:name="pgbrk25"/>
      <w:bookmarkStart w:id="148" w:name="pgbrk25"/>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149" w:name="ftr20"/>
      <w:bookmarkEnd w:id="14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0" w:name="pb20"/>
      <w:bookmarkStart w:id="151" w:name="pb20"/>
      <w:bookmarkEnd w:id="151"/>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19406/000165495419006479/brpa_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10771</Words>
  <CharactersWithSpaces>70518</CharactersWithSpaces>
  <Paragraphs>1455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