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19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QUARTERLY REPORT PURSUANT TO SECTION 13 OR 15(d) OF THE SECURITIES EXCHANGE ACT OF 1934</w:t>
      </w:r>
    </w:p>
    <w:p>
      <w:pPr>
        <w:spacing w:after="0" w:line="25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September 30, 2018</w:t>
      </w:r>
    </w:p>
    <w:p>
      <w:pPr>
        <w:spacing w:after="0" w:line="19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TRANSITION REPORT PURSUANT TO SECTION 13 OR 15(d) OF THE SECURITIES EXCHANGE ACT OF 1934</w:t>
      </w:r>
    </w:p>
    <w:p>
      <w:pPr>
        <w:spacing w:after="0" w:line="258"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19" w:lineRule="exact"/>
        <w:rPr>
          <w:sz w:val="24"/>
          <w:szCs w:val="24"/>
          <w:color w:val="auto"/>
        </w:rPr>
      </w:pPr>
    </w:p>
    <w:tbl>
      <w:tblPr>
        <w:tblLayout w:type="fixed"/>
        <w:tblInd w:w="1480" w:type="dxa"/>
        <w:tblCellMar>
          <w:top w:w="0" w:type="dxa"/>
          <w:left w:w="0" w:type="dxa"/>
          <w:bottom w:w="0" w:type="dxa"/>
          <w:right w:w="0" w:type="dxa"/>
        </w:tblCellMar>
      </w:tblPr>
      <w:tr>
        <w:trPr>
          <w:trHeight w:val="228"/>
        </w:trPr>
        <w:tc>
          <w:tcPr>
            <w:tcW w:w="6180" w:type="dxa"/>
            <w:vAlign w:val="bottom"/>
          </w:tcPr>
          <w:p>
            <w:pPr>
              <w:jc w:val="center"/>
              <w:ind w:left="2212"/>
              <w:spacing w:after="0"/>
              <w:rPr>
                <w:sz w:val="20"/>
                <w:szCs w:val="20"/>
                <w:color w:val="auto"/>
              </w:rPr>
            </w:pPr>
            <w:r>
              <w:rPr>
                <w:rFonts w:ascii="Arial" w:cs="Arial" w:eastAsia="Arial" w:hAnsi="Arial"/>
                <w:sz w:val="18"/>
                <w:szCs w:val="18"/>
                <w:color w:val="auto"/>
                <w:w w:val="91"/>
              </w:rPr>
              <w:t xml:space="preserve">Commission File Number: </w:t>
            </w:r>
            <w:r>
              <w:rPr>
                <w:rFonts w:ascii="Arial" w:cs="Arial" w:eastAsia="Arial" w:hAnsi="Arial"/>
                <w:sz w:val="18"/>
                <w:szCs w:val="18"/>
                <w:b w:val="1"/>
                <w:bCs w:val="1"/>
                <w:color w:val="auto"/>
                <w:w w:val="91"/>
              </w:rPr>
              <w:t>001-38302</w:t>
            </w:r>
          </w:p>
        </w:tc>
        <w:tc>
          <w:tcPr>
            <w:tcW w:w="1720" w:type="dxa"/>
            <w:vAlign w:val="bottom"/>
          </w:tcPr>
          <w:p>
            <w:pPr>
              <w:spacing w:after="0"/>
              <w:rPr>
                <w:sz w:val="19"/>
                <w:szCs w:val="19"/>
                <w:color w:val="auto"/>
              </w:rPr>
            </w:pPr>
          </w:p>
        </w:tc>
      </w:tr>
      <w:tr>
        <w:trPr>
          <w:trHeight w:val="426"/>
        </w:trPr>
        <w:tc>
          <w:tcPr>
            <w:tcW w:w="6180" w:type="dxa"/>
            <w:vAlign w:val="bottom"/>
          </w:tcPr>
          <w:p>
            <w:pPr>
              <w:jc w:val="center"/>
              <w:ind w:left="2212"/>
              <w:spacing w:after="0"/>
              <w:rPr>
                <w:sz w:val="20"/>
                <w:szCs w:val="20"/>
                <w:color w:val="auto"/>
              </w:rPr>
            </w:pPr>
            <w:r>
              <w:rPr>
                <w:rFonts w:ascii="Arial" w:cs="Arial" w:eastAsia="Arial" w:hAnsi="Arial"/>
                <w:sz w:val="18"/>
                <w:szCs w:val="18"/>
                <w:b w:val="1"/>
                <w:bCs w:val="1"/>
                <w:color w:val="auto"/>
                <w:w w:val="97"/>
              </w:rPr>
              <w:t>BIG ROCK PARTNERS ACQUISITION CORP.</w:t>
            </w:r>
          </w:p>
        </w:tc>
        <w:tc>
          <w:tcPr>
            <w:tcW w:w="1720" w:type="dxa"/>
            <w:vAlign w:val="bottom"/>
          </w:tcPr>
          <w:p>
            <w:pPr>
              <w:spacing w:after="0"/>
              <w:rPr>
                <w:sz w:val="24"/>
                <w:szCs w:val="24"/>
                <w:color w:val="auto"/>
              </w:rPr>
            </w:pPr>
          </w:p>
        </w:tc>
      </w:tr>
      <w:tr>
        <w:trPr>
          <w:trHeight w:val="222"/>
        </w:trPr>
        <w:tc>
          <w:tcPr>
            <w:tcW w:w="6180" w:type="dxa"/>
            <w:vAlign w:val="bottom"/>
          </w:tcPr>
          <w:p>
            <w:pPr>
              <w:jc w:val="center"/>
              <w:ind w:left="2192"/>
              <w:spacing w:after="0"/>
              <w:rPr>
                <w:sz w:val="20"/>
                <w:szCs w:val="20"/>
                <w:color w:val="auto"/>
              </w:rPr>
            </w:pPr>
            <w:r>
              <w:rPr>
                <w:rFonts w:ascii="Arial" w:cs="Arial" w:eastAsia="Arial" w:hAnsi="Arial"/>
                <w:sz w:val="18"/>
                <w:szCs w:val="18"/>
                <w:color w:val="auto"/>
                <w:w w:val="88"/>
              </w:rPr>
              <w:t>(Exact name of registrant as specified in its charter)</w:t>
            </w:r>
          </w:p>
        </w:tc>
        <w:tc>
          <w:tcPr>
            <w:tcW w:w="1720" w:type="dxa"/>
            <w:vAlign w:val="bottom"/>
          </w:tcPr>
          <w:p>
            <w:pPr>
              <w:spacing w:after="0"/>
              <w:rPr>
                <w:sz w:val="19"/>
                <w:szCs w:val="19"/>
                <w:color w:val="auto"/>
              </w:rPr>
            </w:pPr>
          </w:p>
        </w:tc>
      </w:tr>
      <w:tr>
        <w:trPr>
          <w:trHeight w:val="426"/>
        </w:trPr>
        <w:tc>
          <w:tcPr>
            <w:tcW w:w="6180" w:type="dxa"/>
            <w:vAlign w:val="bottom"/>
          </w:tcPr>
          <w:p>
            <w:pPr>
              <w:jc w:val="center"/>
              <w:ind w:right="3312"/>
              <w:spacing w:after="0"/>
              <w:rPr>
                <w:sz w:val="20"/>
                <w:szCs w:val="20"/>
                <w:color w:val="auto"/>
              </w:rPr>
            </w:pPr>
            <w:r>
              <w:rPr>
                <w:rFonts w:ascii="Arial" w:cs="Arial" w:eastAsia="Arial" w:hAnsi="Arial"/>
                <w:sz w:val="18"/>
                <w:szCs w:val="18"/>
                <w:b w:val="1"/>
                <w:bCs w:val="1"/>
                <w:color w:val="auto"/>
                <w:w w:val="88"/>
              </w:rPr>
              <w:t>Delaware</w:t>
            </w:r>
          </w:p>
        </w:tc>
        <w:tc>
          <w:tcPr>
            <w:tcW w:w="1720" w:type="dxa"/>
            <w:vAlign w:val="bottom"/>
          </w:tcPr>
          <w:p>
            <w:pPr>
              <w:jc w:val="right"/>
              <w:ind w:right="292"/>
              <w:spacing w:after="0"/>
              <w:rPr>
                <w:sz w:val="20"/>
                <w:szCs w:val="20"/>
                <w:color w:val="auto"/>
              </w:rPr>
            </w:pPr>
            <w:r>
              <w:rPr>
                <w:rFonts w:ascii="Arial" w:cs="Arial" w:eastAsia="Arial" w:hAnsi="Arial"/>
                <w:sz w:val="18"/>
                <w:szCs w:val="18"/>
                <w:b w:val="1"/>
                <w:bCs w:val="1"/>
                <w:color w:val="auto"/>
              </w:rPr>
              <w:t>82-2844431</w:t>
            </w:r>
          </w:p>
        </w:tc>
      </w:tr>
      <w:tr>
        <w:trPr>
          <w:trHeight w:val="216"/>
        </w:trPr>
        <w:tc>
          <w:tcPr>
            <w:tcW w:w="6180" w:type="dxa"/>
            <w:vAlign w:val="bottom"/>
          </w:tcPr>
          <w:p>
            <w:pPr>
              <w:jc w:val="center"/>
              <w:ind w:right="3332"/>
              <w:spacing w:after="0"/>
              <w:rPr>
                <w:sz w:val="20"/>
                <w:szCs w:val="20"/>
                <w:color w:val="auto"/>
              </w:rPr>
            </w:pPr>
            <w:r>
              <w:rPr>
                <w:rFonts w:ascii="Arial" w:cs="Arial" w:eastAsia="Arial" w:hAnsi="Arial"/>
                <w:sz w:val="18"/>
                <w:szCs w:val="18"/>
                <w:color w:val="auto"/>
                <w:w w:val="90"/>
              </w:rPr>
              <w:t>(State or other jurisdiction of</w:t>
            </w:r>
          </w:p>
        </w:tc>
        <w:tc>
          <w:tcPr>
            <w:tcW w:w="1720" w:type="dxa"/>
            <w:vAlign w:val="bottom"/>
          </w:tcPr>
          <w:p>
            <w:pPr>
              <w:jc w:val="center"/>
              <w:ind w:left="32"/>
              <w:spacing w:after="0"/>
              <w:rPr>
                <w:sz w:val="20"/>
                <w:szCs w:val="20"/>
                <w:color w:val="auto"/>
              </w:rPr>
            </w:pPr>
            <w:r>
              <w:rPr>
                <w:rFonts w:ascii="Arial" w:cs="Arial" w:eastAsia="Arial" w:hAnsi="Arial"/>
                <w:sz w:val="18"/>
                <w:szCs w:val="18"/>
                <w:color w:val="auto"/>
                <w:w w:val="90"/>
              </w:rPr>
              <w:t>(I.R.S. Employer</w:t>
            </w:r>
          </w:p>
        </w:tc>
      </w:tr>
      <w:tr>
        <w:trPr>
          <w:trHeight w:val="222"/>
        </w:trPr>
        <w:tc>
          <w:tcPr>
            <w:tcW w:w="6180" w:type="dxa"/>
            <w:vAlign w:val="bottom"/>
          </w:tcPr>
          <w:p>
            <w:pPr>
              <w:jc w:val="center"/>
              <w:ind w:right="3332"/>
              <w:spacing w:after="0"/>
              <w:rPr>
                <w:sz w:val="20"/>
                <w:szCs w:val="20"/>
                <w:color w:val="auto"/>
              </w:rPr>
            </w:pPr>
            <w:r>
              <w:rPr>
                <w:rFonts w:ascii="Arial" w:cs="Arial" w:eastAsia="Arial" w:hAnsi="Arial"/>
                <w:sz w:val="18"/>
                <w:szCs w:val="18"/>
                <w:color w:val="auto"/>
                <w:w w:val="90"/>
              </w:rPr>
              <w:t>incorporation or organization)</w:t>
            </w:r>
          </w:p>
        </w:tc>
        <w:tc>
          <w:tcPr>
            <w:tcW w:w="1720" w:type="dxa"/>
            <w:vAlign w:val="bottom"/>
          </w:tcPr>
          <w:p>
            <w:pPr>
              <w:jc w:val="center"/>
              <w:ind w:left="12"/>
              <w:spacing w:after="0"/>
              <w:rPr>
                <w:sz w:val="20"/>
                <w:szCs w:val="20"/>
                <w:color w:val="auto"/>
              </w:rPr>
            </w:pPr>
            <w:r>
              <w:rPr>
                <w:rFonts w:ascii="Arial" w:cs="Arial" w:eastAsia="Arial" w:hAnsi="Arial"/>
                <w:sz w:val="18"/>
                <w:szCs w:val="18"/>
                <w:color w:val="auto"/>
                <w:w w:val="91"/>
              </w:rPr>
              <w:t>Identification Number)</w:t>
            </w:r>
          </w:p>
        </w:tc>
      </w:tr>
      <w:tr>
        <w:trPr>
          <w:trHeight w:val="420"/>
        </w:trPr>
        <w:tc>
          <w:tcPr>
            <w:tcW w:w="6180" w:type="dxa"/>
            <w:vAlign w:val="bottom"/>
          </w:tcPr>
          <w:p>
            <w:pPr>
              <w:jc w:val="center"/>
              <w:ind w:right="3312"/>
              <w:spacing w:after="0"/>
              <w:rPr>
                <w:sz w:val="20"/>
                <w:szCs w:val="20"/>
                <w:color w:val="auto"/>
              </w:rPr>
            </w:pPr>
            <w:r>
              <w:rPr>
                <w:rFonts w:ascii="Arial" w:cs="Arial" w:eastAsia="Arial" w:hAnsi="Arial"/>
                <w:sz w:val="18"/>
                <w:szCs w:val="18"/>
                <w:b w:val="1"/>
                <w:bCs w:val="1"/>
                <w:color w:val="auto"/>
                <w:w w:val="88"/>
              </w:rPr>
              <w:t>2645 N. Federal Highway, Suite 230</w:t>
            </w:r>
          </w:p>
        </w:tc>
        <w:tc>
          <w:tcPr>
            <w:tcW w:w="1720" w:type="dxa"/>
            <w:vAlign w:val="bottom"/>
          </w:tcPr>
          <w:p>
            <w:pPr>
              <w:spacing w:after="0"/>
              <w:rPr>
                <w:sz w:val="24"/>
                <w:szCs w:val="24"/>
                <w:color w:val="auto"/>
              </w:rPr>
            </w:pPr>
          </w:p>
        </w:tc>
      </w:tr>
      <w:tr>
        <w:trPr>
          <w:trHeight w:val="222"/>
        </w:trPr>
        <w:tc>
          <w:tcPr>
            <w:tcW w:w="6180" w:type="dxa"/>
            <w:vAlign w:val="bottom"/>
          </w:tcPr>
          <w:p>
            <w:pPr>
              <w:jc w:val="center"/>
              <w:ind w:right="3332"/>
              <w:spacing w:after="0"/>
              <w:rPr>
                <w:sz w:val="20"/>
                <w:szCs w:val="20"/>
                <w:color w:val="auto"/>
              </w:rPr>
            </w:pPr>
            <w:r>
              <w:rPr>
                <w:rFonts w:ascii="Arial" w:cs="Arial" w:eastAsia="Arial" w:hAnsi="Arial"/>
                <w:sz w:val="18"/>
                <w:szCs w:val="18"/>
                <w:b w:val="1"/>
                <w:bCs w:val="1"/>
                <w:color w:val="auto"/>
                <w:w w:val="90"/>
              </w:rPr>
              <w:t>Delray Beach, FL</w:t>
            </w:r>
          </w:p>
        </w:tc>
        <w:tc>
          <w:tcPr>
            <w:tcW w:w="1720" w:type="dxa"/>
            <w:vAlign w:val="bottom"/>
          </w:tcPr>
          <w:p>
            <w:pPr>
              <w:jc w:val="right"/>
              <w:ind w:right="512"/>
              <w:spacing w:after="0"/>
              <w:rPr>
                <w:sz w:val="20"/>
                <w:szCs w:val="20"/>
                <w:color w:val="auto"/>
              </w:rPr>
            </w:pPr>
            <w:r>
              <w:rPr>
                <w:rFonts w:ascii="Arial" w:cs="Arial" w:eastAsia="Arial" w:hAnsi="Arial"/>
                <w:sz w:val="18"/>
                <w:szCs w:val="18"/>
                <w:b w:val="1"/>
                <w:bCs w:val="1"/>
                <w:color w:val="auto"/>
              </w:rPr>
              <w:t>33483</w:t>
            </w:r>
          </w:p>
        </w:tc>
      </w:tr>
      <w:tr>
        <w:trPr>
          <w:trHeight w:val="222"/>
        </w:trPr>
        <w:tc>
          <w:tcPr>
            <w:tcW w:w="6180" w:type="dxa"/>
            <w:vAlign w:val="bottom"/>
          </w:tcPr>
          <w:p>
            <w:pPr>
              <w:jc w:val="center"/>
              <w:ind w:right="3312"/>
              <w:spacing w:after="0"/>
              <w:rPr>
                <w:sz w:val="20"/>
                <w:szCs w:val="20"/>
                <w:color w:val="auto"/>
              </w:rPr>
            </w:pPr>
            <w:r>
              <w:rPr>
                <w:rFonts w:ascii="Arial" w:cs="Arial" w:eastAsia="Arial" w:hAnsi="Arial"/>
                <w:sz w:val="18"/>
                <w:szCs w:val="18"/>
                <w:color w:val="auto"/>
                <w:w w:val="90"/>
              </w:rPr>
              <w:t>(Address of principal executive offices)</w:t>
            </w:r>
          </w:p>
        </w:tc>
        <w:tc>
          <w:tcPr>
            <w:tcW w:w="1720" w:type="dxa"/>
            <w:vAlign w:val="bottom"/>
          </w:tcPr>
          <w:p>
            <w:pPr>
              <w:jc w:val="center"/>
              <w:ind w:left="1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734-2300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right="180"/>
        <w:spacing w:after="0" w:line="305" w:lineRule="auto"/>
        <w:rPr>
          <w:sz w:val="20"/>
          <w:szCs w:val="20"/>
          <w:color w:val="auto"/>
        </w:rPr>
      </w:pPr>
      <w:r>
        <w:rPr>
          <w:rFonts w:ascii="Arial" w:cs="Arial" w:eastAsia="Arial" w:hAnsi="Arial"/>
          <w:sz w:val="15"/>
          <w:szCs w:val="15"/>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w:t>
      </w:r>
    </w:p>
    <w:p>
      <w:pPr>
        <w:ind w:left="380" w:hanging="372"/>
        <w:spacing w:after="0" w:line="207" w:lineRule="exact"/>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706" w:right="299" w:bottom="1440" w:gutter="0" w:footer="0" w:header="0"/>
        </w:sectPr>
      </w:pPr>
    </w:p>
    <w:p>
      <w:pPr>
        <w:spacing w:after="0" w:line="194" w:lineRule="exact"/>
        <w:rPr>
          <w:sz w:val="24"/>
          <w:szCs w:val="24"/>
          <w:color w:val="auto"/>
        </w:rPr>
      </w:pPr>
    </w:p>
    <w:p>
      <w:pPr>
        <w:ind w:left="1860"/>
        <w:spacing w:after="0"/>
        <w:rPr>
          <w:sz w:val="20"/>
          <w:szCs w:val="20"/>
          <w:color w:val="auto"/>
        </w:rPr>
      </w:pPr>
      <w:r>
        <w:rPr>
          <w:rFonts w:ascii="Arial" w:cs="Arial" w:eastAsia="Arial" w:hAnsi="Arial"/>
          <w:sz w:val="15"/>
          <w:szCs w:val="15"/>
          <w:color w:val="auto"/>
        </w:rPr>
        <w:t>Large accelerated filer</w:t>
      </w:r>
    </w:p>
    <w:p>
      <w:pPr>
        <w:spacing w:after="0" w:line="50" w:lineRule="exact"/>
        <w:rPr>
          <w:sz w:val="24"/>
          <w:szCs w:val="24"/>
          <w:color w:val="auto"/>
        </w:rPr>
      </w:pPr>
    </w:p>
    <w:p>
      <w:pPr>
        <w:ind w:left="19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2" w:lineRule="exact"/>
        <w:rPr>
          <w:sz w:val="24"/>
          <w:szCs w:val="24"/>
          <w:color w:val="auto"/>
        </w:rPr>
      </w:pPr>
    </w:p>
    <w:p>
      <w:pPr>
        <w:sectPr>
          <w:pgSz w:w="11900" w:h="16838" w:orient="portrait"/>
          <w:cols w:equalWidth="0" w:num="4">
            <w:col w:w="3440" w:space="40"/>
            <w:col w:w="3300" w:space="720"/>
            <w:col w:w="1920" w:space="80"/>
            <w:col w:w="1860"/>
          </w:cols>
          <w:pgMar w:left="240" w:top="706" w:right="299" w:bottom="1440" w:gutter="0" w:footer="0" w:header="0"/>
          <w:type w:val="continuous"/>
        </w:sectPr>
      </w:pPr>
    </w:p>
    <w:p>
      <w:pPr>
        <w:spacing w:after="0" w:line="42" w:lineRule="exact"/>
        <w:rPr>
          <w:sz w:val="24"/>
          <w:szCs w:val="24"/>
          <w:color w:val="auto"/>
        </w:rPr>
      </w:pPr>
    </w:p>
    <w:p>
      <w:pPr>
        <w:ind w:right="36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184" w:lineRule="exact"/>
        <w:tabs>
          <w:tab w:leader="none" w:pos="88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7, 2018, there were 9,035,500 shares of the Company’s common stock, par value $0.001,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0" w:type="dxa"/>
            <w:vAlign w:val="bottom"/>
          </w:tcPr>
          <w:p>
            <w:pPr>
              <w:ind w:left="396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9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INFORMATION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STATEMENTS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Condensed Balance Sheets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Condensed Statements of Operations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Condensed Statements of Cash Flows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to Condensed Financial Statements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CONTROLS AND PROCEDURES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INFORMATION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LEGAL PROCEEDINGS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RISK FACTORS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DEFAULTS UPON SENIOR SECURITIES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MINE SAFETY DISCLOSURES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INFORMATION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SIGNATURES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7"/>
              </w:rPr>
              <w:t>September 30,</w:t>
            </w:r>
          </w:p>
        </w:tc>
        <w:tc>
          <w:tcPr>
            <w:tcW w:w="1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86"/>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4"/>
              <w:spacing w:after="0"/>
              <w:rPr>
                <w:sz w:val="20"/>
                <w:szCs w:val="20"/>
                <w:color w:val="auto"/>
              </w:rPr>
            </w:pPr>
            <w:r>
              <w:rPr>
                <w:rFonts w:ascii="Arial" w:cs="Arial" w:eastAsia="Arial" w:hAnsi="Arial"/>
                <w:sz w:val="15"/>
                <w:szCs w:val="15"/>
                <w:b w:val="1"/>
                <w:bCs w:val="1"/>
                <w:color w:val="auto"/>
                <w:w w:val="89"/>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(Unaudited)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69,761,369</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69,029,443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69,885,185</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69,565,819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327,523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85,671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Accrued offering costs</w:t>
            </w: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375,575</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93,171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subject to possible redemption, 6,397,438 and 6,444,515 shares at redemption value as of September 30,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 and December 31, 2017, respectively</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64,509,601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64,472,647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Common stock, $0.001 par value; 100,000,000 shares authorized; 2,638,062 and 2,590,985 shares issued and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outstanding (excluding 6,397,438 and 6,444,515 shares subject to possible redemption) as of September 30, 2018 and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December 31, 2017, respectively</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5,065,442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5,102,443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(68,071)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5,000,009</w:t>
            </w: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5,000,001</w:t>
            </w: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69,885,185</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69,565,819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vMerge w:val="restart"/>
          </w:tcPr>
          <w:p>
            <w:pPr>
              <w:ind w:left="2780"/>
              <w:spacing w:after="0"/>
              <w:rPr>
                <w:sz w:val="20"/>
                <w:szCs w:val="20"/>
                <w:color w:val="auto"/>
              </w:rPr>
            </w:pPr>
            <w:r>
              <w:rPr>
                <w:rFonts w:ascii="Arial" w:cs="Arial" w:eastAsia="Arial" w:hAnsi="Arial"/>
                <w:sz w:val="18"/>
                <w:szCs w:val="18"/>
                <w:color w:val="auto"/>
                <w:w w:val="89"/>
              </w:rPr>
              <w:t>The accompanying notes are an integral part of the condensed financial statements.</w:t>
            </w: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8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8800" w:type="dxa"/>
            <w:vAlign w:val="bottom"/>
            <w:tcBorders>
              <w:bottom w:val="single" w:sz="8" w:color="auto"/>
            </w:tcBorders>
          </w:tcPr>
          <w:p>
            <w:pPr>
              <w:ind w:left="566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For the period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tcPr>
          <w:p>
            <w:pPr>
              <w:jc w:val="center"/>
              <w:ind w:right="140"/>
              <w:spacing w:after="0" w:line="162" w:lineRule="exact"/>
              <w:rPr>
                <w:sz w:val="20"/>
                <w:szCs w:val="20"/>
                <w:color w:val="auto"/>
              </w:rPr>
            </w:pPr>
            <w:r>
              <w:rPr>
                <w:rFonts w:ascii="Arial" w:cs="Arial" w:eastAsia="Arial" w:hAnsi="Arial"/>
                <w:sz w:val="15"/>
                <w:szCs w:val="15"/>
                <w:b w:val="1"/>
                <w:bCs w:val="1"/>
                <w:color w:val="auto"/>
                <w:w w:val="90"/>
              </w:rPr>
              <w:t>from September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197"/>
              <w:spacing w:after="0" w:line="162" w:lineRule="exact"/>
              <w:rPr>
                <w:sz w:val="20"/>
                <w:szCs w:val="20"/>
                <w:color w:val="auto"/>
              </w:rPr>
            </w:pPr>
            <w:r>
              <w:rPr>
                <w:rFonts w:ascii="Arial" w:cs="Arial" w:eastAsia="Arial" w:hAnsi="Arial"/>
                <w:sz w:val="15"/>
                <w:szCs w:val="15"/>
                <w:b w:val="1"/>
                <w:bCs w:val="1"/>
                <w:color w:val="auto"/>
              </w:rPr>
              <w:t>18, 2017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91"/>
              </w:rPr>
              <w:t>Three Months</w:t>
            </w:r>
          </w:p>
        </w:tc>
        <w:tc>
          <w:tcPr>
            <w:tcW w:w="100" w:type="dxa"/>
            <w:vAlign w:val="bottom"/>
          </w:tcPr>
          <w:p>
            <w:pPr>
              <w:spacing w:after="0"/>
              <w:rPr>
                <w:sz w:val="14"/>
                <w:szCs w:val="14"/>
                <w:color w:val="auto"/>
              </w:rPr>
            </w:pPr>
          </w:p>
        </w:tc>
        <w:tc>
          <w:tcPr>
            <w:tcW w:w="1280" w:type="dxa"/>
            <w:vAlign w:val="bottom"/>
            <w:gridSpan w:val="2"/>
          </w:tcPr>
          <w:p>
            <w:pPr>
              <w:jc w:val="center"/>
              <w:ind w:right="380"/>
              <w:spacing w:after="0" w:line="162" w:lineRule="exact"/>
              <w:rPr>
                <w:sz w:val="20"/>
                <w:szCs w:val="20"/>
                <w:color w:val="auto"/>
              </w:rPr>
            </w:pPr>
            <w:r>
              <w:rPr>
                <w:rFonts w:ascii="Arial" w:cs="Arial" w:eastAsia="Arial" w:hAnsi="Arial"/>
                <w:sz w:val="15"/>
                <w:szCs w:val="15"/>
                <w:b w:val="1"/>
                <w:bCs w:val="1"/>
                <w:color w:val="auto"/>
                <w:w w:val="91"/>
              </w:rPr>
              <w:t>Nine Months</w:t>
            </w:r>
          </w:p>
        </w:tc>
        <w:tc>
          <w:tcPr>
            <w:tcW w:w="80" w:type="dxa"/>
            <w:vAlign w:val="bottom"/>
          </w:tcPr>
          <w:p>
            <w:pPr>
              <w:spacing w:after="0"/>
              <w:rPr>
                <w:sz w:val="14"/>
                <w:szCs w:val="14"/>
                <w:color w:val="auto"/>
              </w:rPr>
            </w:pPr>
          </w:p>
        </w:tc>
        <w:tc>
          <w:tcPr>
            <w:tcW w:w="11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8"/>
              </w:rPr>
              <w:t>(inception)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87"/>
              </w:rPr>
              <w:t>Ended</w:t>
            </w:r>
          </w:p>
        </w:tc>
        <w:tc>
          <w:tcPr>
            <w:tcW w:w="100" w:type="dxa"/>
            <w:vAlign w:val="bottom"/>
          </w:tcPr>
          <w:p>
            <w:pPr>
              <w:spacing w:after="0"/>
              <w:rPr>
                <w:sz w:val="14"/>
                <w:szCs w:val="14"/>
                <w:color w:val="auto"/>
              </w:rPr>
            </w:pPr>
          </w:p>
        </w:tc>
        <w:tc>
          <w:tcPr>
            <w:tcW w:w="1280" w:type="dxa"/>
            <w:vAlign w:val="bottom"/>
            <w:gridSpan w:val="2"/>
          </w:tcPr>
          <w:p>
            <w:pPr>
              <w:jc w:val="center"/>
              <w:ind w:right="380"/>
              <w:spacing w:after="0" w:line="162" w:lineRule="exact"/>
              <w:rPr>
                <w:sz w:val="20"/>
                <w:szCs w:val="20"/>
                <w:color w:val="auto"/>
              </w:rPr>
            </w:pPr>
            <w:r>
              <w:rPr>
                <w:rFonts w:ascii="Arial" w:cs="Arial" w:eastAsia="Arial" w:hAnsi="Arial"/>
                <w:sz w:val="15"/>
                <w:szCs w:val="15"/>
                <w:b w:val="1"/>
                <w:bCs w:val="1"/>
                <w:color w:val="auto"/>
                <w:w w:val="91"/>
              </w:rPr>
              <w:t>Ended</w:t>
            </w:r>
          </w:p>
        </w:tc>
        <w:tc>
          <w:tcPr>
            <w:tcW w:w="80" w:type="dxa"/>
            <w:vAlign w:val="bottom"/>
          </w:tcPr>
          <w:p>
            <w:pPr>
              <w:spacing w:after="0"/>
              <w:rPr>
                <w:sz w:val="14"/>
                <w:szCs w:val="14"/>
                <w:color w:val="auto"/>
              </w:rPr>
            </w:pPr>
          </w:p>
        </w:tc>
        <w:tc>
          <w:tcPr>
            <w:tcW w:w="11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1"/>
              </w:rPr>
              <w:t>through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89"/>
              </w:rPr>
              <w:t>September 30,</w:t>
            </w:r>
          </w:p>
        </w:tc>
        <w:tc>
          <w:tcPr>
            <w:tcW w:w="100" w:type="dxa"/>
            <w:vAlign w:val="bottom"/>
          </w:tcPr>
          <w:p>
            <w:pPr>
              <w:spacing w:after="0"/>
              <w:rPr>
                <w:sz w:val="14"/>
                <w:szCs w:val="14"/>
                <w:color w:val="auto"/>
              </w:rPr>
            </w:pPr>
          </w:p>
        </w:tc>
        <w:tc>
          <w:tcPr>
            <w:tcW w:w="1280" w:type="dxa"/>
            <w:vAlign w:val="bottom"/>
            <w:gridSpan w:val="2"/>
          </w:tcPr>
          <w:p>
            <w:pPr>
              <w:jc w:val="center"/>
              <w:ind w:right="380"/>
              <w:spacing w:after="0" w:line="162" w:lineRule="exact"/>
              <w:rPr>
                <w:sz w:val="20"/>
                <w:szCs w:val="20"/>
                <w:color w:val="auto"/>
              </w:rPr>
            </w:pPr>
            <w:r>
              <w:rPr>
                <w:rFonts w:ascii="Arial" w:cs="Arial" w:eastAsia="Arial" w:hAnsi="Arial"/>
                <w:sz w:val="15"/>
                <w:szCs w:val="15"/>
                <w:b w:val="1"/>
                <w:bCs w:val="1"/>
                <w:color w:val="auto"/>
                <w:w w:val="87"/>
              </w:rPr>
              <w:t>September 30,</w:t>
            </w:r>
          </w:p>
        </w:tc>
        <w:tc>
          <w:tcPr>
            <w:tcW w:w="80" w:type="dxa"/>
            <w:vAlign w:val="bottom"/>
          </w:tcPr>
          <w:p>
            <w:pPr>
              <w:spacing w:after="0"/>
              <w:rPr>
                <w:sz w:val="14"/>
                <w:szCs w:val="14"/>
                <w:color w:val="auto"/>
              </w:rPr>
            </w:pPr>
          </w:p>
        </w:tc>
        <w:tc>
          <w:tcPr>
            <w:tcW w:w="11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9"/>
              </w:rPr>
              <w:t>September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2018</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89"/>
              </w:rPr>
              <w:t>2018</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220,243</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684,427</w:t>
            </w:r>
          </w:p>
        </w:tc>
        <w:tc>
          <w:tcPr>
            <w:tcW w:w="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(220,243)</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(684,427)</w:t>
            </w: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769,441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Unrealized loss on marketable securities held in Trust Account</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769,441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(34,989)</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(48,052)</w:t>
            </w:r>
          </w:p>
        </w:tc>
        <w:tc>
          <w:tcPr>
            <w:tcW w:w="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28,084</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36,962</w:t>
            </w: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8"/>
                <w:szCs w:val="18"/>
                <w:color w:val="auto"/>
              </w:rPr>
              <w:t xml:space="preserve">Weighted average shares outstanding, basic and diluted </w:t>
            </w:r>
            <w:r>
              <w:rPr>
                <w:rFonts w:ascii="Arial" w:cs="Arial" w:eastAsia="Arial" w:hAnsi="Arial"/>
                <w:sz w:val="24"/>
                <w:szCs w:val="24"/>
                <w:color w:val="auto"/>
                <w:vertAlign w:val="superscript"/>
              </w:rPr>
              <w:t>(1)</w:t>
            </w: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2,622,584</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2,606,566</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Basic and diluted net loss per common share </w:t>
            </w:r>
            <w:r>
              <w:rPr>
                <w:rFonts w:ascii="Arial" w:cs="Arial" w:eastAsia="Arial" w:hAnsi="Arial"/>
                <w:sz w:val="24"/>
                <w:szCs w:val="24"/>
                <w:b w:val="1"/>
                <w:bCs w:val="1"/>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Excludes an aggregate of up to 6,397,438 shares subject to possible redemption at September 30, 2018.</w:t>
      </w:r>
    </w:p>
    <w:p>
      <w:pPr>
        <w:spacing w:after="0" w:line="225" w:lineRule="exact"/>
        <w:rPr>
          <w:rFonts w:ascii="Arial" w:cs="Arial" w:eastAsia="Arial" w:hAnsi="Arial"/>
          <w:sz w:val="18"/>
          <w:szCs w:val="18"/>
          <w:color w:val="auto"/>
        </w:rPr>
      </w:pPr>
    </w:p>
    <w:p>
      <w:pPr>
        <w:ind w:left="340" w:right="20" w:hanging="332"/>
        <w:spacing w:after="0" w:line="26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per common share - basic and diluted excludes income attributable to common stock subject to possible redemption of $188,243 and $542,726, respectively, for the three and nine months ended September 30, 2018 (see Note 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For the period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from September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196"/>
              <w:spacing w:after="0" w:line="162" w:lineRule="exact"/>
              <w:rPr>
                <w:sz w:val="20"/>
                <w:szCs w:val="20"/>
                <w:color w:val="auto"/>
              </w:rPr>
            </w:pPr>
            <w:r>
              <w:rPr>
                <w:rFonts w:ascii="Arial" w:cs="Arial" w:eastAsia="Arial" w:hAnsi="Arial"/>
                <w:sz w:val="15"/>
                <w:szCs w:val="15"/>
                <w:b w:val="1"/>
                <w:bCs w:val="1"/>
                <w:color w:val="auto"/>
              </w:rPr>
              <w:t>18, 2017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line="162" w:lineRule="exact"/>
              <w:rPr>
                <w:sz w:val="20"/>
                <w:szCs w:val="20"/>
                <w:color w:val="auto"/>
              </w:rPr>
            </w:pPr>
            <w:r>
              <w:rPr>
                <w:rFonts w:ascii="Arial" w:cs="Arial" w:eastAsia="Arial" w:hAnsi="Arial"/>
                <w:sz w:val="15"/>
                <w:szCs w:val="15"/>
                <w:b w:val="1"/>
                <w:bCs w:val="1"/>
                <w:color w:val="auto"/>
                <w:w w:val="91"/>
              </w:rPr>
              <w:t>Nine Months</w:t>
            </w:r>
          </w:p>
        </w:tc>
        <w:tc>
          <w:tcPr>
            <w:tcW w:w="80" w:type="dxa"/>
            <w:vAlign w:val="bottom"/>
          </w:tcPr>
          <w:p>
            <w:pPr>
              <w:spacing w:after="0"/>
              <w:rPr>
                <w:sz w:val="14"/>
                <w:szCs w:val="14"/>
                <w:color w:val="auto"/>
              </w:rPr>
            </w:pPr>
          </w:p>
        </w:tc>
        <w:tc>
          <w:tcPr>
            <w:tcW w:w="11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8"/>
              </w:rPr>
              <w:t>(inception)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line="162" w:lineRule="exact"/>
              <w:rPr>
                <w:sz w:val="20"/>
                <w:szCs w:val="20"/>
                <w:color w:val="auto"/>
              </w:rPr>
            </w:pPr>
            <w:r>
              <w:rPr>
                <w:rFonts w:ascii="Arial" w:cs="Arial" w:eastAsia="Arial" w:hAnsi="Arial"/>
                <w:sz w:val="15"/>
                <w:szCs w:val="15"/>
                <w:b w:val="1"/>
                <w:bCs w:val="1"/>
                <w:color w:val="auto"/>
                <w:w w:val="91"/>
              </w:rPr>
              <w:t>Ended</w:t>
            </w:r>
          </w:p>
        </w:tc>
        <w:tc>
          <w:tcPr>
            <w:tcW w:w="80" w:type="dxa"/>
            <w:vAlign w:val="bottom"/>
          </w:tcPr>
          <w:p>
            <w:pPr>
              <w:spacing w:after="0"/>
              <w:rPr>
                <w:sz w:val="14"/>
                <w:szCs w:val="14"/>
                <w:color w:val="auto"/>
              </w:rPr>
            </w:pPr>
          </w:p>
        </w:tc>
        <w:tc>
          <w:tcPr>
            <w:tcW w:w="11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1"/>
              </w:rPr>
              <w:t>through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line="162" w:lineRule="exact"/>
              <w:rPr>
                <w:sz w:val="20"/>
                <w:szCs w:val="20"/>
                <w:color w:val="auto"/>
              </w:rPr>
            </w:pPr>
            <w:r>
              <w:rPr>
                <w:rFonts w:ascii="Arial" w:cs="Arial" w:eastAsia="Arial" w:hAnsi="Arial"/>
                <w:sz w:val="15"/>
                <w:szCs w:val="15"/>
                <w:b w:val="1"/>
                <w:bCs w:val="1"/>
                <w:color w:val="auto"/>
                <w:w w:val="87"/>
              </w:rPr>
              <w:t>September 30,</w:t>
            </w:r>
          </w:p>
        </w:tc>
        <w:tc>
          <w:tcPr>
            <w:tcW w:w="80" w:type="dxa"/>
            <w:vAlign w:val="bottom"/>
          </w:tcPr>
          <w:p>
            <w:pPr>
              <w:spacing w:after="0"/>
              <w:rPr>
                <w:sz w:val="14"/>
                <w:szCs w:val="14"/>
                <w:color w:val="auto"/>
              </w:rPr>
            </w:pPr>
          </w:p>
        </w:tc>
        <w:tc>
          <w:tcPr>
            <w:tcW w:w="11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9"/>
              </w:rPr>
              <w:t>September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5"/>
                <w:szCs w:val="15"/>
                <w:b w:val="1"/>
                <w:bCs w:val="1"/>
                <w:color w:val="auto"/>
                <w:w w:val="89"/>
              </w:rPr>
              <w:t>2018</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36,962</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(769,441)</w:t>
            </w:r>
          </w:p>
        </w:tc>
        <w:tc>
          <w:tcPr>
            <w:tcW w:w="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40,272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241,852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Income tax payable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48,052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(402,303)</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withdrawn from Trust Account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37,515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provided by investing activities</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37,515</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issuance of common stock to Sponsor</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notes – related parties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82,500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(372,288)</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82,470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 Beginning</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449,374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77,086</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82,470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36,954</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 included in accrued offering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Big Rock Partners Acquisition Corp. (the “Company”) is a blank check company incorporated in Delaware on September 18, 2017. The Company was formed for the purpose of acquiring, through a merger, share exchange, asset acquisition, stock purchase, reorganization, recapitalization, or other similar business transaction, one or more operating businesses or entities (a “Business Combination”). Although the Company is not limited to a particular industry or geographic region for purposes of consummating a Business Combination, the Company is focusing on businesses in the senior housing and care industry in the United States.</w:t>
      </w:r>
    </w:p>
    <w:p>
      <w:pPr>
        <w:spacing w:after="0" w:line="197"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All activity through September 30, 2018 relates to the Company’s formation, the initial public offering (the “Initial Public Offering”) of 6,900,000 units (the “Units”) that occurred on November 22, 2017, the simultaneous sale of 272,500 units (the “Private Placement Units”) in a private placement to Big Rock Partners Sponsor, LLC (the “Sponsor”), and the Company’s search for a target business with which to complete a Business Combination.</w:t>
      </w:r>
    </w:p>
    <w:p>
      <w:pPr>
        <w:spacing w:after="0" w:line="16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will have until November 22, 2018 to complete a Business Combination. If the Company anticipates that it may not be able to consummate a Business Combination by November 22, 2018, the Company may extend the period of time to consummate a Business Combination up to two times, each by an additional three months (for a total of up to 18 months to complete a Business Combination) (the “Combination Period”). Pursuant to the terms of the Company's Amended and Restated Certificate of Incorporation and the trust agreement entered into between the Company and Continental Stock Transfer &amp; Trust Company on November 20, 2017, in order to extend the time available for the Company to consummate a Business Combination, the Sponsor or its affiliates or designees must deposit into the Trust Account $690,000 ($0.10 per share) for each three month extension, up to an aggregate of $1,380,000, or $0.20 per share, if the Company extends for the full six months, on or prior to the date of the applicable deadline. The Sponsor and its affiliates or designees are not obligated to fund the Trust Account to extend the time for the Company to complete a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LIQUIDITY</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of September 30, 2018, the Company had $77,086 in its operating bank accounts, $69,761,369 in marketable securities held in the Trust Account to be used for a Business Combination or to repurchase or convert stock in connection therewith and a working capital deficit of $67,657, which excludes franchise and income taxes payable of $184,102, of which such amounts will be paid from interest earned on the Trust Account.. As of September 30, 2018, approximately $761,000 of the amount on deposit in the Trust Account represented interest income, which is available to pay the Company’s tax obligations. To date the Company has withdrawn approximately $38,000 of interest from the Trust Account in order to pay the Company’s taxes.</w:t>
      </w:r>
    </w:p>
    <w:p>
      <w:pPr>
        <w:spacing w:after="0" w:line="102"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Until the consummation of a Business Combination, the Company will be using the funds not held in the Trust Account primarily to pay the expenses of being a public company and to identify and evaluate target businesses, perform business due diligence on prospective target businesses, travel to and from the offices, properties or similar locations of prospective target businesses or their representatives or owners, review corporate documents and material agreements of prospective target businesses, and structure, negotiate and complete a Business Combination.</w:t>
      </w:r>
    </w:p>
    <w:p>
      <w:pPr>
        <w:spacing w:after="0" w:line="167"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On July 30, 2018, an affiliate of the Sponsor, committed to provide an aggregate of $200,000 in loans to the Company in order to finance transaction costs in connection with a Business Combination (see Note 4). To the extent advanced, the loans will be evidenced by a promissory note, will be non-interest bearing, unsecured and will only be repaid upon the completion of a Business Combination. The loans may also be convertible into units at a price of $10.00 per unit. The units would be identical to the Private Placement Units. There are no amounts currently outstanding under this commitment.</w:t>
      </w:r>
    </w:p>
    <w:p>
      <w:pPr>
        <w:spacing w:after="0" w:line="167"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The Company may raise additional capital through loans or additional investments from the Sponsor or its stockholders, officers, directors, or third parties. Other than as described above, the Company’s officers and directors and the Sponsor may, but are not obligated to, loan the Company funds, from time to time, in whatever amount they deem reasonable in their sole discretion, to meet the Company’s working capital needs.</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does not believe it will need to raise additional funds in order to meet expenditures required for operating its business. Neither the Sponsor, nor any of the stockholders, officers or directors, or third parties are under any obligation to advance funds to, or invest in, the Company, except for the $200,000 commitment discussed above. Accordingly, the Company may not be able to obtain additional financing. If the Company is unable to raise additional capital, it may be required to take additional measures to conserve liquidity, which could include, but not necessarily be limited to suspending the pursuit of a potential transaction. The Company cannot provide any assurance that new financing will be available to it on commercially acceptable terms, if at all. Even if the Company can obtain sufficient financing or raise additional capital, it only has until November 22, 2018 (or May 22, 2019, if extended) to consummate an acquisition. There is no assurance that the Company will be able to do so prior to November 22, 2018 (or May 22, 2019, if extended).</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7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Form 10-K for the year ended December 31, 2017 as filed with the SEC on March 23, 2018, which contains the audited financial statements and notes thereto. The interim results for the three and nine months ended September 30, 2018 are not necessarily indicative of the results to be expected for the year ending December 31, 2018 or for any future interim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94"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the Company’s estimates.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2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At September 30, 2018 and December 31, 2017, the assets held in the Trust Account were substantially held in U.S. Treasury Bills. During the nine months ended September 30, 2018, the Company withdrew $37,515 of interest income to pay its franchise tax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3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Net loss per common share is computed by dividing net loss by the weighted average number of common shares outstanding for the period. The Company applies the two-class method in calculating earnings per share. Shares of common stock subject to possible redemption at September 30, 2018, which are not currently redeemable and are not redeemable at fair value, have been excluded from the calculation of basic loss per share since such shares, if redeemed, only participate in their pro rata share of the Trust Account earnings. The Company has not considered the effect of (1) warrants sold in the Initial Public Offering and private placement to purchase 3,586,250 shares of common stock, (2) rights sold in the Initial Public Offering and private placement that convert into 717,250 shares of common stock and (3) 600,000 shares of common stock, warrants to purchase 300,000 shares of common stock and rights that convert into 60,000 shares of common stock in the unit purchase option sold to the underwriter, in the calculation of diluted loss per share, since the exercise of the warrants, the conversion of the rights into shares of common stock and the exercise of the unit purchase option is contingent upon the occurrence of future events. As a result, diluted loss per share is the same as basic loss per share for the periods presented.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per common share</w:t>
      </w:r>
    </w:p>
    <w:p>
      <w:pPr>
        <w:spacing w:after="0" w:line="231"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The Company’s net income (loss) is adjusted for the portion of income that is attributable to common stock subject to possible redemption, as these shares only participate in the income of the Trust Account and not the losses of the Company. Accordingly, basic and diluted loss per share is calculated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For the period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tcPr>
          <w:p>
            <w:pPr>
              <w:spacing w:after="0" w:line="162" w:lineRule="exact"/>
              <w:rPr>
                <w:sz w:val="20"/>
                <w:szCs w:val="20"/>
                <w:color w:val="auto"/>
              </w:rPr>
            </w:pPr>
            <w:r>
              <w:rPr>
                <w:rFonts w:ascii="Arial" w:cs="Arial" w:eastAsia="Arial" w:hAnsi="Arial"/>
                <w:sz w:val="15"/>
                <w:szCs w:val="15"/>
                <w:b w:val="1"/>
                <w:bCs w:val="1"/>
                <w:color w:val="auto"/>
              </w:rPr>
              <w:t>From September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200"/>
              <w:spacing w:after="0" w:line="162" w:lineRule="exact"/>
              <w:rPr>
                <w:sz w:val="20"/>
                <w:szCs w:val="20"/>
                <w:color w:val="auto"/>
              </w:rPr>
            </w:pPr>
            <w:r>
              <w:rPr>
                <w:rFonts w:ascii="Arial" w:cs="Arial" w:eastAsia="Arial" w:hAnsi="Arial"/>
                <w:sz w:val="15"/>
                <w:szCs w:val="15"/>
                <w:b w:val="1"/>
                <w:bCs w:val="1"/>
                <w:color w:val="auto"/>
              </w:rPr>
              <w:t>18, 2017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91"/>
              </w:rPr>
              <w:t>Three Months</w:t>
            </w:r>
          </w:p>
        </w:tc>
        <w:tc>
          <w:tcPr>
            <w:tcW w:w="100" w:type="dxa"/>
            <w:vAlign w:val="bottom"/>
          </w:tcPr>
          <w:p>
            <w:pPr>
              <w:spacing w:after="0"/>
              <w:rPr>
                <w:sz w:val="14"/>
                <w:szCs w:val="14"/>
                <w:color w:val="auto"/>
              </w:rPr>
            </w:pPr>
          </w:p>
        </w:tc>
        <w:tc>
          <w:tcPr>
            <w:tcW w:w="1280" w:type="dxa"/>
            <w:vAlign w:val="bottom"/>
            <w:gridSpan w:val="2"/>
          </w:tcPr>
          <w:p>
            <w:pPr>
              <w:jc w:val="center"/>
              <w:ind w:right="380"/>
              <w:spacing w:after="0" w:line="162" w:lineRule="exact"/>
              <w:rPr>
                <w:sz w:val="20"/>
                <w:szCs w:val="20"/>
                <w:color w:val="auto"/>
              </w:rPr>
            </w:pPr>
            <w:r>
              <w:rPr>
                <w:rFonts w:ascii="Arial" w:cs="Arial" w:eastAsia="Arial" w:hAnsi="Arial"/>
                <w:sz w:val="15"/>
                <w:szCs w:val="15"/>
                <w:b w:val="1"/>
                <w:bCs w:val="1"/>
                <w:color w:val="auto"/>
                <w:w w:val="91"/>
              </w:rPr>
              <w:t>Nine Months</w:t>
            </w:r>
          </w:p>
        </w:tc>
        <w:tc>
          <w:tcPr>
            <w:tcW w:w="80" w:type="dxa"/>
            <w:vAlign w:val="bottom"/>
          </w:tcPr>
          <w:p>
            <w:pPr>
              <w:spacing w:after="0"/>
              <w:rPr>
                <w:sz w:val="14"/>
                <w:szCs w:val="14"/>
                <w:color w:val="auto"/>
              </w:rPr>
            </w:pPr>
          </w:p>
        </w:tc>
        <w:tc>
          <w:tcPr>
            <w:tcW w:w="11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8"/>
              </w:rPr>
              <w:t>(inception)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87"/>
              </w:rPr>
              <w:t>Ended</w:t>
            </w:r>
          </w:p>
        </w:tc>
        <w:tc>
          <w:tcPr>
            <w:tcW w:w="100" w:type="dxa"/>
            <w:vAlign w:val="bottom"/>
          </w:tcPr>
          <w:p>
            <w:pPr>
              <w:spacing w:after="0"/>
              <w:rPr>
                <w:sz w:val="14"/>
                <w:szCs w:val="14"/>
                <w:color w:val="auto"/>
              </w:rPr>
            </w:pPr>
          </w:p>
        </w:tc>
        <w:tc>
          <w:tcPr>
            <w:tcW w:w="1280" w:type="dxa"/>
            <w:vAlign w:val="bottom"/>
            <w:gridSpan w:val="2"/>
          </w:tcPr>
          <w:p>
            <w:pPr>
              <w:jc w:val="center"/>
              <w:ind w:right="380"/>
              <w:spacing w:after="0" w:line="162" w:lineRule="exact"/>
              <w:rPr>
                <w:sz w:val="20"/>
                <w:szCs w:val="20"/>
                <w:color w:val="auto"/>
              </w:rPr>
            </w:pPr>
            <w:r>
              <w:rPr>
                <w:rFonts w:ascii="Arial" w:cs="Arial" w:eastAsia="Arial" w:hAnsi="Arial"/>
                <w:sz w:val="15"/>
                <w:szCs w:val="15"/>
                <w:b w:val="1"/>
                <w:bCs w:val="1"/>
                <w:color w:val="auto"/>
                <w:w w:val="91"/>
              </w:rPr>
              <w:t>Ended</w:t>
            </w:r>
          </w:p>
        </w:tc>
        <w:tc>
          <w:tcPr>
            <w:tcW w:w="80" w:type="dxa"/>
            <w:vAlign w:val="bottom"/>
          </w:tcPr>
          <w:p>
            <w:pPr>
              <w:spacing w:after="0"/>
              <w:rPr>
                <w:sz w:val="14"/>
                <w:szCs w:val="14"/>
                <w:color w:val="auto"/>
              </w:rPr>
            </w:pPr>
          </w:p>
        </w:tc>
        <w:tc>
          <w:tcPr>
            <w:tcW w:w="11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1"/>
              </w:rPr>
              <w:t>through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89"/>
              </w:rPr>
              <w:t>September 30,</w:t>
            </w:r>
          </w:p>
        </w:tc>
        <w:tc>
          <w:tcPr>
            <w:tcW w:w="100" w:type="dxa"/>
            <w:vAlign w:val="bottom"/>
          </w:tcPr>
          <w:p>
            <w:pPr>
              <w:spacing w:after="0"/>
              <w:rPr>
                <w:sz w:val="14"/>
                <w:szCs w:val="14"/>
                <w:color w:val="auto"/>
              </w:rPr>
            </w:pPr>
          </w:p>
        </w:tc>
        <w:tc>
          <w:tcPr>
            <w:tcW w:w="1280" w:type="dxa"/>
            <w:vAlign w:val="bottom"/>
            <w:gridSpan w:val="2"/>
          </w:tcPr>
          <w:p>
            <w:pPr>
              <w:jc w:val="center"/>
              <w:ind w:right="380"/>
              <w:spacing w:after="0" w:line="162" w:lineRule="exact"/>
              <w:rPr>
                <w:sz w:val="20"/>
                <w:szCs w:val="20"/>
                <w:color w:val="auto"/>
              </w:rPr>
            </w:pPr>
            <w:r>
              <w:rPr>
                <w:rFonts w:ascii="Arial" w:cs="Arial" w:eastAsia="Arial" w:hAnsi="Arial"/>
                <w:sz w:val="15"/>
                <w:szCs w:val="15"/>
                <w:b w:val="1"/>
                <w:bCs w:val="1"/>
                <w:color w:val="auto"/>
                <w:w w:val="87"/>
              </w:rPr>
              <w:t>September 30,</w:t>
            </w:r>
          </w:p>
        </w:tc>
        <w:tc>
          <w:tcPr>
            <w:tcW w:w="80" w:type="dxa"/>
            <w:vAlign w:val="bottom"/>
          </w:tcPr>
          <w:p>
            <w:pPr>
              <w:spacing w:after="0"/>
              <w:rPr>
                <w:sz w:val="14"/>
                <w:szCs w:val="14"/>
                <w:color w:val="auto"/>
              </w:rPr>
            </w:pPr>
          </w:p>
        </w:tc>
        <w:tc>
          <w:tcPr>
            <w:tcW w:w="11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9"/>
              </w:rPr>
              <w:t>September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2018</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8"/>
              <w:spacing w:after="0"/>
              <w:rPr>
                <w:sz w:val="20"/>
                <w:szCs w:val="20"/>
                <w:color w:val="auto"/>
              </w:rPr>
            </w:pPr>
            <w:r>
              <w:rPr>
                <w:rFonts w:ascii="Arial" w:cs="Arial" w:eastAsia="Arial" w:hAnsi="Arial"/>
                <w:sz w:val="15"/>
                <w:szCs w:val="15"/>
                <w:b w:val="1"/>
                <w:bCs w:val="1"/>
                <w:color w:val="auto"/>
                <w:w w:val="89"/>
              </w:rPr>
              <w:t>2018</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Income attributable to common stock subject to possible redemption</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(188,243)</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(542,726)</w:t>
            </w:r>
          </w:p>
        </w:tc>
        <w:tc>
          <w:tcPr>
            <w:tcW w:w="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(160,159)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(505,764)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2,622,584</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2,606,566</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NOTE 4. RELATED PARTY TRANSACTIONS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Administrative Services Agreement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The Company entered into an agreement whereby commencing on November 20, 2017 through the earlier of the consummation of a Business Combination or the Company’s liquidation, the Company will pay the Sponsor a monthly fee of $10,000 for office space, utilities and administrative support. For the three and nine months ended September 30, 2018, the Company incurred $15,000 and $75,000 in fees for these services, of which no amounts are currently due. Effective August 20, 2018, the Sponsor agreed to stop charging the Company the monthly administrative fee.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3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On July 30, 2018, an affiliate of the Sponsor has committed to provide an aggregate of $200,000 in loans to the Company in order to finance transaction costs in connection with a Business Combination. To the extent advanced, the loans will be evidenced by a promissory note, will be non-interest bearing, unsecured and will only be repaid upon the completion of a Business Combination. The loans may also be convertible into units at a price of $10.00 per unit. The units would be identical to the Private Placement Units. There are no amounts currently outstanding under this commitment.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Pursuant to a registration rights agreement entered into on November 20, 2017, the holders of the Company’s common stock prior to the Initial Public Offering (the “Founder Shares”), Private Placement Units (and their underlying securities), the shares issued to EarlyBirdCapital, Inc. (“EarlyBirdCapital”) at the closing of the Initial Public Offering (the “Representative Shares”) and any Units that may be issued upon conversion of the working capital loans (and their underlying securities) are entitled to registration rights. The holders of a majority of these securities are entitled to make up to three demands, excluding short form demands, that the Company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Placement Units or Units issued to the Sponsor, officers, directors or their affiliates in payment of working capital loans made to the Company (in each case, including the underlying securities) can elect to exercise these registration rights at any time after the Company consummates a Business Combination.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of 1933, as amended (the “Securities Act”). Notwithstanding anything to the contrary, EarlyBirdCapital and its designees may participate in a “piggy-back” registration during the seven year period beginning on the effective date of the registration statement. However, the registration rights agreement will provide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3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has engaged EarlyBirdCapital as an advisor in connection with a Business Combination to assist the Company in holding meetings with its stockholders to discuss a potential Business Combination and the target business’ attributes, introduce the Company to potential investors that are interested in purchasing securities, assist the Company in obtaining stockholder approval for the Business Combination and assist the Company with its press releases and public filings in connection with a Business Combination. The Company will pay EarlyBirdCapital a cash fee for such services upon the consummation of a Business Combination in an amount equal to 4.0% of the gross proceeds of the Initial Public Offering (exclusive of any applicable finders’ fees which might become payable). If a Business Combination is not consummated for any reason, no fee will be due or payable.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Advisory Agreement</w:t>
      </w:r>
    </w:p>
    <w:p>
      <w:pPr>
        <w:spacing w:after="0" w:line="2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engaged an advisor to assist the Company in obtaining commitments for a proposed financing in connection with a Business Combination. The Company will pay the advisor a cash fee for such services upon the consummation of a Business Combination consisting of either a structuring fee of $750,000 or an advisory fee equal to the greater of (i) 2.0% of the acquisition value (as defined in the agreement) or (ii) $1,500,000. In addition, the Company will pay a contingent cash placement fee with respect to commitments obtained for any financings, as defined in the agreement. If a Business Combination is not consummated for any reason, no fee will be due or payable.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Finder's Agreement</w:t>
      </w:r>
    </w:p>
    <w:p>
      <w:pPr>
        <w:spacing w:after="0" w:line="2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has engaged EarlyBirdCapital to assist the Company in identifying a potential target for a Business Combination and to assist the Company in the course of its negotiation of a transaction with a potential target. The Company will pay EarlyBirdCapital a cash fee equal to 1.0% of the total consideration (as defined in the finder's agreement) for such services upon the consummation of a Business Combination. If a Business Combination is not consummated for any reason, no fee will be due or payable.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$0.001 per share with such designation,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preferences as may be determined from time to time by the Company’s Board of Directors. At September 30, 2018 and December 31, 2017, there were no shares of preferred stock issued or outstanding.</w:t>
      </w:r>
    </w:p>
    <w:p>
      <w:pPr>
        <w:spacing w:after="0" w:line="194"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100,000,000 shares of common stock with a par value of $0.001 per share. Holders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are entitled to one vote for each share. At September 30, 2018 and December 31, 2017, there were 2,638,062 and 2,590,985 shares of common stock issued and outstanding, excluding 6,397,438 and 6,444,515 shares of common stock subject to possible redemption,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31"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The Company follows the guidance in Accounting Standards Codification (“ASC”) 820 for its financial assets and liabilities that are re-measured and reported at fair value at each reporting period, and non-financial assets and liabilities that are re-measured and reported at fair value at least annually.</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8" w:lineRule="exact"/>
        <w:rPr>
          <w:sz w:val="20"/>
          <w:szCs w:val="20"/>
          <w:color w:val="auto"/>
        </w:rPr>
      </w:pPr>
    </w:p>
    <w:p>
      <w:pPr>
        <w:jc w:val="both"/>
        <w:ind w:left="1160" w:right="20" w:hanging="1147"/>
        <w:spacing w:after="0" w:line="332" w:lineRule="auto"/>
        <w:tabs>
          <w:tab w:leader="none" w:pos="1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39" w:lineRule="exact"/>
        <w:rPr>
          <w:sz w:val="20"/>
          <w:szCs w:val="20"/>
          <w:color w:val="auto"/>
        </w:rPr>
      </w:pPr>
    </w:p>
    <w:p>
      <w:pPr>
        <w:jc w:val="both"/>
        <w:ind w:left="1160" w:hanging="1147"/>
        <w:spacing w:after="0" w:line="268" w:lineRule="auto"/>
        <w:tabs>
          <w:tab w:leader="none" w:pos="11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8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about the Company’s assets that are measured at fair value on a recurring basis at September 30, 2018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indicates the fair value hierarchy of the valuation inputs the Company utilized to determine such fair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5"/>
                <w:szCs w:val="15"/>
                <w:b w:val="1"/>
                <w:bCs w:val="1"/>
                <w:color w:val="auto"/>
                <w:w w:val="95"/>
              </w:rPr>
              <w:t>September 30,</w:t>
            </w:r>
          </w:p>
        </w:tc>
        <w:tc>
          <w:tcPr>
            <w:tcW w:w="28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7320" w:type="dxa"/>
            <w:vAlign w:val="bottom"/>
          </w:tcPr>
          <w:p>
            <w:pPr>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Pr>
          <w:p>
            <w:pPr>
              <w:spacing w:after="0"/>
              <w:rPr>
                <w:sz w:val="15"/>
                <w:szCs w:val="15"/>
                <w:color w:val="auto"/>
              </w:rPr>
            </w:pPr>
          </w:p>
        </w:tc>
        <w:tc>
          <w:tcPr>
            <w:tcW w:w="1120" w:type="dxa"/>
            <w:vAlign w:val="bottom"/>
          </w:tcPr>
          <w:p>
            <w:pPr>
              <w:jc w:val="right"/>
              <w:ind w:right="306"/>
              <w:spacing w:after="0"/>
              <w:rPr>
                <w:sz w:val="20"/>
                <w:szCs w:val="20"/>
                <w:color w:val="auto"/>
              </w:rPr>
            </w:pPr>
            <w:r>
              <w:rPr>
                <w:rFonts w:ascii="Arial" w:cs="Arial" w:eastAsia="Arial" w:hAnsi="Arial"/>
                <w:sz w:val="15"/>
                <w:szCs w:val="15"/>
                <w:b w:val="1"/>
                <w:bCs w:val="1"/>
                <w:color w:val="auto"/>
              </w:rPr>
              <w:t>Level</w:t>
            </w:r>
          </w:p>
        </w:tc>
        <w:tc>
          <w:tcPr>
            <w:tcW w:w="1360" w:type="dxa"/>
            <w:vAlign w:val="bottom"/>
            <w:gridSpan w:val="2"/>
          </w:tcPr>
          <w:p>
            <w:pPr>
              <w:jc w:val="right"/>
              <w:ind w:right="326"/>
              <w:spacing w:after="0"/>
              <w:rPr>
                <w:sz w:val="20"/>
                <w:szCs w:val="20"/>
                <w:color w:val="auto"/>
              </w:rPr>
            </w:pPr>
            <w:r>
              <w:rPr>
                <w:rFonts w:ascii="Arial" w:cs="Arial" w:eastAsia="Arial" w:hAnsi="Arial"/>
                <w:sz w:val="15"/>
                <w:szCs w:val="15"/>
                <w:b w:val="1"/>
                <w:bCs w:val="1"/>
                <w:color w:val="auto"/>
              </w:rPr>
              <w:t>2018</w:t>
            </w:r>
          </w:p>
        </w:tc>
        <w:tc>
          <w:tcPr>
            <w:tcW w:w="1360" w:type="dxa"/>
            <w:vAlign w:val="bottom"/>
            <w:gridSpan w:val="2"/>
          </w:tcPr>
          <w:p>
            <w:pPr>
              <w:jc w:val="right"/>
              <w:ind w:right="326"/>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43"/>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75"/>
        </w:trPr>
        <w:tc>
          <w:tcPr>
            <w:tcW w:w="732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$69,761,369</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$69,029,443</w:t>
            </w:r>
          </w:p>
        </w:tc>
        <w:tc>
          <w:tcPr>
            <w:tcW w:w="140" w:type="dxa"/>
            <w:vAlign w:val="bottom"/>
          </w:tcPr>
          <w:p>
            <w:pPr>
              <w:spacing w:after="0"/>
              <w:rPr>
                <w:sz w:val="23"/>
                <w:szCs w:val="23"/>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 evaluates subsequent events and transactions that occur after the balance sheet date up to the date that the financial statements were issued.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Based upon the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References in this report to “we,” “us” or the “Company” refer to Big Rock Partners Acquisition Corp. References to our “management” or our “management team” refer to our officers and directors, and references to the “Sponsor” refer to Big Rock Partners Sponsor, LLC, a company affiliated with our Chairman, President and Chief Executive Officer. The following discussion and analysis of the Company’s financial condition and results of operations should be read in conjunction with the financial statements and the notes thereto contained elsewhere in this report. Certain information contained in the discussion and analysis set forth below includes forward-looking statements that involve risks and uncertainties.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for the year ending December 31, 2017 filed with the SEC on March 23, 2018.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blank check company incorporated in Delaware on September 18, 2017 and formed for the purpose of entering into a merger, share exchange, asset acquisition, stock purchase, recapitalization, reorganization or other similar business combination with one or more target businesses or entities (a “Business Combination”). While our efforts in identifying a prospective target business for our initial Business Combination will not be limited to a particular industry or geographic region, we are focusing our search on identifying a prospective target business in the senior housing and care industry in the United States. We intend to effectuate our Business Combination using cash from the proceeds of our Initial Public Offering and the sale of Private Placement Units that occurred simultaneously with the completion of our Initial Public Offering, our securities, debt or a combination of cash, securities and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entire activity since September 18, 2017 (inception) up to November 20, 2017 was in preparation for our Initial Public Offering. Since our Initial Public Offering, our activity has been limited to the search for a prospective initial Business Combination, and we will not be generating any operating revenues until the closing and completion of our initial Business Combination. We expect to incur increased expenses as a result of being a public company (for legal, financial reporting, accounting and auditing compliance), as well as for due diligence expenses.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2018, we had a net income of $28,084, which consists of interest income on marketable securities held in the Trust Account of $283,390, offset by operating costs of $220,243, an unrealized loss on marketable securities held in the Trust Account of $74 and a provision for income taxes of $34,989.</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2018, we had net income of $36,962, which consists of interest income on marketable securities held in the Trust Account of $769,441, offset by operating costs of $684,427 and a provision for income taxes of $48,052.</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from September 18, 2017 (inception) through September 30, 2017, we had a net loss of $1,187, which consists of operating costs.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2018, we had marketable securities held in the Trust Account of $69,761,369 (including approximately $761,000 of interest income) consisting of U.S Treasury bills with a maturity of 180 days or less. Interest income earned on the balance in the Trust Account may be used by us to pay taxes. During the nine months ended September 30, 2018, we withdrew approximately $38,000 of interest income from the Trust Account to pay our franchise tax obligations.</w:t>
      </w:r>
    </w:p>
    <w:p>
      <w:pPr>
        <w:spacing w:after="0" w:line="197"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For the nine months ended September 30, 2018, cash used in operating activities amounted to $402,303. Net income of $36,962 was impacted by interest earned on marketable securities held in the Trust Account of $769,441. Changes in operating assets and liabilities provided $330,176 of cash for operating activities.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intend to use substantially all of the net proceeds of the Initial Public Offering, including the funds held in the Trust Account, to acquire a target business or businesses and to pay our expenses relating thereto. To the extent that our capital stock is used, in whole or in part, as consideration to effect our Business Combination, the remaining proceeds held in the Trust Account, as well as any other net proceeds not expended, will be used as working capital to finance the operations of the target business. Such working capital funds could be used in a variety of ways including, but not limited to, continuing or expanding the target business’ operations, for strategic acquisitions and for marketing, research and development of existing or new products. Such funds could also be used to repay any expenses or finders’ fees which we had incurred prior to the completion of our Business Combination if the funds available to us outside of the Trust Account were insufficient to cover such expenses.</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As of September 30, 2018, we had $77,086 of cash held outside the Trust Account and available for working capital purposes. We intend to use the funds held outside the Trust Account primarily to pay the expenses of being a public company and to identify and evaluate target businesses, perform business due diligence on prospective target businesses, travel to and from the offices, properties or similar locations of prospective target businesses or their representatives or owners, review corporate documents and material agreements of prospective target businesses, and structure, negotiate and complete a Business Combination.</w:t>
      </w:r>
    </w:p>
    <w:p>
      <w:pPr>
        <w:spacing w:after="0" w:line="1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affiliate of the Sponsor has committed to provide us an aggregate of $200,000 in loans in order to finance transaction costs in connection with a Business Combination. To the extent advanced, the loans will be evidenced by a promissory note, will be non-interest bearing, unsecured and will only be repaid upon the completion of a Business Combination. The loans may also be convertible into units at a price of $10.00 per unit. The units would be identical to the Private Placement Units. There are no amounts currently outstanding under this commitment. Based on the foregoing, we believe we will have sufficient cash to meet our needs through November 22, 2018 (or May 22, 2019, if extended), the date that we will be required to cease all operations except for the purpose of winding up, if a Business Combination is not consummated.</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do not believe we will need to raise additional funds in order to meet expenditures required for operating our business. However, if our estimate of the costs of identifying a target business, undertaking in-depth due diligence and negotiating a Business Combination are less than the actual amounts necessary to do so, we may have insufficient funds available to operate our business prior to our Business Combination. In order to fund working capital deficiencies or finance transaction costs in connection with a Business Combination, our Sponsor, officers and directors or their respective affiliates may, but are not obligated to, except as described above, loan us funds as may be required. If we complete a Business Combination, we would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units, at a price of $10.00 per unit at the option of the lender. The units would be identical to the Private Placement Units.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September 30,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our sponsor a monthly fee of $10,000 for office space, utilities and administrative support provided to the Company. We began incurring these fees on November 20, 2017. Effective August 20, 2018, Sponsor agreed to stop charging the Company the monthly administrative fee.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The Company has identified the following critical accounting policy: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26282A"/>
        </w:rPr>
        <w:t>Common Stock subject to possible redemption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our common stock subject to possible conversion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at September 30, 2018 and December 31, 2017, the common stock subject to possible redemption is presented at redemption value as temporary equity, outside of the stockholders’ equity section of our balance sheet.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consummation of our Initial Public Offering, we invested the funds held in the Trust Account in money market funds meeting certain conditions under Rule 2a-7 under the Investment Company Act, which invest solely in United States Treasuries. Due to these short-term nature of the investments, we do not believe that there will be an associated material exposure to interest rate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30, 2018. Based upon their evaluation, our Chief Executive Officer and Chief Financial Officer concluded that our disclosure controls and procedures (as defined in Rules 13a-15 (e) and 15d-15 (e) under the Exchange Act) were effective as of September 30,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Factors that could cause our actual results to differ materially from those in this report include the risk factors described in our Annual Report on Form 10-K for the year ended December 31, 2017 filed with the SEC on March 23, 2018. As of the date of this Report, there have been no material changes to the risk factors disclosed in our Annual Report filed with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20" w:type="dxa"/>
            <w:vAlign w:val="bottom"/>
          </w:tcPr>
          <w:p>
            <w:pPr>
              <w:spacing w:after="0"/>
              <w:rPr>
                <w:sz w:val="15"/>
                <w:szCs w:val="15"/>
                <w:color w:val="auto"/>
              </w:rPr>
            </w:pPr>
          </w:p>
        </w:tc>
        <w:tc>
          <w:tcPr>
            <w:tcW w:w="300" w:type="dxa"/>
            <w:vAlign w:val="bottom"/>
            <w:tcBorders>
              <w:top w:val="single" w:sz="8" w:color="auto"/>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500" w:type="dxa"/>
            <w:vAlign w:val="bottom"/>
            <w:tcBorders>
              <w:top w:val="single" w:sz="8" w:color="auto"/>
              <w:bottom w:val="single" w:sz="8" w:color="CCEEFF"/>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50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Certification of Principal Executive Officer Pursuant to Securities Exchange Act Rules 13a-14(a) and 15(d)-14(a), as adopted Pursuant to Section</w:t>
            </w: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302 of the Sarbanes-Oxley Act of 2002</w:t>
            </w:r>
          </w:p>
        </w:tc>
      </w:tr>
      <w:tr>
        <w:trPr>
          <w:trHeight w:val="176"/>
        </w:trPr>
        <w:tc>
          <w:tcPr>
            <w:tcW w:w="20" w:type="dxa"/>
            <w:vAlign w:val="bottom"/>
          </w:tcPr>
          <w:p>
            <w:pPr>
              <w:spacing w:after="0"/>
              <w:rPr>
                <w:sz w:val="15"/>
                <w:szCs w:val="15"/>
                <w:color w:val="auto"/>
              </w:rPr>
            </w:pPr>
          </w:p>
        </w:tc>
        <w:tc>
          <w:tcPr>
            <w:tcW w:w="300" w:type="dxa"/>
            <w:vAlign w:val="bottom"/>
            <w:tcBorders>
              <w:bottom w:val="single" w:sz="8" w:color="0000EE"/>
            </w:tcBorders>
          </w:tcPr>
          <w:p>
            <w:pPr>
              <w:spacing w:after="0" w:line="176"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50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500" w:type="dxa"/>
            <w:vAlign w:val="bottom"/>
          </w:tcPr>
          <w:p>
            <w:pPr>
              <w:spacing w:after="0" w:line="176" w:lineRule="exact"/>
              <w:rPr>
                <w:sz w:val="20"/>
                <w:szCs w:val="20"/>
                <w:color w:val="auto"/>
              </w:rPr>
            </w:pPr>
            <w:r>
              <w:rPr>
                <w:rFonts w:ascii="Arial" w:cs="Arial" w:eastAsia="Arial" w:hAnsi="Arial"/>
                <w:sz w:val="18"/>
                <w:szCs w:val="18"/>
                <w:color w:val="auto"/>
                <w:w w:val="88"/>
              </w:rPr>
              <w:t>Certification of Principal Financial Officer Pursuant to Securities Exchange Act Rules 13a-14(a) and 15(d)-14(a), as adopted Pursuant to Section 302</w:t>
            </w:r>
          </w:p>
        </w:tc>
      </w:tr>
      <w:tr>
        <w:trPr>
          <w:trHeight w:val="235"/>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of the Sarbanes-Oxley Act of 2002</w:t>
            </w:r>
          </w:p>
        </w:tc>
      </w:tr>
      <w:tr>
        <w:trPr>
          <w:trHeight w:val="178"/>
        </w:trPr>
        <w:tc>
          <w:tcPr>
            <w:tcW w:w="20" w:type="dxa"/>
            <w:vAlign w:val="bottom"/>
          </w:tcPr>
          <w:p>
            <w:pPr>
              <w:spacing w:after="0"/>
              <w:rPr>
                <w:sz w:val="15"/>
                <w:szCs w:val="15"/>
                <w:color w:val="auto"/>
              </w:rPr>
            </w:pPr>
          </w:p>
        </w:tc>
        <w:tc>
          <w:tcPr>
            <w:tcW w:w="300" w:type="dxa"/>
            <w:vAlign w:val="bottom"/>
            <w:tcBorders>
              <w:bottom w:val="single" w:sz="8" w:color="0000EE"/>
            </w:tcBorders>
            <w:shd w:val="clear" w:color="auto" w:fill="CCEEFF"/>
          </w:tcPr>
          <w:p>
            <w:pPr>
              <w:spacing w:after="0" w:line="177"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1</w:t>
              </w:r>
            </w:hyperlink>
          </w:p>
        </w:tc>
        <w:tc>
          <w:tcPr>
            <w:tcW w:w="5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50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8"/>
                <w:szCs w:val="18"/>
                <w:color w:val="auto"/>
                <w:w w:val="91"/>
              </w:rPr>
              <w:t>Certification of Principal Executive Officer Pursuant to 18 U.S.C. Section 1350, as adopted Pursuant to Section 906 of the Sarbanes-Oxley Act of</w:t>
            </w: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2002</w:t>
            </w:r>
          </w:p>
        </w:tc>
      </w:tr>
      <w:tr>
        <w:trPr>
          <w:trHeight w:val="176"/>
        </w:trPr>
        <w:tc>
          <w:tcPr>
            <w:tcW w:w="20" w:type="dxa"/>
            <w:vAlign w:val="bottom"/>
          </w:tcPr>
          <w:p>
            <w:pPr>
              <w:spacing w:after="0"/>
              <w:rPr>
                <w:sz w:val="15"/>
                <w:szCs w:val="15"/>
                <w:color w:val="auto"/>
              </w:rPr>
            </w:pPr>
          </w:p>
        </w:tc>
        <w:tc>
          <w:tcPr>
            <w:tcW w:w="300" w:type="dxa"/>
            <w:vAlign w:val="bottom"/>
            <w:tcBorders>
              <w:bottom w:val="single" w:sz="8" w:color="0000EE"/>
            </w:tcBorders>
          </w:tcPr>
          <w:p>
            <w:pPr>
              <w:spacing w:after="0" w:line="17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2</w:t>
              </w:r>
            </w:hyperlink>
          </w:p>
        </w:tc>
        <w:tc>
          <w:tcPr>
            <w:tcW w:w="50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500" w:type="dxa"/>
            <w:vAlign w:val="bottom"/>
          </w:tcPr>
          <w:p>
            <w:pPr>
              <w:spacing w:after="0" w:line="176" w:lineRule="exact"/>
              <w:rPr>
                <w:sz w:val="20"/>
                <w:szCs w:val="20"/>
                <w:color w:val="auto"/>
              </w:rPr>
            </w:pPr>
            <w:r>
              <w:rPr>
                <w:rFonts w:ascii="Arial" w:cs="Arial" w:eastAsia="Arial" w:hAnsi="Arial"/>
                <w:sz w:val="18"/>
                <w:szCs w:val="18"/>
                <w:color w:val="auto"/>
                <w:w w:val="91"/>
              </w:rPr>
              <w:t>Certification of Principal Financial Officer Pursuant to 18 U.S.C. Section 1350, as adopted Pursuant to Section 906 of the Sarbanes-Oxley Act of</w:t>
            </w:r>
          </w:p>
        </w:tc>
      </w:tr>
      <w:tr>
        <w:trPr>
          <w:trHeight w:val="235"/>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0" w:type="dxa"/>
            <w:vAlign w:val="bottom"/>
            <w:gridSpan w:val="2"/>
          </w:tcPr>
          <w:p>
            <w:pPr>
              <w:ind w:left="100"/>
              <w:spacing w:after="0"/>
              <w:rPr>
                <w:sz w:val="20"/>
                <w:szCs w:val="20"/>
                <w:color w:val="auto"/>
              </w:rPr>
            </w:pPr>
            <w:r>
              <w:rPr>
                <w:rFonts w:ascii="Arial" w:cs="Arial" w:eastAsia="Arial" w:hAnsi="Arial"/>
                <w:sz w:val="18"/>
                <w:szCs w:val="18"/>
                <w:color w:val="auto"/>
              </w:rPr>
              <w:t>2002</w:t>
            </w:r>
          </w:p>
        </w:tc>
      </w:tr>
      <w:tr>
        <w:trPr>
          <w:trHeight w:val="218"/>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101.SCH*</w:t>
            </w: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99"/>
              </w:rPr>
              <w:t>101.DEF*</w:t>
            </w:r>
          </w:p>
        </w:tc>
        <w:tc>
          <w:tcPr>
            <w:tcW w:w="10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22"/>
        </w:trPr>
        <w:tc>
          <w:tcPr>
            <w:tcW w:w="20" w:type="dxa"/>
            <w:vAlign w:val="bottom"/>
          </w:tcPr>
          <w:p>
            <w:pPr>
              <w:spacing w:after="0"/>
              <w:rPr>
                <w:sz w:val="19"/>
                <w:szCs w:val="19"/>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98"/>
              </w:rPr>
              <w:t>101.PRE*</w:t>
            </w:r>
          </w:p>
        </w:tc>
        <w:tc>
          <w:tcPr>
            <w:tcW w:w="10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1" w:lineRule="exact"/>
        <w:rPr>
          <w:sz w:val="20"/>
          <w:szCs w:val="20"/>
          <w:color w:val="auto"/>
        </w:rPr>
      </w:pPr>
    </w:p>
    <w:p>
      <w:pPr>
        <w:ind w:right="10020" w:firstLine="8"/>
        <w:spacing w:after="0" w:line="332" w:lineRule="auto"/>
        <w:tabs>
          <w:tab w:leader="none" w:pos="324" w:val="left"/>
        </w:tabs>
        <w:numPr>
          <w:ilvl w:val="0"/>
          <w:numId w:val="3"/>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BIG ROCK PARTNERS ACQUISITION CORP.</w:t>
      </w:r>
    </w:p>
    <w:p>
      <w:pPr>
        <w:spacing w:after="0" w:line="231" w:lineRule="exact"/>
        <w:rPr>
          <w:sz w:val="20"/>
          <w:szCs w:val="20"/>
          <w:color w:val="auto"/>
        </w:rPr>
      </w:pPr>
    </w:p>
    <w:p>
      <w:pPr>
        <w:spacing w:after="0"/>
        <w:tabs>
          <w:tab w:leader="none" w:pos="5480" w:val="left"/>
          <w:tab w:leader="none" w:pos="6060" w:val="left"/>
        </w:tabs>
        <w:rPr>
          <w:sz w:val="20"/>
          <w:szCs w:val="20"/>
          <w:color w:val="auto"/>
        </w:rPr>
      </w:pPr>
      <w:r>
        <w:rPr>
          <w:rFonts w:ascii="Arial" w:cs="Arial" w:eastAsia="Arial" w:hAnsi="Arial"/>
          <w:sz w:val="18"/>
          <w:szCs w:val="18"/>
          <w:color w:val="auto"/>
        </w:rPr>
        <w:t>Date: November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10795</wp:posOffset>
            </wp:positionV>
            <wp:extent cx="28987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Ackerman</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tabs>
          <w:tab w:leader="none" w:pos="5480" w:val="left"/>
          <w:tab w:leader="none" w:pos="6060" w:val="left"/>
        </w:tabs>
        <w:rPr>
          <w:sz w:val="20"/>
          <w:szCs w:val="20"/>
          <w:color w:val="auto"/>
        </w:rPr>
      </w:pPr>
      <w:r>
        <w:rPr>
          <w:rFonts w:ascii="Arial" w:cs="Arial" w:eastAsia="Arial" w:hAnsi="Arial"/>
          <w:sz w:val="18"/>
          <w:szCs w:val="18"/>
          <w:color w:val="auto"/>
        </w:rPr>
        <w:t>Date: November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Lori B.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10795</wp:posOffset>
            </wp:positionV>
            <wp:extent cx="28987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Lori B. Wittman</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Financial Officer and Director</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Richard Ackerman, certify that:</w:t>
      </w:r>
    </w:p>
    <w:p>
      <w:pPr>
        <w:spacing w:after="0" w:line="225"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Big Rock Partners Acquisition Corp.;</w:t>
      </w:r>
    </w:p>
    <w:p>
      <w:pPr>
        <w:spacing w:after="0" w:line="225"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6" w:lineRule="exact"/>
        <w:rPr>
          <w:sz w:val="20"/>
          <w:szCs w:val="20"/>
          <w:color w:val="auto"/>
        </w:rPr>
      </w:pPr>
    </w:p>
    <w:p>
      <w:pPr>
        <w:jc w:val="both"/>
        <w:ind w:left="220" w:hanging="202"/>
        <w:spacing w:after="0" w:line="25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sz w:val="20"/>
          <w:szCs w:val="20"/>
          <w:color w:val="auto"/>
        </w:rPr>
      </w:pPr>
    </w:p>
    <w:p>
      <w:pPr>
        <w:jc w:val="both"/>
        <w:ind w:left="220" w:hanging="202"/>
        <w:spacing w:after="0" w:line="268"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sz w:val="20"/>
          <w:szCs w:val="20"/>
          <w:color w:val="auto"/>
        </w:rPr>
      </w:pPr>
    </w:p>
    <w:p>
      <w:pPr>
        <w:jc w:val="both"/>
        <w:ind w:left="220" w:hanging="215"/>
        <w:spacing w:after="0" w:line="25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sz w:val="20"/>
          <w:szCs w:val="20"/>
          <w:color w:val="auto"/>
        </w:rPr>
      </w:pPr>
    </w:p>
    <w:p>
      <w:pPr>
        <w:ind w:left="46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sz w:val="20"/>
          <w:szCs w:val="20"/>
          <w:color w:val="auto"/>
        </w:rPr>
      </w:pPr>
    </w:p>
    <w:p>
      <w:pPr>
        <w:ind w:left="220" w:hanging="202"/>
        <w:spacing w:after="0" w:line="268"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sz w:val="20"/>
          <w:szCs w:val="20"/>
          <w:color w:val="auto"/>
        </w:rPr>
      </w:pPr>
    </w:p>
    <w:p>
      <w:pPr>
        <w:ind w:left="220" w:hanging="215"/>
        <w:spacing w:after="0" w:line="268"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5520" w:val="left"/>
          <w:tab w:leader="none" w:pos="6080" w:val="left"/>
        </w:tabs>
        <w:rPr>
          <w:sz w:val="20"/>
          <w:szCs w:val="20"/>
          <w:color w:val="auto"/>
        </w:rPr>
      </w:pPr>
      <w:r>
        <w:rPr>
          <w:rFonts w:ascii="Arial" w:cs="Arial" w:eastAsia="Arial" w:hAnsi="Arial"/>
          <w:sz w:val="18"/>
          <w:szCs w:val="18"/>
          <w:color w:val="auto"/>
        </w:rPr>
        <w:t>Dated: November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10795</wp:posOffset>
            </wp:positionV>
            <wp:extent cx="33788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4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Lori Wittman, certify that:</w:t>
      </w:r>
    </w:p>
    <w:p>
      <w:pPr>
        <w:spacing w:after="0" w:line="225"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Big Rock Partners Acquisition Corp.;</w:t>
      </w:r>
    </w:p>
    <w:p>
      <w:pPr>
        <w:spacing w:after="0" w:line="225"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6" w:lineRule="exact"/>
        <w:rPr>
          <w:sz w:val="20"/>
          <w:szCs w:val="20"/>
          <w:color w:val="auto"/>
        </w:rPr>
      </w:pPr>
    </w:p>
    <w:p>
      <w:pPr>
        <w:jc w:val="both"/>
        <w:ind w:left="220" w:hanging="202"/>
        <w:spacing w:after="0" w:line="25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sz w:val="20"/>
          <w:szCs w:val="20"/>
          <w:color w:val="auto"/>
        </w:rPr>
      </w:pPr>
    </w:p>
    <w:p>
      <w:pPr>
        <w:jc w:val="both"/>
        <w:ind w:left="220" w:hanging="202"/>
        <w:spacing w:after="0" w:line="268"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sz w:val="20"/>
          <w:szCs w:val="20"/>
          <w:color w:val="auto"/>
        </w:rPr>
      </w:pPr>
    </w:p>
    <w:p>
      <w:pPr>
        <w:jc w:val="both"/>
        <w:ind w:left="220" w:hanging="215"/>
        <w:spacing w:after="0" w:line="25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sz w:val="20"/>
          <w:szCs w:val="20"/>
          <w:color w:val="auto"/>
        </w:rPr>
      </w:pPr>
    </w:p>
    <w:p>
      <w:pPr>
        <w:ind w:left="460" w:hanging="452"/>
        <w:spacing w:after="0" w:line="33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sz w:val="20"/>
          <w:szCs w:val="20"/>
          <w:color w:val="auto"/>
        </w:rPr>
      </w:pPr>
    </w:p>
    <w:p>
      <w:pPr>
        <w:ind w:left="220" w:hanging="202"/>
        <w:spacing w:after="0" w:line="268"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sz w:val="20"/>
          <w:szCs w:val="20"/>
          <w:color w:val="auto"/>
        </w:rPr>
      </w:pPr>
    </w:p>
    <w:p>
      <w:pPr>
        <w:ind w:left="220" w:hanging="215"/>
        <w:spacing w:after="0" w:line="268"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8, 2018</w:t>
      </w:r>
      <w:r>
        <w:rPr>
          <w:sz w:val="20"/>
          <w:szCs w:val="20"/>
          <w:color w:val="auto"/>
        </w:rPr>
        <w:tab/>
      </w:r>
      <w:r>
        <w:rPr>
          <w:rFonts w:ascii="Arial" w:cs="Arial" w:eastAsia="Arial" w:hAnsi="Arial"/>
          <w:sz w:val="16"/>
          <w:szCs w:val="16"/>
          <w:color w:val="auto"/>
        </w:rPr>
        <w:t>/s/ Lori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Lori Wittman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34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accompanying Quarterly Report on Form 10-Q of Big Rock Partners Acquisition Corp. (the “Company”) for the quarterly period ended September 30, 2018, as filed with the Securities and Exchange Commission (the “Report”), the undersigned hereby certifies pursuant to 18 U.S.C. Section 1350, as adopted pursuant to Section 906 of the Sarbanes-Oxley Act of 2002, to my knowledge and belief, that:</w:t>
      </w:r>
    </w:p>
    <w:p>
      <w:pPr>
        <w:spacing w:after="0" w:line="194"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5520" w:val="left"/>
          <w:tab w:leader="none" w:pos="6080" w:val="left"/>
        </w:tabs>
        <w:rPr>
          <w:sz w:val="20"/>
          <w:szCs w:val="20"/>
          <w:color w:val="auto"/>
        </w:rPr>
      </w:pPr>
      <w:r>
        <w:rPr>
          <w:rFonts w:ascii="Arial" w:cs="Arial" w:eastAsia="Arial" w:hAnsi="Arial"/>
          <w:sz w:val="18"/>
          <w:szCs w:val="18"/>
          <w:color w:val="auto"/>
        </w:rPr>
        <w:t>Dated: November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10795</wp:posOffset>
            </wp:positionV>
            <wp:extent cx="337883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4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accompanying Quarterly Report on Form 10-Q of Big Rock Partners Acquisition Corp. (the “Company”) for the quarterly period ended September 30, 2018, as filed with the Securities and Exchange Commission (the “Report”), the undersigned hereby certifies pursuant to 18 U.S.C. Section 1350, as adopted pursuant to Section 906 of the Sarbanes-Oxley Act of 2002, to my knowledge and belief, that:</w:t>
      </w:r>
    </w:p>
    <w:p>
      <w:pPr>
        <w:spacing w:after="0" w:line="194"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5520" w:val="left"/>
          <w:tab w:leader="none" w:pos="6080" w:val="left"/>
        </w:tabs>
        <w:rPr>
          <w:sz w:val="20"/>
          <w:szCs w:val="20"/>
          <w:color w:val="auto"/>
        </w:rPr>
      </w:pPr>
      <w:r>
        <w:rPr>
          <w:rFonts w:ascii="Arial" w:cs="Arial" w:eastAsia="Arial" w:hAnsi="Arial"/>
          <w:sz w:val="18"/>
          <w:szCs w:val="18"/>
          <w:color w:val="auto"/>
        </w:rPr>
        <w:t>Dated: November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Lori B.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10795</wp:posOffset>
            </wp:positionV>
            <wp:extent cx="337883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Lori B. Wittman</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2020-01-10T22:34:57Z</dcterms:created>
  <dcterms:modified xsi:type="dcterms:W3CDTF">2020-01-10T22:34:57Z</dcterms:modified>
</cp:coreProperties>
</file>