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nrxp20260602_8k.htm"/>
      <w:bookmarkStart w:id="1" w:name="ksnrxp20260602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w:t>
      </w:r>
      <w:r>
        <w:rPr>
          <w:rFonts w:ascii="Times New Roman" w:hAnsi="Times New Roman"/>
          <w:caps w:val="false"/>
          <w:smallCaps w:val="false"/>
          <w:sz w:val="20"/>
        </w:rPr>
        <w:t xml:space="preserve"> </w:t>
      </w:r>
      <w:r>
        <w:rPr>
          <w:rFonts w:ascii="Times New Roman" w:hAnsi="Times New Roman"/>
          <w:b/>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xml:space="preserve"> </w:t>
      </w:r>
      <w:r>
        <w:rPr>
          <w:rFonts w:ascii="Times New Roman" w:hAnsi="Times New Roman"/>
          <w:b/>
          <w:caps w:val="false"/>
          <w:smallCaps w:val="false"/>
          <w:sz w:val="20"/>
        </w:rPr>
        <w:t>13 OR 15(d)</w:t>
      </w:r>
      <w:r>
        <w:rPr>
          <w:rFonts w:ascii="Times New Roman" w:hAnsi="Times New Roman"/>
          <w:caps w:val="false"/>
          <w:smallCaps w:val="false"/>
          <w:sz w:val="20"/>
        </w:rPr>
        <w:t xml:space="preserve"> </w:t>
      </w:r>
      <w:r>
        <w:rPr>
          <w:rFonts w:ascii="Times New Roman" w:hAnsi="Times New Roman"/>
          <w:b/>
          <w:caps w:val="false"/>
          <w:smallCaps w:val="false"/>
          <w:sz w:val="20"/>
        </w:rPr>
        <w:t>OF THE</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rPr>
        <w:t>June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NRX PHARMACEUTICALS,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90" w:type="dxa"/>
        <w:jc w:val="left"/>
        <w:tblInd w:w="0" w:type="dxa"/>
        <w:tblLayout w:type="fixed"/>
        <w:tblCellMar>
          <w:top w:w="0" w:type="dxa"/>
          <w:left w:w="0" w:type="dxa"/>
          <w:bottom w:w="28" w:type="dxa"/>
          <w:right w:w="0" w:type="dxa"/>
        </w:tblCellMar>
      </w:tblPr>
      <w:tblGrid>
        <w:gridCol w:w="2150"/>
        <w:gridCol w:w="60"/>
        <w:gridCol w:w="1100"/>
        <w:gridCol w:w="60"/>
        <w:gridCol w:w="1520"/>
      </w:tblGrid>
      <w:tr>
        <w:trPr/>
        <w:tc>
          <w:tcPr>
            <w:tcW w:w="21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001-38302</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82-2844431</w:t>
            </w:r>
          </w:p>
        </w:tc>
      </w:tr>
      <w:tr>
        <w:trPr/>
        <w:tc>
          <w:tcPr>
            <w:tcW w:w="215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br/>
              <w:t>File Number)</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0" w:type="dxa"/>
        <w:tblLayout w:type="fixed"/>
        <w:tblCellMar>
          <w:top w:w="0" w:type="dxa"/>
          <w:left w:w="0" w:type="dxa"/>
          <w:bottom w:w="28" w:type="dxa"/>
          <w:right w:w="0" w:type="dxa"/>
        </w:tblCellMar>
      </w:tblPr>
      <w:tblGrid>
        <w:gridCol w:w="4130"/>
      </w:tblGrid>
      <w:tr>
        <w:trPr/>
        <w:tc>
          <w:tcPr>
            <w:tcW w:w="413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1201 Orange Street, Suite 600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Wilmington, Delaware</w:t>
            </w:r>
            <w:r>
              <w:rPr>
                <w:rFonts w:ascii="Times New Roman" w:hAnsi="Times New Roman"/>
                <w:caps w:val="false"/>
                <w:smallCaps w:val="false"/>
                <w:sz w:val="20"/>
              </w:rPr>
              <w:t> 19801</w:t>
            </w:r>
          </w:p>
        </w:tc>
      </w:tr>
      <w:tr>
        <w:trPr/>
        <w:tc>
          <w:tcPr>
            <w:tcW w:w="413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(484) 254-6134</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25" w:type="dxa"/>
        <w:jc w:val="left"/>
        <w:tblInd w:w="0" w:type="dxa"/>
        <w:tblLayout w:type="fixed"/>
        <w:tblCellMar>
          <w:top w:w="0" w:type="dxa"/>
          <w:left w:w="0" w:type="dxa"/>
          <w:bottom w:w="28" w:type="dxa"/>
          <w:right w:w="0" w:type="dxa"/>
        </w:tblCellMar>
      </w:tblPr>
      <w:tblGrid>
        <w:gridCol w:w="3500"/>
        <w:gridCol w:w="60"/>
        <w:gridCol w:w="1610"/>
        <w:gridCol w:w="60"/>
        <w:gridCol w:w="3695"/>
      </w:tblGrid>
      <w:tr>
        <w:trPr/>
        <w:tc>
          <w:tcPr>
            <w:tcW w:w="350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NRXP</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2080" w:type="dxa"/>
        <w:jc w:val="left"/>
        <w:tblInd w:w="0" w:type="dxa"/>
        <w:tblLayout w:type="fixed"/>
        <w:tblCellMar>
          <w:top w:w="0" w:type="dxa"/>
          <w:left w:w="0" w:type="dxa"/>
          <w:bottom w:w="0" w:type="dxa"/>
          <w:right w:w="0" w:type="dxa"/>
        </w:tblCellMar>
      </w:tblPr>
      <w:tblGrid>
        <w:gridCol w:w="905"/>
        <w:gridCol w:w="1175"/>
      </w:tblGrid>
      <w:tr>
        <w:trPr/>
        <w:tc>
          <w:tcPr>
            <w:tcW w:w="9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Item 8.01. </w:t>
            </w:r>
          </w:p>
        </w:tc>
        <w:tc>
          <w:tcPr>
            <w:tcW w:w="11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2, 2026, NRx Pharmaceuticals, Inc. (the “Company”) issued a press release announcing that it intends to offer shares of its common stock, par value $0.001 per share (“Common Stock”) in an underwritten public offering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copy of the press release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Current Report on Form 8-K shall not constitute an offer to sell or the solicitation of an offer to buy any of the securities described herein,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860"/>
        <w:gridCol w:w="2945"/>
      </w:tblGrid>
      <w:tr>
        <w:trPr/>
        <w:tc>
          <w:tcPr>
            <w:tcW w:w="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9.01.</w:t>
            </w:r>
          </w:p>
        </w:tc>
        <w:tc>
          <w:tcPr>
            <w:tcW w:w="29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28" w:type="dxa"/>
          <w:right w:w="0" w:type="dxa"/>
        </w:tblCellMar>
      </w:tblPr>
      <w:tblGrid>
        <w:gridCol w:w="980"/>
        <w:gridCol w:w="60"/>
        <w:gridCol w:w="6515"/>
      </w:tblGrid>
      <w:tr>
        <w:trPr/>
        <w:tc>
          <w:tcPr>
            <w:tcW w:w="98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1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0"/>
              <w:ind w:left="0" w:right="0" w:hanging="0"/>
              <w:jc w:val="left"/>
              <w:rPr/>
            </w:pPr>
            <w:hyperlink w:anchor="ex_971221.htm">
              <w:r>
                <w:rPr>
                  <w:rStyle w:val="InternetLink"/>
                  <w:rFonts w:ascii="Times New Roman" w:hAnsi="Times New Roman"/>
                  <w:caps w:val="false"/>
                  <w:smallCaps w:val="false"/>
                  <w:sz w:val="20"/>
                  <w:u w:val="single"/>
                </w:rPr>
                <w:t>Press Release dated June 2, 2026</w:t>
              </w:r>
            </w:hyperlink>
            <w:hyperlink w:anchor="ex_971221.htm">
              <w:r>
                <w:rPr>
                  <w:rStyle w:val="InternetLink"/>
                  <w:rFonts w:ascii="Times New Roman" w:hAnsi="Times New Roman"/>
                  <w:caps w:val="false"/>
                  <w:smallCaps w:val="false"/>
                  <w:sz w:val="20"/>
                </w:rPr>
                <w:t>.</w:t>
              </w:r>
            </w:hyperlink>
          </w:p>
        </w:tc>
      </w:tr>
      <w:tr>
        <w:trPr/>
        <w:tc>
          <w:tcPr>
            <w:tcW w:w="9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283"/>
              <w:jc w:val="left"/>
              <w:rPr/>
            </w:pPr>
            <w:r>
              <w:rPr/>
              <w:t> </w:t>
            </w:r>
          </w:p>
        </w:tc>
      </w:tr>
      <w:tr>
        <w:trPr/>
        <w:tc>
          <w:tcPr>
            <w:tcW w:w="98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5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24" w:type="dxa"/>
        <w:jc w:val="left"/>
        <w:tblInd w:w="0" w:type="dxa"/>
        <w:tblLayout w:type="fixed"/>
        <w:tblCellMar>
          <w:top w:w="0" w:type="dxa"/>
          <w:left w:w="0" w:type="dxa"/>
          <w:bottom w:w="0" w:type="dxa"/>
          <w:right w:w="0" w:type="dxa"/>
        </w:tblCellMar>
      </w:tblPr>
      <w:tblGrid>
        <w:gridCol w:w="1535"/>
        <w:gridCol w:w="642"/>
        <w:gridCol w:w="2287"/>
        <w:gridCol w:w="60"/>
      </w:tblGrid>
      <w:tr>
        <w:trPr/>
        <w:tc>
          <w:tcPr>
            <w:tcW w:w="1535" w:type="dxa"/>
            <w:tcBorders/>
            <w:vAlign w:val="center"/>
          </w:tcPr>
          <w:p>
            <w:pPr>
              <w:pStyle w:val="TableContents"/>
              <w:bidi w:val="0"/>
              <w:spacing w:before="0" w:after="283"/>
              <w:jc w:val="left"/>
              <w:rPr/>
            </w:pPr>
            <w:r>
              <w:rPr/>
              <w:t> </w:t>
            </w:r>
          </w:p>
        </w:tc>
        <w:tc>
          <w:tcPr>
            <w:tcW w:w="2929"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NRX PHARMACEUTICALS, INC.</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292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Date: June 2, 2026</w:t>
            </w:r>
          </w:p>
        </w:tc>
        <w:tc>
          <w:tcPr>
            <w:tcW w:w="6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28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Jonathan Javitt</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22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Jonathan Javitt</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6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22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71221.htm"/>
      <w:bookmarkStart w:id="3" w:name="ksex_971221"/>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NRx Pharmaceuticals, Inc. Announces Proposed Public Offering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WILMINGTON, Del., June 2, 2026 (GLOBE NEWSWIRE) -- NRx Pharmaceuticals, Inc. (Nasdaq: NRXP) (“NRx Pharmaceuticals” or the “Company”), a clinical-stage biopharmaceutical company, today announced that it intends to offer shares of its common stock, par value $0.001 per share (“Common Stock”) in an underwritten public offering (the “Offering”). The Company also expects to grant to the underwriter of the Offering a 30-day option to purchase up to an additional 15% of the shares of Common Stock sold in the Offering on the same terms and conditions. The Offering is subject to market and other conditions, and there can be no assurance as to whether or when the Offering may be completed or as to the actual size or terms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BTIG, LLC is acting as the lead bookrunner for the Offering. Lucid Capital Markets, LLC is acting as joint bookrunning manager for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currently intends to use the net proceeds from the Offering for working capital and general corporate purposes to support its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shares of Common Stock will be offered pursuant to an effective shelf registration statement on Form S-3 (File No. 333-288205), including a base prospectus, filed with the U.S. Securities and Exchange Commission (the “SEC”) and declared effective by the SEC on December 22, 2025. A prospectus supplement describing the terms of the Offering will be filed with the SEC and will be available on the SEC’s website located at </w:t>
      </w:r>
      <w:r>
        <w:rPr>
          <w:rFonts w:ascii="Times New Roman" w:hAnsi="Times New Roman"/>
          <w:caps w:val="false"/>
          <w:smallCaps w:val="false"/>
          <w:sz w:val="20"/>
          <w:u w:val="single"/>
        </w:rPr>
        <w:t>http://www.sec.gov</w:t>
      </w:r>
      <w:r>
        <w:rPr>
          <w:rFonts w:ascii="Times New Roman" w:hAnsi="Times New Roman"/>
          <w:caps w:val="false"/>
          <w:smallCaps w:val="false"/>
          <w:sz w:val="20"/>
        </w:rPr>
        <w:t>. Copies of the prospectus supplement and the accompanying base prospectus, when available, may be obtained from BTIG, LLC, at 65 East 55th Street, New York, New York 10022 or by telephone at (212) 593-7555, or by email at ProspectusDelivery@btig.com. Before investing in this Offering, interested parties should read in their entirety the preliminary prospectus supplement and the accompanying base prospectus and the other documents that the Company has filed with the SEC that are incorporated by reference in such preliminary prospectus supplement and the accompanying base prospectus, which provide more information about the Company and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shall not constitute an offer to sell or the solicitation of an offer to buy any of the securities described herein,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About NRx Pharmaceuticals, Inc.</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NRx Pharmaceuticals, Inc., is a clinical-stage biopharmaceutical company developing therapeutics based on its NMDA platform for the treatment of central nervous system disorders, specifically suicidal depression, chronic pain, and PTSD. The Company is developing NRX-100 (preservative-free intravenous ketamine) and NRX-101, (oral D-cycloserine/lurasidone). NRX-100 has been awarded Fast Track Designation for the treatment of Suicidal ideation in Depression, including Bipolar Depression. NRX-101 has been awarded Breakthrough Therapy Designation for the treatment of suicidal bipolar depression. NRx has filed an Abbreviated New Drug Application (ANDA), and initiated a New Drug Application filing for NRX-100 for the treatment of suicidal ideation in patients with depression, including bipolar depression.</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Notice Regarding Forward-Looking Statements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herein includes forward-looking statements within the meaning of Section 21E of the Securities Exchange Act of 1934, as amended, and Section 27A of the Securities Act of 1933, as amended. Forward-looking statements generally include statements that are predictive in nature and depend upon or refer to future events or conditions, and include words such as “may,” “will,” “should,” “would,” “expect,” “plan,” “believe,” “intend,” “look forward,” and other similar expressions among others. Forward-looking statements herein include, but are not limited to, statements regarding the anticipated Offering and the expected use of the proceeds therefrom. Completion of the Offering is subject to numerous factors, many of which are beyond the Company’s control, including, without limitation, market conditions, failure to satisfy customary closing conditions and the risk factors and other matters set forth in the prospectus supplement and accompanying base prospectus included in the registration statement and the documents incorporated by reference therein. The Company has reported regulatory milestones as they have been achieved but has not predicted the outcome of any future regulatory determination. You should not place undue reliance on forward-looking statements since they involve known and unknown risks, uncertainties and other factors which are, in some cases, beyond the Company’s control and which could, and likely will, materially affect actual results, levels of activity, performance or achievements. Any forward-looking statement reflects the Company’s current views with respect to future events and is subject to these and other risks, including uncertainties and assumptions relating to the Company’s operations, results of operations, growth strategy, and, among other things, liquidity. More detailed information about the Company and the risk factors that may affect the realization of forward-looking statements is set forth in the Company’s most recent Annual Report on Form 10-K, subsequent Quarterly Report on Form 10-Q and other filings with the SEC. Investors and security holders are urged to read these documents free of charge on the SEC’s website at http://www.sec.gov. Except as may be required by applicable law, the Company assumes no obligation to publicly update or revise these forward-looking statements for any reason, or to update the reasons actual results could differ materially from those anticipated in these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For further information:</w:t>
      </w:r>
      <w:r>
        <w:rPr>
          <w:rFonts w:ascii="Times New Roman" w:hAnsi="Times New Roman"/>
          <w:caps w:val="false"/>
          <w:smallCaps w:val="false"/>
          <w:sz w:val="20"/>
        </w:rPr>
        <w:br/>
      </w:r>
      <w:r>
        <w:rPr>
          <w:rFonts w:ascii="Times New Roman" w:hAnsi="Times New Roman"/>
          <w:i/>
          <w:caps w:val="false"/>
          <w:smallCaps w:val="false"/>
          <w:sz w:val="20"/>
        </w:rPr>
        <w:t>Brian Korb</w:t>
      </w:r>
      <w:r>
        <w:rPr>
          <w:rFonts w:ascii="Times New Roman" w:hAnsi="Times New Roman"/>
          <w:caps w:val="false"/>
          <w:smallCaps w:val="false"/>
          <w:sz w:val="20"/>
        </w:rPr>
        <w:br/>
        <w:t>Managing Partner, astr partners</w:t>
        <w:br/>
        <w:t>(917) 653-5122</w:t>
        <w:br/>
      </w:r>
      <w:r>
        <w:rPr>
          <w:rFonts w:ascii="Times New Roman" w:hAnsi="Times New Roman"/>
          <w:caps w:val="false"/>
          <w:smallCaps w:val="false"/>
          <w:sz w:val="20"/>
          <w:u w:val="single"/>
        </w:rPr>
        <w:t>brian.korb@astrpartners.com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1415</Words>
  <Characters>7992</Characters>
  <CharactersWithSpaces>9416</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