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right="2300" w:firstLine="8"/>
        <w:spacing w:after="0" w:line="415" w:lineRule="auto"/>
        <w:tabs>
          <w:tab w:leader="none" w:pos="48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 (d) OF THE SECURITIES EXCHANGE ACT OF 1934 For the fiscal year ended December 31,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p>
      <w:pPr>
        <w:spacing w:after="0"/>
        <w:tabs>
          <w:tab w:leader="none" w:pos="3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1473835</wp:posOffset>
            </wp:positionH>
            <wp:positionV relativeFrom="paragraph">
              <wp:posOffset>-10160</wp:posOffset>
            </wp:positionV>
            <wp:extent cx="1263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57785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BIG ROCK PARTNERS ACQUISITION CORP.</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45085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88"/>
              </w:rPr>
              <w:t>Delaware</w:t>
            </w:r>
          </w:p>
        </w:tc>
        <w:tc>
          <w:tcPr>
            <w:tcW w:w="4340" w:type="dxa"/>
            <w:vAlign w:val="bottom"/>
          </w:tcPr>
          <w:p>
            <w:pPr>
              <w:jc w:val="center"/>
              <w:ind w:right="1172"/>
              <w:spacing w:after="0"/>
              <w:rPr>
                <w:sz w:val="20"/>
                <w:szCs w:val="20"/>
                <w:color w:val="auto"/>
              </w:rPr>
            </w:pPr>
            <w:r>
              <w:rPr>
                <w:rFonts w:ascii="Arial" w:cs="Arial" w:eastAsia="Arial" w:hAnsi="Arial"/>
                <w:sz w:val="18"/>
                <w:szCs w:val="18"/>
                <w:b w:val="1"/>
                <w:bCs w:val="1"/>
                <w:color w:val="auto"/>
                <w:w w:val="87"/>
              </w:rPr>
              <w:t>82-2844431</w:t>
            </w:r>
          </w:p>
        </w:tc>
      </w:tr>
      <w:tr>
        <w:trPr>
          <w:trHeight w:val="216"/>
        </w:trPr>
        <w:tc>
          <w:tcPr>
            <w:tcW w:w="20" w:type="dxa"/>
            <w:vAlign w:val="bottom"/>
          </w:tcPr>
          <w:p>
            <w:pPr>
              <w:spacing w:after="0"/>
              <w:rPr>
                <w:sz w:val="18"/>
                <w:szCs w:val="18"/>
                <w:color w:val="auto"/>
              </w:rPr>
            </w:pPr>
          </w:p>
        </w:tc>
        <w:tc>
          <w:tcPr>
            <w:tcW w:w="706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89"/>
              </w:rPr>
              <w:t>(State or other jurisdiction of</w:t>
            </w:r>
          </w:p>
        </w:tc>
        <w:tc>
          <w:tcPr>
            <w:tcW w:w="4340" w:type="dxa"/>
            <w:vAlign w:val="bottom"/>
          </w:tcPr>
          <w:p>
            <w:pPr>
              <w:jc w:val="center"/>
              <w:ind w:right="1152"/>
              <w:spacing w:after="0"/>
              <w:rPr>
                <w:sz w:val="20"/>
                <w:szCs w:val="20"/>
                <w:color w:val="auto"/>
              </w:rPr>
            </w:pPr>
            <w:r>
              <w:rPr>
                <w:rFonts w:ascii="Arial" w:cs="Arial" w:eastAsia="Arial" w:hAnsi="Arial"/>
                <w:sz w:val="18"/>
                <w:szCs w:val="18"/>
                <w:b w:val="1"/>
                <w:bCs w:val="1"/>
                <w:color w:val="auto"/>
                <w:w w:val="91"/>
              </w:rPr>
              <w:t>(I.R.S. Employer</w:t>
            </w:r>
          </w:p>
        </w:tc>
      </w:tr>
      <w:tr>
        <w:trPr>
          <w:trHeight w:val="216"/>
        </w:trPr>
        <w:tc>
          <w:tcPr>
            <w:tcW w:w="20" w:type="dxa"/>
            <w:vAlign w:val="bottom"/>
          </w:tcPr>
          <w:p>
            <w:pPr>
              <w:spacing w:after="0"/>
              <w:rPr>
                <w:sz w:val="18"/>
                <w:szCs w:val="18"/>
                <w:color w:val="auto"/>
              </w:rPr>
            </w:pPr>
          </w:p>
        </w:tc>
        <w:tc>
          <w:tcPr>
            <w:tcW w:w="706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89"/>
              </w:rPr>
              <w:t>incorporation or organization)</w:t>
            </w:r>
          </w:p>
        </w:tc>
        <w:tc>
          <w:tcPr>
            <w:tcW w:w="4340" w:type="dxa"/>
            <w:vAlign w:val="bottom"/>
          </w:tcPr>
          <w:p>
            <w:pPr>
              <w:jc w:val="center"/>
              <w:ind w:right="1152"/>
              <w:spacing w:after="0"/>
              <w:rPr>
                <w:sz w:val="20"/>
                <w:szCs w:val="20"/>
                <w:color w:val="auto"/>
              </w:rPr>
            </w:pPr>
            <w:r>
              <w:rPr>
                <w:rFonts w:ascii="Arial" w:cs="Arial" w:eastAsia="Arial" w:hAnsi="Arial"/>
                <w:sz w:val="18"/>
                <w:szCs w:val="18"/>
                <w:b w:val="1"/>
                <w:bCs w:val="1"/>
                <w:color w:val="auto"/>
                <w:w w:val="90"/>
              </w:rPr>
              <w:t>Identification No.)</w:t>
            </w:r>
          </w:p>
        </w:tc>
      </w:tr>
      <w:tr>
        <w:trPr>
          <w:trHeight w:val="216"/>
        </w:trPr>
        <w:tc>
          <w:tcPr>
            <w:tcW w:w="20" w:type="dxa"/>
            <w:vAlign w:val="bottom"/>
          </w:tcPr>
          <w:p>
            <w:pPr>
              <w:spacing w:after="0"/>
              <w:rPr>
                <w:sz w:val="18"/>
                <w:szCs w:val="18"/>
                <w:color w:val="auto"/>
              </w:rPr>
            </w:pPr>
          </w:p>
        </w:tc>
        <w:tc>
          <w:tcPr>
            <w:tcW w:w="7060" w:type="dxa"/>
            <w:vAlign w:val="bottom"/>
            <w:gridSpan w:val="3"/>
          </w:tcPr>
          <w:p>
            <w:pPr>
              <w:jc w:val="center"/>
              <w:ind w:left="4232"/>
              <w:spacing w:after="0"/>
              <w:rPr>
                <w:sz w:val="20"/>
                <w:szCs w:val="20"/>
                <w:color w:val="auto"/>
              </w:rPr>
            </w:pPr>
            <w:r>
              <w:rPr>
                <w:rFonts w:ascii="Arial" w:cs="Arial" w:eastAsia="Arial" w:hAnsi="Arial"/>
                <w:sz w:val="18"/>
                <w:szCs w:val="18"/>
                <w:b w:val="1"/>
                <w:bCs w:val="1"/>
                <w:color w:val="auto"/>
                <w:w w:val="88"/>
              </w:rPr>
              <w:t>2645 N. Federal Highway, Suite 230</w:t>
            </w:r>
          </w:p>
        </w:tc>
        <w:tc>
          <w:tcPr>
            <w:tcW w:w="4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jc w:val="center"/>
              <w:ind w:left="4232"/>
              <w:spacing w:after="0"/>
              <w:rPr>
                <w:sz w:val="20"/>
                <w:szCs w:val="20"/>
                <w:color w:val="auto"/>
              </w:rPr>
            </w:pPr>
            <w:r>
              <w:rPr>
                <w:rFonts w:ascii="Arial" w:cs="Arial" w:eastAsia="Arial" w:hAnsi="Arial"/>
                <w:sz w:val="18"/>
                <w:szCs w:val="18"/>
                <w:b w:val="1"/>
                <w:bCs w:val="1"/>
                <w:color w:val="auto"/>
                <w:w w:val="89"/>
              </w:rPr>
              <w:t>Delray Beach, Florida 33483</w:t>
            </w:r>
          </w:p>
        </w:tc>
        <w:tc>
          <w:tcPr>
            <w:tcW w:w="43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1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(Address of principal executive offices) (Zip Code)</w:t>
            </w:r>
          </w:p>
        </w:tc>
      </w:tr>
      <w:tr>
        <w:trPr>
          <w:trHeight w:val="365"/>
        </w:trPr>
        <w:tc>
          <w:tcPr>
            <w:tcW w:w="20" w:type="dxa"/>
            <w:vAlign w:val="bottom"/>
          </w:tcPr>
          <w:p>
            <w:pPr>
              <w:spacing w:after="0"/>
              <w:rPr>
                <w:sz w:val="24"/>
                <w:szCs w:val="24"/>
                <w:color w:val="auto"/>
              </w:rPr>
            </w:pPr>
          </w:p>
        </w:tc>
        <w:tc>
          <w:tcPr>
            <w:tcW w:w="11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Registrant’s telephone number, including area code: (310) 734-2300</w:t>
            </w:r>
          </w:p>
        </w:tc>
      </w:tr>
      <w:tr>
        <w:trPr>
          <w:trHeight w:val="352"/>
        </w:trPr>
        <w:tc>
          <w:tcPr>
            <w:tcW w:w="20" w:type="dxa"/>
            <w:vAlign w:val="bottom"/>
          </w:tcPr>
          <w:p>
            <w:pPr>
              <w:spacing w:after="0"/>
              <w:rPr>
                <w:sz w:val="24"/>
                <w:szCs w:val="24"/>
                <w:color w:val="auto"/>
              </w:rPr>
            </w:pPr>
          </w:p>
        </w:tc>
        <w:tc>
          <w:tcPr>
            <w:tcW w:w="11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r>
      <w:tr>
        <w:trPr>
          <w:trHeight w:val="264"/>
        </w:trPr>
        <w:tc>
          <w:tcPr>
            <w:tcW w:w="20" w:type="dxa"/>
            <w:vAlign w:val="bottom"/>
          </w:tcPr>
          <w:p>
            <w:pPr>
              <w:spacing w:after="0"/>
              <w:rPr>
                <w:sz w:val="22"/>
                <w:szCs w:val="22"/>
                <w:color w:val="auto"/>
              </w:rPr>
            </w:pPr>
          </w:p>
        </w:tc>
        <w:tc>
          <w:tcPr>
            <w:tcW w:w="706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85"/>
              </w:rPr>
              <w:t>Title of each class</w:t>
            </w:r>
          </w:p>
        </w:tc>
        <w:tc>
          <w:tcPr>
            <w:tcW w:w="4340" w:type="dxa"/>
            <w:vAlign w:val="bottom"/>
          </w:tcPr>
          <w:p>
            <w:pPr>
              <w:jc w:val="center"/>
              <w:ind w:right="952"/>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2"/>
        </w:trPr>
        <w:tc>
          <w:tcPr>
            <w:tcW w:w="20" w:type="dxa"/>
            <w:vAlign w:val="bottom"/>
          </w:tcPr>
          <w:p>
            <w:pPr>
              <w:spacing w:after="0"/>
              <w:rPr>
                <w:sz w:val="17"/>
                <w:szCs w:val="17"/>
                <w:color w:val="auto"/>
              </w:rPr>
            </w:pPr>
          </w:p>
        </w:tc>
        <w:tc>
          <w:tcPr>
            <w:tcW w:w="5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95"/>
              </w:rPr>
              <w:t>Units, each consisting of one share of Common Stock, one Right and</w:t>
            </w:r>
          </w:p>
        </w:tc>
        <w:tc>
          <w:tcPr>
            <w:tcW w:w="3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340" w:type="dxa"/>
            <w:vAlign w:val="bottom"/>
            <w:tcBorders>
              <w:top w:val="single" w:sz="8" w:color="auto"/>
            </w:tcBorders>
          </w:tcPr>
          <w:p>
            <w:pPr>
              <w:jc w:val="center"/>
              <w:ind w:right="932"/>
              <w:spacing w:after="0" w:line="201"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20" w:type="dxa"/>
            <w:vAlign w:val="bottom"/>
          </w:tcPr>
          <w:p>
            <w:pPr>
              <w:spacing w:after="0"/>
              <w:rPr>
                <w:sz w:val="18"/>
                <w:szCs w:val="18"/>
                <w:color w:val="auto"/>
              </w:rPr>
            </w:pPr>
          </w:p>
        </w:tc>
        <w:tc>
          <w:tcPr>
            <w:tcW w:w="7060" w:type="dxa"/>
            <w:vAlign w:val="bottom"/>
            <w:gridSpan w:val="3"/>
          </w:tcPr>
          <w:p>
            <w:pPr>
              <w:ind w:left="120"/>
              <w:spacing w:after="0"/>
              <w:rPr>
                <w:sz w:val="20"/>
                <w:szCs w:val="20"/>
                <w:color w:val="auto"/>
              </w:rPr>
            </w:pPr>
            <w:r>
              <w:rPr>
                <w:rFonts w:ascii="Arial" w:cs="Arial" w:eastAsia="Arial" w:hAnsi="Arial"/>
                <w:sz w:val="18"/>
                <w:szCs w:val="18"/>
                <w:b w:val="1"/>
                <w:bCs w:val="1"/>
                <w:color w:val="auto"/>
              </w:rPr>
              <w:t>one-half of one Warrant</w:t>
            </w:r>
          </w:p>
        </w:tc>
        <w:tc>
          <w:tcPr>
            <w:tcW w:w="4340" w:type="dxa"/>
            <w:vAlign w:val="bottom"/>
          </w:tcPr>
          <w:p>
            <w:pPr>
              <w:spacing w:after="0"/>
              <w:rPr>
                <w:sz w:val="18"/>
                <w:szCs w:val="18"/>
                <w:color w:val="auto"/>
              </w:rPr>
            </w:pPr>
          </w:p>
        </w:tc>
      </w:tr>
      <w:tr>
        <w:trPr>
          <w:trHeight w:val="216"/>
        </w:trPr>
        <w:tc>
          <w:tcPr>
            <w:tcW w:w="7080" w:type="dxa"/>
            <w:vAlign w:val="bottom"/>
            <w:gridSpan w:val="4"/>
          </w:tcPr>
          <w:p>
            <w:pPr>
              <w:spacing w:after="0"/>
              <w:rPr>
                <w:sz w:val="20"/>
                <w:szCs w:val="20"/>
                <w:color w:val="auto"/>
              </w:rPr>
            </w:pPr>
            <w:r>
              <w:rPr>
                <w:rFonts w:ascii="Arial" w:cs="Arial" w:eastAsia="Arial" w:hAnsi="Arial"/>
                <w:sz w:val="18"/>
                <w:szCs w:val="18"/>
                <w:b w:val="1"/>
                <w:bCs w:val="1"/>
                <w:color w:val="auto"/>
              </w:rPr>
              <w:t>Common Stock, par value $0.001 per share</w:t>
            </w:r>
          </w:p>
        </w:tc>
        <w:tc>
          <w:tcPr>
            <w:tcW w:w="4340" w:type="dxa"/>
            <w:vAlign w:val="bottom"/>
          </w:tcPr>
          <w:p>
            <w:pPr>
              <w:jc w:val="center"/>
              <w:ind w:right="932"/>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7080" w:type="dxa"/>
            <w:vAlign w:val="bottom"/>
            <w:gridSpan w:val="4"/>
          </w:tcPr>
          <w:p>
            <w:pPr>
              <w:spacing w:after="0"/>
              <w:rPr>
                <w:sz w:val="20"/>
                <w:szCs w:val="20"/>
                <w:color w:val="auto"/>
              </w:rPr>
            </w:pPr>
            <w:r>
              <w:rPr>
                <w:rFonts w:ascii="Arial" w:cs="Arial" w:eastAsia="Arial" w:hAnsi="Arial"/>
                <w:sz w:val="18"/>
                <w:szCs w:val="18"/>
                <w:b w:val="1"/>
                <w:bCs w:val="1"/>
                <w:color w:val="auto"/>
              </w:rPr>
              <w:t>Rights, exchangeable into one-tenth of one share of Common Stock</w:t>
            </w:r>
          </w:p>
        </w:tc>
        <w:tc>
          <w:tcPr>
            <w:tcW w:w="4340" w:type="dxa"/>
            <w:vAlign w:val="bottom"/>
          </w:tcPr>
          <w:p>
            <w:pPr>
              <w:jc w:val="center"/>
              <w:ind w:right="932"/>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28"/>
        </w:trPr>
        <w:tc>
          <w:tcPr>
            <w:tcW w:w="7080" w:type="dxa"/>
            <w:vAlign w:val="bottom"/>
            <w:gridSpan w:val="4"/>
          </w:tcPr>
          <w:p>
            <w:pPr>
              <w:spacing w:after="0"/>
              <w:rPr>
                <w:sz w:val="20"/>
                <w:szCs w:val="20"/>
                <w:color w:val="auto"/>
              </w:rPr>
            </w:pPr>
            <w:r>
              <w:rPr>
                <w:rFonts w:ascii="Arial" w:cs="Arial" w:eastAsia="Arial" w:hAnsi="Arial"/>
                <w:sz w:val="18"/>
                <w:szCs w:val="18"/>
                <w:b w:val="1"/>
                <w:bCs w:val="1"/>
                <w:color w:val="auto"/>
              </w:rPr>
              <w:t>Warrants, each whole warrant exercisable for one share of Common</w:t>
            </w:r>
          </w:p>
        </w:tc>
        <w:tc>
          <w:tcPr>
            <w:tcW w:w="4340" w:type="dxa"/>
            <w:vAlign w:val="bottom"/>
          </w:tcPr>
          <w:p>
            <w:pPr>
              <w:jc w:val="center"/>
              <w:ind w:right="932"/>
              <w:spacing w:after="0"/>
              <w:rPr>
                <w:sz w:val="20"/>
                <w:szCs w:val="20"/>
                <w:color w:val="auto"/>
              </w:rPr>
            </w:pPr>
            <w:r>
              <w:rPr>
                <w:rFonts w:ascii="Arial" w:cs="Arial" w:eastAsia="Arial" w:hAnsi="Arial"/>
                <w:sz w:val="18"/>
                <w:szCs w:val="18"/>
                <w:b w:val="1"/>
                <w:bCs w:val="1"/>
                <w:color w:val="auto"/>
                <w:w w:val="94"/>
              </w:rPr>
              <w:t>The NASDAQ Stock Market LLC</w:t>
            </w:r>
          </w:p>
        </w:tc>
      </w:tr>
    </w:tbl>
    <w:p>
      <w:pPr>
        <w:ind w:left="100"/>
        <w:spacing w:after="0"/>
        <w:rPr>
          <w:sz w:val="20"/>
          <w:szCs w:val="20"/>
          <w:color w:val="auto"/>
        </w:rPr>
      </w:pPr>
      <w:r>
        <w:rPr>
          <w:rFonts w:ascii="Arial" w:cs="Arial" w:eastAsia="Arial" w:hAnsi="Arial"/>
          <w:sz w:val="18"/>
          <w:szCs w:val="18"/>
          <w:b w:val="1"/>
          <w:bCs w:val="1"/>
          <w:color w:val="auto"/>
        </w:rPr>
        <w:t>Stock at an exercise price of $11.50</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8400" w:type="dxa"/>
            <w:vAlign w:val="bottom"/>
            <w:gridSpan w:val="3"/>
          </w:tcPr>
          <w:p>
            <w:pPr>
              <w:ind w:left="3360"/>
              <w:spacing w:after="0"/>
              <w:rPr>
                <w:sz w:val="20"/>
                <w:szCs w:val="20"/>
                <w:color w:val="auto"/>
              </w:rPr>
            </w:pPr>
            <w:r>
              <w:rPr>
                <w:rFonts w:ascii="Arial" w:cs="Arial" w:eastAsia="Arial" w:hAnsi="Arial"/>
                <w:sz w:val="18"/>
                <w:szCs w:val="18"/>
                <w:b w:val="1"/>
                <w:bCs w:val="1"/>
                <w:color w:val="auto"/>
                <w:w w:val="92"/>
              </w:rPr>
              <w:t>Securities registered pursuant to Section 12(g) of the Act: None</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88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6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7"/>
        </w:trPr>
        <w:tc>
          <w:tcPr>
            <w:tcW w:w="8400" w:type="dxa"/>
            <w:vAlign w:val="bottom"/>
            <w:gridSpan w:val="3"/>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4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0" w:type="dxa"/>
            <w:vAlign w:val="bottom"/>
            <w:gridSpan w:val="3"/>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85"/>
              </w:rPr>
              <w:t xml:space="preserve">Yes </w:t>
            </w:r>
            <w:r>
              <w:rPr>
                <w:rFonts w:ascii="MS PGothic" w:cs="MS PGothic" w:eastAsia="MS PGothic" w:hAnsi="MS PGothic"/>
                <w:sz w:val="18"/>
                <w:szCs w:val="18"/>
                <w:color w:val="auto"/>
                <w:w w:val="85"/>
              </w:rPr>
              <w:t>☐</w:t>
            </w: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2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24" w:lineRule="exact"/>
        <w:rPr>
          <w:sz w:val="24"/>
          <w:szCs w:val="24"/>
          <w:color w:val="auto"/>
        </w:rPr>
      </w:pPr>
    </w:p>
    <w:p>
      <w:pPr>
        <w:jc w:val="both"/>
        <w:ind w:right="2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5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460"/>
              <w:spacing w:after="0"/>
              <w:rPr>
                <w:sz w:val="20"/>
                <w:szCs w:val="20"/>
                <w:color w:val="auto"/>
              </w:rPr>
            </w:pPr>
            <w:r>
              <w:rPr>
                <w:rFonts w:ascii="Arial" w:cs="Arial" w:eastAsia="Arial" w:hAnsi="Arial"/>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4560" w:type="dxa"/>
            <w:vAlign w:val="bottom"/>
          </w:tcPr>
          <w:p>
            <w:pPr>
              <w:ind w:left="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20" w:type="dxa"/>
            <w:vAlign w:val="bottom"/>
          </w:tcPr>
          <w:p>
            <w:pPr>
              <w:ind w:left="460"/>
              <w:spacing w:after="0"/>
              <w:rPr>
                <w:sz w:val="20"/>
                <w:szCs w:val="20"/>
                <w:color w:val="auto"/>
              </w:rPr>
            </w:pPr>
            <w:r>
              <w:rPr>
                <w:rFonts w:ascii="Arial" w:cs="Arial" w:eastAsia="Arial" w:hAnsi="Arial"/>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20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3420" w:type="dxa"/>
            <w:vAlign w:val="bottom"/>
          </w:tcPr>
          <w:p>
            <w:pPr>
              <w:ind w:left="460"/>
              <w:spacing w:after="0"/>
              <w:rPr>
                <w:sz w:val="20"/>
                <w:szCs w:val="20"/>
                <w:color w:val="auto"/>
              </w:rPr>
            </w:pPr>
            <w:r>
              <w:rPr>
                <w:rFonts w:ascii="Arial" w:cs="Arial" w:eastAsia="Arial" w:hAnsi="Arial"/>
                <w:sz w:val="18"/>
                <w:szCs w:val="18"/>
                <w:color w:val="auto"/>
              </w:rPr>
              <w:t>Emerging growth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0"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1" w:lineRule="exact"/>
        <w:rPr>
          <w:sz w:val="24"/>
          <w:szCs w:val="24"/>
          <w:color w:val="auto"/>
        </w:rPr>
      </w:pPr>
    </w:p>
    <w:p>
      <w:pPr>
        <w:spacing w:after="0" w:line="207" w:lineRule="exact"/>
        <w:tabs>
          <w:tab w:leader="none" w:pos="7340" w:val="left"/>
          <w:tab w:leader="none" w:pos="79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The Registrant was formed on September 18, 2017 and its fiscal year ended December 31, 2017. Accordingly, the Registrant was not in existence as of the last business day of the second fiscal quarter of 2017.</w:t>
      </w:r>
    </w:p>
    <w:p>
      <w:pPr>
        <w:spacing w:after="0" w:line="11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21, 2018, was 9,035,500.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7" w:right="239" w:bottom="161" w:gutter="0" w:footer="0" w:header="0"/>
        </w:sectPr>
      </w:pPr>
    </w:p>
    <w:bookmarkStart w:id="1" w:name="page2"/>
    <w:bookmarkEnd w:id="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700" w:type="dxa"/>
            <w:vAlign w:val="bottom"/>
            <w:gridSpan w:val="11"/>
          </w:tcPr>
          <w:p>
            <w:pPr>
              <w:jc w:val="center"/>
              <w:ind w:right="2580"/>
              <w:spacing w:after="0"/>
              <w:rPr>
                <w:sz w:val="20"/>
                <w:szCs w:val="20"/>
                <w:color w:val="auto"/>
              </w:rPr>
            </w:pPr>
            <w:r>
              <w:rPr>
                <w:rFonts w:ascii="Arial" w:cs="Arial" w:eastAsia="Arial" w:hAnsi="Arial"/>
                <w:sz w:val="18"/>
                <w:szCs w:val="18"/>
                <w:b w:val="1"/>
                <w:bCs w:val="1"/>
                <w:color w:val="auto"/>
                <w:w w:val="97"/>
              </w:rPr>
              <w:t>BIG ROCK PARTNERS ACQUISITION CORP.</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gridSpan w:val="11"/>
          </w:tcPr>
          <w:p>
            <w:pPr>
              <w:jc w:val="center"/>
              <w:ind w:right="2600"/>
              <w:spacing w:after="0"/>
              <w:rPr>
                <w:sz w:val="20"/>
                <w:szCs w:val="20"/>
                <w:color w:val="auto"/>
              </w:rPr>
            </w:pPr>
            <w:r>
              <w:rPr>
                <w:rFonts w:ascii="Arial" w:cs="Arial" w:eastAsia="Arial" w:hAnsi="Arial"/>
                <w:sz w:val="18"/>
                <w:szCs w:val="18"/>
                <w:b w:val="1"/>
                <w:bCs w:val="1"/>
                <w:color w:val="auto"/>
                <w:w w:val="97"/>
              </w:rPr>
              <w:t>TABLE OF CONTENTS FOR FORM 10-K</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PART I</w:t>
              </w:r>
            </w:hyperlink>
          </w:p>
        </w:tc>
        <w:tc>
          <w:tcPr>
            <w:tcW w:w="1040" w:type="dxa"/>
            <w:vAlign w:val="bottom"/>
            <w:tcBorders>
              <w:bottom w:val="single" w:sz="8" w:color="CCEEFF"/>
            </w:tcBorders>
            <w:gridSpan w:val="7"/>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9"/>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740" w:type="dxa"/>
            <w:vAlign w:val="bottom"/>
            <w:gridSpan w:val="2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5"/>
            <w:shd w:val="clear" w:color="auto" w:fill="CCEEFF"/>
          </w:tcPr>
          <w:p>
            <w:pPr>
              <w:spacing w:after="0" w:line="17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Item 1A.</w:t>
              </w:r>
            </w:hyperlink>
          </w:p>
        </w:tc>
        <w:tc>
          <w:tcPr>
            <w:tcW w:w="980" w:type="dxa"/>
            <w:vAlign w:val="bottom"/>
            <w:gridSpan w:val="4"/>
            <w:shd w:val="clear" w:color="auto" w:fill="CCEEFF"/>
          </w:tcPr>
          <w:p>
            <w:pPr>
              <w:spacing w:after="0"/>
              <w:rPr>
                <w:sz w:val="15"/>
                <w:szCs w:val="15"/>
                <w:color w:val="auto"/>
              </w:rPr>
            </w:pPr>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5"/>
          </w:tcPr>
          <w:p>
            <w:pPr>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1B.</w:t>
              </w:r>
            </w:hyperlink>
          </w:p>
        </w:tc>
        <w:tc>
          <w:tcPr>
            <w:tcW w:w="980" w:type="dxa"/>
            <w:vAlign w:val="bottom"/>
            <w:gridSpan w:val="4"/>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9"/>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9"/>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8740" w:type="dxa"/>
            <w:vAlign w:val="bottom"/>
            <w:gridSpan w:val="21"/>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9"/>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9"/>
          </w:tcPr>
          <w:p>
            <w:pPr>
              <w:spacing w:after="0" w:line="17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9"/>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5.</w:t>
              </w:r>
            </w:hyperlink>
          </w:p>
        </w:tc>
        <w:tc>
          <w:tcPr>
            <w:tcW w:w="8740" w:type="dxa"/>
            <w:vAlign w:val="bottom"/>
            <w:gridSpan w:val="21"/>
            <w:shd w:val="clear" w:color="auto" w:fill="CCEEFF"/>
          </w:tcPr>
          <w:p>
            <w:pPr>
              <w:spacing w:after="0" w:line="176" w:lineRule="exact"/>
              <w:rPr>
                <w:rFonts w:ascii="Arial" w:cs="Arial" w:eastAsia="Arial" w:hAnsi="Arial"/>
                <w:sz w:val="18"/>
                <w:szCs w:val="18"/>
                <w:color w:val="0000EE"/>
                <w:w w:val="97"/>
              </w:rPr>
            </w:pPr>
            <w:hyperlink w:anchor="page33">
              <w:r>
                <w:rPr>
                  <w:rFonts w:ascii="Arial" w:cs="Arial" w:eastAsia="Arial" w:hAnsi="Arial"/>
                  <w:sz w:val="18"/>
                  <w:szCs w:val="18"/>
                  <w:color w:val="0000EE"/>
                  <w:w w:val="97"/>
                </w:rPr>
                <w:t>Market for Registrant’s Common Equity, Related Stockholder Matters and Issuer Purchases of Equity Securities.</w:t>
              </w:r>
            </w:hyperlink>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9"/>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7.</w:t>
              </w:r>
            </w:hyperlink>
          </w:p>
        </w:tc>
        <w:tc>
          <w:tcPr>
            <w:tcW w:w="8740" w:type="dxa"/>
            <w:vAlign w:val="bottom"/>
            <w:gridSpan w:val="21"/>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7A.</w:t>
              </w:r>
            </w:hyperlink>
          </w:p>
        </w:tc>
        <w:tc>
          <w:tcPr>
            <w:tcW w:w="980" w:type="dxa"/>
            <w:vAlign w:val="bottom"/>
            <w:tcBorders>
              <w:bottom w:val="single" w:sz="8" w:color="CCEEFF"/>
            </w:tcBorders>
            <w:gridSpan w:val="4"/>
            <w:shd w:val="clear" w:color="auto" w:fill="CCEEFF"/>
          </w:tcPr>
          <w:p>
            <w:pPr>
              <w:spacing w:after="0"/>
              <w:rPr>
                <w:sz w:val="17"/>
                <w:szCs w:val="17"/>
                <w:color w:val="auto"/>
              </w:rPr>
            </w:pPr>
          </w:p>
        </w:tc>
        <w:tc>
          <w:tcPr>
            <w:tcW w:w="43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 and Qualitative Disclosures About Market Risk.</w:t>
              </w:r>
            </w:hyperlink>
          </w:p>
        </w:tc>
        <w:tc>
          <w:tcPr>
            <w:tcW w:w="4440" w:type="dxa"/>
            <w:vAlign w:val="bottom"/>
            <w:tcBorders>
              <w:bottom w:val="single" w:sz="8" w:color="CCEEFF"/>
            </w:tcBorders>
            <w:gridSpan w:val="6"/>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9"/>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8.</w:t>
              </w:r>
            </w:hyperlink>
          </w:p>
        </w:tc>
        <w:tc>
          <w:tcPr>
            <w:tcW w:w="8740" w:type="dxa"/>
            <w:vAlign w:val="bottom"/>
            <w:gridSpan w:val="21"/>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Financial Statements and Supplementary Data.</w:t>
              </w:r>
            </w:hyperlink>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9"/>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9.</w:t>
              </w:r>
            </w:hyperlink>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Changes in and Disagreements With Accountants on Accounting and Financial Disclosure.</w:t>
              </w:r>
            </w:hyperlink>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9"/>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9A.</w:t>
              </w:r>
            </w:hyperlink>
          </w:p>
        </w:tc>
        <w:tc>
          <w:tcPr>
            <w:tcW w:w="8740" w:type="dxa"/>
            <w:vAlign w:val="bottom"/>
            <w:gridSpan w:val="21"/>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9"/>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9B.</w:t>
              </w:r>
            </w:hyperlink>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9"/>
          </w:tcPr>
          <w:p>
            <w:pPr>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III</w:t>
              </w:r>
            </w:hyperlink>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6"/>
              </w:rPr>
            </w:pPr>
            <w:hyperlink w:anchor="page38">
              <w:r>
                <w:rPr>
                  <w:rFonts w:ascii="Arial" w:cs="Arial" w:eastAsia="Arial" w:hAnsi="Arial"/>
                  <w:sz w:val="18"/>
                  <w:szCs w:val="18"/>
                  <w:color w:val="0000EE"/>
                  <w:w w:val="86"/>
                </w:rPr>
                <w:t>Item 10.</w:t>
              </w:r>
            </w:hyperlink>
          </w:p>
        </w:tc>
        <w:tc>
          <w:tcPr>
            <w:tcW w:w="1020" w:type="dxa"/>
            <w:vAlign w:val="bottom"/>
            <w:tcBorders>
              <w:bottom w:val="single" w:sz="8" w:color="CCEEFF"/>
            </w:tcBorders>
            <w:gridSpan w:val="6"/>
            <w:shd w:val="clear" w:color="auto" w:fill="CCEEFF"/>
          </w:tcPr>
          <w:p>
            <w:pPr>
              <w:spacing w:after="0"/>
              <w:rPr>
                <w:sz w:val="17"/>
                <w:szCs w:val="17"/>
                <w:color w:val="auto"/>
              </w:rPr>
            </w:pPr>
          </w:p>
        </w:tc>
        <w:tc>
          <w:tcPr>
            <w:tcW w:w="40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Directors, Executive Officers and Corporate Governance.</w:t>
              </w:r>
            </w:hyperlink>
          </w:p>
        </w:tc>
        <w:tc>
          <w:tcPr>
            <w:tcW w:w="4700" w:type="dxa"/>
            <w:vAlign w:val="bottom"/>
            <w:tcBorders>
              <w:bottom w:val="single" w:sz="8" w:color="CCEEFF"/>
            </w:tcBorders>
            <w:gridSpan w:val="7"/>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9"/>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11.</w:t>
              </w:r>
            </w:hyperlink>
          </w:p>
        </w:tc>
        <w:tc>
          <w:tcPr>
            <w:tcW w:w="8740" w:type="dxa"/>
            <w:vAlign w:val="bottom"/>
            <w:gridSpan w:val="21"/>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Executive Compensation.</w:t>
              </w:r>
            </w:hyperlink>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6"/>
              </w:rPr>
            </w:pPr>
            <w:hyperlink w:anchor="page46">
              <w:r>
                <w:rPr>
                  <w:rFonts w:ascii="Arial" w:cs="Arial" w:eastAsia="Arial" w:hAnsi="Arial"/>
                  <w:sz w:val="18"/>
                  <w:szCs w:val="18"/>
                  <w:color w:val="0000EE"/>
                  <w:w w:val="86"/>
                </w:rPr>
                <w:t>Item 12.</w:t>
              </w:r>
            </w:hyperlink>
          </w:p>
        </w:tc>
        <w:tc>
          <w:tcPr>
            <w:tcW w:w="1020" w:type="dxa"/>
            <w:vAlign w:val="bottom"/>
            <w:tcBorders>
              <w:bottom w:val="single" w:sz="8" w:color="CCEEFF"/>
            </w:tcBorders>
            <w:gridSpan w:val="6"/>
            <w:shd w:val="clear" w:color="auto" w:fill="CCEEFF"/>
          </w:tcPr>
          <w:p>
            <w:pPr>
              <w:spacing w:after="0"/>
              <w:rPr>
                <w:sz w:val="17"/>
                <w:szCs w:val="17"/>
                <w:color w:val="auto"/>
              </w:rPr>
            </w:pPr>
          </w:p>
        </w:tc>
        <w:tc>
          <w:tcPr>
            <w:tcW w:w="71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Security Ownership of Certain Beneficial Owners and Management and Related Stockholder Matters.</w:t>
              </w:r>
            </w:hyperlink>
          </w:p>
        </w:tc>
        <w:tc>
          <w:tcPr>
            <w:tcW w:w="1580" w:type="dxa"/>
            <w:vAlign w:val="bottom"/>
            <w:tcBorders>
              <w:bottom w:val="single" w:sz="8" w:color="CCEEFF"/>
            </w:tcBorders>
            <w:gridSpan w:val="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9"/>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13.</w:t>
              </w:r>
            </w:hyperlink>
          </w:p>
        </w:tc>
        <w:tc>
          <w:tcPr>
            <w:tcW w:w="8740" w:type="dxa"/>
            <w:vAlign w:val="bottom"/>
            <w:gridSpan w:val="21"/>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Certain Relationships and Related Transactions, and Director Independence.</w:t>
              </w:r>
            </w:hyperlink>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gridSpan w:val="3"/>
            <w:shd w:val="clear" w:color="auto" w:fill="CCEEFF"/>
          </w:tcPr>
          <w:p>
            <w:pPr>
              <w:spacing w:after="0" w:line="176" w:lineRule="exact"/>
              <w:rPr>
                <w:rFonts w:ascii="Arial" w:cs="Arial" w:eastAsia="Arial" w:hAnsi="Arial"/>
                <w:sz w:val="18"/>
                <w:szCs w:val="18"/>
                <w:color w:val="0000EE"/>
                <w:w w:val="86"/>
              </w:rPr>
            </w:pPr>
            <w:hyperlink w:anchor="page49">
              <w:r>
                <w:rPr>
                  <w:rFonts w:ascii="Arial" w:cs="Arial" w:eastAsia="Arial" w:hAnsi="Arial"/>
                  <w:sz w:val="18"/>
                  <w:szCs w:val="18"/>
                  <w:color w:val="0000EE"/>
                  <w:w w:val="86"/>
                </w:rPr>
                <w:t>Item 14.</w:t>
              </w:r>
            </w:hyperlink>
          </w:p>
        </w:tc>
        <w:tc>
          <w:tcPr>
            <w:tcW w:w="1020" w:type="dxa"/>
            <w:vAlign w:val="bottom"/>
            <w:gridSpan w:val="6"/>
            <w:shd w:val="clear" w:color="auto" w:fill="CCEEFF"/>
          </w:tcPr>
          <w:p>
            <w:pPr>
              <w:spacing w:after="0"/>
              <w:rPr>
                <w:sz w:val="15"/>
                <w:szCs w:val="15"/>
                <w:color w:val="auto"/>
              </w:rPr>
            </w:pPr>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Principal Accounting Fees and Services.</w:t>
              </w:r>
            </w:hyperlink>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9"/>
          </w:tcPr>
          <w:p>
            <w:pPr>
              <w:spacing w:after="0" w:line="17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IV</w:t>
              </w:r>
            </w:hyperlink>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gridSpan w:val="3"/>
            <w:shd w:val="clear" w:color="auto" w:fill="CCEEFF"/>
          </w:tcPr>
          <w:p>
            <w:pPr>
              <w:spacing w:after="0" w:line="176" w:lineRule="exact"/>
              <w:rPr>
                <w:rFonts w:ascii="Arial" w:cs="Arial" w:eastAsia="Arial" w:hAnsi="Arial"/>
                <w:sz w:val="18"/>
                <w:szCs w:val="18"/>
                <w:color w:val="0000EE"/>
                <w:w w:val="86"/>
              </w:rPr>
            </w:pPr>
            <w:hyperlink w:anchor="page51">
              <w:r>
                <w:rPr>
                  <w:rFonts w:ascii="Arial" w:cs="Arial" w:eastAsia="Arial" w:hAnsi="Arial"/>
                  <w:sz w:val="18"/>
                  <w:szCs w:val="18"/>
                  <w:color w:val="0000EE"/>
                  <w:w w:val="86"/>
                </w:rPr>
                <w:t>Item 15.</w:t>
              </w:r>
            </w:hyperlink>
          </w:p>
        </w:tc>
        <w:tc>
          <w:tcPr>
            <w:tcW w:w="1020" w:type="dxa"/>
            <w:vAlign w:val="bottom"/>
            <w:gridSpan w:val="6"/>
            <w:shd w:val="clear" w:color="auto" w:fill="CCEEFF"/>
          </w:tcPr>
          <w:p>
            <w:pPr>
              <w:spacing w:after="0"/>
              <w:rPr>
                <w:sz w:val="17"/>
                <w:szCs w:val="17"/>
                <w:color w:val="auto"/>
              </w:rPr>
            </w:pPr>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Exhibits, Financial Statement Schedules.</w:t>
              </w:r>
            </w:hyperlink>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0000EE"/>
            </w:tcBorders>
            <w:gridSpan w:val="3"/>
          </w:tcPr>
          <w:p>
            <w:pPr>
              <w:spacing w:after="0" w:line="176" w:lineRule="exact"/>
              <w:rPr>
                <w:rFonts w:ascii="Arial" w:cs="Arial" w:eastAsia="Arial" w:hAnsi="Arial"/>
                <w:sz w:val="18"/>
                <w:szCs w:val="18"/>
                <w:color w:val="0000EE"/>
                <w:w w:val="86"/>
              </w:rPr>
            </w:pPr>
            <w:hyperlink w:anchor="page52">
              <w:r>
                <w:rPr>
                  <w:rFonts w:ascii="Arial" w:cs="Arial" w:eastAsia="Arial" w:hAnsi="Arial"/>
                  <w:sz w:val="18"/>
                  <w:szCs w:val="18"/>
                  <w:color w:val="0000EE"/>
                  <w:w w:val="86"/>
                </w:rPr>
                <w:t>Item 16.</w:t>
              </w:r>
            </w:hyperlink>
          </w:p>
        </w:tc>
        <w:tc>
          <w:tcPr>
            <w:tcW w:w="1020" w:type="dxa"/>
            <w:vAlign w:val="bottom"/>
            <w:tcBorders>
              <w:top w:val="single" w:sz="8" w:color="CCEEFF"/>
            </w:tcBorders>
            <w:gridSpan w:val="6"/>
          </w:tcPr>
          <w:p>
            <w:pPr>
              <w:spacing w:after="0"/>
              <w:rPr>
                <w:sz w:val="15"/>
                <w:szCs w:val="15"/>
                <w:color w:val="auto"/>
              </w:rPr>
            </w:pPr>
          </w:p>
        </w:tc>
        <w:tc>
          <w:tcPr>
            <w:tcW w:w="286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Form 10-K Summary.</w:t>
              </w:r>
            </w:hyperlink>
          </w:p>
        </w:tc>
        <w:tc>
          <w:tcPr>
            <w:tcW w:w="5880" w:type="dxa"/>
            <w:vAlign w:val="bottom"/>
            <w:tcBorders>
              <w:top w:val="single" w:sz="8" w:color="CCEEFF"/>
            </w:tcBorders>
            <w:gridSpan w:val="9"/>
          </w:tcPr>
          <w:p>
            <w:pPr>
              <w:spacing w:after="0"/>
              <w:rPr>
                <w:sz w:val="15"/>
                <w:szCs w:val="15"/>
                <w:color w:val="auto"/>
              </w:rPr>
            </w:pPr>
          </w:p>
        </w:tc>
        <w:tc>
          <w:tcPr>
            <w:tcW w:w="10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b w:val="1"/>
                <w:bCs w:val="1"/>
                <w:color w:val="0000EE"/>
                <w:w w:val="93"/>
              </w:rPr>
            </w:pPr>
            <w:hyperlink w:anchor="page53">
              <w:r>
                <w:rPr>
                  <w:rFonts w:ascii="Arial" w:cs="Arial" w:eastAsia="Arial" w:hAnsi="Arial"/>
                  <w:sz w:val="18"/>
                  <w:szCs w:val="18"/>
                  <w:b w:val="1"/>
                  <w:bCs w:val="1"/>
                  <w:color w:val="0000EE"/>
                  <w:w w:val="93"/>
                </w:rPr>
                <w:t>SIGNATURES</w:t>
              </w:r>
            </w:hyperlink>
          </w:p>
        </w:tc>
        <w:tc>
          <w:tcPr>
            <w:tcW w:w="4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40" w:type="dxa"/>
            <w:vAlign w:val="bottom"/>
            <w:gridSpan w:val="30"/>
          </w:tcPr>
          <w:p>
            <w:pPr>
              <w:spacing w:after="0" w:line="17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FINANCIAL STATEMENTS</w:t>
              </w:r>
            </w:hyperlink>
          </w:p>
        </w:tc>
        <w:tc>
          <w:tcPr>
            <w:tcW w:w="10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F-1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7"/>
        </w:trPr>
        <w:tc>
          <w:tcPr>
            <w:tcW w:w="20" w:type="dxa"/>
            <w:vAlign w:val="bottom"/>
            <w:tcBorders>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9"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r>
        <w:rPr>
          <w:rFonts w:ascii="Arial" w:cs="Arial" w:eastAsia="Arial" w:hAnsi="Arial"/>
          <w:sz w:val="14"/>
          <w:szCs w:val="14"/>
          <w:color w:val="auto"/>
        </w:rPr>
        <w:t>.</w:t>
      </w:r>
    </w:p>
    <w:p>
      <w:pPr>
        <w:spacing w:after="0" w:line="16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i w:val="1"/>
          <w:iCs w:val="1"/>
          <w:color w:val="auto"/>
        </w:rPr>
        <w:t>This business description should be read in conjunction with our audited consolidated financial statements and accompanying notes thereto appearing elsewhere in this Annual Report on Form 10-K for the year ended December 31, 2017 (the “2017 Form 10-K”), which are incorporated herein by this reference.</w:t>
      </w:r>
    </w:p>
    <w:p>
      <w:pPr>
        <w:spacing w:after="0" w:line="7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References in this 2017 Form 10-K to “we,” “us” or “our company” refer to Big Rock Partners Acquisition Corp. References in this 2017 Form 10-K to our “public shares” are to shares of our common stock sold as part of the units in our initial public offering (whether they are purchased in our initial public offering or thereafter in the open market) and references to “public stockholders” refer to the holders of our public shares, including our sponsor (as defined below), officers and directors to the extent they purchase public shares, provided that their status as “public stockholders” shall only exist with respect to such public shares. References in this 2017 Form 10-K to our “management” or our “management team” refer to our officers, directors and director nominees and references to our “sponsor” or our “initial stockholder” refer to Big Rock Partners Sponsor, LLC, a company affiliated with our Chairman, President and Chief Executive Officer. References in this 2017 Form 10-K to our “founder’s shares” refer to our shares of common stock initially purchased by our sponsor in a private sale prior to our initial public offering. References in this 2017 Form 10-K to our “private placement units” refer to the units sold in a private placement simultaneously with the closing of our initial public offering.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a blank check company formed pursuant to the laws of the State of Delaware on September 18, 2017 for the purpose of entering into a merger, stock exchange, asset acquisition, stock purchase, recapitalization, reorganization or other similar business combination with one or more businesses or entities. While our efforts in identifying a prospective target business for our initial business combination will not be limited to a particular industry or geographic region, we intend to initially focus our search on identifying a prospective target business in the senior housing and care industry in the United States, as described below. We have reviewed, and continue to review, opportunities to enter into an initial business combination with an operating business, but we are not able to determine at this time whether we will complete a business combination with any of the target businesses that we have reviewed or with any other target business on favorable terms or at all.</w:t>
      </w:r>
    </w:p>
    <w:p>
      <w:pPr>
        <w:spacing w:after="0" w:line="10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November 22, 2017, we consummated the initial public offering (the “Initial Public Offering”) of 6,000,000 units (“Units”), each Unit consisting of one share of common stock, par value $0.001 per share (“Common Stock”), one right entitling the holder thereof to receive one-tenth (1/10) of one share of Common Stock upon the consummation of an initial business combination, and one-half of one warrant (“Warrant”), each whole Warrant exercisable to purchase one share of Common Stock at an exercise price of $11.50 per share, pursuant to the registration statements on Form S-1 (File Nos. 333-220947 and 333-221659) (the “Registration Statements”). The Units were sold at an offering price of $10.00 per Unit, generating gross proceeds of $60,000,000. The underwriters of the Initial Public Offering were granted an option to purchase an additional 900,000 Units to cover over-allotments, if any (the “Over-Allotment Units”).</w:t>
      </w:r>
    </w:p>
    <w:p>
      <w:pPr>
        <w:spacing w:after="0" w:line="107"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Simultaneously with the consummation of the Initial Public Company, on November 22, 2017, we completed a private placement (the “Private Placement”) of 250,000 units (“Placement Units”) at a price of $10.00 per Placement Unit, generating total proceeds of $2,500,000. The securities issued in the Private Placement were issued in reliance on the exemption from registration provided by Section 4(a)(2) under the Securities Act of 1933, as amended, or Regulation D thereunder, as a sale not involving any public offering.</w:t>
      </w:r>
    </w:p>
    <w:p>
      <w:pPr>
        <w:spacing w:after="0" w:line="130"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On November 28, 2017, the underwriters notified us of their exercise of the over-allotment option in full and on November 29, 2017, purchased 900,000 Over-Allotment Units at $10.00 per Unit upon the closing of the over-allotment option, generating gross proceeds of $9,000,000. Simultaneously with the sale of the additional Units, we consummated the sale of an additional 22,500 placement units (the “Over-Allotment Placement Units”) at $10.00 per unit, generating gross proceeds of $225,000. The securities issued in the Private Placement were issued in reliance on the exemption from registration provided by Section 4(a)(2) under the Securities Act of 1933, as amended, or Regulation D thereunder, as a sale not involving any public offering.</w:t>
      </w:r>
    </w:p>
    <w:p>
      <w:pPr>
        <w:spacing w:after="0" w:line="102" w:lineRule="exact"/>
        <w:rPr>
          <w:sz w:val="20"/>
          <w:szCs w:val="20"/>
          <w:color w:val="auto"/>
        </w:rPr>
      </w:pPr>
    </w:p>
    <w:p>
      <w:pPr>
        <w:ind w:right="200" w:firstLine="648"/>
        <w:spacing w:after="0" w:line="306" w:lineRule="auto"/>
        <w:rPr>
          <w:sz w:val="20"/>
          <w:szCs w:val="20"/>
          <w:color w:val="auto"/>
        </w:rPr>
      </w:pPr>
      <w:r>
        <w:rPr>
          <w:rFonts w:ascii="Arial" w:cs="Arial" w:eastAsia="Arial" w:hAnsi="Arial"/>
          <w:sz w:val="16"/>
          <w:szCs w:val="16"/>
          <w:color w:val="auto"/>
        </w:rPr>
        <w:t>A total of $69,000,000 of the net proceeds from the Initial Public Offering and the Private Placement (including $9,000,000 from the sale of the Over-Allotment Units and Over-Allotment Placement Units) were deposited in a trust account established for the benefit of the Company’s public stockholders. We incurred costs in the aggregate amount of $2,172,419 related to Initial Public Offering including $1,725,000 of underwriting fees and $447,419 of other costs.</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Our units began trading on November 20, 2017 on the NASDAQ Capital Market under the symbol “BRPAU.” Commencing on December 1, 2017, the underlying shares of Common Stock, Warrants and rights began trading on the NASDAQ Capital Market under the symbols “BRPA,” “BRPAW” and “BRPAR,”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6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While our efforts in identifying a prospective target business for our initial business combination will not be limited to a particular industry or geographic region, we intend to initially focus our search on identifying a prospective target business in the senior housing and care industry in the United States. The senior housing and care industry provides both housing and an array of services to seniors, generally to those over the age of 75. Care segments are commonly divided into four categories:</w:t>
      </w:r>
    </w:p>
    <w:p>
      <w:pPr>
        <w:spacing w:after="0" w:line="13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Independent Living;</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Assisted Living;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Memory Care;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Nursing Care.</w:t>
      </w:r>
    </w:p>
    <w:p>
      <w:pPr>
        <w:spacing w:after="0" w:line="219" w:lineRule="exact"/>
        <w:rPr>
          <w:sz w:val="20"/>
          <w:szCs w:val="20"/>
          <w:color w:val="auto"/>
        </w:rPr>
      </w:pPr>
    </w:p>
    <w:p>
      <w:pPr>
        <w:jc w:val="both"/>
        <w:ind w:right="100" w:firstLine="648"/>
        <w:spacing w:after="0" w:line="303" w:lineRule="auto"/>
        <w:rPr>
          <w:sz w:val="20"/>
          <w:szCs w:val="20"/>
          <w:color w:val="auto"/>
        </w:rPr>
      </w:pPr>
      <w:r>
        <w:rPr>
          <w:rFonts w:ascii="Arial" w:cs="Arial" w:eastAsia="Arial" w:hAnsi="Arial"/>
          <w:sz w:val="15"/>
          <w:szCs w:val="15"/>
          <w:color w:val="auto"/>
        </w:rPr>
        <w:t>In the U.S., there currently are approximately 23,400 investment grade senior housing and care properties containing 3 million units. The total value of the investment grade senior housing and care property market is estimated at $372 billion. The average age of residents in senior housing is approximately in the mid-80s, while the average move-in age is in the low to mid-80s. The sizes of the 80+ and 85+ populations are expected to increase at a rate of approximately</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1.5%-2% annually during the remainder of the decade. The latter part of the 2020s is expected to see the beginning of significant acceleration in this population, with the 80+ population growth rate averaging roughly 4.5% from 2025 through 2029. As such, we believe there are significant opportunities to acquire senior housing property management companies that are positioned for growth. These operating companies may have leasehold and/or fee ownership of senior housing communities.</w:t>
      </w:r>
    </w:p>
    <w:p>
      <w:pPr>
        <w:spacing w:after="0" w:line="130"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We intend to seek out potential targets that enjoy proven business models and attractive growth profiles. We also believe our sponsor’s and management team’s extensive experience in deal sourcing from private and public sources, as well as their capital market expertise, provide unique insight when identifying potential business combination opportunities and creating value. We believe their experience and deep understanding of various markets in the senior housing and care industry positions us to obtain access to potential targets in such markets, frequently in a non-competitive manner and prior to other parties.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Criteria</w:t>
      </w:r>
    </w:p>
    <w:p>
      <w:pPr>
        <w:spacing w:after="0" w:line="16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prospective target businesses. We intend to use these criteria and guidelines in evaluating acquisition opportunities, but we may decide to enter into our initial business combination with a target business that does not meet any of these criteria and guidelines.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seek to acquire companies that we believe:</w:t>
      </w:r>
    </w:p>
    <w:p>
      <w:pPr>
        <w:spacing w:after="0" w:line="158"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have strong competitive positions, proven business models, consistent historical financial performance and attractive growth prospects;</w:t>
      </w:r>
    </w:p>
    <w:p>
      <w:pPr>
        <w:spacing w:after="0" w:line="38"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limited access to capital markets due to external factors;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could benefit from the substantial expertise, experience and network of our sponsor and management team, who could assist with, for example, growth strategy, operations, and the evaluation and integration of acquisitions;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well positioned to participate in sector consolidation and would benefit from a public acquisition currency;</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would avoid the potentially onerous terms, such as liquidation preferences, that are often characteristic of late state private growth financing rounds; and</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offer attractive risk-adjusted returns.</w:t>
      </w:r>
    </w:p>
    <w:p>
      <w:pPr>
        <w:spacing w:after="0" w:line="219" w:lineRule="exact"/>
        <w:rPr>
          <w:sz w:val="20"/>
          <w:szCs w:val="20"/>
          <w:color w:val="auto"/>
        </w:rPr>
      </w:pPr>
    </w:p>
    <w:p>
      <w:pPr>
        <w:ind w:right="240" w:firstLine="648"/>
        <w:spacing w:after="0" w:line="332"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the following competitive strengths: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164"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We believe target businesses might find this method a more certain and cost effective method to becoming a public company than the typical initial public offering. In a typical initial public offering, there are additional expenses incurred in marketing, roadshow and public reporting efforts that will likely not be present to the same extent in connection with a business combination with us. Furthermore, once the business combination is consummated, the target business will have effectively become public, whereas an initial public offering is always subject to the underwriters’ ability to complete the offering, as well as general market conditions, that could prevent the offering from occurring. Once public, we believe the target business would then have greater access to capital and an additional means of providing management incentives consistent with stockholders’ interests than it would have as a privately-held company. It can offer further benefits by augmenting a company’s profile among potential new customers and vendors and aid in attracting talented employees.</w:t>
      </w:r>
    </w:p>
    <w:p>
      <w:pPr>
        <w:spacing w:after="0" w:line="114"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While we believe that our status as a public company will make us an attractive business partner, some potential target businesses may view the inherent limitations in our status as a blank check company as a deterrent and may prefer to effect a business combination with a more established entity or with a private company. These inherent limitations include limitations on our available financial resources, which may be inferior to those of other entities pursuing the acquisition of similar target businesses; the requirement that we seek shareholder approval of a business combination or conduct a tender offer in relation thereto, which may delay the consummation of a transaction; and the existence of our outstanding warrants, which may represent a source of future dilution.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6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With funds in the trust account of approximately $69 million available to use for a business combination (assuming no stockholder seeks conversion of their shares or seeks to sell their shares to us in a tender offer in relation to such business combination), we offer a target business a variety of options such as providing the owners of a target business with shares in a public company and a public means to sell such shares, providing capital for the potential growth and expansion of its operations or strengthening its balance sheet by reducing its debt ratio. Because we are able to consummate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since we have no specific business combination under consideration, we have not taken any steps to secure third party financing if we are forced to use a significant portion of such funds for converting or tendering stockholders and there can be no assurance that it will be available to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Structure</w:t>
      </w:r>
    </w:p>
    <w:p>
      <w:pPr>
        <w:spacing w:after="0" w:line="16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Unlike some other blank check companies that sell units comprised of shares of common stock and warrants to purchase a full share of common stock in their initial public offerings, our initial public offering was for units comprised of one share of common stock, one-half of one warrant and one right which entitles the holder thereof to receive one-tenth (1/10) of one share of common stock upon consummation of our initial business combination. Because the number of shares ordinarily issuable upon exercise of the warrants found in the typical structure of some other blank check initial public offerings is less in our case (since such warrants most often entitle the holder thereof to receive a full share of common stock as opposed to the one-tenth (1/10) of one share the rights entitle a holder to receive and the one-half of one share of common stock that each warrant holder is entitled to purchase), our management believes we will be viewed more favorably by potential target companies when determining which company to engage in a business combination with. However, our management may be incorrect in this belief.</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16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will seek to capitalize on the significant investing and operating experience and contacts of our officers and directors in consummating an initial business combination. Our Chairman, President and Chief Executive Officer, Richard Ackerman, has over 35 years of real estate experience with 18 years in senior housing. Prior to starting Big Rock Partners (“BRP”), an opportunistic real estate investment firm founded in 2004 that has invested in and managed over $800 million in assets since its formation, Mr. Ackerman was Head of the Los Angeles office for Apollo Real Estate Advisors (“Apollo”), a global private equity firm. Our Chief Financial Officer, Lori Wittman, also has over 35 years of real estate experience and was most recently the Chief Financial Officer of Care Capital Properties (“CCP”), a public healthcare real estate investment trust with a diversified portfolio of triple-net leased properties focused on the post-acute sector, which merged with Sabra Healthcare REIT, Inc. Prior to CCP, Ms. Wittman was Senior Vice President of Capital Markets and Investor Relations at Ventas, Inc., a leading real estate investment trust with a diverse portfolio of more than 1,600 assets in the United States, Canada and the United Kingdom consisting of seniors housing communities, medical office buildings, skilled nursing facilities, hospitals and other properties. Our Chief Investment Officer and Corporate Secretary, Bennett Kim, has over 20 years of real estate experience and worked with Mr. Ackerman at Apollo. Through BRP, Messrs. Ackerman and Kim are currently developing $200 million of senior housing in Florida, which consists of independent living, assisted living and memory care. Also, our independent directors, Richard Birdoff, Michael Fong, Stuart Koenig, Albert G. Rex and Troy T. Taylor, have significant experience in private investments, ownership and management of businesses of many types, large and small.</w:t>
      </w:r>
    </w:p>
    <w:p>
      <w:pPr>
        <w:spacing w:after="0" w:line="107" w:lineRule="exact"/>
        <w:rPr>
          <w:sz w:val="20"/>
          <w:szCs w:val="20"/>
          <w:color w:val="auto"/>
        </w:rPr>
      </w:pPr>
    </w:p>
    <w:p>
      <w:pPr>
        <w:ind w:right="500" w:firstLine="648"/>
        <w:spacing w:after="0" w:line="256" w:lineRule="auto"/>
        <w:rPr>
          <w:sz w:val="20"/>
          <w:szCs w:val="20"/>
          <w:color w:val="auto"/>
        </w:rPr>
      </w:pPr>
      <w:r>
        <w:rPr>
          <w:rFonts w:ascii="Arial" w:cs="Arial" w:eastAsia="Arial" w:hAnsi="Arial"/>
          <w:sz w:val="18"/>
          <w:szCs w:val="18"/>
          <w:color w:val="auto"/>
        </w:rPr>
        <w:t>While we may pursue an acquisition opportunity in any industry or sector and in any region, we intend to focus on industries that complement our management team’s background so we can capitalize on their ability to identify, acquire, and operate a business. We therefore intend to initially focus on companies in the senior housing and care industry in the United States; however, we may decide to enter into an initial business combination with a target business that is not connected to the senior housing and care industry.</w:t>
      </w:r>
    </w:p>
    <w:p>
      <w:pPr>
        <w:spacing w:after="0" w:line="130" w:lineRule="exact"/>
        <w:rPr>
          <w:sz w:val="20"/>
          <w:szCs w:val="20"/>
          <w:color w:val="auto"/>
        </w:rPr>
      </w:pPr>
    </w:p>
    <w:p>
      <w:pPr>
        <w:jc w:val="both"/>
        <w:ind w:right="40" w:firstLine="648"/>
        <w:spacing w:after="0" w:line="306" w:lineRule="auto"/>
        <w:rPr>
          <w:sz w:val="20"/>
          <w:szCs w:val="20"/>
          <w:color w:val="auto"/>
        </w:rPr>
      </w:pPr>
      <w:r>
        <w:rPr>
          <w:rFonts w:ascii="Arial" w:cs="Arial" w:eastAsia="Arial" w:hAnsi="Arial"/>
          <w:sz w:val="16"/>
          <w:szCs w:val="16"/>
          <w:color w:val="auto"/>
        </w:rPr>
        <w:t>We believe our sponsor’s and management team’s deal sourcing, investing, and operating expertise, as well as their network of contacts will position us to take advantage of opportunities in the senior housing and care industry. We believe this expertise and network of contacts will allow us to generate a number of acquisition opportunities. We believe there are a number of high quality senior housing businesses with adequate scale to be attractive public companies.</w:t>
      </w:r>
    </w:p>
    <w:p>
      <w:pPr>
        <w:spacing w:after="0" w:line="93" w:lineRule="exact"/>
        <w:rPr>
          <w:sz w:val="20"/>
          <w:szCs w:val="20"/>
          <w:color w:val="auto"/>
        </w:rPr>
      </w:pPr>
    </w:p>
    <w:p>
      <w:pPr>
        <w:ind w:right="840" w:firstLine="648"/>
        <w:spacing w:after="0" w:line="268" w:lineRule="auto"/>
        <w:rPr>
          <w:sz w:val="20"/>
          <w:szCs w:val="20"/>
          <w:color w:val="auto"/>
        </w:rPr>
      </w:pPr>
      <w:r>
        <w:rPr>
          <w:rFonts w:ascii="Arial" w:cs="Arial" w:eastAsia="Arial" w:hAnsi="Arial"/>
          <w:sz w:val="18"/>
          <w:szCs w:val="18"/>
          <w:color w:val="auto"/>
        </w:rPr>
        <w:t>For more information regarding our management team’s experience, please see Part III, Item 10. Directors, Executive Officers and Corporate Governance.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a Business Combination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We are not presently engaged in, and we will not engage in, any substantive commercial business for an indefinite period of time following the Initial Public Offering. We intend to utilize cash derived from the proceeds of the Initial Public Offering and the sale of the private placement units, our capital stock, debt or a combination of these in effecting a business combination which has not yet been identified.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10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will have until 12 months from the closing of the Initial Public Offering (or up to 18 months from the closing of the Initial Public Offering if we extend the period of time to consummate a business combination by the full amount of time) to consummate our initial business combination. If we are unable to consummate our initial business combination within the applicable time period, we will, as promptly as reasonably possible but not more than ten business days thereafter, redeem the public shares for a pro rata portion of the funds held in the trust account and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Not Identified a Target Business</w:t>
      </w:r>
    </w:p>
    <w:p>
      <w:pPr>
        <w:spacing w:after="0" w:line="164"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have reviewed, and continue to review, opportunities to enter into an initial business combination with an operating business, but we are not able to determine at this time whether we will complete a business combination with any of the target businesses that we have reviewed or with any other target business on favorable terms or at all.</w:t>
      </w:r>
    </w:p>
    <w:p>
      <w:pPr>
        <w:spacing w:after="0" w:line="12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Subject to our officers’ and directors’ pre-existing fiduciary duties and the limitation that a target business have a fair market value of at least 80% of the balance in the trust account (excluding taxes payable on the income earned on the trust account) at the time of the execution of a definitive agreement for our initial business combination, as described below in more detail, we will have virtually unrestricted flexibility in identifying and selecting a prospective acquisition candidate. Except for the general criteria and guidelines set forth above under the caption “Business Strategy,” we have not established any other specific attributes or criteria (financial or otherwise) for prospective target businesses. To the extent we effect a business combination with a financially unstable company or an entity in its early stage of development or growth, including entities without established records of sales or earnings, we may be affected by numerous risks inherent in the business and operations of financially unstable and early stage or potential emerging growth companies. Although our management will endeavor to evaluate the risks inherent in a particular target business, we cannot assure you that we will properly ascertain or assess all significant risk factors.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 Process</w:t>
      </w:r>
    </w:p>
    <w:p>
      <w:pPr>
        <w:spacing w:after="0" w:line="164" w:lineRule="exact"/>
        <w:rPr>
          <w:sz w:val="20"/>
          <w:szCs w:val="20"/>
          <w:color w:val="auto"/>
        </w:rPr>
      </w:pPr>
    </w:p>
    <w:p>
      <w:pPr>
        <w:ind w:right="160" w:firstLine="648"/>
        <w:spacing w:after="0" w:line="306" w:lineRule="auto"/>
        <w:rPr>
          <w:sz w:val="20"/>
          <w:szCs w:val="20"/>
          <w:color w:val="auto"/>
        </w:rPr>
      </w:pPr>
      <w:r>
        <w:rPr>
          <w:rFonts w:ascii="Arial" w:cs="Arial" w:eastAsia="Arial" w:hAnsi="Arial"/>
          <w:sz w:val="16"/>
          <w:szCs w:val="16"/>
          <w:color w:val="auto"/>
        </w:rPr>
        <w:t>In evaluating a prospective target business, we expect to conduct a thorough due diligence review that will encompass, among other things, meetings with incumbent management and employees, document reviews, inspection of facilities, as well as a review of financial and other information that will be made available to us. We also expect to utilize our management team’s operational and capital markets experience.</w:t>
      </w:r>
    </w:p>
    <w:p>
      <w:pPr>
        <w:spacing w:after="0" w:line="93"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from an independent investment banking firm, or another independent entity that commonly renders valuation opinions on the type of target business we are seeking to acquire, that our initial business combination is fair to our company from a financial point of view.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Target Businesses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expect that our principal means of identifying potential target businesses will be through the extensive contacts and relationships of our officers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directors. While our officers and directors are not required to commit any specific amount of time in identifying or performing due diligence on potential target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businesses, our officers and directors believe that the relationships they have developed over their careers and their access to their contacts and resources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generate a number of potential business combination opportunities that will warrant further investigation. We also anticipate that target business candidates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brought to our attention from various unaffiliated sources, including investment bankers, venture capital funds, private equity funds, leveraged buyout funds,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buyout funds and other members of the financial community. Target businesses may be brought to our attention by such unaffiliated sources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being solicited by us through calls or mailings. These sources may also introduce us to target businesses they think we may be interested in on 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unsolicited basis, since many of these sources will have read this Report and know what types of businesses we are targeting. Our officers and directors, as well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their affiliates, may also bring to our attention target business candidates that they become aware of through their business contacts as a result of formal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informal inquiries or discussions they may have, as well as attending trade shows or conventions. They must present to us all target business opportunities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a fair market value of at least 80% of the assets held in the trust account (excluding taxes payable on the income accrued in the trust account) at the time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agreement to enter into the initial business combination, subject to any pre-existing fiduciary or contractual obligations. We have engaged a professional firm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specializes in business acquisitions, and we may engage other firms or other individuals in the future, in which event we may pay a finder’s fee, consulting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 or other compensation to be determined in an arm’s length negotiation based on the terms of the transaction. In no event, however, will our sponsor, officers,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or their respective affiliates be paid any finder’s fee, consulting fee or other compensation prior to, or for any services they render in order to effectuate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consummation of an initial business combination (regardless of the type of transaction that it is) other than the monthly administrative services fee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 the repayment of any loans from our sponsor, officers and directors for working capital purposes and reimbursement of any out-of-pocket expenses.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not restricted from entering into a business combination with a target business that is affiliated with any of our officers, directors or sponsor and may do so if</w:t>
      </w:r>
    </w:p>
    <w:p>
      <w:pPr>
        <w:spacing w:after="0" w:line="32" w:lineRule="exact"/>
        <w:rPr>
          <w:sz w:val="20"/>
          <w:szCs w:val="20"/>
          <w:color w:val="auto"/>
        </w:rPr>
      </w:pPr>
    </w:p>
    <w:p>
      <w:pPr>
        <w:ind w:right="260" w:firstLine="8"/>
        <w:spacing w:after="0" w:line="255" w:lineRule="auto"/>
        <w:tabs>
          <w:tab w:leader="none" w:pos="21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transaction is approved by a majority of our disinterested independent directors and (ii) we obtain an opinion from an independent investment banking firm, or another independent entity that commonly renders valuation opinions on the type of target business we are seeking to acquire, that the business combination is fair to our unaffiliated stockholders from a financial point of view.</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a Target Business and Structuring of a Business Combination</w:t>
      </w:r>
    </w:p>
    <w:p>
      <w:pPr>
        <w:spacing w:after="0" w:line="16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Subject to our officers’ and directors’ pre-existing fiduciary duties and the limitations that a target business have a fair market value of at least 80% of the balance in the trust account (excluding taxes payable on the income earned on the trust account)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 Except for the general criteria and guidelines set forth above under the caption “Acquisition Criteria,” we have not established any specific attributes or criteria (financial or otherwise) for prospective target businesses. In evaluating a prospective target business, our management may consider a variety of factors, including one or more of the following:</w:t>
      </w:r>
    </w:p>
    <w:p>
      <w:pPr>
        <w:spacing w:after="0" w:line="10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condition and results of operation;</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potential;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brand recognition and potential;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experience and skill of management and availability of additional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stage of development of the products, processes or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existing distribution and potential for expansion;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degree of current or potential market acceptance of the products, processes or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proprietary aspects of products and the extent of intellectual property or other protection for products or formulas;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of regulation on the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environment of the industry;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effecting the business combination;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industry leadership, sustainability of market share and attractiveness of market industries in which a target business participates; and</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macro competitive dynamics in the industry within which the company competes.</w:t>
      </w:r>
    </w:p>
    <w:p>
      <w:pPr>
        <w:spacing w:after="0" w:line="219" w:lineRule="exact"/>
        <w:rPr>
          <w:sz w:val="20"/>
          <w:szCs w:val="20"/>
          <w:color w:val="auto"/>
        </w:rPr>
      </w:pPr>
    </w:p>
    <w:p>
      <w:pPr>
        <w:ind w:right="180" w:firstLine="648"/>
        <w:spacing w:after="0" w:line="294"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w:t>
      </w:r>
    </w:p>
    <w:p>
      <w:pPr>
        <w:spacing w:after="0" w:line="102"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The time and costs required to select and evaluate a target business and to structure and complete the business combination can only be estimated at this time.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Market Value of Target Business</w:t>
      </w:r>
    </w:p>
    <w:p>
      <w:pPr>
        <w:spacing w:after="0" w:line="164" w:lineRule="exact"/>
        <w:rPr>
          <w:sz w:val="20"/>
          <w:szCs w:val="20"/>
          <w:color w:val="auto"/>
        </w:rPr>
      </w:pPr>
    </w:p>
    <w:p>
      <w:pPr>
        <w:ind w:right="40" w:firstLine="648"/>
        <w:spacing w:after="0" w:line="306" w:lineRule="auto"/>
        <w:rPr>
          <w:sz w:val="20"/>
          <w:szCs w:val="20"/>
          <w:color w:val="auto"/>
        </w:rPr>
      </w:pPr>
      <w:r>
        <w:rPr>
          <w:rFonts w:ascii="Arial" w:cs="Arial" w:eastAsia="Arial" w:hAnsi="Arial"/>
          <w:sz w:val="16"/>
          <w:szCs w:val="16"/>
          <w:color w:val="auto"/>
        </w:rPr>
        <w:t>The target business or businesses that we acquire must collectively have a fair market value equal to at least 80% of the balance of the funds in the trust account (excluding taxes payable on the income earned on the trust account) at the time of the execution of a definitive agreement for our initial business combination, although we may acquire a target business whose fair market value significantly exceeds 80% of the trust account balance.</w:t>
      </w: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9" w:right="31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firstLine="648"/>
        <w:spacing w:after="0" w:line="301" w:lineRule="auto"/>
        <w:rPr>
          <w:sz w:val="20"/>
          <w:szCs w:val="20"/>
          <w:color w:val="auto"/>
        </w:rPr>
      </w:pPr>
      <w:r>
        <w:rPr>
          <w:rFonts w:ascii="Arial" w:cs="Arial" w:eastAsia="Arial" w:hAnsi="Arial"/>
          <w:sz w:val="15"/>
          <w:szCs w:val="15"/>
          <w:color w:val="auto"/>
        </w:rPr>
        <w:t>We currently anticipate structuring a business combination to acquire 100% of the equity interests or assets of the target business or businesses. We may, however, structure our initial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w:t>
      </w:r>
    </w:p>
    <w:p>
      <w:pPr>
        <w:spacing w:after="0" w:line="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100% of the equity interests or assets of a target business or businesses are owned or acquired by the post-transaction company, the portion of such business or businesses that is owned or acquired is what will be valued for purposes of the 80% of trust account balance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 raising arrangement and have no current intention of doing so. The fair market value of the target will be determined by our board of directors based upon one or more standards generally accepted by the financial community (such as actual and potential sales, earnings, cash flow and/or book value).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w:t>
      </w:r>
    </w:p>
    <w:p>
      <w:pPr>
        <w:spacing w:after="0" w:line="111" w:lineRule="exact"/>
        <w:rPr>
          <w:sz w:val="20"/>
          <w:szCs w:val="20"/>
          <w:color w:val="auto"/>
        </w:rPr>
      </w:pPr>
    </w:p>
    <w:p>
      <w:pPr>
        <w:ind w:right="660" w:firstLine="648"/>
        <w:spacing w:after="0" w:line="268" w:lineRule="auto"/>
        <w:rPr>
          <w:sz w:val="20"/>
          <w:szCs w:val="20"/>
          <w:color w:val="auto"/>
        </w:rPr>
      </w:pPr>
      <w:r>
        <w:rPr>
          <w:rFonts w:ascii="Arial" w:cs="Arial" w:eastAsia="Arial" w:hAnsi="Arial"/>
          <w:sz w:val="18"/>
          <w:szCs w:val="18"/>
          <w:color w:val="auto"/>
        </w:rPr>
        <w:t>We will not be required to obtain an opinion from an investment banking firm as to the fair market value if our board of directors independently determines that the target business complies with the 80% threshold.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16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may seek to effect a business combination with more than one target business, and there is no required minimum valuation standard for any target at the time of such acquisition. We expect to complete only a single business combination, although this process may entail the simultaneous acquisitions of several operating businesses.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a business combination with only a single entity, our lack of diversification may:</w:t>
      </w:r>
    </w:p>
    <w:p>
      <w:pPr>
        <w:spacing w:after="0" w:line="107" w:lineRule="exact"/>
        <w:rPr>
          <w:sz w:val="20"/>
          <w:szCs w:val="20"/>
          <w:color w:val="auto"/>
        </w:rPr>
      </w:pPr>
    </w:p>
    <w:p>
      <w:pPr>
        <w:ind w:left="980" w:hanging="324"/>
        <w:spacing w:after="0" w:line="25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us to numerous economic, competitive and regulatory developments, any or all of which may have a substantial adverse impact upon the particular industry in which we may operate subsequent to a business combination, and</w:t>
      </w:r>
    </w:p>
    <w:p>
      <w:pPr>
        <w:ind w:left="980" w:hanging="324"/>
        <w:spacing w:after="0" w:line="26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 in our dependency upon the performance of a single operating business or the development or market acceptance of a single or limited number of products, processes or services.</w:t>
      </w:r>
    </w:p>
    <w:p>
      <w:pPr>
        <w:spacing w:after="0" w:line="192"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If we determine to simultaneously acquire several businesses, and such businesses are owned by different sellers, we will need for each of such sellers to agree that our purchase of its business is contingent on the simultaneous closings of the other acquisitions, which may make it more difficult for us, and delay our ability, to complete the business combination. With multiple acquisitions,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 Business’s Management</w:t>
      </w:r>
    </w:p>
    <w:p>
      <w:pPr>
        <w:spacing w:after="0" w:line="16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Although we intend to scrutinize the management of a prospective target business when evaluating the desirability of effecting a business combination, we cannot assure you that our assessment of the target business’s management will prove to be correct. In addition, we cannot assure you that the future management will have the necessary skills, qualifications or abilities to manage a public company. Furthermore, the future role of our officers and directors, if any, in the target business following a business combination cannot presently be stated with any certainty. While it is possible that some of our key personnel will remain in senior management or advisory positions with us following a business combination, it is possible that they will not devote their full time efforts to our affairs subsequent to a business combination. Moreover, they would only be able to remain with the company after the consummation of a business combination if they are able to negotiate employment or consulting agreements in connection with the business combination. Such negotiations would take place simultaneously with the negotiation of the business combination and will likely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a business combination will not be the determining factor in our decision as to whether or not we will proceed with any potential business combination. Additionally, we cannot assure you that our officers and directors will have significant experience or knowledge relating to the operations of the particular target business.</w:t>
      </w:r>
    </w:p>
    <w:p>
      <w:pPr>
        <w:spacing w:after="0" w:line="327"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any such additional managers we do recruit will have the requisite skills, knowledge or experience necessary to enhance the incumbent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May Not Have the Ability to Approve an Initial Business Combination</w:t>
      </w:r>
    </w:p>
    <w:p>
      <w:pPr>
        <w:spacing w:after="0" w:line="16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stockholders may seek to convert their shares, regardless of whether they vote for or against the proposed business combination,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any or all of his, her or its shares rather than some pro rata portion of his, her or its shares.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Unlike other blank check companies which require stockholder votes and conduct proxy solicitations in conjunction with their initial business combinations and related conversions of public shares for cash upon consummation of such initial business combination even when a vote is not required by law, we will have the flexibility to avoid such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if we seek stockholder approval, a majority of the outstanding shares of common stock voted are voted in favor of the business combination.</w:t>
      </w:r>
    </w:p>
    <w:p>
      <w:pPr>
        <w:spacing w:after="0" w:line="113"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chose our net tangible asset threshold of $5,000,001 to ensure that we would avoid being subject to Rule 419 promulgated under the Securities Act of 1933, as amended.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upon consummation and this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12 months from the closing of the Initial Public Offering (or up to 18 months from the closing of the Initial Public Offering if we extend the period of time to consummate a business combination by the full amount of time) in order to be able to receive a pro rata share of the trust account.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sponsor, officers and directors have agreed (1) to vote any shares of common stock owned by them in favor of any proposed business combination, including the founder’s shares, (2) not to convert any shares of common stock in connection with a stockholder vote to approve a proposed initial business combination and (3) not sell any shares of common stock in any tender in connection with a proposed initial business combination. As a result, we would need only 2,502,251, or approximately 36.3%, of the 6,900,000 public shares sold in the Initial Public Offering to be voted in favor of a transaction in order to have our initial business combination approved (assuming all shares were present and entitled to vote at the meeting, and that the 120,000 shares to be issued to EarlyBirdCapital upon the consummation of the Initial Public Offering are voted in favor of the transaction).</w:t>
      </w:r>
    </w:p>
    <w:p>
      <w:pPr>
        <w:spacing w:after="0" w:line="10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None of our officers, directors, sponsor or their affiliates has indicated any intention to purchase units or shares of common stock from persons in the open market or in private transactions. However, if we hold a meeting to approve a proposed business combination and a significant number of stockholders vote, or indicate an intention to vote, against such proposed business combination, our officers, directors, sponsor or their affiliates could make such purchases in the open market or in private transactions in order to influence the vote. Notwithstanding the foregoing, our officers, directors, sponsor and their affiliates will not make purchases of shares of common stock if the purchases would violate Section 9(a)(2) or Rule 10b-5 of the Exchange Act, which are rules designed to stop potential manipulation of a company’s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16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At any meeting called to approve an initial business combination, public stockholders may seek to convert their shares, regardless of whether they vote for or against the proposed business combination, into their pro rata share of the aggregate amount then on deposit in the trust account as of two business days prior to the consummation of the initial business combination, less any taxes then due but not yet paid (which taxes may be paid only from the interest earned on the funds in the trust account). Alternatively, we may provide our public stockholders with the opportunity to sell their shares of our common stock to us through a tender offer (and thereby avoid the need for a stockholder vote) for an amount equal to their pro rata share of the aggregate amount then on deposit in the trust account, less any taxes then due but not yet paid.</w:t>
      </w:r>
    </w:p>
    <w:p>
      <w:pPr>
        <w:spacing w:after="0" w:line="107"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color w:val="auto"/>
        </w:rPr>
        <w:t>We may require public stockholders seeking conversion, whether they are a record holder or hold their shares in “street name,” to either (i) tender their certificates to our transfer agent or (ii) deliver their shares to the transfer agent electronically using Depository Trust Company’s DWAC (Deposit/Withdrawal At Custodian) System, at the holder’s option, in each case prior to a date set forth in the proxy materials sent in connection with the proposal to approve the business combination.</w:t>
      </w:r>
    </w:p>
    <w:p>
      <w:pPr>
        <w:spacing w:after="0" w:line="130"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There is a nominal cost associated with the above-referenced delivery process and the act of certificating the shares or delivering them through the DWAC System. The transfer agent will typically charge the tendering broker $45.00 and it would be up to the broker whether to pass this cost on to the holder. However, this fee would be incurred regardless of whether we require holders seeking to exercise conversion rights to tender their shares.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10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Any proxy solicitation materials we furnish to stockholders in connection with a vote for any proposed business combination will indicate whether we are requiring stockholders to satisfy such certification and delivery requirements. Accordingly, a stockholder would have from the time the stockholder received our proxy statement up until the vote on the proposal to approve the business combination to deliver his shares if he wishes to seek to exercise his conversion rights. This time period varies depending on the specific facts of each transaction. However, as the delivery process can be accomplished by the stockholder, whether or not he is a record holder or his shares are held in “street name,” in a matter of hours by simply contacting the transfer agent or his broker and requesting delivery of his shares through the DWAC System, we believe this time period is sufficient for an average investor. However, we cannot assure you of this fact. Please see the risk factor titled “</w:t>
      </w:r>
      <w:r>
        <w:rPr>
          <w:rFonts w:ascii="Arial" w:cs="Arial" w:eastAsia="Arial" w:hAnsi="Arial"/>
          <w:sz w:val="16"/>
          <w:szCs w:val="16"/>
          <w:i w:val="1"/>
          <w:iCs w:val="1"/>
          <w:color w:val="auto"/>
        </w:rPr>
        <w:t>In connection with any stockholder meeting called to approve a proposed initial business combination, we may require</w:t>
      </w:r>
      <w:r>
        <w:rPr>
          <w:rFonts w:ascii="Arial" w:cs="Arial" w:eastAsia="Arial" w:hAnsi="Arial"/>
          <w:sz w:val="16"/>
          <w:szCs w:val="16"/>
          <w:color w:val="auto"/>
        </w:rPr>
        <w:t xml:space="preserve"> </w:t>
      </w:r>
      <w:r>
        <w:rPr>
          <w:rFonts w:ascii="Arial" w:cs="Arial" w:eastAsia="Arial" w:hAnsi="Arial"/>
          <w:sz w:val="16"/>
          <w:szCs w:val="16"/>
          <w:i w:val="1"/>
          <w:iCs w:val="1"/>
          <w:color w:val="auto"/>
        </w:rPr>
        <w:t>stockholders who wish to convert their shares in connection with a proposed business combination to comply with specific requirements for conversion that may make it more difficult for them to exercise their conversion rights prior to the deadline for exercising their rights.</w:t>
      </w:r>
      <w:r>
        <w:rPr>
          <w:rFonts w:ascii="Arial" w:cs="Arial" w:eastAsia="Arial" w:hAnsi="Arial"/>
          <w:sz w:val="16"/>
          <w:szCs w:val="16"/>
          <w:color w:val="auto"/>
        </w:rPr>
        <w:t>” for further information on the risks of failing to</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these requirements.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foregoing is different from the procedures historically used by some blank check companies. Traditionally, in order to perfect conversion rights in connection with a blank check company’s business combination, the company would distribute proxy materials for the stockholders’ vote on an initial business combination, and a holder could simply vote against a proposed business combination and check a box on the proxy card indicating such holder was seeking to exercise his conversion rights. After the business combination was approved, the company would contact such stockholder to arrange for him to deliver his certificate to verify ownership. As a result, the stockholder then had an “option window” after the consummation of the business combination during which he could monitor the price of the company’s stock in the market. If the price rose above the conversion price, he could sell his shares in the open market before actually delivering his shares to the company for cancellation. As a result, the conversion rights, to which stockholders were aware they needed to commit before the stockholder meeting, would become a “continuing” right surviving past the consummation of the business combination until the holder delivered its certificate. The requirement for physical or electronic delivery prior to the meeting ensures that a holder’s election to convert his shares is irrevocable once the business combination is approved.</w:t>
      </w:r>
    </w:p>
    <w:p>
      <w:pPr>
        <w:spacing w:after="0" w:line="10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Any request to convert such shares once made, may be withdrawn at any time up to the vote on the proposed business combination. Furthermore, if a holder of a public share of common stock delivered his certificate in connection with an election of their conversion and subsequently decides prior to the vote on the proposed business combination not to elect to exercise such rights, he may simply request that the transfer agent return the certificate (physically or electronically).</w:t>
      </w:r>
    </w:p>
    <w:p>
      <w:pPr>
        <w:spacing w:after="0" w:line="130" w:lineRule="exact"/>
        <w:rPr>
          <w:sz w:val="20"/>
          <w:szCs w:val="20"/>
          <w:color w:val="auto"/>
        </w:rPr>
      </w:pPr>
    </w:p>
    <w:p>
      <w:pPr>
        <w:ind w:right="120" w:firstLine="648"/>
        <w:spacing w:after="0" w:line="306" w:lineRule="auto"/>
        <w:rPr>
          <w:sz w:val="20"/>
          <w:szCs w:val="20"/>
          <w:color w:val="auto"/>
        </w:rPr>
      </w:pPr>
      <w:r>
        <w:rPr>
          <w:rFonts w:ascii="Arial" w:cs="Arial" w:eastAsia="Arial" w:hAnsi="Arial"/>
          <w:sz w:val="16"/>
          <w:szCs w:val="16"/>
          <w:color w:val="auto"/>
        </w:rPr>
        <w:t>If the initial business combination is not approved or completed for any reason, then our public stockholders who elected to exercise their conversion rights would not be entitled to convert their shares for the applicable pro rata share of the trust account as of two business days prior to the consummation of the initial business combination. In such case, we will promptly return any shares delivered by public holders.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Extend Time to Complete Business Combination</w:t>
      </w:r>
    </w:p>
    <w:p>
      <w:pPr>
        <w:spacing w:after="0" w:line="15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will have until 12 months from the closing of the Initial Public Offering to consummate an initial business combination. However, if we anticipate that we may not be able to consummate our initial business combination within 12 months, we may extend the period of time to consummate a business combination up to two times, each by an additional three months (for a total of up to 18 months to complete a business combination). Pursuant to the terms of our amended and restated certificate of incorporation and the Investment Management Trust Account Agreement, dated November 20, 2017, between Continental Stock Transfer &amp; Trust Company and us, in order to extend the time available for us to consummate our initial business combination, our sponsor or its affiliates or designees, upon five days advance notice prior to the applicable deadline, must deposit into the trust account $690,000 ($0.10 per share) on or prior to the date of the applicable deadline, for each three month extension (or up to an aggregate of $1,380,000), or $0.20 per share, if we extend for the full six months). In the event that we receive notice from our sponsor five days prior to the applicable deadline of its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sponsor and its affiliates or designees are not obligated to fund the trust account to extend the time for us to complete our initial business combination.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if No Business Combination</w:t>
      </w:r>
    </w:p>
    <w:p>
      <w:pPr>
        <w:spacing w:after="0" w:line="16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amended and restated certificate of incorporation provides that we will have only 12 months from the closing of the Initial Public Offering (or up to 18 months from the closing of the Initial Public Offering if we extend the period of time to consummate a business combination by the full amount of time) to complete an initial business combination. If we have not completed an initial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earned on the funds held in the trust account net of interest that may be used by us to pay our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9" w:right="29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Our sponsor, officers and directors have agreed that they will not propose any amendment to our amended and restated certificate of incorporation that would restrict our public stockholders from converting or selling their shares to us in connection with a business combination or affect the substance or timing of our obligation to redeem 100% of our public shares if we do not complete a business combination within 12 months from the closing of the Initial Public Offering (or up to 18 months from the closing of the Initial Public Offering if we extend the period of time to consummate a business combination by the full amount of time) unless we provide our public stockholders with the opportunity to convert their shares of common stock upon such approval at a per-share price, payable in cash, equal to the aggregate amount then on deposit in the trust account, including interest not previously released to us but net of franchise and income taxes payable, divided by the number of then outstanding public shares. This redemption right shall apply in the event of the approval of any such amendment, whether proposed by our sponsor, any executive officer, director or director nominee, or any other person.</w:t>
      </w:r>
    </w:p>
    <w:p>
      <w:pPr>
        <w:spacing w:after="0" w:line="10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0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If we are unable to complete a business combination within the prescribed time frame,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earned on the funds held in the trust account net of interest that may be used by us to pay our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Accordingly, it is our intention to redeem our public shares as soon as reasonably possible following the 12-month anniversary of the closing of the Initial Public Offering (or up to 18-months if we extend the period of time to consummate a business combination by the full amount of time),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13" w:lineRule="exact"/>
        <w:rPr>
          <w:sz w:val="20"/>
          <w:szCs w:val="20"/>
          <w:color w:val="auto"/>
        </w:rPr>
      </w:pPr>
    </w:p>
    <w:p>
      <w:pPr>
        <w:ind w:right="180" w:firstLine="648"/>
        <w:spacing w:after="0" w:line="294" w:lineRule="auto"/>
        <w:rPr>
          <w:sz w:val="20"/>
          <w:szCs w:val="20"/>
          <w:color w:val="auto"/>
        </w:rPr>
      </w:pPr>
      <w:r>
        <w:rPr>
          <w:rFonts w:ascii="Arial" w:cs="Arial" w:eastAsia="Arial" w:hAnsi="Arial"/>
          <w:sz w:val="16"/>
          <w:szCs w:val="16"/>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firstLine="648"/>
        <w:spacing w:after="0" w:line="304" w:lineRule="auto"/>
        <w:rPr>
          <w:sz w:val="20"/>
          <w:szCs w:val="20"/>
          <w:color w:val="auto"/>
        </w:rPr>
      </w:pPr>
      <w:r>
        <w:rPr>
          <w:rFonts w:ascii="Arial" w:cs="Arial" w:eastAsia="Arial" w:hAnsi="Arial"/>
          <w:sz w:val="15"/>
          <w:szCs w:val="15"/>
          <w:color w:val="auto"/>
        </w:rPr>
        <w:t>We are required to use our reasonable best efforts to have all third parties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we cannot assure you of this fact as there is no guarantee that vendors, service providers and prospective target businesses will execute such agreements.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Our underwriters and auditor are the only third parties we are currently aware of that may not execute a waiver. Nor is there any guarantee that, even if they execute such agreements with us, they will not seek recourse against the trust account. A/Z Property Partners, LLC ("A/Z Property"), an entity majority owned by Richard Ackerman, our Chairman, President and Chief Executive Officer,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We believe A/Z Property has sufficient net worth to satisfy its indemnity obligation should it arise, however we cannot assure you that A/Z Property will have sufficient liquid assets to satisfy such obligations if it is required to do so. Additionally, the agreement entered into by A/Z Property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the Initial Public Offering against certain liabilities, including liabilities under the Securities Act. As a result, if we liquidate, the per-share distribution from the trust account could be less than $10.00 due to claims or potential claims of creditors. We will distribute to all of our public stockholders, in proportion to their respective equity interests, an aggregate amount then on deposit in the trust account, including any interest earned on the funds held in the trust account net of interest that may be used by us to pay our franchise and income taxes payable.</w:t>
      </w:r>
    </w:p>
    <w:p>
      <w:pPr>
        <w:spacing w:after="0" w:line="314"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anticipate notifying the trustee of the trust account to begin liquidating such assets promptly after such date and anticipate it will take no more than 10 business days to effect such a distribution. Our sponsor has waived its rights to participate in any liquidation distribution with respect to the founder’s shares and any shares, rights or warrants included in the private placement units. Additionally, any loans made by our officers, directors, sponsors or their affiliates for working capital needs will be forgiven and not repaid if we are unable to complete an initial business combination. There will be no distribution from the trust account with respect to our rights or warrants, including the rights or warrants contained in the private placement units, which will expire worthless. We will pay the costs of any subsequent liquidation from our remaining assets outside of the trust account. If such funds are insufficient, A/Z Property has agreed to pay the funds necessary to complete such liquidation (currently anticipated to be no more than approximately $15,000) and has agreed not to seek repayment for such expenses.</w:t>
      </w:r>
    </w:p>
    <w:p>
      <w:pPr>
        <w:spacing w:after="0" w:line="132"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If we are unable to complete an initial business combination and expend all of the net proceeds of the Initial Public Offering and the sale of the private placement units, other than the proceeds deposited in the trust account, and without taking into account interest, if any, earned on the trust account, the initial per-share redemption price would be $10.00. The proceeds deposited in the trust account could, however, become subject to claims of our creditors that are in preference to the claims of public stockholders.</w:t>
      </w:r>
    </w:p>
    <w:p>
      <w:pPr>
        <w:spacing w:after="0" w:line="130" w:lineRule="exact"/>
        <w:rPr>
          <w:sz w:val="20"/>
          <w:szCs w:val="20"/>
          <w:color w:val="auto"/>
        </w:rPr>
      </w:pPr>
    </w:p>
    <w:p>
      <w:pPr>
        <w:ind w:right="240" w:firstLine="648"/>
        <w:spacing w:after="0" w:line="298"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a business combination within the required time period or if the stockholders seek to have us convert or purchase their respective shares upon a business combination which is actually completed by us or upon certain amendments to our amended and restated certificate of incorporation as described elsewhere herein. In no other circumstances shall a stockholder have any right or interest of any kind to or in the trust account.</w:t>
      </w:r>
    </w:p>
    <w:p>
      <w:pPr>
        <w:spacing w:after="0" w:line="99"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share.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the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6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amended and restated certificate of incorporation contains certain requirements and restrictions that will apply to us until the consummation of our initial business combination. These provisions cannot be amended without the approval of a majority of our stockholders. If we seek to amend any provisions of our amended and restated certificate of incorporation that would restrict our public stockholders from converting or selling their shares to us in connection with a business combination or affect the substance or timing of our obligation to redeem 100% of our public shares if we do not complete a business combination within 12 months from the closing of the Initial Public Offering (or up to 18 months from the closing of the Initial Public Offering if we extend the period of time to consummate a business combination by the full amount of time), we will provide dissenting public stockholders with the opportunity to convert their public shares in connection with any such vote. This redemption right shall apply in the event of the approval of any such amendment, whether proposed by our sponsor, any executive officer, director or director nominee, or any other person. Our sponsor, officers and directors have agreed to waive any conversion rights with respect to any founder’s shares and any public shares they may hold in connection with any vote to amend our amended and restated certificate of incorporation. Specifically, our amended and restated certificate of incorporation provides, among other things, that:</w:t>
      </w:r>
    </w:p>
    <w:p>
      <w:pPr>
        <w:spacing w:after="0" w:line="109" w:lineRule="exact"/>
        <w:rPr>
          <w:sz w:val="20"/>
          <w:szCs w:val="20"/>
          <w:color w:val="auto"/>
        </w:rPr>
      </w:pPr>
    </w:p>
    <w:p>
      <w:pPr>
        <w:ind w:left="980" w:right="60" w:hanging="324"/>
        <w:spacing w:after="0" w:line="283"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shall either (1) seek stockholder approval of our initial business combination at a meeting called for such purpose at which stockholders may seek to convert their shares, regardless of whether they vote for or against the proposed business combination,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2" w:lineRule="exact"/>
        <w:rPr>
          <w:rFonts w:ascii="Arial" w:cs="Arial" w:eastAsia="Arial" w:hAnsi="Arial"/>
          <w:sz w:val="16"/>
          <w:szCs w:val="16"/>
          <w:color w:val="auto"/>
        </w:rPr>
      </w:pPr>
    </w:p>
    <w:p>
      <w:pPr>
        <w:ind w:left="980" w:right="100" w:hanging="324"/>
        <w:spacing w:after="0" w:line="281"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will consummate our initial business combination only if we have net tangible assets of at least $5,000,001 upon such consummation and, if we seek stockholder approval, a majority of the outstanding shares of common stock voted are voted in favor of the business combination;</w:t>
      </w:r>
    </w:p>
    <w:p>
      <w:pPr>
        <w:spacing w:after="0" w:line="1"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12 months from the closing of the Initial Public Offering (or up to 18 months from the closing of the Initial Public Offering if we extend the period of time to consummate a business combination by the full amount of time), then we will redeem all of the outstanding public shares and thereafter liquidate and dissolve our company;</w:t>
      </w:r>
    </w:p>
    <w:p>
      <w:pPr>
        <w:spacing w:after="0" w:line="1"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the consummation of the Initial Public Offering, $60.0 million, or approximately $69.0 million if the over-allotment option is exercised in full, shall be placed into the trust account;</w:t>
      </w:r>
    </w:p>
    <w:p>
      <w:pPr>
        <w:ind w:left="980" w:right="52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ind w:left="980" w:right="220" w:hanging="324"/>
        <w:spacing w:after="0" w:line="26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stock that participates in any manner in the proceeds of the trust account, or that votes as a class with the common stock sold in this offering on any matter.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While we believe there may be numerous potential target businesses that we could acquire with the net proceeds of the Initial Public Offering and the sale of the private placement units, our ability to compete in acquiring certain sizable target businesses may be limited by our available financial resources.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158"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obligation to seek stockholder approval of a business combination or engage in a tender offer may delay the completion of a transaction;</w:t>
      </w:r>
    </w:p>
    <w:p>
      <w:pPr>
        <w:spacing w:after="0" w:line="38" w:lineRule="exact"/>
        <w:rPr>
          <w:rFonts w:ascii="Arial" w:cs="Arial" w:eastAsia="Arial" w:hAnsi="Arial"/>
          <w:sz w:val="16"/>
          <w:szCs w:val="16"/>
          <w:color w:val="auto"/>
        </w:rPr>
      </w:pPr>
    </w:p>
    <w:p>
      <w:pPr>
        <w:ind w:left="980" w:right="42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obligation to convert or repurchase shares of common stock held by our public stockholders may reduce the resources available to us for a business combination; and</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outstanding rights or warrants and unit purchase options, and the potential future dilution they represent.</w:t>
      </w:r>
    </w:p>
    <w:p>
      <w:pPr>
        <w:spacing w:after="0" w:line="219"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privately-held entities having a similar business objective as ours in acquiring a target business with significant growth potential on favorable terms.</w:t>
      </w:r>
    </w:p>
    <w:p>
      <w:pPr>
        <w:spacing w:after="0" w:line="93"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have three executive officers who receive no compensation from the Company.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of the company. Accordingly, once a suitable target business to acquire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such amount of time as they reasonably believe is necessary to our business. We do not intend to have any employees prior to the consummation of a business combination.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6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registered our units, common stock, rights and warrants under the Exchange Act and have reporting obligations, including the requirement that we file annual, quarterly and current reports with the SEC. In accordance with the requirements of the Exchange Act, this 2017 Form 10-K contains financial statements audited and reported on by our independent registered public accountants.</w:t>
      </w:r>
    </w:p>
    <w:p>
      <w:pPr>
        <w:spacing w:after="0" w:line="127"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We will provide stockholders with audited financial statements of the prospective target business as part of any proxy solicitation as issued by the International Accounting Standards Board materials or tender offer documents sent to stockholders to assist them in assessing the target business. These financial statements will need to be prepared in accordance with or reconciled to United States generally accepted accounting principles or international financial reporting standards. We cannot assure you that any particular target business identified by us as a potential acquisition candidate will have the necessary financial statements. To the extent that this requirement cannot be met, we may not be able to acquire the proposed target business.</w:t>
      </w:r>
    </w:p>
    <w:p>
      <w:pPr>
        <w:spacing w:after="0" w:line="102"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We may be required to have our internal control procedures audited for the fiscal year ending December 31, 2018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64"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Our business, financial condition, operating results, and cash flows may be impacted by a number of factors, many of which are beyond our control, including those set forth below and elsewhere in this 2017 Form 10-K, the occurrence of any one of which could have a material adverse effect on our actual results.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no operating history and, accordingly, you will not have any basis on which to evaluate our ability to achieve our business objective.</w:t>
      </w:r>
    </w:p>
    <w:p>
      <w:pPr>
        <w:spacing w:after="0" w:line="187" w:lineRule="exact"/>
        <w:rPr>
          <w:sz w:val="20"/>
          <w:szCs w:val="20"/>
          <w:color w:val="auto"/>
        </w:rPr>
      </w:pPr>
    </w:p>
    <w:p>
      <w:pPr>
        <w:jc w:val="both"/>
        <w:ind w:right="100" w:firstLine="648"/>
        <w:spacing w:after="0" w:line="298" w:lineRule="auto"/>
        <w:rPr>
          <w:sz w:val="20"/>
          <w:szCs w:val="20"/>
          <w:color w:val="auto"/>
        </w:rPr>
      </w:pPr>
      <w:r>
        <w:rPr>
          <w:rFonts w:ascii="Arial" w:cs="Arial" w:eastAsia="Arial" w:hAnsi="Arial"/>
          <w:sz w:val="16"/>
          <w:szCs w:val="16"/>
          <w:color w:val="auto"/>
        </w:rPr>
        <w:t>We have no operating results to date. Therefore, our ability to commence operations is dependent upon obtaining financing through the public offering of our securities. Since we do not have an operating history, you will have no basis upon which to evaluate our ability to achieve our business objective, which is to consummate an initial business combination. We have not conducted any substantive discussions and we have no plans, arrangements or understandings with any prospective acquisition candidates. We will not generate any revenues until, at the earliest, after the consummation of a business combination.</w:t>
      </w:r>
    </w:p>
    <w:p>
      <w:pPr>
        <w:spacing w:after="0" w:line="9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If we are unable to consummate a business combination, our public stockholders may be forced to wait more than 12 months (or up to 18 months from the closing of the Initial Public Offering if we extend the period of time to consummate a business combination by the full amount of time) before receiving distributions from the trust account.</w:t>
      </w:r>
    </w:p>
    <w:p>
      <w:pPr>
        <w:spacing w:after="0" w:line="1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have 12 months from the closing of the Initial Public Offering (or up to 18 months from the closing of t the Initial Public Offering if we extend the period of time to consummate a business combination by the full amount of time) in which to complete a business combination. We have no obligation to return funds to investors prior to such date unless (i) we consummate a business combination prior thereto or (ii) we seek to amend our amended and restated certificate of incorporation prior to consummation of a business combination, and only then in cases where investors have sought to convert or sell their shares to us. Only after the expiration of this full time period will public security holders be entitled to distributions from the trust account if we are unable to complete a business combination. Accordingly, investors’ funds may be unavailable to them until after such date and to liquidate your investment, public security holders may be forced to sell their public shares or warrants, potentially at a loss.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public stockholders may not be afforded an opportunity to vote on our proposed business combination.</w:t>
      </w:r>
    </w:p>
    <w:p>
      <w:pPr>
        <w:spacing w:after="0" w:line="164"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We will either (1) seek stockholder approval of our initial business combination at a meeting called for such purpose at which public stockholders may seek to convert their shares, regardless of whether they vote for or against the proposed business combination,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elsewhere in this Report. Accordingly, it is possible that we will consummate our initial business combination even if holders of a majority of our public shares do not approve of the business combination we consummate.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not be entitled to protections normally afforded to investors of blank check companies.</w:t>
      </w:r>
    </w:p>
    <w:p>
      <w:pPr>
        <w:spacing w:after="0" w:line="16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Since the net proceeds of the Initial Public Offering and the sale of the private placement units are intended to be used to complete a business combination with a target business that has not been identified, we are deemed to be a “blank check” company under the United States securities laws. However, since we have net tangible assets in excess of $5,000,000 as a result of the Initial Public Offering, we are exempt from rules promulgated by the SEC to protect investors of blank check companies such as Rule 419. Accordingly, investors will not be afforded the benefits or protections of those rules which would, for example, completely restrict the transferability of our securities, require us to complete a business combination within 18 months of the effective date of the initial registration statement and restrict the use of interest earned on the funds held in the trust account. Because we are not subject to Rule 419, our units are immediately tradable, we are entitled to withdraw amounts from the funds held in the trust account prior to the completion of a business combination and we have a longer period of time to complete such a business combination than we would if we were subject to such rule.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If we determine to change our acquisition criteria or guidelines, many of the disclosures contained in this Report would be rendered irrelevant and you would be investing in our company without any basis on which to evaluate the potential target business we may acquire.</w:t>
      </w:r>
    </w:p>
    <w:p>
      <w:pPr>
        <w:spacing w:after="0" w:line="6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could seek to deviate from the acquisition criteria or guidelines disclosed in this Report although we have no current intention to do so. For instance, we currently anticipate acquiring a target business with a consistent historical financial performance. However, we are not obligated to do so and may determine to merge with or acquire a company with no operating history if the terms of the transaction are determined by us to be favorable to our public stockholders. In such event, many of the acquisition criteria and guidelines set forth in this Report would be rendered irrelevant. We could also seek to amend our amended and restated certificate of incorporation to provide us with more time to complete an initial business combination. Accordingly, investors may be making an investment in our company without any basis on which to evaluate the potential target business we may acquire.</w:t>
      </w:r>
    </w:p>
    <w:p>
      <w:pPr>
        <w:spacing w:after="0" w:line="10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may issue shares of our capital stock or debt securities to complete a business combination, which would reduce the equity interest of our stockholders and likely cause a change in control of our ownership.</w:t>
      </w:r>
    </w:p>
    <w:p>
      <w:pPr>
        <w:spacing w:after="0" w:line="11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amended and restated certificate of incorporation authorizes the issuance of up to 100,000,000 shares of common stock, par value $0.001 per share, and 1,000,000 shares of preferred stock, par value $0.001 per share. As of March 21, 2018, there are 85,701,000 authorized but unissued shares of common stock available for issuance, which amount takes into account shares reserved for issuance upon exercise of the underwriter’s option, conversion of outstanding rights (including private placement rights and the rights underlying the underwriter's option) and warrants (including the warrants contained in the private placement units and the underwriter’s option). As of March 21, 2018, there are no shares of preferred stock issued and outstanding. Although we have no commitment as of the date of this 2017 Form 10-K, we may issue a substantial number of additional shares of common stock or shares of preferred stock, or a combination of common stock and preferred stock, to complete a business combination. The issuance of additional shares of common stock will not reduce the per-share conversion amount in the trust account. The issuance of additional shares of common stock or preferred stock:</w:t>
      </w:r>
    </w:p>
    <w:p>
      <w:pPr>
        <w:spacing w:after="0" w:line="10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the Initial Public Offering;</w:t>
      </w:r>
    </w:p>
    <w:p>
      <w:pPr>
        <w:spacing w:after="0" w:line="15" w:lineRule="exact"/>
        <w:rPr>
          <w:rFonts w:ascii="Arial" w:cs="Arial" w:eastAsia="Arial" w:hAnsi="Arial"/>
          <w:sz w:val="18"/>
          <w:szCs w:val="18"/>
          <w:color w:val="auto"/>
        </w:rPr>
      </w:pPr>
    </w:p>
    <w:p>
      <w:pPr>
        <w:ind w:left="980" w:right="36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ind w:left="980" w:right="260" w:hanging="324"/>
        <w:spacing w:after="0" w:line="281"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shares of common stock.</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5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 business combination are insufficient to repay our debt obligations;</w:t>
      </w:r>
    </w:p>
    <w:p>
      <w:pPr>
        <w:spacing w:after="0" w:line="38" w:lineRule="exact"/>
        <w:rPr>
          <w:rFonts w:ascii="Arial" w:cs="Arial" w:eastAsia="Arial" w:hAnsi="Arial"/>
          <w:sz w:val="16"/>
          <w:szCs w:val="16"/>
          <w:color w:val="auto"/>
        </w:rPr>
      </w:pPr>
    </w:p>
    <w:p>
      <w:pPr>
        <w:ind w:left="980" w:right="660" w:hanging="324"/>
        <w:spacing w:after="0" w:line="281"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9"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92" w:lineRule="exact"/>
        <w:rPr>
          <w:sz w:val="20"/>
          <w:szCs w:val="20"/>
          <w:color w:val="auto"/>
        </w:rPr>
      </w:pPr>
    </w:p>
    <w:p>
      <w:pPr>
        <w:ind w:right="640" w:firstLine="648"/>
        <w:spacing w:after="0" w:line="268" w:lineRule="auto"/>
        <w:rPr>
          <w:sz w:val="20"/>
          <w:szCs w:val="20"/>
          <w:color w:val="auto"/>
        </w:rPr>
      </w:pPr>
      <w:r>
        <w:rPr>
          <w:rFonts w:ascii="Arial" w:cs="Arial" w:eastAsia="Arial" w:hAnsi="Arial"/>
          <w:sz w:val="18"/>
          <w:szCs w:val="18"/>
          <w:color w:val="auto"/>
        </w:rPr>
        <w:t>If we incur indebtedness, our lenders will not have a claim on the cash in the trust account and such indebtedness will not decrease the per-share conversion amount in the trust account.</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both"/>
        <w:ind w:right="120"/>
        <w:spacing w:after="0" w:line="339" w:lineRule="auto"/>
        <w:rPr>
          <w:sz w:val="20"/>
          <w:szCs w:val="20"/>
          <w:color w:val="auto"/>
        </w:rPr>
      </w:pPr>
      <w:r>
        <w:rPr>
          <w:rFonts w:ascii="Arial" w:cs="Arial" w:eastAsia="Arial" w:hAnsi="Arial"/>
          <w:sz w:val="15"/>
          <w:szCs w:val="15"/>
          <w:b w:val="1"/>
          <w:bCs w:val="1"/>
          <w:color w:val="auto"/>
        </w:rPr>
        <w:t>If the net proceeds of the Initial Public Offering and the sale of the private placement units not being held in trust are insufficient to allow us to operate for at least 12 months from the closing of the Initial Public Offering (or up to 18 months from the closing of the Initial Public Offering if we extend the period of time to consummate a business combination by the full amount of time), we may be unable to complete a business combination.</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the funds available to us outside of the trust account will be sufficient to allow us to operate for at least the 12 months from the closing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the Initial Public Offering (or up to 18 months from the closing of the Initial Public Offering if we extend the period of time to consummate a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combination by the full amount of time), assuming that a business combination is not consummated during that time. However, we cannot assure you that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estimates will be accurate. Accordingly, if we use all of the funds held outside of the trust account, we may not have sufficient funds available with which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structure, negotiate or close an initial business combination. In such event, we would need to borrow funds from our sponsor, officers or directors or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affiliates to operate or may be forced to liquidate. Our sponsor, officers, directors and their affiliates may, but are not obligated to, loan us funds, from time to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at any time, in whatever amount that they deem reasonable in their sole discretion for our working capital needs. Each loan would be evidenced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 The notes would either be paid upon consummation of our initial business combination, without interest, or, at holder’s discretion,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$1,500,000 of the notes may be converted into private units at a price of $10.00 per unit (which, for example, would result in the holders being issued 165,000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if $1,500,000 of notes were so converted since the 150,000 rights included in such units would result in the issuance of 15,000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of our business combination, as well as 75,000 warrants to purchase 75,000 shares).</w:t>
      </w:r>
    </w:p>
    <w:p>
      <w:pPr>
        <w:spacing w:after="0" w:line="14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If third parties bring claims against us, the proceeds held in trust could be reduced and the per-share redemption price received by stockholders may be less than $10.00.</w:t>
      </w:r>
    </w:p>
    <w:p>
      <w:pPr>
        <w:spacing w:after="0" w:line="112"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Our placing of funds in trust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 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trust could be subject to claims which could take priority over those of our public stockholders. If we are unable to complete a business combination and distribute the proceeds held in trust to our public stockholders, A/Z Property has agreed (subject to certain exceptions described elsewhere in this Report) that it will be liable to ensure that the proceeds in the trust account are not reduced below $10.00 per share by the claims of target businesses or claims of vendors or other entities that are owed money by us for services rendered or contracted for or products sold to us. We believe A/Z Property has sufficient net worth to satisfy its indemnity obligation should it arise, however we cannot assure you that A/Z Property will have sufficient liquid assets to satisfy obligations if it is required to do so. Additionally, the agreement entered into by A/Z Property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the Initial Public Offering against certain liabilities, including liabilities under the Securities Act. Therefore, the per-share distribution from the trust account may be less than $10.00, plus interest, due to such claims.</w:t>
      </w:r>
    </w:p>
    <w:p>
      <w:pPr>
        <w:spacing w:after="0" w:line="115"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may not be able to return to our public stockholders at least $10.00 per share. As a result, if any such claims were successfully made against the trust account, the funds available for our initial business combination and redemptions could be reduced to less than $10.00 per public share.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w:t>
      </w:r>
    </w:p>
    <w:p>
      <w:pPr>
        <w:spacing w:after="0" w:line="164"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amended and restated certificate of incorporation provides that we will continue in existence only until 12 months from the closing of the Initial Public Offering (or up to 18 months from the closing of the Initial Public Offering if we extend the period of time to consummate a business combination by the full amount of time). If we have not completed a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earned on the funds held in the trust account net of interest that may be used by us to pay our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we cannot assure you that third parties will not seek to recover from our stockholders amounts owed to them by us.</w:t>
      </w:r>
    </w:p>
    <w:p>
      <w:pPr>
        <w:spacing w:after="0" w:line="10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9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Our directors may decide not to enforce A/Z Property's indemnification obligations, resulting in a reduction in the amount of funds in the trust account available for distribution to our public stockholders.</w:t>
      </w:r>
    </w:p>
    <w:p>
      <w:pPr>
        <w:spacing w:after="0" w:line="11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the event that the proceeds in the trust account are reduced below $10.00 per public share and A/Z Property asserts that it is unable to satisfy its obligations or that it has no indemnification obligations related to a particular claim, our independent directors would determine whether to take legal action against A/Z Property to enforce such indemnification obligations. While we currently expect that our independent directors would take legal action on our behalf against A/Z Property to enforce such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stockholders may be reduced below $10.00 per share.</w:t>
      </w:r>
    </w:p>
    <w:p>
      <w:pPr>
        <w:spacing w:after="0" w:line="10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do not file and maintain a current and effective prospectus relating to the common stock issuable upon exercise of the warrants, holders will only be able to exercise such warrants on a “cashless basis.”</w:t>
      </w:r>
    </w:p>
    <w:p>
      <w:pPr>
        <w:spacing w:after="0" w:line="112" w:lineRule="exact"/>
        <w:rPr>
          <w:sz w:val="20"/>
          <w:szCs w:val="20"/>
          <w:color w:val="auto"/>
        </w:rPr>
      </w:pPr>
    </w:p>
    <w:p>
      <w:pPr>
        <w:ind w:firstLine="648"/>
        <w:spacing w:after="0" w:line="310" w:lineRule="auto"/>
        <w:rPr>
          <w:sz w:val="20"/>
          <w:szCs w:val="20"/>
          <w:color w:val="auto"/>
        </w:rPr>
      </w:pPr>
      <w:r>
        <w:rPr>
          <w:rFonts w:ascii="Arial" w:cs="Arial" w:eastAsia="Arial" w:hAnsi="Arial"/>
          <w:sz w:val="15"/>
          <w:szCs w:val="15"/>
          <w:color w:val="auto"/>
        </w:rPr>
        <w:t>If we do not file and maintain a current and effective prospectus relating to the common stock issuable upon exercise of the warrants at the time that holders wish to exercise such warrants, they will only be able to exercise them on a “cashless basis” provided that an exemption from registration is available. As a result, the number of shares of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common stock issuable upon exercise of the warrants is available. Under the terms of the warrant agreement, we have agreed to use our best efforts to meet these conditions and to file and maintain a current and effective prospectus relating to the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An investor will only be able to exercise a warrant if the issuance of shares of common stock upon such exercise has been registered or qualified or is deemed exempt under the securities laws of the state of residence of the holder of the warrants.</w:t>
      </w:r>
    </w:p>
    <w:p>
      <w:pPr>
        <w:spacing w:after="0" w:line="112"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No warrants will be exercisable and we will not be obligated to issue shares of common stock unless the shares of common stock issuable upon such exercise has been registered or qualified or deemed to be exempt under the securities laws of the state of residence of the holder of the warrants. If the shares of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 and may be subject to redemption.</w:t>
      </w:r>
    </w:p>
    <w:p>
      <w:pPr>
        <w:spacing w:after="0" w:line="123"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We may amend the terms of the warrants in a manner that may be adverse to holders with the approval by the holders of at least 50% of the then outstanding warrants.</w:t>
      </w:r>
    </w:p>
    <w:p>
      <w:pPr>
        <w:spacing w:after="0" w:line="11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warrants were issued in registered form under the Warrant Agreement, dated November 20, 2017, between Continental Stock Transfer &amp; Trust Company, as warrant agent, and us. The warrant agreement provides that the terms of the warrants may be amended without the consent of any holder to cure any ambiguity or correct any defective provision. The warrant agreement requires the approval by the holders of at least 50% of the then outstanding warrants (including the warrants contained in the private placement units) in order to make any change that adversely affects the interests of the registered holders. Accordingly, we would need only 1,656,876, or 48.0%, of the public warrants to vote in favor of a proposed amendment for it to be approved (assuming the holders of the warrants contained in the private placement units all voted in favor of the amendment).</w:t>
      </w:r>
    </w:p>
    <w:p>
      <w:pPr>
        <w:spacing w:after="0" w:line="101"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We may amend the terms of the rights in a manner that may be adverse to holders with the approval by the holders of at least 50% of the then outstanding rights.</w:t>
      </w:r>
    </w:p>
    <w:p>
      <w:pPr>
        <w:spacing w:after="0" w:line="112" w:lineRule="exact"/>
        <w:rPr>
          <w:sz w:val="20"/>
          <w:szCs w:val="20"/>
          <w:color w:val="auto"/>
        </w:rPr>
      </w:pPr>
    </w:p>
    <w:p>
      <w:pPr>
        <w:ind w:right="100" w:firstLine="648"/>
        <w:spacing w:after="0" w:line="294" w:lineRule="auto"/>
        <w:rPr>
          <w:sz w:val="20"/>
          <w:szCs w:val="20"/>
          <w:color w:val="auto"/>
        </w:rPr>
      </w:pPr>
      <w:r>
        <w:rPr>
          <w:rFonts w:ascii="Arial" w:cs="Arial" w:eastAsia="Arial" w:hAnsi="Arial"/>
          <w:sz w:val="16"/>
          <w:szCs w:val="16"/>
          <w:color w:val="auto"/>
        </w:rPr>
        <w:t>Our rights were issued in registered form under a right agreement between Continental Stock Transfer &amp; Trust Company, as rights agent, and us. The right agreement provides that the terms of the rights may be amended without the consent of any holder to cure any ambiguity or correct any defective provision. The right agreement requires the approval by the holders of at least 50% of the then outstanding rights in order to make any change that adversely affects the interests of the registered holders. Accordingly, we would need only 3,313,751, or 48.0%, of the public rights to vote in favor of a proposed amendment for it to be approved (assuming the holders of the private rights all voted in favor of the amendment).</w:t>
      </w:r>
    </w:p>
    <w:p>
      <w:pPr>
        <w:spacing w:after="0" w:line="9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Since we have not yet selected a particular industry or target business with which to complete a business combination, we are unable to currently ascertain the merits or risks of the industry or business in which we may ultimately operate.</w:t>
      </w:r>
    </w:p>
    <w:p>
      <w:pPr>
        <w:spacing w:after="0" w:line="11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Although we intend to initially focus our search on identifying a prospective target business in the senior housing and care industry, we are not limited to such industry and may consummate a business combination with a company in any industry we choose.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development stage, we may be affected by numerous risks inherent in the business operations of those entities. If we complete a business combination with an entity in an industry characterized by a high level of risk,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than a direct investment, if an opportunity were available, in a target business.</w:t>
      </w:r>
    </w:p>
    <w:p>
      <w:pPr>
        <w:spacing w:after="0" w:line="99"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b w:val="1"/>
          <w:bCs w:val="1"/>
          <w:color w:val="auto"/>
        </w:rPr>
        <w:t>Our ability to successfully effect a business combination and to be successful thereafter will be totally dependent upon the efforts of our key personnel, some of whom may join us following a business combination. While we intend to closely scrutinize any individuals we engage after a business combination, we cannot assure you that our assessment of these individuals will prove to be correct.</w:t>
      </w:r>
    </w:p>
    <w:p>
      <w:pPr>
        <w:spacing w:after="0" w:line="9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ability to successfully effect a business combination is dependent upon the efforts of our key personnel. We believe that our success depends on the continued service of our key personnel, at least until we have consummated our initial business combination. We cannot assure you that any of our key personnel will remain with us for the immediate or foreseeable future. In addition, none of our officers are required to commit any specified amount of time to our affairs and, accordingly, our officers may have conflicts of interest in allocating management time among various business activities, including identifying potential business combinations and monitoring the related due diligence. We do not have employment agreements with, or key-man insurance on the life of, any of our officers. The unexpected loss of the services of our key personnel could have a detrimental effect on us.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Additionally, the role of our key personnel after a business combination cannot presently be ascertained. Although some of our key personnel may continue to serve in senior management or advisory positions following a business combination, it is likely that most, if not all, of the management of the target business will remain in place. While we intend to closely scrutinize any individuals we engage after a business combination, we cannot assure you that our assessment of these individuals will prove to be correct.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0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Our officers and directors may not have significant experience or knowledge regarding the jurisdiction or industry of the target business we may seek to acquire.</w:t>
      </w:r>
    </w:p>
    <w:p>
      <w:pPr>
        <w:spacing w:after="0" w:line="112"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color w:val="auto"/>
        </w:rPr>
        <w:t>Although we intend to initially focus our search on identifying a prospective target business in the senior housing and care industry, which is where our management team has significant experience, we are not limited to such industry and may consummate a business combination with a target business in any geographic location or industry we choose. We cannot assure you that our officers and directors will have enough experience or have sufficient knowledge relating to the jurisdiction of the target or its industry to make an informed decision regarding a business combination.</w:t>
      </w:r>
    </w:p>
    <w:p>
      <w:pPr>
        <w:spacing w:after="0" w:line="93"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auto"/>
        </w:rPr>
        <w:t>Our key personnel may negotiate employment or consulting agreements with a target business in connection with a particular business combination. These agreements may provide for them to receive compensation following a business combination and as a result, may cause them to have conflicts of interest in determining whether a particular business combination is the most advantageous.</w:t>
      </w:r>
    </w:p>
    <w:p>
      <w:pPr>
        <w:spacing w:after="0" w:line="90" w:lineRule="exact"/>
        <w:rPr>
          <w:sz w:val="20"/>
          <w:szCs w:val="20"/>
          <w:color w:val="auto"/>
        </w:rPr>
      </w:pPr>
    </w:p>
    <w:p>
      <w:pPr>
        <w:ind w:right="160" w:firstLine="648"/>
        <w:spacing w:after="0" w:line="294" w:lineRule="auto"/>
        <w:rPr>
          <w:sz w:val="20"/>
          <w:szCs w:val="20"/>
          <w:color w:val="auto"/>
        </w:rPr>
      </w:pPr>
      <w:r>
        <w:rPr>
          <w:rFonts w:ascii="Arial" w:cs="Arial" w:eastAsia="Arial" w:hAnsi="Arial"/>
          <w:sz w:val="16"/>
          <w:szCs w:val="16"/>
          <w:color w:val="auto"/>
        </w:rPr>
        <w:t>Our key personnel will be able to remain with the company after the consummation of a business combination only if they are able to negotiate employment or consulting agreements or other appropriate arrangements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the company after the consummation of the business combination. The personal and financial interests of such individuals may influence their motivation in identifying and selecting a target business.</w:t>
      </w:r>
    </w:p>
    <w:p>
      <w:pPr>
        <w:spacing w:after="0" w:line="96"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Our officers and directors may allocate their time to other businesses thereby causing conflicts of interest in their determination as to how much time to devote to our affairs. This conflict of interest could have a negative impact on our ability to consummate a business combination.</w:t>
      </w:r>
    </w:p>
    <w:p>
      <w:pPr>
        <w:spacing w:after="0" w:line="6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officers and directors are not required to commit their full time to our affairs, which could create a conflict of interest when allocating their time between our operations and their other commitments. We presently expect each of our employees to devote such amount of time as they reasonably believe is necessary to our business. We do not intend to have any full time employees prior to the consummation of our initial business combination. All of our officers and directors are engaged in other business endeavors and are not obligated to devote any specific number of hours to our affairs. If our officers’ and directors’ other business affairs require them to devote more substantial amounts of time to such affairs, it could limit their ability to devote time to our affairs and could have a negative impact on our ability to consummate our initial business combination. We cannot assure you that these conflicts will be resolved in our favor.</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officers and directors may have a conflict of interest in determining whether a particular target business is appropriate for a business combination.</w:t>
      </w:r>
    </w:p>
    <w:p>
      <w:pPr>
        <w:spacing w:after="0" w:line="19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sponsor, which is affiliated with certain of our officers and directors, has agreed to waive its right to convert its founder’s shares and any other shares purchased in the Initial Public Offering or thereafter, or to receive distributions from the trust account with respect to their founder’s shares upon our liquidation if we are unable to consummate a business combination. Accordingly, the shares acquired prior to the Initial Public Offering will be worthless if we do not consummate a business combination. Additionally, the warrants, including the warrants contained in the private placement units held by our sponsor, will expire worthless if we do not consummate a business combination. The personal and financial interests of our directors and officers, through their interests in our sponsor,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Certain of our officers have, and any of our officers and directors or their affiliates may in the future have, outside fiduciary and contractual obligations and, accordingly, may have conflicts of interest in determining to which entity a particular business opportunity should be presented.</w:t>
      </w:r>
    </w:p>
    <w:p>
      <w:pPr>
        <w:spacing w:after="0" w:line="6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Certain of our directors have, and any of our officers and directors or their affiliates may in the future have, fiduciary and contractual obligations to other companies. Accordingly, they may participate in transactions and have obligations that may be in conflict or competition with the consummation of our initial business combination. As a result, a potential target business may be presented by our management team to another entity prior to its presentation to us and we may not be afforded the opportunity to engage in a transaction with such target business. For a more detailed description of the pre-existing fiduciary and contractual obligations of our management team, and the potential conflicts of interest that such obligations may present, see the section Part III, Item 10. Directors, Executive Officers and Corporate Governance.</w:t>
      </w:r>
    </w:p>
    <w:p>
      <w:pPr>
        <w:spacing w:after="0" w:line="12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Nasdaq may delist our securities from quotation on its exchange which could limit investors’ ability to make transactions in our securities and subject us to additional trading restrictions.</w:t>
      </w:r>
    </w:p>
    <w:p>
      <w:pPr>
        <w:spacing w:after="0" w:line="112"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We cannot assure you that our securities will continue to be listed on Nasdaq in the future prior to an initial business combination. Additionally, in connection with our initial business combination, it is likely that Nasdaq will require us to file a new initial listing application and meet its initial listing requirements as opposed to its more lenient continued listing requirements. We cannot assure you that we will be able to meet those initial listing requirements at that time.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Nasdaq delists our securities from trading on its exchange, we could face significant material adverse consequences, including:</w:t>
      </w:r>
    </w:p>
    <w:p>
      <w:pPr>
        <w:spacing w:after="0" w:line="158"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9" w:lineRule="exact"/>
        <w:rPr>
          <w:rFonts w:ascii="Arial" w:cs="Arial" w:eastAsia="Arial" w:hAnsi="Arial"/>
          <w:sz w:val="18"/>
          <w:szCs w:val="18"/>
          <w:color w:val="auto"/>
        </w:rPr>
      </w:pPr>
    </w:p>
    <w:p>
      <w:pPr>
        <w:ind w:left="980" w:right="180" w:hanging="324"/>
        <w:spacing w:after="0" w:line="28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determination that our shares of common stock are “penny stock” which will require brokers trading in our shares of common stock to adhere to more stringent rules, possibly resulting in a reduced level of trading activity in the secondary trading market for our shares of common stock;</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4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common stock, rights and warrants will be listed on Nasdaq, our units, common stock, rights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w:t>
      </w:r>
    </w:p>
    <w:p>
      <w:pPr>
        <w:spacing w:after="0" w:line="9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We are an “emerging growth company” and we cannot be certain if the reduced disclosure requirements applicable to emerging growth companies will make our shares of common stock less attractive to investors.</w:t>
      </w:r>
    </w:p>
    <w:p>
      <w:pPr>
        <w:spacing w:after="0" w:line="11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for up to five years. However, if our non-convertible debt issued within a three 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shares of common stock less attractive because we may rely on these provisions. If some investors find our shares of common stock less attractive as a result, there may be a less active trading market for our shares and our share price may be more volatile.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b w:val="1"/>
          <w:bCs w:val="1"/>
          <w:color w:val="auto"/>
        </w:rPr>
        <w:t>We may only be able to complete one business combination with the proceeds of the Initial Public Offering and the sale of the private placement units, which will cause us to be solely dependent on a single business which may have a limited number of products or services.</w:t>
      </w:r>
    </w:p>
    <w:p>
      <w:pPr>
        <w:spacing w:after="0" w:line="6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It is likely we will consummate a business combination with a single target business, although we have the ability to simultaneously acquire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29"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19"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a business combination.</w:t>
      </w:r>
    </w:p>
    <w:p>
      <w:pPr>
        <w:spacing w:after="0" w:line="11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Alternatively, if we determine to simultaneously acquire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combinations.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into a single operating business. If we are unable to adequately address these risks, it could negatively impact our profitability and results of operations.</w:t>
      </w:r>
    </w:p>
    <w:p>
      <w:pPr>
        <w:spacing w:after="0" w:line="10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The ability of our stockholders to exercise their conversion rights or sell their shares to us in a tender offer may not allow us to effectuate the most desirable business combination or optimize our capital structure.</w:t>
      </w:r>
    </w:p>
    <w:p>
      <w:pPr>
        <w:spacing w:after="0" w:line="11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our business combination requires us to use substantially all of our cash to pay the purchase price, because we will not know how many stockholders may exercise conversion rights or seek to sell their shares to us in a tender offer, we may either need to reserve part of the trust account for possible payment upon such conversion, or we may need to arrange third party financing to help fund our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0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In connection with any vote to approve a business combination, we will offer each public stockholder the option to vote in favor of a proposed business combination and still seek conversion of his, her or its shares.</w:t>
      </w:r>
    </w:p>
    <w:p>
      <w:pPr>
        <w:spacing w:after="0" w:line="11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In connection with any vote to approve a business combination, we will offer each public stockholder (but not our sponsor, officers or directors) the right to have his, her or its shares of common stock converted to cash (subject to the limitations described elsewhere in this Report) regardless of whether such stockholder votes for or against such proposed business combination. This ability to seek conversion while voting in favor of our proposed business combination may make it more likely that we will consummate a business combination.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b w:val="1"/>
          <w:bCs w:val="1"/>
          <w:color w:val="auto"/>
        </w:rPr>
        <w:t>In connection with any stockholder meeting called to approve a proposed initial business combination, we may require stockholders who wish to convert their shares in connection with a proposed business combination to comply with specific requirements for conversion that may make it more difficult for them to exercise their conversion rights prior to the deadline for exercising their rights.</w:t>
      </w:r>
    </w:p>
    <w:p>
      <w:pPr>
        <w:spacing w:after="0" w:line="90" w:lineRule="exact"/>
        <w:rPr>
          <w:sz w:val="20"/>
          <w:szCs w:val="20"/>
          <w:color w:val="auto"/>
        </w:rPr>
      </w:pPr>
    </w:p>
    <w:p>
      <w:pPr>
        <w:ind w:right="20" w:firstLine="648"/>
        <w:spacing w:after="0" w:line="307" w:lineRule="auto"/>
        <w:rPr>
          <w:sz w:val="20"/>
          <w:szCs w:val="20"/>
          <w:color w:val="auto"/>
        </w:rPr>
      </w:pPr>
      <w:r>
        <w:rPr>
          <w:rFonts w:ascii="Arial" w:cs="Arial" w:eastAsia="Arial" w:hAnsi="Arial"/>
          <w:sz w:val="15"/>
          <w:szCs w:val="15"/>
          <w:color w:val="auto"/>
        </w:rPr>
        <w:t>In connection with any stockholder meeting called to approve a proposed initial business combination, each public stockholder will have the right, regardless of whether he is voting for or against such proposed business combination, to demand that we convert his shares into a pro rata share of the trust account as of two business days prior to the consummation of the initial business combination. We may require public stockholders who wish to convert their shares in connection with a proposed business combination to either (i) tender their certificates to our transfer agent or (ii) deliver their shares to the transfer agent electronically using the Depository Trust Company’s DWAC (Deposit/Withdrawal At Custodian) System, at the holders’ option, in each case prior to a date set forth in the proxy materials sent in connection with the proposal to approve the business combination.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we cannot assure you of this fact. Accordingly, if it takes longer than we anticipate for stockholders to deliver their shares, stockholders who wish to convert may be unable to meet the deadline for exercising their conversion rights and thus may be unable to convert their shares.</w:t>
      </w:r>
    </w:p>
    <w:p>
      <w:pPr>
        <w:spacing w:after="0" w:line="9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If, in connection with any stockholder meeting called to approve a proposed business combination, we require public stockholders who wish to convert their shares to comply with specific requirements for conversion, such converting stockholders may be unable to sell their securities when they wish to in the event that the proposed business combination is not approved.</w:t>
      </w:r>
    </w:p>
    <w:p>
      <w:pPr>
        <w:spacing w:after="0" w:line="1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we require public stockholders who wish to convert their shares to either (i) tender their certificates to our transfer agent or (ii) deliver their shares to the transfer agent electronically using the Depository Trust Company’s DWAC (Deposit/Withdrawal At Custodian) System as described above and such proposed business combination is not consummated, we will promptly return such certificates to the tendering public stockholders. Accordingly, investors who attempted to convert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to, even while other stockholders that did not seek conversion may be able to sell their securities.</w:t>
      </w:r>
    </w:p>
    <w:p>
      <w:pPr>
        <w:spacing w:after="0" w:line="101" w:lineRule="exact"/>
        <w:rPr>
          <w:sz w:val="20"/>
          <w:szCs w:val="20"/>
          <w:color w:val="auto"/>
        </w:rPr>
      </w:pPr>
    </w:p>
    <w:p>
      <w:pPr>
        <w:ind w:right="980"/>
        <w:spacing w:after="0" w:line="275" w:lineRule="auto"/>
        <w:rPr>
          <w:sz w:val="20"/>
          <w:szCs w:val="20"/>
          <w:color w:val="auto"/>
        </w:rPr>
      </w:pPr>
      <w:r>
        <w:rPr>
          <w:rFonts w:ascii="Arial" w:cs="Arial" w:eastAsia="Arial" w:hAnsi="Arial"/>
          <w:sz w:val="18"/>
          <w:szCs w:val="18"/>
          <w:b w:val="1"/>
          <w:bCs w:val="1"/>
          <w:color w:val="auto"/>
        </w:rPr>
        <w:t>Because of our structure, other companies may have a competitive advantage and we may not be able to consummate an attractive business combination.</w:t>
      </w:r>
    </w:p>
    <w:p>
      <w:pPr>
        <w:spacing w:after="0" w:line="11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While we believe that there are numerous potential target businesses that we could acquire with the net proceeds of the Initial Public Offering and the sale of the private placement units, our ability to compete in acquiring certain sizable target businesses will be limited by our available financial resources. This inherent competitive limitation gives others an advantage in pursuing the acquisition of certain target businesses. Furthermore, seeking stockholder approval or engaging in a tender offer in connection with any proposed business combination may delay the consummation of such a transaction. Additionally, our outstanding warrants, rights and the unit purchase option, and the future dilution they potentially represent, may not be viewed favorably by certain target businesses. Any of the foregoing may place us at a competitive disadvantage in successfully negotiating a business combination.</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may be unable to obtain additional financing, if required, to complete a business combination or to fund the operations and growth of the target business, which could compel us to restructure or abandon a particular business combination.</w:t>
      </w:r>
    </w:p>
    <w:p>
      <w:pPr>
        <w:spacing w:after="0" w:line="11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Although we believe that the net proceeds of the Initial Public Offering and the sale of the private placement units will be sufficient to allow us to consummate a business combination, because we have not yet identified any prospective target business, we cannot ascertain the capital requirements for any particular transaction. If the net proceeds of the Initial Public Offering and the sale of the private placement units prove to be insufficient, because of either the size of the business combination, the depletion of the available net proceeds in search of a target business or the obligation to convert into cash a significant number of shares from dissenting stockholders,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sponsor, officers, directors or stockholders is required to provide any financing to us in connection with or after a business combination.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initial stockholder controls a substantial interest in us and thus may influence certain actions requiring a stockholder vote.</w:t>
      </w:r>
    </w:p>
    <w:p>
      <w:pPr>
        <w:spacing w:after="0" w:line="16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of March 21, 2018, our initial stockholder owns approximately 22.1% of our issued and outstanding shares of common stock. None of our sponsor, officers, directors or their affiliates has indicated any intention to purchase any units or shares of common stock from persons in the open market or in private transactions. However, our sponsor, officers, directors or their affiliates could determine in the future to make such purchases in the open market or in private transactions, to the extent permitted by law, in order to influence the vote or magnitude of the number of stockholders seeking to tender their shares to us. In connection with any vote for a proposed business combination, our sponsor and initial stockholder, as well as all of our officers and directors, have agreed to vote the shares of common stock owned by them immediately before the Initial Public Offering as well as any shares of common stock acquired in the Initial Public Offering or in the aftermarket in favor of such proposed business combination.</w:t>
      </w:r>
    </w:p>
    <w:p>
      <w:pPr>
        <w:spacing w:after="0" w:line="10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board of directors is divided into two classes, each of which will generally serve for a term of two years with only one class of directors being elected in each year. There may not be an annual meeting of stockholders to elect new directors prior to the consummation of a business combination, in which case all of the current directors will continue in office until at least the consummation of the business combination. If there is an annual meeting, as a consequence of our “staggered” board of directors, only a minority of the board of directors will be considered for election and our initial stockholder, because of its ownership position, will have considerable influence regarding the outcome. Accordingly, our initial stockholder will continue to exert control at least until the consummation of a business combination.</w:t>
      </w:r>
    </w:p>
    <w:p>
      <w:pPr>
        <w:spacing w:after="0" w:line="125"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Our outstanding rights, warrants and unit purchase options may have an adverse effect on the market price of our common stock and make it more difficult to effect a business combination.</w:t>
      </w:r>
    </w:p>
    <w:p>
      <w:pPr>
        <w:spacing w:after="0" w:line="11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issued rights to receive 690,000 shares of common stock and warrants to purchase 3,450,000 shares of common stock as part of the units offered in connection with the Initial Public Offering and rights to receive 27,250 shares of common stock and warrants to purchase 136,250 shares of common stock in connection with the Private Placement. We also issued unit purchase options to purchase 600,000 units to EarlyBirdCapital, Inc. (and/or its designees) which, if exercised, will result in the issuance of 600,000 shares of common stock, rights to receive 60,000 shares of common stock and warrants to purchase an additional 300,000 shares of common stock. We may also issue additional private units, which will be identical to the private placement units, to our sponsor, officers or directors in payment of working capital loans made to us as described in this 2017 Form 10-K. To the extent we issue shares of common stock to effect a business combination, the potential for the issuance of a substantial number of additional shares upon conversion or exercise of these rights, warrants and unit purchase options could make us a less attractive acquisition vehicle in the eyes of a target business. Such securities, when exercised, will increase the number of issued and outstanding shares of common stock and reduce the value of the shares issued to complete the business combination. Accordingly, our rights, warrants and unit purchase option may make it more difficult to effectuate a business combination or increase the cost of acquiring the target business. Additionally, the sale, or even the possibility of sale, of the shares underlying the warrants, rights, or unit purchase option could have an adverse effect on the market price for our securities or on our ability to obtain future financing. If and to the extent these rights are converted or warrants and options are exercised, you may experience dilution to your holdings.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Because each unit contains one-half of one warrant and one right to receive one-tenth of one share of common stock, the units may be worth less than units of other blank check companies.</w:t>
      </w:r>
    </w:p>
    <w:p>
      <w:pPr>
        <w:spacing w:after="0" w:line="112"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Each unit contains one-half of one warrant and one right to receive one-tenth (1/10) of one share of common stock upon consummation of our initial business combination. This is different from other offerings similar to ours whose units include one share of common stock and one warrant to purchase one whole share. We have established the components of the units in this way in order to reduce the dilutive effect of the warrants and rights upon completion of a business combination since the warrants will be exercisable for, and the rights will be convertible into, a fraction of the number of shares in the aggregate, compared to units that each contain a warrant to purchase one whole share, thus making us, we believe, a more attractive business combination partner for target businesses. Nevertheless, this unit structure may cause our units to be worth less than if they included a warrant to purchase one whole share.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redeem your unexpired warrants prior to their exercise at a time that is disadvantageous to you, thereby making your warrants worthless.</w:t>
      </w:r>
    </w:p>
    <w:p>
      <w:pPr>
        <w:spacing w:after="0" w:line="18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the common stock equals or exceeds $21.00 per share (as adjusted for stock splits, stock dividends, reorganizations and recapitalizations) for any 20 trading days within a 30 trading-day period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warrants contained in the private placement units will be redeemable by us so long as they are held by the sponsor or its permitted transferees.</w:t>
      </w:r>
    </w:p>
    <w:p>
      <w:pPr>
        <w:spacing w:after="0" w:line="108"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b w:val="1"/>
          <w:b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67"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If we call our public warrants for redemption after the redemption criteria described elsewhere in this 2017 Form 10-K have been satisfied, our management will have the option to require any holder that wishes to exercise his warrant (including any warrants held by our sponsor, officers or directors or their permitted transferees)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“upside” of the holder’s investment in our company.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obligation to net cash settle the rights or warrants.</w:t>
      </w:r>
    </w:p>
    <w:p>
      <w:pPr>
        <w:spacing w:after="0" w:line="16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no event will we have any obligation to net cash settle the rights or warrants. Furthermore, there are no contractual penalties for failure to deliver securities to the holders of the rights or warrants upon consummation of an initial business combination or exercise of the warrants. Accordingly, you might not receive the shares of common stock underlying the rights and warrants.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our security holders exercise their registration rights, it may have an adverse effect on the market price of our shares of common stock and the existence of these rights may make it more difficult to effect a business combination.</w:t>
      </w:r>
    </w:p>
    <w:p>
      <w:pPr>
        <w:spacing w:after="0" w:line="11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stockholders prior to the Initial Public Offering are entitled to demand that we register the resale of the founder’s shares at any time commencing three months prior to the date on which their shares may be released from escrow. Additionally, the holders of the private placement units and any private units our sponsor, officers, directors, or their affiliates may be issued in payment of working capital loans made to us are entitled to demand that we register the resale of the private placement units and any other private units we issue to them (and the underlying securities) commencing at any time after we consummate an initial business combination. The presence of these additional shares of common stock trading in the public market may have an adverse effect on the market price of our securities. In addition, the existence of these rights may make it more difficult to effectuate a business combination or increase the cost of acquiring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shares of common stock.</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If we are deemed to be an investment company, we may be required to institute burdensome compliance requirements and our activities may be restricted, which may make it difficult for us to complete a business combination.</w:t>
      </w:r>
    </w:p>
    <w:p>
      <w:pPr>
        <w:spacing w:after="0" w:line="11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 company that, among other things, is or holds itself out as being engaged primarily, or proposes to engage primarily, in the business of investing, reinvesting, owning, trading or holding certain types of securities would be deemed an investment company under the Investment Company Act, as amended, or the Investment Company Act. Since we will invest the proceeds held in the trust account, it is possible that we could be deemed an investment company. Notwithstanding the foregoing, we do not believe that our anticipated principal activities will subject us to the Investment Company Act. To this end, the proceeds held in trust may be invested by the trustee only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By restricting the investment of the proceeds to these instruments, we intend to meet the requirements for the exemption provided in Rule 3a-1 promulgated under the Investment Company Act.</w:t>
      </w:r>
    </w:p>
    <w:p>
      <w:pPr>
        <w:spacing w:after="0" w:line="105" w:lineRule="exact"/>
        <w:rPr>
          <w:sz w:val="20"/>
          <w:szCs w:val="20"/>
          <w:color w:val="auto"/>
        </w:rPr>
      </w:pPr>
    </w:p>
    <w:p>
      <w:pPr>
        <w:ind w:right="420" w:firstLine="648"/>
        <w:spacing w:after="0" w:line="268" w:lineRule="auto"/>
        <w:rPr>
          <w:sz w:val="20"/>
          <w:szCs w:val="20"/>
          <w:color w:val="auto"/>
        </w:rPr>
      </w:pPr>
      <w:r>
        <w:rPr>
          <w:rFonts w:ascii="Arial" w:cs="Arial" w:eastAsia="Arial" w:hAnsi="Arial"/>
          <w:sz w:val="18"/>
          <w:szCs w:val="18"/>
          <w:color w:val="auto"/>
        </w:rPr>
        <w:t>If we are nevertheless deemed to be an investment company under the Investment Company Act, we may be subject to certain restrictions that may make it more difficult for us to complete a business combination, including:</w:t>
      </w:r>
    </w:p>
    <w:p>
      <w:pPr>
        <w:spacing w:after="0" w:line="118"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may have imposed upon us certain burdensome requirements, including:</w:t>
      </w:r>
    </w:p>
    <w:p>
      <w:pPr>
        <w:spacing w:after="0" w:line="158"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reporting, record keeping, voting, proxy, compliance policies and procedures and disclosure requirements and other rules and regulations.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Compliance with these additional regulatory burdens would require additional expense for which we have not allotted.</w:t>
      </w:r>
    </w:p>
    <w:p>
      <w:pPr>
        <w:spacing w:after="0" w:line="152"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b w:val="1"/>
          <w:bCs w:val="1"/>
          <w:color w:val="auto"/>
        </w:rPr>
        <w:t>If we do not conduct an adequate due diligence investigation of a target business, we may subsequently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must conduct a due diligence investigation of the target businesses we intend to acquire. Intensive due diligence is time consuming and expensive due to the operations, accounting, finance and legal professionals who must be involved in the due diligence process. Even if we conduct extensive due diligence on a target business, this diligence may not reveal all material issues that may affect a particular target business, and factors outside the control of the target business and outside of our control may later arise. If our diligence fails to identify issues specific to a target business, industry or the environment in which the target business operates, we may later be forced to write-down or write-off assets, restructure our operations, or incur impairment or other charges that could result in our reporting losses. Even though these charges may be non-cash items and not have an immediate impact on our liquidity, the fact that we report charges of this nature could contribute to negative market perceptions about us or our common stock. In addition, charges of this nature may cause us to violate net worth or other covenants to which we may be subject as a result of assuming pre-existing debt held by a target business or by virtue of our obtaining debt financing during or subsequent to the business combination.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260"/>
        <w:spacing w:after="0" w:line="378" w:lineRule="auto"/>
        <w:rPr>
          <w:sz w:val="20"/>
          <w:szCs w:val="20"/>
          <w:color w:val="auto"/>
        </w:rPr>
      </w:pPr>
      <w:r>
        <w:rPr>
          <w:rFonts w:ascii="Arial" w:cs="Arial" w:eastAsia="Arial" w:hAnsi="Arial"/>
          <w:sz w:val="15"/>
          <w:szCs w:val="15"/>
          <w:b w:val="1"/>
          <w:bCs w:val="1"/>
          <w:color w:val="auto"/>
        </w:rPr>
        <w:t>Our sponsor may decide not to extend the term we have to consummate our initial business combination, in which case we would cease all operations except for the purpose of winding up and we would redeem our public shares and liquidate, and the rights and warrants will be worthless.</w:t>
      </w:r>
    </w:p>
    <w:p>
      <w:pPr>
        <w:spacing w:after="0" w:line="43"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We will have until 12 months from the closing of the Initial Public Offering to consummate an initial business combination. However, if we anticipate that we may not be able to consummate our initial business combination within 12 months, we may extend the period of time to consummate a business combination up to two times, each by an additional three months (for a total of up to 18 months to complete a business combination). Pursuant to the terms of our amended and restated certificate of incorporation and the Investment Management Trust Account Agreement, dated November 20, 2017, between Continental Stock Transfer &amp; Trust Company and us, in order to extend the time available for us to consummate our initial business combination, our sponsor or its affiliates or designees, upon five days advance notice prior to the applicable deadline, must deposit into the trust account $690,000 ($0.10 per share) on or prior to the date of the applicable deadline, for each three month extension (or up to an aggregate of $1,380,000), or $0.20 per share, if we extend for the full six months). Any such payments would be made in the form of a loan. Any such loans will be non-interest bearing and payable upon the consummation of our initial business combination. If we complete our initial business combination, we would repay such loaned amounts out of the proceeds of the trust account released to us to pay our franchise and income taxes payable. If we do not complete a business combination, we will not repay such loans. Furthermore, the letter agreement with our initial stockholders contains a provision pursuant to which our sponsor has agreed to waive its right to be repaid for such loans out of the funds held in the trust account in the event that we do not complete a business combination. Our sponsor and its affiliates or designees are not obligated to fund the trust account to extend the time for us to complete our initial business combination. If we are unable to consummate our initial business combination within the applicable time period, we will, as promptly as reasonably possible but not more than ten business days thereafter, redeem the public shares for a pro rata portion of the funds held in the trust account and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such event, the rights and warrants will be worthless.</w:t>
      </w:r>
    </w:p>
    <w:p>
      <w:pPr>
        <w:spacing w:after="0" w:line="102"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auto"/>
        </w:rPr>
        <w:t>The requirement that we complete an initial business combination within 12 months from the closing of the Initial Public Offering (or up to 18 months from the closing of the Initial Public Offering if we extend the period of time to consummate a business combination by the full amount of time) may give potential target businesses leverage over us in negotiating a business combination.</w:t>
      </w:r>
    </w:p>
    <w:p>
      <w:pPr>
        <w:spacing w:after="0" w:line="90" w:lineRule="exact"/>
        <w:rPr>
          <w:sz w:val="20"/>
          <w:szCs w:val="20"/>
          <w:color w:val="auto"/>
        </w:rPr>
      </w:pPr>
    </w:p>
    <w:p>
      <w:pPr>
        <w:ind w:right="80" w:firstLine="648"/>
        <w:spacing w:after="0" w:line="294" w:lineRule="auto"/>
        <w:rPr>
          <w:sz w:val="20"/>
          <w:szCs w:val="20"/>
          <w:color w:val="auto"/>
        </w:rPr>
      </w:pPr>
      <w:r>
        <w:rPr>
          <w:rFonts w:ascii="Arial" w:cs="Arial" w:eastAsia="Arial" w:hAnsi="Arial"/>
          <w:sz w:val="16"/>
          <w:szCs w:val="16"/>
          <w:color w:val="auto"/>
        </w:rPr>
        <w:t>We have 12 months from the closing of the Initial Public Offering (or up to 18 months from the closing of the Initial Public Offering if we extend the period of time to consummate a business combination by the full amount of time) to complete an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9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may not obtain a fairness opinion with respect to the target business that we seek to acquire and therefore you may be relying solely on the judgment of our board of directors in approving a proposed business combination.</w:t>
      </w:r>
    </w:p>
    <w:p>
      <w:pPr>
        <w:spacing w:after="0" w:line="11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will only be required to obtain a fairness opinion with respect to the target business that we seek to acquire if it is an entity that is affiliated with any of our officers, directors or sponsor. In all other instances, we will have no obligation to obtain an opinion. Accordingly, investors will be relying solely on the judgment of our board of directors in approving a proposed business combination.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Resources could be spent researching acquisitions that are not consummated, which could materially adversely affect subsequent attempts to locate and acquire or merge with another business.</w:t>
      </w:r>
    </w:p>
    <w:p>
      <w:pPr>
        <w:spacing w:after="0" w:line="11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It is anticipated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a decision is made not to complete a specific business combination, the costs incurred up to that point for the proposed transaction likely would not be recoverable. Furthermore, even if an agreement is reached relating to a specific target business, we may fail to consummate the business combination for any number of reasons including those beyond our control. Any such event will result in a loss to us of the related costs incurred which could materially adversely affect subsequent attempts to locate and acquire or merge with another business.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Compliance with the Sarbanes-Oxley Act of 2002 will require substantial financial and management resources and may increase the time and costs of completing an acquisition.</w:t>
      </w:r>
    </w:p>
    <w:p>
      <w:pPr>
        <w:spacing w:after="0" w:line="112"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Section 404 of the Sarbanes-Oxley Act of 2002 requires that we evaluate and report on our system of internal controls and may require that we have such system of internal controls audited beginning with our Annual Report on Form 10-K for the year ending December 31, 2018. If we fail to maintain the adequacy of our internal controls,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controls, which requirement we are exempt from so long as we qualify as an “emerging growth company,” as defined in Section 2(a) of the Securities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 Furthermore, any failure to implement required new or improved controls, or difficulties encountered in the implementation of adequate controls over our financial processes and reporting in the future, could harm our operating results or cause us to fail to meet our reporting obligations. Inferior internal controls could also cause investors to lose confidence in our reported financial information, which could have a negative effect on the trading price of our stock.</w:t>
      </w:r>
    </w:p>
    <w:p>
      <w:pPr>
        <w:spacing w:after="0" w:line="108"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If we effect a business combination with a company located outside of the United States, we would be subject to a variety of additional risks that may negatively impact our operations.</w:t>
      </w:r>
    </w:p>
    <w:p>
      <w:pPr>
        <w:spacing w:after="0" w:line="112"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We may effect a business combination with a company located outside of the United States. If we did, we would be subject to any special considerations or risks associated with companies operating in the target business’s home jurisdiction, including any of the following:</w:t>
      </w:r>
    </w:p>
    <w:p>
      <w:pPr>
        <w:spacing w:after="0" w:line="118"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cannot assure you that we would be able to adequately address these additional risks. If we were unable to do so, our operations might suffer.</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1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If we effect a business combination with a company located outside of the United States, the laws of the country in which such company operates will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acquire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11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amended and restated certificate of incorporation and bylaws contain provisions that may discourage unsolicited takeover proposals that stockholders may consider to be in their best interests. Our board of directors is divided into two classes, each of which will generally serve for a term of two years with only one class of directors being elected in each year. As a result, at a given annual meeting only a minority of the board of directors may be considered for election. Since our “staggered board” may prevent our stockholders from replacing a majority of our board of directors at any given annual meeting, it may entrench management and discourage unsolicited stockholder proposals that may be in the best interests of stockholders. Also, our amended and restated certificate of incorporation provides our board of directors the ability to designate the terms of and issue new series of preferred stock, which may inhibit a takeover of us.</w:t>
      </w:r>
    </w:p>
    <w:p>
      <w:pPr>
        <w:spacing w:after="0" w:line="13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21"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b w:val="1"/>
          <w:bCs w:val="1"/>
          <w:color w:val="auto"/>
        </w:rPr>
        <w:t>Because we must furnish our stockholders with target business financial statements prepared in accordance with U.S. generally accepted accounting principles or international financial reporting standards, we will not be able to complete a business combination with prospective target businesses unless their financial statements are prepared in accordance with such standards.</w:t>
      </w:r>
    </w:p>
    <w:p>
      <w:pPr>
        <w:spacing w:after="0" w:line="9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Additionally, to the extent we furnish our stockholders with financial statements prepared in accordance with IFRS, such financial statements may need to be audited in accordance with U.S. GAAP at the time of the consummation of the business combination. These financial statement requirements may limit the pool of potential target businesses we may acquire.</w:t>
      </w:r>
    </w:p>
    <w:p>
      <w:pPr>
        <w:spacing w:after="0" w:line="99"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investments and results of operations.</w:t>
      </w:r>
    </w:p>
    <w:p>
      <w:pPr>
        <w:spacing w:after="0" w:line="11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may be tax consequences to our business combinations that may adversely affect us.</w:t>
      </w:r>
    </w:p>
    <w:p>
      <w:pPr>
        <w:spacing w:after="0" w:line="1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While we expect to undertake any merger or acquisition so as to minimize taxes both to the acquired business and/or asset and us, such business combination might not meet the statutory requirements of a tax-free reorganization, or the parties might not obtain the intended tax-free treatment upon a transfer of shares or assets. A non-qualifying reorganization could result in the imposition of substantial taxes.</w:t>
      </w: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9" w:right="31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25"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Our amended and restated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Any person or entity purchasing or otherwise acquiring any interest in shares of our capital stock shall be deemed to have notice of and consented to the forum provisions in our amended and restated certificate of incorporation.</w:t>
      </w:r>
    </w:p>
    <w:p>
      <w:pPr>
        <w:spacing w:after="0" w:line="102"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9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we consummate a business combination with a target business in the senior housing and care industry, we would be subject to the risks attendant to that industry.</w:t>
      </w:r>
    </w:p>
    <w:p>
      <w:pPr>
        <w:spacing w:after="0" w:line="11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If we are successful in consummating a business combination with a target business in the senior housing and care industry, we would be subject to all of the risks attendant to that industry, including, among others:</w:t>
      </w:r>
    </w:p>
    <w:p>
      <w:pPr>
        <w:spacing w:after="0" w:line="11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terminations of short-term resident agreements and resident attrition;</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reliance on private pay residents;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and circumstances that adversely affect the ability of the elderly to pay for our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competition from a significant number of competitors, some of which may have substantially greater financial resources than we have;</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inherent risk of liability in the provision of personal and health care services, not all of which may be covered by insurance;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significant government regulations and compliance, some of which is burdensome and some of which may change to our detriment in the future.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64"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color w:val="auto"/>
        </w:rPr>
        <w:t>We currently maintain our principal executive offices at 2645 N. Federal Hwy, Suite 230, Delray Beach, Florida 33483. The cost for this space is included in the up to $10,000 per-month aggregate fee our sponsor charges us for general and administrative services, which commenced on the date of the Initial Public Offering pursuant to a letter agreement between us and our sponsor. We believe, based on rents and fees for similar services in the Palm Beach, Florida area, that the fee charged by our sponsor is at least as favorable as we could have obtained from an unaffiliated person. We consider our current office space, combined with the other office space otherwise available to our executive officers, adequate for our current operations.</w:t>
      </w:r>
    </w:p>
    <w:p>
      <w:pPr>
        <w:spacing w:after="0" w:line="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material litigation, arbitration or governmental proceeding currently pending against us or any members of our management team.</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r>
        <w:rPr>
          <w:rFonts w:ascii="Arial" w:cs="Arial" w:eastAsia="Arial" w:hAnsi="Arial"/>
          <w:sz w:val="15"/>
          <w:szCs w:val="15"/>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64"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Our units, common stock, warrants and rights are each traded on the NASDAQ Capital Market under the symbols “BRPAU,” “BRPA,” “BRPAW” and “BRPAR,” respectively. Our units commenced public trading on November 20, 2017, and our common stock, rights and warrants commenced public trading on December 1, 2017.</w:t>
      </w:r>
    </w:p>
    <w:p>
      <w:pPr>
        <w:spacing w:after="0" w:line="127" w:lineRule="exact"/>
        <w:rPr>
          <w:sz w:val="20"/>
          <w:szCs w:val="20"/>
          <w:color w:val="auto"/>
        </w:rPr>
      </w:pPr>
    </w:p>
    <w:p>
      <w:pPr>
        <w:ind w:right="400" w:firstLine="648"/>
        <w:spacing w:after="0" w:line="268" w:lineRule="auto"/>
        <w:rPr>
          <w:sz w:val="20"/>
          <w:szCs w:val="20"/>
          <w:color w:val="auto"/>
        </w:rPr>
      </w:pPr>
      <w:r>
        <w:rPr>
          <w:rFonts w:ascii="Arial" w:cs="Arial" w:eastAsia="Arial" w:hAnsi="Arial"/>
          <w:sz w:val="18"/>
          <w:szCs w:val="18"/>
          <w:color w:val="auto"/>
        </w:rPr>
        <w:t>The table below sets forth, for the period indicated, the high and low sales prices of our units, common stock, warrants and rights as reported on the NASDAQ Capital Market for the fiscal year ended December 31, 2017.</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12/31/2017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Period from 11/20/2017 to 12/31/2017</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Low</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High</w:t>
            </w:r>
          </w:p>
        </w:tc>
        <w:tc>
          <w:tcPr>
            <w:tcW w:w="140" w:type="dxa"/>
            <w:vAlign w:val="bottom"/>
          </w:tcPr>
          <w:p>
            <w:pPr>
              <w:spacing w:after="0"/>
              <w:rPr>
                <w:sz w:val="15"/>
                <w:szCs w:val="15"/>
                <w:color w:val="auto"/>
              </w:rPr>
            </w:pPr>
          </w:p>
        </w:tc>
      </w:tr>
      <w:tr>
        <w:trPr>
          <w:trHeight w:val="216"/>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Units</w:t>
            </w:r>
          </w:p>
        </w:tc>
        <w:tc>
          <w:tcPr>
            <w:tcW w:w="820" w:type="dxa"/>
            <w:vAlign w:val="bottom"/>
            <w:gridSpan w:val="2"/>
            <w:shd w:val="clear" w:color="auto" w:fill="CCEEFF"/>
          </w:tcPr>
          <w:p>
            <w:pPr>
              <w:jc w:val="right"/>
              <w:ind w:right="52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82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9.60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Warrants</w:t>
            </w:r>
          </w:p>
        </w:tc>
        <w:tc>
          <w:tcPr>
            <w:tcW w:w="820" w:type="dxa"/>
            <w:vAlign w:val="bottom"/>
            <w:gridSpan w:val="2"/>
            <w:shd w:val="clear" w:color="auto" w:fill="CCEEFF"/>
          </w:tcPr>
          <w:p>
            <w:pPr>
              <w:jc w:val="right"/>
              <w:ind w:right="52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40" w:type="dxa"/>
            <w:vAlign w:val="bottom"/>
            <w:shd w:val="clear" w:color="auto" w:fill="CCEEFF"/>
          </w:tcPr>
          <w:p>
            <w:pPr>
              <w:spacing w:after="0"/>
              <w:rPr>
                <w:sz w:val="18"/>
                <w:szCs w:val="18"/>
                <w:color w:val="auto"/>
              </w:rPr>
            </w:pPr>
          </w:p>
        </w:tc>
      </w:tr>
      <w:tr>
        <w:trPr>
          <w:trHeight w:val="222"/>
        </w:trPr>
        <w:tc>
          <w:tcPr>
            <w:tcW w:w="8700" w:type="dxa"/>
            <w:vAlign w:val="bottom"/>
          </w:tcPr>
          <w:p>
            <w:pPr>
              <w:ind w:left="340"/>
              <w:spacing w:after="0"/>
              <w:rPr>
                <w:sz w:val="20"/>
                <w:szCs w:val="20"/>
                <w:color w:val="auto"/>
              </w:rPr>
            </w:pPr>
            <w:r>
              <w:rPr>
                <w:rFonts w:ascii="Arial" w:cs="Arial" w:eastAsia="Arial" w:hAnsi="Arial"/>
                <w:sz w:val="18"/>
                <w:szCs w:val="18"/>
                <w:color w:val="auto"/>
              </w:rPr>
              <w:t>Rights</w:t>
            </w:r>
          </w:p>
        </w:tc>
        <w:tc>
          <w:tcPr>
            <w:tcW w:w="82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0.41</w:t>
            </w:r>
          </w:p>
        </w:tc>
        <w:tc>
          <w:tcPr>
            <w:tcW w:w="140" w:type="dxa"/>
            <w:vAlign w:val="bottom"/>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64"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As of March 21, 2018, we had three holders of record of our common stock, two holders of record of our units, one holder of record of our warrants and one holder of record of our rights.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On November 20, 2017, we increased the size of the offering pursuant to Rule 462(b) under the Securities Act, and effectuated a 1.2-for-1 stock dividend of our common stock resulting in an aggregate of 1,725,000 founder's shares outstanding to maintain the ownership of our stockholder prior to our Initial Public Offering at 20% of our issued and outstanding shares of our common stock upon the consummation of our Initial Public Offering (excluding the shares of common stock underlying the private placement units and any units purchased in our Initial Public Offering). Further, if we incur any indebtedness, our ability to declare dividends may be limited by restrictive covenants we may agree to in connection therewith.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in not applicable as we are a smaller reporting company.</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64" w:lineRule="exact"/>
        <w:rPr>
          <w:sz w:val="20"/>
          <w:szCs w:val="20"/>
          <w:color w:val="auto"/>
        </w:rPr>
      </w:pPr>
    </w:p>
    <w:p>
      <w:pPr>
        <w:ind w:right="40" w:firstLine="648"/>
        <w:spacing w:after="0" w:line="307" w:lineRule="auto"/>
        <w:rPr>
          <w:sz w:val="20"/>
          <w:szCs w:val="20"/>
          <w:color w:val="auto"/>
        </w:rPr>
      </w:pPr>
      <w:r>
        <w:rPr>
          <w:rFonts w:ascii="Arial" w:cs="Arial" w:eastAsia="Arial" w:hAnsi="Arial"/>
          <w:sz w:val="15"/>
          <w:szCs w:val="15"/>
          <w:color w:val="auto"/>
        </w:rPr>
        <w:t>You should read the following discussion in conjunction with our financial statements and related notes included in this 2017 Form 10-K. This 2017 Form 10-K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Part I, “Item 1A. Risk Factors” of this 2017 Form 10-K.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are a blank check company incorporated in Delaware on September 18, 2017 and formed for the purpose of entering into a merger, share exchange, asset acquisition, stock purchase, recapitalization, reorganization or other similar business combination with one or more target businesses or entities (a “Business Combination”). While our efforts in identifying a prospective target business for our initial business combination will not be limited to a particular industry or geographic region, we intend to initially focus our search on identifying a prospective target business in the senior housing and care industry in the United States. We intend to effectuate our Business Combination using cash from the proceeds of our Initial Public Offering and the sale of Private Placement Units that occurred simultaneously with the completion of our Initial Public Offering, our securities, debt or a combination of cash, securities and debt.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ind w:right="220" w:firstLine="648"/>
        <w:spacing w:after="0" w:line="298" w:lineRule="auto"/>
        <w:rPr>
          <w:sz w:val="20"/>
          <w:szCs w:val="20"/>
          <w:color w:val="auto"/>
        </w:rPr>
      </w:pPr>
      <w:r>
        <w:rPr>
          <w:rFonts w:ascii="Arial" w:cs="Arial" w:eastAsia="Arial" w:hAnsi="Arial"/>
          <w:sz w:val="16"/>
          <w:szCs w:val="16"/>
          <w:color w:val="auto"/>
        </w:rPr>
        <w:t>Our entire activity since September 18, 2017 (inception) up to November 20, 2017 was in preparation for our Initial Public Offering. Since our Initial Public Offering, our activity has been limited to the search for a prospective initial business combination, and we will not be generating any operating revenues until the closing and completion of our initial business combination. We expect to incur increased expenses as a result of being a public company (for legal, financial reporting, accounting and auditing compliance), as well as for due diligence expenses.</w:t>
      </w:r>
    </w:p>
    <w:p>
      <w:pPr>
        <w:spacing w:after="0" w:line="99" w:lineRule="exact"/>
        <w:rPr>
          <w:sz w:val="20"/>
          <w:szCs w:val="20"/>
          <w:color w:val="auto"/>
        </w:rPr>
      </w:pPr>
    </w:p>
    <w:p>
      <w:pPr>
        <w:ind w:right="320" w:firstLine="648"/>
        <w:spacing w:after="0" w:line="306" w:lineRule="auto"/>
        <w:rPr>
          <w:sz w:val="20"/>
          <w:szCs w:val="20"/>
          <w:color w:val="auto"/>
        </w:rPr>
      </w:pPr>
      <w:r>
        <w:rPr>
          <w:rFonts w:ascii="Arial" w:cs="Arial" w:eastAsia="Arial" w:hAnsi="Arial"/>
          <w:sz w:val="16"/>
          <w:szCs w:val="16"/>
          <w:color w:val="auto"/>
        </w:rPr>
        <w:t>For the period from September 18, 2017 (inception) through December 31, 2017, we had a net loss of $105,033, which consists of operating costs of $134,476 and an unrealized loss on marketable securities held in a trust account established for the benefit of the Company’s public stockholders (the “Trust Account”) of $4,740, offset by interest income on marketable securities held in the Trust Account of $34,183.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November 22, 2017, we consummated our Initial Public Offering of 6,000,000 units (the “Units”) at a price of $10.00 per Unit, generating gross proceeds of $60,000,000. Simultaneously with the closing of the Initial Public Offering, we consummated the sale of 250,000 private units (the “Private Units”) to our sponsor, generating gross proceeds of $2,500,000 (the “Private Placement”).</w:t>
      </w:r>
    </w:p>
    <w:p>
      <w:pPr>
        <w:spacing w:after="0" w:line="12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On November 28, 2017, the underwriters elected to fully exercise their over-allotment option to purchase 900,000 additional Units (the “Over-allotment Units”) at a purchase price of $10.00 per Unit, generating gross proceeds of $9,000,000. In addition, simultaneously with the sale of the Over-Allotment Units, we consummated the sale of an additional 22,500 private units (the “Over-Allotment Private Units”) at $10.00 per unit, generating gross proceeds of $225,000.</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total of $69,000,000 of the net proceeds from the Initial Public Offering and the Private Placement (including the sale of the Over-Allotment Units and the Over-Allotment Private Units) were deposited in the Trust Account. We incurred costs in the aggregate amount of $2,172,419 related to Initial Public Offering, including $1,725,000 of underwriting fees and $447,419 of other costs.</w:t>
      </w:r>
    </w:p>
    <w:p>
      <w:pPr>
        <w:spacing w:after="0" w:line="127" w:lineRule="exact"/>
        <w:rPr>
          <w:sz w:val="20"/>
          <w:szCs w:val="20"/>
          <w:color w:val="auto"/>
        </w:rPr>
      </w:pPr>
    </w:p>
    <w:p>
      <w:pPr>
        <w:ind w:right="140" w:firstLine="648"/>
        <w:spacing w:after="0" w:line="298" w:lineRule="auto"/>
        <w:rPr>
          <w:sz w:val="20"/>
          <w:szCs w:val="20"/>
          <w:color w:val="auto"/>
        </w:rPr>
      </w:pPr>
      <w:r>
        <w:rPr>
          <w:rFonts w:ascii="Arial" w:cs="Arial" w:eastAsia="Arial" w:hAnsi="Arial"/>
          <w:sz w:val="16"/>
          <w:szCs w:val="16"/>
          <w:color w:val="auto"/>
        </w:rPr>
        <w:t>As of December 31, 2017, we had cash and securities held in the Trust Account of $69,029,443 (including approximately $34,000 of interest income, less approximately $5,000 of unrealized losses) consisting of U.S Treasury bills with a maturity of 180 days or less. Interest income earned on the balance in the Trust Account may be used by us to pay taxes. Through December 31, 2017, we did not withdraw any funds from the interest earned on the Trust Account. In February 2018, we withdrew $23,135 of interest income to pay our franchise tax obligations.</w:t>
      </w:r>
    </w:p>
    <w:p>
      <w:pPr>
        <w:spacing w:after="0" w:line="99" w:lineRule="exact"/>
        <w:rPr>
          <w:sz w:val="20"/>
          <w:szCs w:val="20"/>
          <w:color w:val="auto"/>
        </w:rPr>
      </w:pPr>
    </w:p>
    <w:p>
      <w:pPr>
        <w:ind w:right="460" w:firstLine="648"/>
        <w:spacing w:after="0" w:line="306" w:lineRule="auto"/>
        <w:rPr>
          <w:sz w:val="20"/>
          <w:szCs w:val="20"/>
          <w:color w:val="auto"/>
        </w:rPr>
      </w:pPr>
      <w:r>
        <w:rPr>
          <w:rFonts w:ascii="Arial" w:cs="Arial" w:eastAsia="Arial" w:hAnsi="Arial"/>
          <w:sz w:val="16"/>
          <w:szCs w:val="16"/>
          <w:color w:val="auto"/>
        </w:rPr>
        <w:t>For the period from September 18, 2017 (inception) through December 31, 2017, cash used in operating activities amounted to $135,807, resulting primarily from a net loss of $105,033 and interest earned on marketable securities held in the Trust Account of $34,183, offset by an unrealized loss on marketable securities held in our Trust Account of $4,740. Changes in operating assets and liabilities used $1,331 of cash for operating activities.</w:t>
      </w:r>
    </w:p>
    <w:p>
      <w:pPr>
        <w:spacing w:after="0" w:line="9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intend to use substantially all of the net proceeds of the Initial Public Offering, including the funds held in the Trust Account, to acquire a target business or businesses and to pay our expenses relating thereto. To the extent that our capital stock is used, in whole or in part, as consideration to effect our Business Combination, the remaining proceeds held in the Trust Account, as well as any other net proceeds not expended, will be used as working capital to finance the operations of the target business. Such working capital funds could be used in a variety of ways including, but not limited to, continuing or expanding the target business’ operations, for strategic acquisitions and for marketing, research and development of existing or new products. Such funds could also be used to repay any expenses or finders’ fees which we had incurred prior to the completion of our Business Combination if the funds available to us outside of the Trust Account were insufficient to cover such expenses.</w:t>
      </w:r>
    </w:p>
    <w:p>
      <w:pPr>
        <w:spacing w:after="0" w:line="1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December 31, 2017, we had $449,374 of cash held outside the Trust Account and available for working capital purposes. We intend to use the funds held outside the Trust Account primarily to pay the expenses of being a public company and to identify and evaluate target businesses, perform business due diligence on prospective target businesses, travel to and from the offices, properties or similar locations of prospective target businesses or their representatives or owners, review corporate documents and material agreements of prospective target businesses, and structure, negotiate and complete a Business Combination.</w:t>
      </w:r>
    </w:p>
    <w:p>
      <w:pPr>
        <w:spacing w:after="0" w:line="129" w:lineRule="exact"/>
        <w:rPr>
          <w:sz w:val="20"/>
          <w:szCs w:val="20"/>
          <w:color w:val="auto"/>
        </w:rPr>
      </w:pPr>
    </w:p>
    <w:p>
      <w:pPr>
        <w:ind w:right="20" w:firstLine="648"/>
        <w:spacing w:after="0" w:line="318" w:lineRule="auto"/>
        <w:rPr>
          <w:sz w:val="20"/>
          <w:szCs w:val="20"/>
          <w:color w:val="auto"/>
        </w:rPr>
      </w:pPr>
      <w:r>
        <w:rPr>
          <w:rFonts w:ascii="Arial" w:cs="Arial" w:eastAsia="Arial" w:hAnsi="Arial"/>
          <w:sz w:val="15"/>
          <w:szCs w:val="15"/>
          <w:color w:val="auto"/>
        </w:rPr>
        <w:t>In order to finance transaction costs in connection with a Business Combination, our sponsor, an affiliate of our sponsor or certain of our officers and directors may, but are not obligated to, loan us funds as may be required. If we complete a Business Combination, we would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to repay such loaned amounts. Up to $1,500,000 of such loans may be convertible into units, at a price of $10.00 per unit at the option of the lender. The units would be identical to the Private Placement Units.</w:t>
      </w:r>
    </w:p>
    <w:p>
      <w:pPr>
        <w:spacing w:after="0" w:line="86"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amounts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December 31, 2017.</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4" w:lineRule="exact"/>
        <w:rPr>
          <w:sz w:val="20"/>
          <w:szCs w:val="20"/>
          <w:color w:val="auto"/>
        </w:rPr>
      </w:pPr>
    </w:p>
    <w:p>
      <w:pPr>
        <w:ind w:right="60" w:firstLine="648"/>
        <w:spacing w:after="0" w:line="306" w:lineRule="auto"/>
        <w:rPr>
          <w:sz w:val="20"/>
          <w:szCs w:val="20"/>
          <w:color w:val="auto"/>
        </w:rPr>
      </w:pPr>
      <w:r>
        <w:rPr>
          <w:rFonts w:ascii="Arial" w:cs="Arial" w:eastAsia="Arial" w:hAnsi="Arial"/>
          <w:sz w:val="16"/>
          <w:szCs w:val="16"/>
          <w:color w:val="auto"/>
        </w:rPr>
        <w:t>We do not have any long-term debt, capital lease obligations, operating lease obligations or long-term liabilities other than an agreement to pay our sponsor a monthly fee of $10,000 for office space, utilities and administrative support provided to the Company. We began incurring these fees on November 20, 2017 and will continue to incur these fees monthly until the earlier of the completion of the Business Combination and the Company’s liquidation.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The Company has identified the following critical accounting policy: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6282A"/>
        </w:rPr>
        <w:t>Common Stock subject to possible redemption</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account for our common stock subject to possible conversion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at December 31, 2017, the common stock subject to possible redemption is presented as temporary equity, outside of the stockholders’ equity section of our balance sheet.</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260" w:firstLine="648"/>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in not applicable as we are a smaller reporting company.</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9" w:right="27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164"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Our Consolidated Financial Statements and the Notes thereto, together with the report thereon of our independent registered public accounting firm are filed as part of this report, beginning on page F-1.</w:t>
      </w:r>
    </w:p>
    <w:p>
      <w:pPr>
        <w:spacing w:after="0" w:line="1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30"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the effectiveness of our disclosure controls and procedures as of the end of the year ended December 31, 2017, as such term is defined in Rules 13a-15(e) and 15d-15(e) under the Exchange Act. Based on this evaluation, our principal executive officer and principal financial officer have concluded that our disclosure controls and procedures were effective as of the end of the period covered by this report.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Controls Over Financial Reporting</w:t>
      </w:r>
    </w:p>
    <w:p>
      <w:pPr>
        <w:spacing w:after="0" w:line="164" w:lineRule="exact"/>
        <w:rPr>
          <w:sz w:val="20"/>
          <w:szCs w:val="20"/>
          <w:color w:val="auto"/>
        </w:rPr>
      </w:pPr>
    </w:p>
    <w:p>
      <w:pPr>
        <w:ind w:right="80" w:firstLine="648"/>
        <w:spacing w:after="0" w:line="370" w:lineRule="auto"/>
        <w:rPr>
          <w:sz w:val="20"/>
          <w:szCs w:val="20"/>
          <w:color w:val="auto"/>
        </w:rPr>
      </w:pPr>
      <w:r>
        <w:rPr>
          <w:rFonts w:ascii="Arial" w:cs="Arial" w:eastAsia="Arial" w:hAnsi="Arial"/>
          <w:sz w:val="15"/>
          <w:szCs w:val="15"/>
          <w:color w:val="auto"/>
        </w:rPr>
        <w:t>This annual report does not include a report of management’s assessment regarding internal control over financial reporting or an attestation report of our registered public accounting firm due to a transition period established by the rules of the Securities and Exchange Commission for newly public companies.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4" w:lineRule="exact"/>
        <w:rPr>
          <w:sz w:val="20"/>
          <w:szCs w:val="20"/>
          <w:color w:val="auto"/>
        </w:rPr>
      </w:pPr>
    </w:p>
    <w:p>
      <w:pPr>
        <w:ind w:right="360" w:firstLine="648"/>
        <w:spacing w:after="0" w:line="268" w:lineRule="auto"/>
        <w:rPr>
          <w:sz w:val="20"/>
          <w:szCs w:val="20"/>
          <w:color w:val="auto"/>
        </w:rPr>
      </w:pPr>
      <w:r>
        <w:rPr>
          <w:rFonts w:ascii="Arial" w:cs="Arial" w:eastAsia="Arial" w:hAnsi="Arial"/>
          <w:sz w:val="18"/>
          <w:szCs w:val="18"/>
          <w:color w:val="auto"/>
        </w:rPr>
        <w:t>For the quarter ended December 31, 2017 there has been no change in our internal control over financial reporting that has materially affected, or is reasonably likely to materially affect, our internal control over financial reporting.</w:t>
      </w:r>
    </w:p>
    <w:p>
      <w:pPr>
        <w:spacing w:after="0" w:line="1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9" w:right="27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16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the date of this Report, our directors and officers are as set forth in the table below. There are no family relationships between any of our directors or senior management. There are no arrangements or understandings with major shareholders, customers, suppliers or others, pursuant to which any person referred to above was selected as a director or member of senior management. The Company is not aware of any agreements or arrangements between any director and any person or entity other than the Company relating to the compensation or other payments in connection with such director’s candidacy or service as a director of the Company.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980" w:type="dxa"/>
            <w:vAlign w:val="bottom"/>
            <w:tcBorders>
              <w:bottom w:val="single" w:sz="8" w:color="auto"/>
            </w:tcBorders>
          </w:tcPr>
          <w:p>
            <w:pPr>
              <w:ind w:left="1300"/>
              <w:spacing w:after="0"/>
              <w:rPr>
                <w:sz w:val="20"/>
                <w:szCs w:val="20"/>
                <w:color w:val="auto"/>
              </w:rPr>
            </w:pPr>
            <w:r>
              <w:rPr>
                <w:rFonts w:ascii="Arial" w:cs="Arial" w:eastAsia="Arial" w:hAnsi="Arial"/>
                <w:sz w:val="15"/>
                <w:szCs w:val="15"/>
                <w:b w:val="1"/>
                <w:bCs w:val="1"/>
                <w:color w:val="auto"/>
              </w:rPr>
              <w:t>Name</w:t>
            </w:r>
          </w:p>
        </w:tc>
        <w:tc>
          <w:tcPr>
            <w:tcW w:w="220" w:type="dxa"/>
            <w:vAlign w:val="bottom"/>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Age</w:t>
            </w:r>
          </w:p>
        </w:tc>
        <w:tc>
          <w:tcPr>
            <w:tcW w:w="220" w:type="dxa"/>
            <w:vAlign w:val="bottom"/>
          </w:tcPr>
          <w:p>
            <w:pPr>
              <w:spacing w:after="0"/>
              <w:rPr>
                <w:sz w:val="15"/>
                <w:szCs w:val="15"/>
                <w:color w:val="auto"/>
              </w:rPr>
            </w:pPr>
          </w:p>
        </w:tc>
        <w:tc>
          <w:tcPr>
            <w:tcW w:w="5900" w:type="dxa"/>
            <w:vAlign w:val="bottom"/>
            <w:tcBorders>
              <w:bottom w:val="single" w:sz="8" w:color="auto"/>
            </w:tcBorders>
          </w:tcPr>
          <w:p>
            <w:pPr>
              <w:ind w:left="2700"/>
              <w:spacing w:after="0"/>
              <w:rPr>
                <w:sz w:val="20"/>
                <w:szCs w:val="20"/>
                <w:color w:val="auto"/>
              </w:rPr>
            </w:pPr>
            <w:r>
              <w:rPr>
                <w:rFonts w:ascii="Arial" w:cs="Arial" w:eastAsia="Arial" w:hAnsi="Arial"/>
                <w:sz w:val="15"/>
                <w:szCs w:val="15"/>
                <w:b w:val="1"/>
                <w:bCs w:val="1"/>
                <w:color w:val="auto"/>
              </w:rPr>
              <w:t>Position</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Richard Ackerman</w:t>
            </w:r>
          </w:p>
        </w:tc>
        <w:tc>
          <w:tcPr>
            <w:tcW w:w="23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59</w:t>
            </w:r>
          </w:p>
        </w:tc>
        <w:tc>
          <w:tcPr>
            <w:tcW w:w="22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Lori B. Wittman</w:t>
            </w:r>
          </w:p>
        </w:tc>
        <w:tc>
          <w:tcPr>
            <w:tcW w:w="230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Bennett Kim</w:t>
            </w:r>
          </w:p>
        </w:tc>
        <w:tc>
          <w:tcPr>
            <w:tcW w:w="23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45</w:t>
            </w:r>
          </w:p>
        </w:tc>
        <w:tc>
          <w:tcPr>
            <w:tcW w:w="22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Chief Investment Officer</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Richard Birdoff</w:t>
            </w:r>
          </w:p>
        </w:tc>
        <w:tc>
          <w:tcPr>
            <w:tcW w:w="230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Michael Fong</w:t>
            </w:r>
          </w:p>
        </w:tc>
        <w:tc>
          <w:tcPr>
            <w:tcW w:w="23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73</w:t>
            </w:r>
          </w:p>
        </w:tc>
        <w:tc>
          <w:tcPr>
            <w:tcW w:w="22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Stuart F. Koenig</w:t>
            </w:r>
          </w:p>
        </w:tc>
        <w:tc>
          <w:tcPr>
            <w:tcW w:w="230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Albert G. Rex</w:t>
            </w:r>
          </w:p>
        </w:tc>
        <w:tc>
          <w:tcPr>
            <w:tcW w:w="23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63</w:t>
            </w:r>
          </w:p>
        </w:tc>
        <w:tc>
          <w:tcPr>
            <w:tcW w:w="22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Troy T. Taylor</w:t>
            </w:r>
          </w:p>
        </w:tc>
        <w:tc>
          <w:tcPr>
            <w:tcW w:w="230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2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Richard Ackerman</w:t>
      </w:r>
      <w:r>
        <w:rPr>
          <w:rFonts w:ascii="Arial" w:cs="Arial" w:eastAsia="Arial" w:hAnsi="Arial"/>
          <w:sz w:val="16"/>
          <w:szCs w:val="16"/>
          <w:color w:val="auto"/>
        </w:rPr>
        <w:t>, our Chairman, President and Chief Executive Officer since September 18, 2017, formed BRP in 2004. BRP is an opportunistic real</w:t>
      </w:r>
      <w:r>
        <w:rPr>
          <w:rFonts w:ascii="Arial" w:cs="Arial" w:eastAsia="Arial" w:hAnsi="Arial"/>
          <w:sz w:val="16"/>
          <w:szCs w:val="16"/>
          <w:b w:val="1"/>
          <w:bCs w:val="1"/>
          <w:color w:val="auto"/>
        </w:rPr>
        <w:t xml:space="preserve"> </w:t>
      </w:r>
      <w:r>
        <w:rPr>
          <w:rFonts w:ascii="Arial" w:cs="Arial" w:eastAsia="Arial" w:hAnsi="Arial"/>
          <w:sz w:val="16"/>
          <w:szCs w:val="16"/>
          <w:color w:val="auto"/>
        </w:rPr>
        <w:t>estate investment firm that has invested in and managed over $800 million in assets since its formation. In 2012, BRP began to focus on senior housing development as there was a distinct supply – demand imbalance and fragmentation in senior housing developers, and formed Big Rock Senior Housing, a national leader in developing and managing new Class A senior housing communities of $50 million and more. Class A housing communities consist of prestigious buildings with high quality standard finishes, state of the art systems, exceptional accessibility and a defined market presence competing for premier senior housing users with rents above average for the area. Mr. Ackerman serves as the Senior Managing Principal of BRP and Big Rock Senior Housing. Prior to BRP, from 2001 to 2004, Mr. Ackerman served as the Head of the Los Angeles office of Apollo, overseeing all investments on the U.S. West Coast and Japan for the global private equity firm. In August 1999, Mr. Ackerman was appointed by Apollo as the Chief Executive Officer of Atlantic Gulf Communities Corporation (an Apollo portfolio company) in order to restructure the company and served in that capacity until April 2001. This publicly traded development and asset management company's primary operations included the development and sale of home sites and land tracts and the construction and sale of oceanfront condominiums. From September 1996 to August 1999, Mr. Ackerman was President and co-founder of Crocker Realty Trust, a private REIT (an Apollo portfolio company) specializing in the ownership and development of office space in the southeastern United States. Prior to 1996, he was president and co-founder of Crocker Realty Investors, a publicly traded REIT and a portfolio company of the first Apollo Real Estate Investment Fund. The company specialized in the ownership and development of office space until its sale to Highwoods Properties, Inc. In addition to the foregoing business experience, Mr. Ackerman served as Chief Executive Officer and a director of ALDA Office Properties, Inc. (“ALDA”) during 2011. ALDA was formed in 2011 to acquire, own and operate office properties in select markets primarily in Northern and Southern California. In 2011, ALDA filed a registration statement for its initial public offering, which offering was subsequently abandoned due to market conditions. Mr. Ackerman is also a former Director of Summerville Senior Living, Inc., which is one of the largest assisted living companies in the nation. Mr. Ackerman graduated with a B.A. from Tulane University and a J.D. from the Tulane School of Law.</w:t>
      </w:r>
    </w:p>
    <w:p>
      <w:pPr>
        <w:spacing w:after="0" w:line="111"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We believe Mr. Ackerman is well-qualified to serve as a member of our board due to his broad and deep expertise in senior housing, development and operations of both senior housing and real estate.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color w:val="auto"/>
        </w:rPr>
        <w:t>Lori B. Wittman</w:t>
      </w:r>
      <w:r>
        <w:rPr>
          <w:rFonts w:ascii="Arial" w:cs="Arial" w:eastAsia="Arial" w:hAnsi="Arial"/>
          <w:sz w:val="16"/>
          <w:szCs w:val="16"/>
          <w:color w:val="auto"/>
        </w:rPr>
        <w:t>, our Chief Financial Officer and a director, since September 18, 2017, most recently served as the Executive Vice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of Care Capital Properties, Inc. (“CCP”), a public healthcare real estate investment trust with a diversified portfolio of triple-net leased properties focused on the post-acute sector, from August 2015 (after a spin-off from Ventas, Inc. (“Ventas”)) to August 2017 (due to the merger of CCP and Sabra Healthcare REIT, Inc.). A triple-net leased property is a property leased pursuant to an agreement where the tenant or lessee agrees to pay all real estate taxes, building insurance, and maintenance (the three "nets") on the property in addition to any normal fees that are expected under the agreement (rent, utilities, etc.) Ms. Wittman previously served as Senior Vice President, Capital Markets and Investor Relations of Ventas, a leading real estate investment trust with a diverse portfolio of more than 1,600 assets in the United States, Canada and the United Kingdom consists of seniors housing communities, medical office buildings, skilled nursing facilities, hospitals and other properties, from 2013 to 2015 and as Vice President, Capital Markets and Investor Relations of Ventas from 2011 to 2013. From 2006 to 2011, she was the Chief Financial Officer and Managing Principal of BRP. Before that, Ms. Wittman held various capital markets and finance positions with General Growth Properties, Inc., Heitman, Homart Development Company, Citibank and Mellon Bank. She has been a member of the Board of Directors of IMH Financial Corporation, a real estate investment and finance company since July 2014. In addition to the foregoing business experience, Ms. Wittman served as Chief Financial Officer of ALDA during 2011. Ms. Wittman received a B.A. in Geography and Sociology from Clark University, a Masters in City Planning from the University of Pennsylvania and an M.B.A. from the University of Chicago.</w:t>
      </w:r>
    </w:p>
    <w:p>
      <w:pPr>
        <w:spacing w:after="0" w:line="113"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We believe Ms. Wittman is well-qualified to serve as a member of our board due to her substantial experience in finance, capital markets and investor relations for both private and public companies.</w:t>
      </w:r>
    </w:p>
    <w:p>
      <w:pPr>
        <w:spacing w:after="0" w:line="11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Bennett Kim</w:t>
      </w:r>
      <w:r>
        <w:rPr>
          <w:rFonts w:ascii="Arial" w:cs="Arial" w:eastAsia="Arial" w:hAnsi="Arial"/>
          <w:sz w:val="16"/>
          <w:szCs w:val="16"/>
          <w:color w:val="auto"/>
        </w:rPr>
        <w:t>, our Chief Investment Officer and Corporate Secretary since September 18, 2017, has served as the Managing Principal of Big Rock</w:t>
      </w:r>
      <w:r>
        <w:rPr>
          <w:rFonts w:ascii="Arial" w:cs="Arial" w:eastAsia="Arial" w:hAnsi="Arial"/>
          <w:sz w:val="16"/>
          <w:szCs w:val="16"/>
          <w:b w:val="1"/>
          <w:bCs w:val="1"/>
          <w:color w:val="auto"/>
        </w:rPr>
        <w:t xml:space="preserve"> </w:t>
      </w:r>
      <w:r>
        <w:rPr>
          <w:rFonts w:ascii="Arial" w:cs="Arial" w:eastAsia="Arial" w:hAnsi="Arial"/>
          <w:sz w:val="16"/>
          <w:szCs w:val="16"/>
          <w:color w:val="auto"/>
        </w:rPr>
        <w:t>Senior Housing since January 2016. Mr. Kim was the Chief Investment Officer at BRP from May 2006 to July 2014 and was responsible for acquisitions, development, asset management, and dispositions. From July 2014 to December 2015, Mr. Kim served as the Head of Acquisitions for Carefree Communities, the fifth largest national owner and operator of manufactured housing communities and RV parks with 103 communities and 28,000 sites. From January 2001 to May 2006, Mr. Kim served as a Vice President at Apollo and was responsible for new investments and investment management including the development of a $400 million mixed-use project that consists of two hotels, two condominium towers, retail, office and structured parking. Mr. Kim also formulated work-out strategies for one of the largest assisted living companies in the nation while at Apollo. Between 1999 to 2000, Mr. Kim was an Assistant Vice President at Oaktree Capital Management, where he evaluated and executed investments in the U.S. and Japan for funds then totaling $1.7 billion of equity. Previously, Mr. Kim worked as an Associate at Merrill Lynch Real Estate Investment Banking, where he evaluated financing alternatives for public and private real estate companies. Mr. Kim also worked as a Senior Analyst at Walt Disney Imagineering and as an Analyst at Disney Development Company. In addition to the foregoing business experience, Mr. Kim served as Chief Investment Officer of ALDA during 2011. Mr. Kim is currently on the Board of Directors of UHI Soho Global, a Cayman Islands based hedge fund. Mr. Kim graduated with an M.B.A. from Harvard Business School and a B.A. in Economics from UCLA.</w:t>
      </w:r>
    </w:p>
    <w:p>
      <w:pPr>
        <w:spacing w:after="0" w:line="101"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b w:val="1"/>
          <w:bCs w:val="1"/>
          <w:color w:val="auto"/>
        </w:rPr>
        <w:t>Richard J. Birdoff</w:t>
      </w:r>
      <w:r>
        <w:rPr>
          <w:rFonts w:ascii="Arial" w:cs="Arial" w:eastAsia="Arial" w:hAnsi="Arial"/>
          <w:sz w:val="16"/>
          <w:szCs w:val="16"/>
          <w:color w:val="auto"/>
        </w:rPr>
        <w:t>, who has served as one of our directors since November 20, 2017, has served as President of RD Management and Realty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Corp. (“RD Management”), a privately held retail real estate developer and manager, since January 2015. Mr. Birdoff is responsible for all aspects of the day-to-day operations of the company including development, construction, acquisitions, sales and dispositions. Mr. Birdoff joined RD Management in 1991 as a principal and Executive Vice President and since 1994, he has developed in excess of 10,000,000 sq. ft. of shopping centers. Mr. Birdoff previously served on the Board of Directors of Crocker Realty Investors, a Florida based publicly held real estate investment trust. Mr. Birdoff has been engaged in the real estate business for more than 30 years. He received an undergraduate degree from Emory College in 1980 and his Juris Doctorate degree in 1983 from Emory University Law School. Following his graduation, Mr. Birdoff worked for IRT Properties in Atlanta, Georgia. Thereafter, in 1984, he joined Bertram Associates of Union, New Jersey where Mr. Birdoff served as associate counsel. Bertram Associates, at the time was one of New Jersey’s largest residential developers. Mr. Birdoff then transitioned to be a principal in the real estate development industry with Bertram Associates focusing on site acquisition, construction and sales of residential homes.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Mr. Birdoff is well-qualified to serve as a member of our board due to his extensive real estate experience.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Michael Fong</w:t>
      </w:r>
      <w:r>
        <w:rPr>
          <w:rFonts w:ascii="Arial" w:cs="Arial" w:eastAsia="Arial" w:hAnsi="Arial"/>
          <w:sz w:val="16"/>
          <w:szCs w:val="16"/>
          <w:color w:val="auto"/>
        </w:rPr>
        <w:t>, who has served as one of our directors since November 20, 2017, serves as the Chairman and Chief Executive Officer of JF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Ltd. (“JF International”), a private equity firm he founded since 2003. JF International invests and manages a diversified portfolio of worldwide investments in real estate and operating companies. In 2015, JF International joined with BRP to invest in the luxury senior housing sector. From 1994 to 2003, Mr. Fong was the Managing Director of The ALJ Group which is based in Jeddah, Kingdom of Saudi Arabia and is one of the largest privately held business enterprises in the Middle East. Mr. Fong also previously served from 1990 to 1994 as the President of Jaymont Properties, Inc., a real estate development and management company with a substantial portfolio of premier office and mixed used properties located in the central business district of major cities such as New York, Boston, San Francisco, Orlando, Chicago, and Miami. From 1979 to 1990, Mr. Fong was President of Intercap Investments, Inc, a commercial developer of real estate central business district projects in Miami and Coral Gables. From 1998 to 1999, Mr. Fong was the President of the Coral Gables, FL Chamber of Commerce and served on its Board of Directors for several years. Prior to 1979, Mr. Fong was President of Interfin Investments, Inc., an investment banking firm based in Lincoln, Nebraska and New York. From 1975 to 1979, Mr. Fong was a Vice President and also served as Assistant to the President of DuPont Walston, Inc., a major retail brokerage and investment banking firm with over 200 branches across the United States. Mr. Fong began his business career in 1971 with EDS, a firm founded by H. Ross Perot, and was sent to New York when Mr. Perot made an investment in DuPont Glore Forgan when EDS was awarded a major data processing contract for redesigning a new system for the brokerage business.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Mr. Fong is well-qualified to serve as a member of our board due to his expertise in real estate and finance.</w:t>
      </w:r>
    </w:p>
    <w:p>
      <w:pPr>
        <w:spacing w:after="0" w:line="1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Stuart Koenig</w:t>
      </w:r>
      <w:r>
        <w:rPr>
          <w:rFonts w:ascii="Arial" w:cs="Arial" w:eastAsia="Arial" w:hAnsi="Arial"/>
          <w:sz w:val="16"/>
          <w:szCs w:val="16"/>
          <w:color w:val="auto"/>
        </w:rPr>
        <w:t>, who has served as one of our directors since November 20, 2017, has over forty years of diversified experience in the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banking and financial services industries. His experience includes every aspect of commercial and residential real estate including acquisition, financing, leasing, property management and disposition. Mr. Koenig most recently served as a Senior Partner in the real estate division of Ares Management, LP (“Ares”), a global alternative asset manager with over $100 billion of assets under management, from 2013 to 2016. Mr. Koenig served as Chair of the Investment Committees of the real estate funds of Ares, which collectively had $8 billion under management. From 1995 to 2013, Mr. Koenig served as the Global Chief Financial Officer, Chief Administrative Officer and Senior Partner of AREA Property Partners (“AREA”), a global real estate investment and asset management firm that raised and invested approximately $14 billion of client equity in more than 600 transactions across all sectors of real estate. Mr. Koenig oversaw the financing and administrative activities for AREA and was also responsible for its reporting, human resources, compliance, legal and structuring activities. Mr. Koenig helped negotiate and execute the sale of AREA to Ares Management in 2013. Prior to AREA, Mr. Koenig worked in various positions in investment bank including Goldman Sachs &amp; Co. (1986-1994) and EF Hutton Inc. (1981-1986). From 1997-2014, Mr. Koenig served as the lead independent director and member of the compensation committee of Emeritus Corporation (NYSE: ESC) one of the largest publicly traded owners and operators of assisted living facilities in the country and helped oversee the sale of the company to Brookdale Senior Living (NYSE: BKD) in 2014. Mr. Koenig currently serves as Trustee for the Binghamton University Endowment Fund and is Chair of its Investment Committee and also provides consulting services for the U.S. investment activity of Profimex, an Israel based real estate investment firm. Mr. Koenig has a B.A. from Binghamton University and an MBA from Baruch College of the City University of N.Y.</w:t>
      </w:r>
    </w:p>
    <w:p>
      <w:pPr>
        <w:spacing w:after="0" w:line="107"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We believe Mr. Koenig is well-qualified to serve as a member of our board due to his extensive and deep expertise in real estate, finance, acquisition and investment management.</w:t>
      </w:r>
    </w:p>
    <w:p>
      <w:pPr>
        <w:spacing w:after="0" w:line="1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b w:val="1"/>
          <w:bCs w:val="1"/>
          <w:color w:val="auto"/>
        </w:rPr>
        <w:t>Albert G. Rex</w:t>
      </w:r>
      <w:r>
        <w:rPr>
          <w:rFonts w:ascii="Arial" w:cs="Arial" w:eastAsia="Arial" w:hAnsi="Arial"/>
          <w:sz w:val="18"/>
          <w:szCs w:val="18"/>
          <w:color w:val="auto"/>
        </w:rPr>
        <w:t>, who has served as one of our directors since November 20, 2017, has served as the Managing Director of Walker &amp; Dunlop, a</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real estate finance company, since May 2012. In this role, Mr. Rex has been involved in over 1500 loans totaling more than $15 billion in transactions. Mr. Rex has over 40 years of experience in the financing and equity aspects of commercial real estate development throughout the U.S. with a focus on the Southeast region. Mr. Rex spent the majority of his career as a Managing Partner with Carey Kramer, a company he helped found in 1983 and ultimately owned solely from 2001 until it merged with Collateral Real Estate Capital in 2005. Collateral later merged with Laureate Capital, LLC in 2007, to form Grandbridge Real Estate Capital, LLC, a wholly-owned subsidiary of BB&amp;T. Mr. Rex is a graduate of University of Florida with a degree in Finance and Real Estate and serves on their Real Estate Advisory Board. He is an active member of the Mortgage Bankers Association (MBA), Urban Land Institute (ULI), International Council of Shopping Centers (ICSC), and National Association of Industrial and Office Properties (NAIOP), where he has served as President of the South Florida Chapter.</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Mr. Rex is well-qualified to serve as a member of our board due to his experience in finance and capital markets.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b w:val="1"/>
          <w:bCs w:val="1"/>
          <w:color w:val="auto"/>
        </w:rPr>
        <w:t>Troy T. Taylor</w:t>
      </w:r>
      <w:r>
        <w:rPr>
          <w:rFonts w:ascii="Arial" w:cs="Arial" w:eastAsia="Arial" w:hAnsi="Arial"/>
          <w:sz w:val="16"/>
          <w:szCs w:val="16"/>
          <w:color w:val="auto"/>
        </w:rPr>
        <w:t>, who has served as one of our directors since November 20, 2017, has served as President of Algon Group, an advisory firm he founded,</w:t>
      </w:r>
      <w:r>
        <w:rPr>
          <w:rFonts w:ascii="Arial" w:cs="Arial" w:eastAsia="Arial" w:hAnsi="Arial"/>
          <w:sz w:val="16"/>
          <w:szCs w:val="16"/>
          <w:b w:val="1"/>
          <w:bCs w:val="1"/>
          <w:color w:val="auto"/>
        </w:rPr>
        <w:t xml:space="preserve"> </w:t>
      </w:r>
      <w:r>
        <w:rPr>
          <w:rFonts w:ascii="Arial" w:cs="Arial" w:eastAsia="Arial" w:hAnsi="Arial"/>
          <w:sz w:val="16"/>
          <w:szCs w:val="16"/>
          <w:color w:val="auto"/>
        </w:rPr>
        <w:t>since 2002. Algon Group is a specialized financial firm providing sophisticated financial advisory services to stakeholders with complex, challenging, and financially distressed situations. Mr. Taylor has 25 years of experience including investment banking, restructuring (both in Chapter 11 and out-of-court) and senior management. Mr. Taylor has served as the Chief Restructuring Officer, Chief Executive Officer or Lead Financial Advisor in a broad range of industries including manufacturing, distribution, hospitality, real estate and retail. He has also served as a member of the Board of Directors of several public and private companies, including Keystone Consolidated Industries, Inc., Barjan, Inc., and 1-800-AutoTow, Inc. He currently serves as Vice Chairman of Hyperion Bank located in Philadelphia. Before 2002, Mr. Taylor served in various capacities with GMA Partners, Inc., KPMG Peat Marwick, LLP, Morgan Keegan &amp; Company, Inc., Oppenheimer &amp; Co., Inc. and Thomson McKinnon Securities, Inc. Mr. Taylor received his B.S. in Economics and his MBA from The Wharton School, University of Pennsylvania.</w:t>
      </w:r>
    </w:p>
    <w:p>
      <w:pPr>
        <w:spacing w:after="0" w:line="105"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We believe Mr. Taylor is well-qualified to serve as a member of our board due to his experience in accounting, finance, capital markets and investment management.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the date hereof, the Company has no employees except its three executive officers who receive no compensation from the Company.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board of directors has three standing committees: an audit committee, a nominating committee and a compensation committee. The rules of NASDAQ and Rule 10A-3 of the Exchange Act as required by the rules of the NASDAQ, require that the audit committee and the compensation committee of a listed company be comprised solely of independent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audit committee of the board of directors consists of Messrs. Fong, Rex and Taylor (Chair), each of whom is an independent director under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Nasdaq’s listing standards. The audit committee’s duties, which are specified in our Audit Committee Charter, include:</w:t>
      </w:r>
    </w:p>
    <w:p>
      <w:pPr>
        <w:spacing w:after="0" w:line="151" w:lineRule="exact"/>
        <w:rPr>
          <w:sz w:val="20"/>
          <w:szCs w:val="20"/>
          <w:color w:val="auto"/>
        </w:rPr>
      </w:pPr>
    </w:p>
    <w:p>
      <w:pPr>
        <w:ind w:left="980" w:right="280" w:hanging="324"/>
        <w:spacing w:after="0" w:line="25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ind w:left="980" w:right="72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9" w:lineRule="exact"/>
        <w:rPr>
          <w:rFonts w:ascii="Arial" w:cs="Arial" w:eastAsia="Arial" w:hAnsi="Arial"/>
          <w:sz w:val="18"/>
          <w:szCs w:val="18"/>
          <w:color w:val="auto"/>
        </w:rPr>
      </w:pPr>
    </w:p>
    <w:p>
      <w:pPr>
        <w:ind w:left="980" w:right="38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9" w:lineRule="exact"/>
        <w:rPr>
          <w:rFonts w:ascii="Arial" w:cs="Arial" w:eastAsia="Arial" w:hAnsi="Arial"/>
          <w:sz w:val="18"/>
          <w:szCs w:val="18"/>
          <w:color w:val="auto"/>
        </w:rPr>
      </w:pPr>
    </w:p>
    <w:p>
      <w:pPr>
        <w:ind w:left="980" w:right="26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9" w:lineRule="exact"/>
        <w:rPr>
          <w:rFonts w:ascii="Arial" w:cs="Arial" w:eastAsia="Arial" w:hAnsi="Arial"/>
          <w:sz w:val="18"/>
          <w:szCs w:val="18"/>
          <w:color w:val="auto"/>
        </w:rPr>
      </w:pPr>
    </w:p>
    <w:p>
      <w:pPr>
        <w:ind w:left="980" w:right="260" w:hanging="324"/>
        <w:spacing w:after="0" w:line="281"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 w:lineRule="exact"/>
        <w:rPr>
          <w:rFonts w:ascii="Arial" w:cs="Arial" w:eastAsia="Arial" w:hAnsi="Arial"/>
          <w:sz w:val="16"/>
          <w:szCs w:val="16"/>
          <w:color w:val="auto"/>
        </w:rPr>
      </w:pPr>
    </w:p>
    <w:p>
      <w:pPr>
        <w:ind w:left="980" w:right="20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The audit committee has been at all times be composed exclusively of “independent directors” who are “financially literate” as defined under Nasdaq’s listing standards. Nasdaq’s standards define “financially literate” as being able to read and understand fundamental financial statements, including a company’s balance sheet, income statement and cash flow statement.</w:t>
      </w:r>
    </w:p>
    <w:p>
      <w:pPr>
        <w:spacing w:after="0" w:line="127"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Taylor qualifies as an “audit committee financial expert,” as defined under rules and regulations of the SEC.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164" w:lineRule="exact"/>
        <w:rPr>
          <w:sz w:val="20"/>
          <w:szCs w:val="20"/>
          <w:color w:val="auto"/>
        </w:rPr>
      </w:pPr>
    </w:p>
    <w:p>
      <w:pPr>
        <w:ind w:right="200" w:firstLine="648"/>
        <w:spacing w:after="0" w:line="306" w:lineRule="auto"/>
        <w:rPr>
          <w:sz w:val="20"/>
          <w:szCs w:val="20"/>
          <w:color w:val="auto"/>
        </w:rPr>
      </w:pPr>
      <w:r>
        <w:rPr>
          <w:rFonts w:ascii="Arial" w:cs="Arial" w:eastAsia="Arial" w:hAnsi="Arial"/>
          <w:sz w:val="16"/>
          <w:szCs w:val="16"/>
          <w:color w:val="auto"/>
        </w:rPr>
        <w:t>Our nominating committee of our board of directors consists of Messrs. Fong, Koenig, Rex (Chair), each of whom is an independent director under Nasdaq’s listing standards. The nominating committee is responsible for overseeing the selection of persons to be nominated to serve on our board of directors. The nominating committee considers persons identified by its members, management, stockholders, investment bankers and others.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Guidelines for Selecting Director Nominees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guidelines for selecting nominees, which are specified in the Nominating Committee Charter, generally provide that persons to be nominated:</w:t>
      </w:r>
    </w:p>
    <w:p>
      <w:pPr>
        <w:spacing w:after="0" w:line="18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5"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should have the highest ethical standards, a strong sense of professionalism and intense dedication to serving the interests of the stockholders.</w:t>
      </w:r>
    </w:p>
    <w:p>
      <w:pPr>
        <w:spacing w:after="0" w:line="24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Nominating Committee considers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compensation committee of the board of directors consists of Messrs. Birdoff, Koenig (Chair) and Taylor, each of whom is an independent director under Nasdaq’s listing standards. The compensation committee’s duties, which are specified in our Compensation Committee Charter, include, but are not limited to:</w:t>
      </w:r>
    </w:p>
    <w:p>
      <w:pPr>
        <w:spacing w:after="0" w:line="127" w:lineRule="exact"/>
        <w:rPr>
          <w:sz w:val="20"/>
          <w:szCs w:val="20"/>
          <w:color w:val="auto"/>
        </w:rPr>
      </w:pPr>
    </w:p>
    <w:p>
      <w:pPr>
        <w:ind w:left="980" w:right="120" w:hanging="324"/>
        <w:spacing w:after="0" w:line="25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64" w:lineRule="exact"/>
        <w:rPr>
          <w:sz w:val="20"/>
          <w:szCs w:val="20"/>
          <w:color w:val="auto"/>
        </w:rPr>
      </w:pPr>
    </w:p>
    <w:p>
      <w:pPr>
        <w:ind w:right="400" w:firstLine="648"/>
        <w:spacing w:after="0" w:line="268" w:lineRule="auto"/>
        <w:rPr>
          <w:sz w:val="20"/>
          <w:szCs w:val="20"/>
          <w:color w:val="auto"/>
        </w:rPr>
      </w:pPr>
      <w:r>
        <w:rPr>
          <w:rFonts w:ascii="Arial" w:cs="Arial" w:eastAsia="Arial" w:hAnsi="Arial"/>
          <w:sz w:val="18"/>
          <w:szCs w:val="18"/>
          <w:color w:val="auto"/>
        </w:rPr>
        <w:t>We have adopted a code of ethics that applies to all of our executive officers, directors and employees. The code of ethics codifies the business and ethical principles that govern all aspects of our business.</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9" w:right="27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164"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Section 16(a) of the Exchange Act requires our officers, directors and persons who beneficially own more than ten percent of our ordinary shares to file reports of ownership and changes in ownership with the SEC. These reporting persons are also required to furnish us with copies of all Section 16(a) forms they file. Based solely upon a review of such Forms, we believe that during the year ended December 31, 2017, there were no untimely reports, except for Form 3 filings for each of the officers and directors listed under Part III, Item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6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amended and restated certificate of incorporation provides that, subject to certain limitations, we shall indemnify our directors and officers against all expenses, including legal fees, and against all judgments, fines and amounts paid in settlement and reasonably incurred in connection with legal, administrative or investigative proceedings. Such indemnity only applies if the person acted honestly and in good faith with a view to our best interests and, in the case of criminal proceedings, the person had no reasonable cause to believe that his or her conduct was unlawful. The decision of the directors as to whether the person acted honestly and in good faith and with a view to our best interests and as to whether the person had no reasonable cause to believe that his conduct was unlawful and is, in the absence of fraud, sufficient for the purposes of the amended and restated certificate of incorporation, unless a question of law is involved. The termination of any proceedings by any judgment, order, settlement, conviction or the entering of a nolle prosequi does not, by itself, create a presumption that the person did not act honestly and in good faith and with a view to our best interests or that the person had reasonable cause to believe that his conduct was unlawful.</w:t>
      </w:r>
    </w:p>
    <w:p>
      <w:pPr>
        <w:spacing w:after="0" w:line="10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have entered into agreements with our officers and directors to provide contractual indemnification in addition to the indemnification provided for in our amended and restated certificate of incorporation. Our amended and restated certificate of incorporation also will permit us to purchase and maintain insurance on behalf of any officer or director who at the request of the Company is or was serving as a director or officer of, or in any other capacity is or was acting for, another company or a partnership, joint venture, trust or other enterprise, against any liability asserted against the person and incurred by the person in that capacity, whether or not the company has or would have had the power to indemnify the person against the liability as provided in our amended and restated certificate of incorporation.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05"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These provisions may discourage shareholders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shareholders. Furthermore, a shareholder’s investment may be adversely affected to the extent we pay the costs of settlement and damage awards against officers and directors pursuant to these indemnification provisions.</w:t>
      </w:r>
    </w:p>
    <w:p>
      <w:pPr>
        <w:spacing w:after="0" w:line="130" w:lineRule="exact"/>
        <w:rPr>
          <w:sz w:val="20"/>
          <w:szCs w:val="20"/>
          <w:color w:val="auto"/>
        </w:rPr>
      </w:pPr>
    </w:p>
    <w:p>
      <w:pPr>
        <w:ind w:right="280" w:firstLine="648"/>
        <w:spacing w:after="0" w:line="268"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18"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are potential conflicts of interest:</w:t>
      </w:r>
    </w:p>
    <w:p>
      <w:pPr>
        <w:spacing w:after="0" w:line="158" w:lineRule="exact"/>
        <w:rPr>
          <w:sz w:val="20"/>
          <w:szCs w:val="20"/>
          <w:color w:val="auto"/>
        </w:rPr>
      </w:pPr>
    </w:p>
    <w:p>
      <w:pPr>
        <w:ind w:left="980" w:right="660" w:hanging="324"/>
        <w:spacing w:after="0" w:line="25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ind w:left="980" w:right="2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sponsor,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 but barring such a conflict, must present target business opportunities that have a fair market value of at least 80% of the assets held in the trust account (excluding taxes payable on the income earned in the trust account) at the time of the agreement to enter into the initial business combination, subject to any pre-existing fiduciary or contractual obligations.</w:t>
      </w:r>
    </w:p>
    <w:p>
      <w:pPr>
        <w:spacing w:after="0" w:line="2" w:lineRule="exact"/>
        <w:rPr>
          <w:rFonts w:ascii="Arial" w:cs="Arial" w:eastAsia="Arial" w:hAnsi="Arial"/>
          <w:sz w:val="18"/>
          <w:szCs w:val="18"/>
          <w:color w:val="auto"/>
        </w:rPr>
      </w:pPr>
    </w:p>
    <w:p>
      <w:pPr>
        <w:ind w:left="980" w:right="220" w:hanging="324"/>
        <w:spacing w:after="0" w:line="323"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Unless we consummate our initial business combination, our officers, directors and sponsor will not receive reimbursement for any out-of-pocket expenses incurred by them to the extent that such expenses exceed the amount of available proceeds not deposited in the trust account.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980" w:right="20" w:hanging="324"/>
        <w:spacing w:after="0" w:line="255"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founder’s shares beneficially owned by our officers and directors will be released from escrow only if a business combination is successfully completed, and the private placement units including the underlying shares of common stock, rights and warrants, purchased by our sponsor will be worthless if a business combination is not consummated. Additionally, our officers and directors will not receive liquidation distributions with respect to any of their founder’s shares. For the foregoing reasons, our board may have a conflict of interest in determining whether a particular target business is appropriate to effect a business combination with.</w:t>
      </w:r>
    </w:p>
    <w:p>
      <w:pPr>
        <w:spacing w:after="0" w:line="197"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18"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19" w:lineRule="exact"/>
        <w:rPr>
          <w:sz w:val="20"/>
          <w:szCs w:val="20"/>
          <w:color w:val="auto"/>
        </w:rPr>
      </w:pPr>
    </w:p>
    <w:p>
      <w:pPr>
        <w:ind w:right="320" w:firstLine="648"/>
        <w:spacing w:after="0" w:line="306"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In addition, conflicts of interest may arise when our board evaluates a particular business opportunity with respect to the above-listed criteria. We cannot assure you that any of the above mentioned conflicts will be resolved in our favor.</w:t>
      </w:r>
    </w:p>
    <w:p>
      <w:pPr>
        <w:spacing w:after="0" w:line="93"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order to minimize potential conflicts of interest which may arise from multiple corporate affiliations, each of our officers and directors has contractually agreed, pursuant to a written agreement with us, until the earliest of our execution of a definitive agreement for a business combination, our liquidation, or such time as he or she ceases to be an officer or director, to present to our company for our consideration, prior to presentation to any other entity, any suitable business opportunity that may reasonably be required to be presented to us, subject to any pre-existing fiduciary or contractual obligations he or she might have. Accordingly, our amended and restated certificate of incorporation will provide that the doctrine of corporate opportunity will not apply with respect to any of our executive officers or directors in circumstances where the application of the doctrine would conflict with any fiduciary duties or contractual obligations they may have.</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9" w:right="27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or obligations: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gridSpan w:val="2"/>
          </w:tcPr>
          <w:p>
            <w:pPr>
              <w:spacing w:after="0"/>
              <w:rPr>
                <w:sz w:val="20"/>
                <w:szCs w:val="20"/>
                <w:color w:val="auto"/>
              </w:rPr>
            </w:pPr>
            <w:r>
              <w:rPr>
                <w:rFonts w:ascii="Arial" w:cs="Arial" w:eastAsia="Arial" w:hAnsi="Arial"/>
                <w:sz w:val="15"/>
                <w:szCs w:val="15"/>
                <w:b w:val="1"/>
                <w:bCs w:val="1"/>
                <w:color w:val="auto"/>
              </w:rPr>
              <w:t>Individual</w:t>
            </w:r>
          </w:p>
        </w:tc>
        <w:tc>
          <w:tcPr>
            <w:tcW w:w="1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b w:val="1"/>
                <w:bCs w:val="1"/>
                <w:color w:val="auto"/>
              </w:rPr>
              <w:t>Entity</w:t>
            </w:r>
          </w:p>
        </w:tc>
        <w:tc>
          <w:tcPr>
            <w:tcW w:w="3540" w:type="dxa"/>
            <w:vAlign w:val="bottom"/>
            <w:gridSpan w:val="2"/>
          </w:tcPr>
          <w:p>
            <w:pPr>
              <w:ind w:left="120"/>
              <w:spacing w:after="0"/>
              <w:rPr>
                <w:sz w:val="20"/>
                <w:szCs w:val="20"/>
                <w:color w:val="auto"/>
              </w:rPr>
            </w:pPr>
            <w:r>
              <w:rPr>
                <w:rFonts w:ascii="Arial" w:cs="Arial" w:eastAsia="Arial" w:hAnsi="Arial"/>
                <w:sz w:val="15"/>
                <w:szCs w:val="15"/>
                <w:b w:val="1"/>
                <w:bCs w:val="1"/>
                <w:color w:val="auto"/>
              </w:rPr>
              <w:t>Entity’s Business</w:t>
            </w:r>
          </w:p>
        </w:tc>
        <w:tc>
          <w:tcPr>
            <w:tcW w:w="120" w:type="dxa"/>
            <w:vAlign w:val="bottom"/>
          </w:tcPr>
          <w:p>
            <w:pPr>
              <w:spacing w:after="0"/>
              <w:rPr>
                <w:sz w:val="15"/>
                <w:szCs w:val="15"/>
                <w:color w:val="auto"/>
              </w:rPr>
            </w:pPr>
          </w:p>
        </w:tc>
        <w:tc>
          <w:tcPr>
            <w:tcW w:w="2720" w:type="dxa"/>
            <w:vAlign w:val="bottom"/>
          </w:tcPr>
          <w:p>
            <w:pPr>
              <w:spacing w:after="0"/>
              <w:rPr>
                <w:sz w:val="20"/>
                <w:szCs w:val="20"/>
                <w:color w:val="auto"/>
              </w:rPr>
            </w:pPr>
            <w:r>
              <w:rPr>
                <w:rFonts w:ascii="Arial" w:cs="Arial" w:eastAsia="Arial" w:hAnsi="Arial"/>
                <w:sz w:val="15"/>
                <w:szCs w:val="15"/>
                <w:b w:val="1"/>
                <w:bCs w:val="1"/>
                <w:color w:val="auto"/>
              </w:rPr>
              <w:t>Affiliation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8"/>
              </w:rPr>
              <w:t>Richard Ackerman</w:t>
            </w: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Lori B. Wittman</w:t>
            </w:r>
          </w:p>
        </w:tc>
        <w:tc>
          <w:tcPr>
            <w:tcW w:w="1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IMH Financial Corporation</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Real Estate Investment &amp; Finance</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Bennet Kim</w:t>
            </w: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Sun Bay Senior Club</w:t>
            </w: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Adult Day Program</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Richard Birdoff</w:t>
            </w:r>
          </w:p>
        </w:tc>
        <w:tc>
          <w:tcPr>
            <w:tcW w:w="1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RD Management and Realty Investors</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w w:val="99"/>
              </w:rPr>
              <w:t>Retail Real Estate Developer and Manager</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Principal and Executive Vice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Development Corp.</w:t>
            </w:r>
          </w:p>
        </w:tc>
        <w:tc>
          <w:tcPr>
            <w:tcW w:w="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Michael Fong</w:t>
            </w: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JF International Ltd.</w:t>
            </w: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Private Equity</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89"/>
              </w:rPr>
              <w:t>Chairman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Stuart Koenig</w:t>
            </w:r>
          </w:p>
        </w:tc>
        <w:tc>
          <w:tcPr>
            <w:tcW w:w="1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None</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Albert G. Rex</w:t>
            </w: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Walker &amp; Dunlop</w:t>
            </w: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Real Estate Finance</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Troy T. Taylor</w:t>
            </w:r>
          </w:p>
        </w:tc>
        <w:tc>
          <w:tcPr>
            <w:tcW w:w="1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Algon Group</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Financial Advisory Services</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Hyperion Bank</w:t>
            </w: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Financial Institution</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Vice Chairman</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120" w:firstLine="648"/>
        <w:spacing w:after="0" w:line="298" w:lineRule="auto"/>
        <w:rPr>
          <w:sz w:val="20"/>
          <w:szCs w:val="20"/>
          <w:color w:val="auto"/>
        </w:rPr>
      </w:pPr>
      <w:r>
        <w:rPr>
          <w:rFonts w:ascii="Arial" w:cs="Arial" w:eastAsia="Arial" w:hAnsi="Arial"/>
          <w:sz w:val="16"/>
          <w:szCs w:val="16"/>
          <w:color w:val="auto"/>
        </w:rPr>
        <w:t>In addition, our executive officers and directors have agreed not to participate in the formation of, or become an officer or director of, any other special purpose acquisition company with a class of securities registered under the Exchange Act until we have entered into a definitive agreement regarding our initial business combination or we have failed to complete our initial business combination within 12 months after the closing of the Initial Public Offering (or up to 18 months from the closing of the Initial Public Offering if we extend the period of time to consummate a business combination by the full amount of time).</w:t>
      </w:r>
    </w:p>
    <w:p>
      <w:pPr>
        <w:spacing w:after="0" w:line="99"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If we submit our initial business combination to our public stockholders for a vote, our sponsor, as well as all of our officers and directors have agreed to vote any shares held by them in favor of our initial business combination. If they purchase shares of common stock in the open market, however, they would be entitled to participate in any liquidation distribution in respect of such shares but have agreed not to convert or sell such shares to us in connection with the consummation of an initial business combination.</w:t>
      </w:r>
    </w:p>
    <w:p>
      <w:pPr>
        <w:spacing w:after="0" w:line="130"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6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Commencing on November 20, 2017 through the acquisition of a target business, we will pay our sponsor an aggregate fee of up to $10,000 per month for providing us with office space and certain office and secretarial services. However, this arrangement is solely for our benefit and is not intended to provide our executive officers or directors compensation in lieu of a salary.</w:t>
      </w:r>
    </w:p>
    <w:p>
      <w:pPr>
        <w:spacing w:after="0" w:line="12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Other than the administrative fee of up to $10,000 per month and the repayment of any loans made by our sponsor and our Chief Executive Officer to us, no compensation or fees of any kind, including finder’s, consulting fees and other similar fees, will be paid to our sponsor, members of our management team or their respective affiliates, for services rendered prior to or in connection with the consummation of our initial business combination (regardless of the type of transaction that it is). However, they will receive repayment of any loans from our sponsor, officers and directors for working capital purposes and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w:t>
      </w:r>
    </w:p>
    <w:p>
      <w:pPr>
        <w:spacing w:after="0" w:line="105"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and Outstanding Equity Awards at Fiscal Year-End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equity incentive plans under which to grant awards.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currently have any written employment agreements with any of our directors and officers.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Retirement/Resignation Plans</w:t>
      </w:r>
    </w:p>
    <w:p>
      <w:pPr>
        <w:spacing w:after="0" w:line="164"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We do not currently have any plans or arrangements in place regarding the payment to any of our executive officers following such person’s retirement or resignation.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64"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We have not paid our directors fees in the past for attending board meetings. In the future, we may adopt a policy of paying independent directors a fee for their attendance at board and committee meetings. We reimburse each director for reasonable travel expenses related to such director’s attendance at board of directors and committee meetings.</w:t>
      </w:r>
    </w:p>
    <w:p>
      <w:pPr>
        <w:spacing w:after="0" w:line="1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March 21, 2018 by:</w:t>
      </w:r>
    </w:p>
    <w:p>
      <w:pPr>
        <w:spacing w:after="0" w:line="158"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219"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of beneficial ownership of the rights or warrants included in the units offered by this prospectus or the private placement units as these rights and warrants are not convertible or exercisable, respectively, within 60 days of the date of this prospectus.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1"/>
              </w:rPr>
              <w:t>Approximate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3"/>
          </w:tcPr>
          <w:p>
            <w:pPr>
              <w:jc w:val="center"/>
              <w:ind w:right="180"/>
              <w:spacing w:after="0" w:line="162" w:lineRule="exact"/>
              <w:rPr>
                <w:sz w:val="20"/>
                <w:szCs w:val="20"/>
                <w:color w:val="auto"/>
              </w:rPr>
            </w:pPr>
            <w:r>
              <w:rPr>
                <w:rFonts w:ascii="Arial" w:cs="Arial" w:eastAsia="Arial" w:hAnsi="Arial"/>
                <w:sz w:val="15"/>
                <w:szCs w:val="15"/>
                <w:b w:val="1"/>
                <w:bCs w:val="1"/>
                <w:color w:val="auto"/>
                <w:w w:val="86"/>
              </w:rPr>
              <w:t>Percentage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Amount and</w:t>
            </w:r>
          </w:p>
        </w:tc>
        <w:tc>
          <w:tcPr>
            <w:tcW w:w="720" w:type="dxa"/>
            <w:vAlign w:val="bottom"/>
          </w:tcPr>
          <w:p>
            <w:pPr>
              <w:spacing w:after="0"/>
              <w:rPr>
                <w:sz w:val="14"/>
                <w:szCs w:val="14"/>
                <w:color w:val="auto"/>
              </w:rPr>
            </w:pPr>
          </w:p>
        </w:tc>
        <w:tc>
          <w:tcPr>
            <w:tcW w:w="124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90"/>
              </w:rPr>
              <w:t>Outstanding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Nature of</w:t>
            </w:r>
          </w:p>
        </w:tc>
        <w:tc>
          <w:tcPr>
            <w:tcW w:w="720" w:type="dxa"/>
            <w:vAlign w:val="bottom"/>
          </w:tcPr>
          <w:p>
            <w:pPr>
              <w:spacing w:after="0"/>
              <w:rPr>
                <w:sz w:val="14"/>
                <w:szCs w:val="14"/>
                <w:color w:val="auto"/>
              </w:rPr>
            </w:pPr>
          </w:p>
        </w:tc>
        <w:tc>
          <w:tcPr>
            <w:tcW w:w="124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87"/>
              </w:rPr>
              <w:t>Shares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Beneficial</w:t>
            </w:r>
          </w:p>
        </w:tc>
        <w:tc>
          <w:tcPr>
            <w:tcW w:w="720" w:type="dxa"/>
            <w:vAlign w:val="bottom"/>
          </w:tcPr>
          <w:p>
            <w:pPr>
              <w:spacing w:after="0"/>
              <w:rPr>
                <w:sz w:val="14"/>
                <w:szCs w:val="14"/>
                <w:color w:val="auto"/>
              </w:rPr>
            </w:pPr>
          </w:p>
        </w:tc>
        <w:tc>
          <w:tcPr>
            <w:tcW w:w="124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92"/>
              </w:rPr>
              <w:t>Common</w:t>
            </w:r>
          </w:p>
        </w:tc>
        <w:tc>
          <w:tcPr>
            <w:tcW w:w="0" w:type="dxa"/>
            <w:vAlign w:val="bottom"/>
          </w:tcPr>
          <w:p>
            <w:pPr>
              <w:spacing w:after="0"/>
              <w:rPr>
                <w:sz w:val="1"/>
                <w:szCs w:val="1"/>
                <w:color w:val="auto"/>
              </w:rPr>
            </w:pPr>
          </w:p>
        </w:tc>
      </w:tr>
      <w:tr>
        <w:trPr>
          <w:trHeight w:val="175"/>
        </w:trPr>
        <w:tc>
          <w:tcPr>
            <w:tcW w:w="8240" w:type="dxa"/>
            <w:vAlign w:val="bottom"/>
            <w:gridSpan w:val="2"/>
          </w:tcPr>
          <w:p>
            <w:pPr>
              <w:spacing w:after="0" w:line="176" w:lineRule="exact"/>
              <w:rPr>
                <w:sz w:val="20"/>
                <w:szCs w:val="20"/>
                <w:color w:val="auto"/>
              </w:rPr>
            </w:pPr>
            <w:r>
              <w:rPr>
                <w:rFonts w:ascii="Arial" w:cs="Arial" w:eastAsia="Arial" w:hAnsi="Arial"/>
                <w:sz w:val="15"/>
                <w:szCs w:val="15"/>
                <w:b w:val="1"/>
                <w:bCs w:val="1"/>
                <w:color w:val="auto"/>
              </w:rPr>
              <w:t>Name and Address of Beneficial Owner</w:t>
            </w:r>
            <w:r>
              <w:rPr>
                <w:rFonts w:ascii="Arial" w:cs="Arial" w:eastAsia="Arial" w:hAnsi="Arial"/>
                <w:sz w:val="20"/>
                <w:szCs w:val="20"/>
                <w:b w:val="1"/>
                <w:bCs w:val="1"/>
                <w:color w:val="auto"/>
                <w:vertAlign w:val="superscript"/>
              </w:rPr>
              <w:t>(1)</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90"/>
              </w:rPr>
              <w:t>Ownership</w:t>
            </w:r>
          </w:p>
        </w:tc>
        <w:tc>
          <w:tcPr>
            <w:tcW w:w="720" w:type="dxa"/>
            <w:vAlign w:val="bottom"/>
          </w:tcPr>
          <w:p>
            <w:pPr>
              <w:spacing w:after="0"/>
              <w:rPr>
                <w:sz w:val="15"/>
                <w:szCs w:val="15"/>
                <w:color w:val="auto"/>
              </w:rPr>
            </w:pPr>
          </w:p>
        </w:tc>
        <w:tc>
          <w:tcPr>
            <w:tcW w:w="1240" w:type="dxa"/>
            <w:vAlign w:val="bottom"/>
            <w:gridSpan w:val="3"/>
          </w:tcPr>
          <w:p>
            <w:pPr>
              <w:jc w:val="center"/>
              <w:ind w:right="160"/>
              <w:spacing w:after="0" w:line="176" w:lineRule="exact"/>
              <w:rPr>
                <w:sz w:val="20"/>
                <w:szCs w:val="20"/>
                <w:color w:val="auto"/>
              </w:rPr>
            </w:pPr>
            <w:r>
              <w:rPr>
                <w:rFonts w:ascii="Arial" w:cs="Arial" w:eastAsia="Arial" w:hAnsi="Arial"/>
                <w:sz w:val="15"/>
                <w:szCs w:val="15"/>
                <w:b w:val="1"/>
                <w:bCs w:val="1"/>
                <w:color w:val="auto"/>
                <w:w w:val="83"/>
              </w:rPr>
              <w:t>Stock</w:t>
            </w:r>
            <w:r>
              <w:rPr>
                <w:rFonts w:ascii="Arial" w:cs="Arial" w:eastAsia="Arial" w:hAnsi="Arial"/>
                <w:sz w:val="20"/>
                <w:szCs w:val="20"/>
                <w:b w:val="1"/>
                <w:bCs w:val="1"/>
                <w:color w:val="auto"/>
                <w:w w:val="83"/>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Big Rock Partners Sponsor, LLC</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1,997,500</w:t>
            </w:r>
          </w:p>
        </w:tc>
        <w:tc>
          <w:tcPr>
            <w:tcW w:w="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line="216" w:lineRule="exact"/>
              <w:rPr>
                <w:sz w:val="20"/>
                <w:szCs w:val="20"/>
                <w:color w:val="auto"/>
              </w:rPr>
            </w:pPr>
            <w:r>
              <w:rPr>
                <w:rFonts w:ascii="Arial" w:cs="Arial" w:eastAsia="Arial" w:hAnsi="Arial"/>
                <w:sz w:val="18"/>
                <w:szCs w:val="18"/>
                <w:color w:val="auto"/>
              </w:rPr>
              <w:t>Polar Asset Management Partners Inc.</w:t>
            </w:r>
            <w:r>
              <w:rPr>
                <w:rFonts w:ascii="Arial" w:cs="Arial" w:eastAsia="Arial" w:hAnsi="Arial"/>
                <w:sz w:val="24"/>
                <w:szCs w:val="24"/>
                <w:color w:val="auto"/>
                <w:vertAlign w:val="superscript"/>
              </w:rPr>
              <w:t>(4)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780,000</w:t>
            </w:r>
          </w:p>
        </w:tc>
        <w:tc>
          <w:tcPr>
            <w:tcW w:w="7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Boothbay Absolute Return Strategies LP</w:t>
            </w:r>
            <w:r>
              <w:rPr>
                <w:rFonts w:ascii="Arial" w:cs="Arial" w:eastAsia="Arial" w:hAnsi="Arial"/>
                <w:sz w:val="24"/>
                <w:szCs w:val="24"/>
                <w:color w:val="auto"/>
                <w:vertAlign w:val="superscript"/>
              </w:rPr>
              <w:t>(5)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539,526</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Richard Ackerman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1,997,500</w:t>
            </w:r>
          </w:p>
        </w:tc>
        <w:tc>
          <w:tcPr>
            <w:tcW w:w="720" w:type="dxa"/>
            <w:vAlign w:val="bottom"/>
          </w:tcPr>
          <w:p>
            <w:pPr>
              <w:ind w:left="140"/>
              <w:spacing w:after="0"/>
              <w:rPr>
                <w:sz w:val="20"/>
                <w:szCs w:val="20"/>
                <w:color w:val="auto"/>
              </w:rPr>
            </w:pPr>
            <w:r>
              <w:rPr>
                <w:rFonts w:ascii="Arial" w:cs="Arial" w:eastAsia="Arial" w:hAnsi="Arial"/>
                <w:sz w:val="15"/>
                <w:szCs w:val="15"/>
                <w:color w:val="auto"/>
              </w:rPr>
              <w:t>(3)(6)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Lori B. Wittman</w:t>
            </w:r>
            <w:r>
              <w:rPr>
                <w:rFonts w:ascii="Arial" w:cs="Arial" w:eastAsia="Arial" w:hAnsi="Arial"/>
                <w:sz w:val="24"/>
                <w:szCs w:val="24"/>
                <w:color w:val="auto"/>
                <w:vertAlign w:val="superscript"/>
              </w:rPr>
              <w:t>(7)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Bennett Kim</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Richard Birdoff</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line="216" w:lineRule="exact"/>
              <w:rPr>
                <w:sz w:val="20"/>
                <w:szCs w:val="20"/>
                <w:color w:val="auto"/>
              </w:rPr>
            </w:pPr>
            <w:r>
              <w:rPr>
                <w:rFonts w:ascii="Arial" w:cs="Arial" w:eastAsia="Arial" w:hAnsi="Arial"/>
                <w:sz w:val="18"/>
                <w:szCs w:val="18"/>
                <w:color w:val="auto"/>
              </w:rPr>
              <w:t>Michael Fong</w:t>
            </w:r>
            <w:r>
              <w:rPr>
                <w:rFonts w:ascii="Arial" w:cs="Arial" w:eastAsia="Arial" w:hAnsi="Arial"/>
                <w:sz w:val="24"/>
                <w:szCs w:val="24"/>
                <w:color w:val="auto"/>
                <w:vertAlign w:val="superscript"/>
              </w:rPr>
              <w:t>(7)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Stuart Koenig</w:t>
            </w:r>
            <w:r>
              <w:rPr>
                <w:rFonts w:ascii="Arial" w:cs="Arial" w:eastAsia="Arial" w:hAnsi="Arial"/>
                <w:sz w:val="24"/>
                <w:szCs w:val="24"/>
                <w:color w:val="auto"/>
                <w:vertAlign w:val="superscript"/>
              </w:rPr>
              <w:t>(7)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line="216" w:lineRule="exact"/>
              <w:rPr>
                <w:sz w:val="20"/>
                <w:szCs w:val="20"/>
                <w:color w:val="auto"/>
              </w:rPr>
            </w:pPr>
            <w:r>
              <w:rPr>
                <w:rFonts w:ascii="Arial" w:cs="Arial" w:eastAsia="Arial" w:hAnsi="Arial"/>
                <w:sz w:val="18"/>
                <w:szCs w:val="18"/>
                <w:color w:val="auto"/>
              </w:rPr>
              <w:t>Albert G. Rex</w:t>
            </w:r>
            <w:r>
              <w:rPr>
                <w:rFonts w:ascii="Arial" w:cs="Arial" w:eastAsia="Arial" w:hAnsi="Arial"/>
                <w:sz w:val="24"/>
                <w:szCs w:val="24"/>
                <w:color w:val="auto"/>
                <w:vertAlign w:val="superscript"/>
              </w:rPr>
              <w:t>(7)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Troy T. Taylor</w:t>
            </w:r>
            <w:r>
              <w:rPr>
                <w:rFonts w:ascii="Arial" w:cs="Arial" w:eastAsia="Arial" w:hAnsi="Arial"/>
                <w:sz w:val="24"/>
                <w:szCs w:val="24"/>
                <w:color w:val="auto"/>
                <w:vertAlign w:val="superscript"/>
              </w:rPr>
              <w:t>(7)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All directors and executive officers as a group (8 individuals)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1,997,500</w:t>
            </w:r>
          </w:p>
        </w:tc>
        <w:tc>
          <w:tcPr>
            <w:tcW w:w="720" w:type="dxa"/>
            <w:vAlign w:val="bottom"/>
          </w:tcPr>
          <w:p>
            <w:pPr>
              <w:ind w:left="140"/>
              <w:spacing w:after="0"/>
              <w:rPr>
                <w:sz w:val="20"/>
                <w:szCs w:val="20"/>
                <w:color w:val="auto"/>
              </w:rPr>
            </w:pPr>
            <w:r>
              <w:rPr>
                <w:rFonts w:ascii="Arial" w:cs="Arial" w:eastAsia="Arial" w:hAnsi="Arial"/>
                <w:sz w:val="15"/>
                <w:szCs w:val="15"/>
                <w:color w:val="auto"/>
              </w:rPr>
              <w:t>(3)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is 2645 N. Federal Highway, Suite 230, Delray Beach, Florida 33483.</w:t>
      </w:r>
    </w:p>
    <w:p>
      <w:pPr>
        <w:spacing w:after="0" w:line="32" w:lineRule="exact"/>
        <w:rPr>
          <w:rFonts w:ascii="Arial" w:cs="Arial" w:eastAsia="Arial" w:hAnsi="Arial"/>
          <w:sz w:val="16"/>
          <w:szCs w:val="16"/>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9,035,550 shares of the Company’s Common Stock outstanding as of March 21, 2018.</w:t>
      </w:r>
    </w:p>
    <w:p>
      <w:pPr>
        <w:spacing w:after="0" w:line="9" w:lineRule="exact"/>
        <w:rPr>
          <w:rFonts w:ascii="Arial" w:cs="Arial" w:eastAsia="Arial" w:hAnsi="Arial"/>
          <w:sz w:val="18"/>
          <w:szCs w:val="18"/>
          <w:color w:val="auto"/>
        </w:rPr>
      </w:pPr>
    </w:p>
    <w:p>
      <w:pPr>
        <w:ind w:left="660" w:right="80" w:hanging="652"/>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Richard Ackerman is the Company's President, Chairman and Chief Executive Officer and the managing member of Big Rock Partners Sponsor, LLC (the "Sponsor") and has the sole voting and dispositive power of the securities held by the Sponsor. Accordingly. Mr. Ackerman may be deemed to have beneficial ownership of such shares.</w:t>
      </w:r>
    </w:p>
    <w:p>
      <w:pPr>
        <w:spacing w:after="0" w:line="1" w:lineRule="exact"/>
        <w:rPr>
          <w:rFonts w:ascii="Arial" w:cs="Arial" w:eastAsia="Arial" w:hAnsi="Arial"/>
          <w:sz w:val="18"/>
          <w:szCs w:val="18"/>
          <w:color w:val="auto"/>
        </w:rPr>
      </w:pPr>
    </w:p>
    <w:p>
      <w:pPr>
        <w:ind w:left="660" w:right="260" w:hanging="652"/>
        <w:spacing w:after="0" w:line="323"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Information was obtained from a Schedule 13G filed on February 13, 2018 with the United States Securities and Exchange Commission (the “SEC”). The address for Polar Asset Management Partners Inc. is 401 Bay Street, Suite 1900, PO Box 19, Toronto, Ontario M5H 2Y4, Canada.</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660" w:right="20" w:hanging="652"/>
        <w:spacing w:after="0" w:line="28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Information was obtained from a Schedule 13G/A filed on February 12, 2018 with the SEC. The shares are held by Boothbay Absolute Return Strategies LP, a Delaware limited partnership (the “Boothbay Fund”), which is managed by Boothbay Fund Management, LLC, a Delaware limited liability company (the “Boothbay Adviser”). The Boothbay Adviser, in its capacity as the investment manager of the Boothbay Fund, has the power to vote and the power to direct the disposition of all shares held by the Boothbay Fund. Ari Glass is the Managing Member of the Boothbay Adviser. Accordingly, for the purposes of Reg. Section 240.13d-3, the reporting persons herein may be deemed to beneficially own an aggregate of 539,526 shares of common stock. Each of the Boothbay Fund, the Boothbay Adviser, and Mr. Glass disclaims beneficial ownership of the Shares reported herein except to the extent of the reporting person’s pecuniary interest therein. The address for each of the Boothbay Fund, the Boothbay Adviser, and Mr. Glass is 810 7th Avenue, Suite 615, New York, NY 10019.</w:t>
      </w:r>
    </w:p>
    <w:p>
      <w:pPr>
        <w:spacing w:after="0" w:line="5" w:lineRule="exact"/>
        <w:rPr>
          <w:rFonts w:ascii="Arial" w:cs="Arial" w:eastAsia="Arial" w:hAnsi="Arial"/>
          <w:sz w:val="16"/>
          <w:szCs w:val="16"/>
          <w:color w:val="auto"/>
        </w:rPr>
      </w:pPr>
    </w:p>
    <w:p>
      <w:pPr>
        <w:ind w:left="660" w:right="180" w:hanging="652"/>
        <w:spacing w:after="0" w:line="28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shares held by Big Rock Partners Sponsor, LLC, our sponsor, of which Mr. Ackerman is the managing member and has sole voting and investment power with respect to such shares. Ms. Wittman and Messrs. Fong, Koenig, Rex and Taylor hold economic interests in Big Rock Partners Sponsor, LLC and pecuniary interests in the securities held by Big Rock Partners Sponsor, LLC. Each of Ms. Wittman and Messrs. Fong, Koenig, Rex and Taylor disclaims beneficial ownership of such securities, except to the extent of his or her pecuniary interests.</w:t>
      </w:r>
    </w:p>
    <w:p>
      <w:pPr>
        <w:spacing w:after="0" w:line="2" w:lineRule="exact"/>
        <w:rPr>
          <w:rFonts w:ascii="Arial" w:cs="Arial" w:eastAsia="Arial" w:hAnsi="Arial"/>
          <w:sz w:val="16"/>
          <w:szCs w:val="16"/>
          <w:color w:val="auto"/>
        </w:rPr>
      </w:pPr>
    </w:p>
    <w:p>
      <w:pPr>
        <w:ind w:left="660" w:right="460" w:hanging="652"/>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Does not include shares held by Big Rock Partners Sponsor, LLC. This individual is a member of Big Rock Partners Sponsor, LLC as described in footnote 6.</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164" w:lineRule="exact"/>
        <w:rPr>
          <w:sz w:val="20"/>
          <w:szCs w:val="20"/>
          <w:color w:val="auto"/>
        </w:rPr>
      </w:pPr>
    </w:p>
    <w:p>
      <w:pPr>
        <w:ind w:right="160" w:firstLine="648"/>
        <w:spacing w:after="0" w:line="306" w:lineRule="auto"/>
        <w:rPr>
          <w:sz w:val="20"/>
          <w:szCs w:val="20"/>
          <w:color w:val="auto"/>
        </w:rPr>
      </w:pPr>
      <w:r>
        <w:rPr>
          <w:rFonts w:ascii="Arial" w:cs="Arial" w:eastAsia="Arial" w:hAnsi="Arial"/>
          <w:sz w:val="16"/>
          <w:szCs w:val="16"/>
          <w:color w:val="auto"/>
        </w:rPr>
        <w:t>In September 2017, our sponsor purchased 1,437,500 shares of our common stock for an aggregate purchase price of $25,000 or approximately $0.017 per share. On November 20, 2017, the Company effectuated a 1.2-for-1 stock dividend of its common stock resulting in an aggregate of 1,725,000 founder's shares outstanding. All share and per share amounts have been retroactively restated to reflect the stock dividend.</w:t>
      </w:r>
    </w:p>
    <w:p>
      <w:pPr>
        <w:spacing w:after="0" w:line="93"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Our sponsor purchased an aggregate of 250,000 private placement units (for a total purchase price of $2,500,000) from us. These purchases took place on a private placement basis simultaneously with the consummation of the Initial Public Offering. Because the over-allotment option was exercised in full by the underwriters, our sponsor also purchased from us at a price of $10.00 per unit an additional 22,500 private placement units in an amount necessary to maintain in the trust account at $10.00 per unit sold to the public in this offering. These additional private placement units were also purchased in a private placement that occurred simultaneously with the purchase of units resulting from the exercise of the over-allotment option. We believe the purchase price of the private placement units is greater than the fair value of such units and therefore will not result in any share-based compensation expense. The private placement units are identical to the units being sold in this offering except that the warrants contained in the private placement units: (i) are not be redeemable by us and (ii) may be exercised for cash or on a cashless basis, so long as they are held by the initial purchasers or any of their permitted transferees. The purchasers of the private placement units have agreed not to transfer, assign or sell any of their private placement units or the common stock issuable upon conversion of the underlying rights or exercise of the underlying warrants of the private placement units (except to certain permitted transferees), until after the completion of our initial business combination.</w:t>
      </w:r>
    </w:p>
    <w:p>
      <w:pPr>
        <w:spacing w:after="0" w:line="11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order to meet our working capital needs following the consummation of the Initial Public Offering, our sponsor,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private units at a price of $10.00 per unit. The units would be identical to the private placement units (which, for example, would result in the holders being issued 165,000 shares of common stock if $1,500,000 of notes were so converted since the 150,000 rights included in such units would result in the issuance of 15,000 shares upon the closing of our business combination, as well as 75,000 warrants to purchase 75,000 shares). If we do not complete a business combination, the loans will be forgiven.</w:t>
      </w:r>
    </w:p>
    <w:p>
      <w:pPr>
        <w:spacing w:after="0" w:line="10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holder of our founder’s shares issued and outstanding on the date of the Initial Public Offering, as well as the holders of the private placement units and any warrants our sponsor, officers, directors or their affiliates may be issued in payment of working capital loans made to us (and all underlying securities), are entitled to registration rights pursuant to the Registration Rights Agreement among the Company and our sponsor. The holders of a majority of these securities are entitled to make up to three demands that we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private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year ended December 31, 2017, our sponsor loaned to us a total of $122,625 which was used in connection with a portion of the expenses of the Initial Public Offering. Also, during the year ended December 31, 2017 our Chief Executive Officer loaned to us $25,000 which was used in connection with a portion of the expenses of the Initial Public Offering. These loans were non-interest bearing, unsecured and were due at the closing of the Initial Public Offering. The loans were repaid upon the closing of the Initial Public Offering out of the $500,000 of offering proceeds that were allocated to the payment of offering expenses.</w:t>
      </w:r>
    </w:p>
    <w:p>
      <w:pPr>
        <w:spacing w:after="0" w:line="129" w:lineRule="exact"/>
        <w:rPr>
          <w:sz w:val="20"/>
          <w:szCs w:val="20"/>
          <w:color w:val="auto"/>
        </w:rPr>
      </w:pPr>
    </w:p>
    <w:p>
      <w:pPr>
        <w:ind w:right="140" w:firstLine="648"/>
        <w:spacing w:after="0" w:line="283" w:lineRule="auto"/>
        <w:rPr>
          <w:sz w:val="20"/>
          <w:szCs w:val="20"/>
          <w:color w:val="auto"/>
        </w:rPr>
      </w:pPr>
      <w:r>
        <w:rPr>
          <w:rFonts w:ascii="Arial" w:cs="Arial" w:eastAsia="Arial" w:hAnsi="Arial"/>
          <w:sz w:val="16"/>
          <w:szCs w:val="16"/>
          <w:color w:val="auto"/>
        </w:rPr>
        <w:t>Also, A/Z Property, an entity majority owned by Richard Ackerman, our Chairman, President and Chief Executive Officer,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We believe A/Z Property has sufficient net worth to satisfy its indemnity obligation should it arise, however we cannot assure you that A/Z Property will have sufficient liquid assets to satisfy such obligations if it is required to do so. Additionally, the agreement entered into by A/Z Property specifically provides for two exceptions to the indemnity it has given: it will have no liability</w:t>
      </w:r>
    </w:p>
    <w:p>
      <w:pPr>
        <w:spacing w:after="0" w:line="2" w:lineRule="exact"/>
        <w:rPr>
          <w:sz w:val="20"/>
          <w:szCs w:val="20"/>
          <w:color w:val="auto"/>
        </w:rPr>
      </w:pPr>
    </w:p>
    <w:p>
      <w:pPr>
        <w:ind w:right="20" w:firstLine="8"/>
        <w:spacing w:after="0" w:line="255"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the Initial Public Offering against certain liabilities, including liabilities under the Securities Act.</w:t>
      </w:r>
    </w:p>
    <w:p>
      <w:pPr>
        <w:spacing w:after="0" w:line="131" w:lineRule="exact"/>
        <w:rPr>
          <w:sz w:val="20"/>
          <w:szCs w:val="20"/>
          <w:color w:val="auto"/>
        </w:rPr>
      </w:pPr>
    </w:p>
    <w:p>
      <w:pPr>
        <w:ind w:right="120" w:firstLine="648"/>
        <w:spacing w:after="0" w:line="314" w:lineRule="auto"/>
        <w:rPr>
          <w:sz w:val="20"/>
          <w:szCs w:val="20"/>
          <w:color w:val="auto"/>
        </w:rPr>
      </w:pPr>
      <w:r>
        <w:rPr>
          <w:rFonts w:ascii="Arial" w:cs="Arial" w:eastAsia="Arial" w:hAnsi="Arial"/>
          <w:sz w:val="15"/>
          <w:szCs w:val="15"/>
          <w:color w:val="auto"/>
        </w:rPr>
        <w:t>Our sponsor, which is affiliated with our officers and directors, has agreed that, commencing on November 20, 2017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our sponsor an aggregate of up to $10,000 per month for these services. Accordingly, our officers and directors will benefit from the transaction to the extent of their interest in our sponsor. However, this arrangement is solely for our benefit and is not intended to provide our officers or directors compensation in lieu of a salary. We believe, based on rents and fees for similar services in the Palm Beach, Florida area, that the fee charged by our sponsor is at least as favorable as we could have obtained from an unaffiliated person.</w:t>
      </w:r>
    </w:p>
    <w:p>
      <w:pPr>
        <w:spacing w:after="0" w:line="9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Other than the administrative fee of up to $10,000 per month, no compensation or fees of any kind, including finder’s, consulting fees and other similar fees, will be paid to our sponsor, members of our management team or their respective affiliates, for services rendered prior to or in connection with the consummation of our initial business combination (regardless of the type of transaction that it is). However, such individuals will receive the repayment of any loans from our sponsor, officers and directors for working capital purposes and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w:t>
      </w:r>
    </w:p>
    <w:p>
      <w:pPr>
        <w:spacing w:after="0" w:line="105"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02"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16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0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audit committee, pursuant to its written charter, will be responsible for reviewing and approving related-party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07"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18"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To further minimize conflicts of interest, we have agreed not to consummate an initial business combination with an entity that is affiliated with any of our sponsor, officers or directors including (i) an entity that is either a portfolio company of, or has otherwise received a material financial investment from, any private equity fund or investment company (or an affiliate thereof) that is affiliated with any of the foregoing, (ii) an entity in which any of the foregoing or their affiliates are currently passive investors, (iii) an entity in which any of the foregoing or their affiliates are currently officers or directors, or (iv) an entity in which any of the foregoing or their affiliates are currently invested through an investment vehicle controlled by them, unless we have obtained an opinion from an independent investment banking firm, or another independent entity that commonly renders valuation opinions on the type of target business we are seeking to acquire, and the approval of a majority of our disinterested independent directors that the business combination is fair to our unaffiliated stockholders from a financial point of view.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64" w:lineRule="exact"/>
        <w:rPr>
          <w:sz w:val="20"/>
          <w:szCs w:val="20"/>
          <w:color w:val="auto"/>
        </w:rPr>
      </w:pPr>
    </w:p>
    <w:p>
      <w:pPr>
        <w:ind w:right="80" w:firstLine="648"/>
        <w:spacing w:after="0" w:line="306" w:lineRule="auto"/>
        <w:rPr>
          <w:sz w:val="20"/>
          <w:szCs w:val="20"/>
          <w:color w:val="auto"/>
        </w:rPr>
      </w:pPr>
      <w:r>
        <w:rPr>
          <w:rFonts w:ascii="Arial" w:cs="Arial" w:eastAsia="Arial" w:hAnsi="Arial"/>
          <w:sz w:val="16"/>
          <w:szCs w:val="16"/>
          <w:color w:val="auto"/>
        </w:rPr>
        <w:t>Messrs. Birdoff, Fong, Koenig, Rex and Taylor are each considered an “independent director” under the Nasdaq listing rules,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independent directors have regularly scheduled meetings at which only independent directors are present.</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fees paid or to be paid to Marcum LLP, or Marcum, for services rendered.</w:t>
      </w:r>
    </w:p>
    <w:p>
      <w:pPr>
        <w:spacing w:after="0" w:line="15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i w:val="1"/>
          <w:iCs w:val="1"/>
          <w:color w:val="auto"/>
        </w:rPr>
        <w:t>Audit Fees</w:t>
      </w:r>
      <w:r>
        <w:rPr>
          <w:rFonts w:ascii="Arial" w:cs="Arial" w:eastAsia="Arial" w:hAnsi="Arial"/>
          <w:sz w:val="18"/>
          <w:szCs w:val="18"/>
          <w:color w:val="auto"/>
        </w:rPr>
        <w:t>. Audit fees consist of fees billed for professional services rendered for the audit of our year-end financial statements and services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normally provided by Marcum in connection with regulatory filings. The aggregate fees billed by Marcum for professional services rendered for the audit of our annual financial statements, review of the financial information included in our Form 10-K and other required filings with the SEC for the period from September 18, 2017 (inception) through December 31, 2017 totaled $74,625. The above amounts include interim procedures, audit fees, and consent issued for registration statements and comfort letters.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b w:val="1"/>
          <w:bCs w:val="1"/>
          <w:i w:val="1"/>
          <w:iCs w:val="1"/>
          <w:color w:val="auto"/>
        </w:rPr>
        <w:t>Audit-Related Fees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Audit-related services consist of fees billed for assurance and related services that are reasonably related to performance of the audit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review of our financial statements and are not reported under “Audit Fees.” These services include attest services that are not required by statute or regulation and consultations concerning financial accounting and reporting standards. We paid did not pay Marcum for consultations concerning financial accounting and reporting standards for the period from September 18, 2017 (inception) through December 31, 2017.</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We did not pay Marcum for tax planning and tax advice for the period from September 18, 2017 (inception) through December 31,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We did not pay Marcum for other services for the period from September 18, 2017 (inception) through December 31,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164" w:lineRule="exact"/>
        <w:rPr>
          <w:sz w:val="20"/>
          <w:szCs w:val="20"/>
          <w:color w:val="auto"/>
        </w:rPr>
      </w:pPr>
    </w:p>
    <w:p>
      <w:pPr>
        <w:ind w:right="80" w:firstLine="648"/>
        <w:spacing w:after="0" w:line="294" w:lineRule="auto"/>
        <w:rPr>
          <w:sz w:val="20"/>
          <w:szCs w:val="20"/>
          <w:color w:val="auto"/>
        </w:rPr>
      </w:pPr>
      <w:r>
        <w:rPr>
          <w:rFonts w:ascii="Arial" w:cs="Arial" w:eastAsia="Arial" w:hAnsi="Arial"/>
          <w:sz w:val="16"/>
          <w:szCs w:val="16"/>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 List of documents filed as part of this report:</w:t>
      </w:r>
    </w:p>
    <w:p>
      <w:pPr>
        <w:spacing w:after="0" w:line="158"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Statements: The information required by this item is contained in Item 8 of this Form 10-K.</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Financial Statement Schedules: The information required by this item is included in the financial statements contained in Item 8 of this Form 10-K.</w:t>
      </w:r>
    </w:p>
    <w:p>
      <w:pPr>
        <w:spacing w:after="0" w:line="180" w:lineRule="exact"/>
        <w:rPr>
          <w:rFonts w:ascii="Arial" w:cs="Arial" w:eastAsia="Arial" w:hAnsi="Arial"/>
          <w:sz w:val="16"/>
          <w:szCs w:val="16"/>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 The following exhibits are filed as part of, or incorporated by reference into, this Form 10-K.</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gridSpan w:val="5"/>
          </w:tcPr>
          <w:p>
            <w:pPr>
              <w:spacing w:after="0"/>
              <w:rPr>
                <w:sz w:val="20"/>
                <w:szCs w:val="20"/>
                <w:color w:val="auto"/>
              </w:rPr>
            </w:pPr>
            <w:r>
              <w:rPr>
                <w:rFonts w:ascii="Arial" w:cs="Arial" w:eastAsia="Arial" w:hAnsi="Arial"/>
                <w:sz w:val="18"/>
                <w:szCs w:val="18"/>
                <w:b w:val="1"/>
                <w:bCs w:val="1"/>
                <w:color w:val="auto"/>
                <w:w w:val="95"/>
              </w:rPr>
              <w:t>Exhibit No.</w:t>
            </w:r>
          </w:p>
        </w:tc>
        <w:tc>
          <w:tcPr>
            <w:tcW w:w="100" w:type="dxa"/>
            <w:vAlign w:val="bottom"/>
          </w:tcPr>
          <w:p>
            <w:pPr>
              <w:spacing w:after="0"/>
              <w:rPr>
                <w:sz w:val="20"/>
                <w:szCs w:val="20"/>
                <w:color w:val="auto"/>
              </w:rPr>
            </w:pPr>
          </w:p>
        </w:tc>
        <w:tc>
          <w:tcPr>
            <w:tcW w:w="104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30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r:id="rId63">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2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Underwriting Agreement, dated November 20, 2017, between the Company and EarlyBirdCapital, Inc. (incorporated by reference to Exhibit 1.1 to</w:t>
            </w:r>
          </w:p>
        </w:tc>
        <w:tc>
          <w:tcPr>
            <w:tcW w:w="2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the Company’s Form 8-K, File No. 001-38302, filed on November 22, 2017).</w:t>
            </w:r>
          </w:p>
        </w:tc>
        <w:tc>
          <w:tcPr>
            <w:tcW w:w="20" w:type="dxa"/>
            <w:vAlign w:val="bottom"/>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r:id="rId64">
              <w:r>
                <w:rPr>
                  <w:rFonts w:ascii="Arial" w:cs="Arial" w:eastAsia="Arial" w:hAnsi="Arial"/>
                  <w:sz w:val="18"/>
                  <w:szCs w:val="18"/>
                  <w:color w:val="0000EE"/>
                </w:rPr>
                <w:t>1.</w:t>
              </w:r>
              <w:r>
                <w:rPr>
                  <w:rFonts w:ascii="Arial" w:cs="Arial" w:eastAsia="Arial" w:hAnsi="Arial"/>
                  <w:sz w:val="18"/>
                  <w:szCs w:val="18"/>
                  <w:u w:val="single" w:color="auto"/>
                  <w:color w:val="0000EE"/>
                </w:rPr>
                <w:t>2</w:t>
              </w:r>
            </w:hyperlink>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0" w:type="dxa"/>
            <w:vAlign w:val="bottom"/>
          </w:tcPr>
          <w:p>
            <w:pPr>
              <w:spacing w:after="0" w:line="176" w:lineRule="exact"/>
              <w:rPr>
                <w:sz w:val="20"/>
                <w:szCs w:val="20"/>
                <w:color w:val="auto"/>
              </w:rPr>
            </w:pPr>
            <w:r>
              <w:rPr>
                <w:rFonts w:ascii="Arial" w:cs="Arial" w:eastAsia="Arial" w:hAnsi="Arial"/>
                <w:sz w:val="18"/>
                <w:szCs w:val="18"/>
                <w:color w:val="auto"/>
                <w:w w:val="91"/>
              </w:rPr>
              <w:t>Letter Agreement, dated November 20, 2017, between the Company and EarlyBirdCapital, Inc. (incorporated by reference to Exhibit 1.2 to the</w:t>
            </w:r>
          </w:p>
        </w:tc>
        <w:tc>
          <w:tcPr>
            <w:tcW w:w="20" w:type="dxa"/>
            <w:vAlign w:val="bottom"/>
          </w:tcPr>
          <w:p>
            <w:pPr>
              <w:spacing w:after="0"/>
              <w:rPr>
                <w:sz w:val="15"/>
                <w:szCs w:val="15"/>
                <w:color w:val="auto"/>
              </w:rPr>
            </w:pPr>
          </w:p>
        </w:tc>
      </w:tr>
      <w:tr>
        <w:trPr>
          <w:trHeight w:val="235"/>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Company’s Form 8-K, File No. 001-38302, filed on November 22, 2017).</w:t>
            </w:r>
          </w:p>
        </w:tc>
      </w:tr>
      <w:tr>
        <w:trPr>
          <w:trHeight w:val="178"/>
        </w:trPr>
        <w:tc>
          <w:tcPr>
            <w:tcW w:w="20" w:type="dxa"/>
            <w:vAlign w:val="bottom"/>
          </w:tcPr>
          <w:p>
            <w:pPr>
              <w:spacing w:after="0"/>
              <w:rPr>
                <w:sz w:val="15"/>
                <w:szCs w:val="15"/>
                <w:color w:val="auto"/>
              </w:rPr>
            </w:pPr>
          </w:p>
        </w:tc>
        <w:tc>
          <w:tcPr>
            <w:tcW w:w="300" w:type="dxa"/>
            <w:vAlign w:val="bottom"/>
            <w:gridSpan w:val="2"/>
            <w:shd w:val="clear" w:color="auto" w:fill="CCEEFF"/>
          </w:tcPr>
          <w:p>
            <w:pPr>
              <w:spacing w:after="0" w:line="177" w:lineRule="exact"/>
              <w:rPr>
                <w:rFonts w:ascii="Arial" w:cs="Arial" w:eastAsia="Arial" w:hAnsi="Arial"/>
                <w:sz w:val="18"/>
                <w:szCs w:val="18"/>
                <w:color w:val="0000EE"/>
              </w:rPr>
            </w:pPr>
            <w:hyperlink r:id="rId65">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w w:val="92"/>
              </w:rPr>
              <w:t>Amended and Restated Certificate of Incorporation (incorporated by reference to Exhibit 3.1 to the Company’s Form 8-K, File No. 001-38302,</w:t>
            </w:r>
          </w:p>
        </w:tc>
        <w:tc>
          <w:tcPr>
            <w:tcW w:w="2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filed on November 22, 2017).</w:t>
            </w:r>
          </w:p>
        </w:tc>
        <w:tc>
          <w:tcPr>
            <w:tcW w:w="20" w:type="dxa"/>
            <w:vAlign w:val="bottom"/>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r:id="rId66">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0" w:type="dxa"/>
            <w:vAlign w:val="bottom"/>
          </w:tcPr>
          <w:p>
            <w:pPr>
              <w:spacing w:after="0" w:line="176" w:lineRule="exact"/>
              <w:rPr>
                <w:sz w:val="20"/>
                <w:szCs w:val="20"/>
                <w:color w:val="auto"/>
              </w:rPr>
            </w:pPr>
            <w:r>
              <w:rPr>
                <w:rFonts w:ascii="Arial" w:cs="Arial" w:eastAsia="Arial" w:hAnsi="Arial"/>
                <w:sz w:val="18"/>
                <w:szCs w:val="18"/>
                <w:color w:val="auto"/>
                <w:w w:val="90"/>
              </w:rPr>
              <w:t>Amended and Restated Bylaws (incorporated by reference to Exhibit 3.2 to the Company’s Form 8-K, File No. 001-38302, filed on November 22,</w:t>
            </w:r>
          </w:p>
        </w:tc>
        <w:tc>
          <w:tcPr>
            <w:tcW w:w="20" w:type="dxa"/>
            <w:vAlign w:val="bottom"/>
          </w:tcPr>
          <w:p>
            <w:pPr>
              <w:spacing w:after="0"/>
              <w:rPr>
                <w:sz w:val="15"/>
                <w:szCs w:val="15"/>
                <w:color w:val="auto"/>
              </w:rPr>
            </w:pPr>
          </w:p>
        </w:tc>
      </w:tr>
      <w:tr>
        <w:trPr>
          <w:trHeight w:val="235"/>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500" w:type="dxa"/>
            <w:vAlign w:val="bottom"/>
            <w:gridSpan w:val="2"/>
          </w:tcPr>
          <w:p>
            <w:pPr>
              <w:ind w:left="10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r>
      <w:tr>
        <w:trPr>
          <w:trHeight w:val="178"/>
        </w:trPr>
        <w:tc>
          <w:tcPr>
            <w:tcW w:w="20" w:type="dxa"/>
            <w:vAlign w:val="bottom"/>
          </w:tcPr>
          <w:p>
            <w:pPr>
              <w:spacing w:after="0"/>
              <w:rPr>
                <w:sz w:val="15"/>
                <w:szCs w:val="15"/>
                <w:color w:val="auto"/>
              </w:rPr>
            </w:pPr>
          </w:p>
        </w:tc>
        <w:tc>
          <w:tcPr>
            <w:tcW w:w="300" w:type="dxa"/>
            <w:vAlign w:val="bottom"/>
            <w:gridSpan w:val="2"/>
            <w:shd w:val="clear" w:color="auto" w:fill="CCEEFF"/>
          </w:tcPr>
          <w:p>
            <w:pPr>
              <w:spacing w:after="0" w:line="177" w:lineRule="exact"/>
              <w:rPr>
                <w:rFonts w:ascii="Arial" w:cs="Arial" w:eastAsia="Arial" w:hAnsi="Arial"/>
                <w:sz w:val="18"/>
                <w:szCs w:val="18"/>
                <w:color w:val="0000EE"/>
              </w:rPr>
            </w:pPr>
            <w:hyperlink r:id="rId67">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w w:val="91"/>
              </w:rPr>
              <w:t>Specimen Unit Certificate (incorporated by reference to Exhibit 4.1 to the Company’s Form S-1/A, File No. 333 220947, filed on November 14,</w:t>
            </w:r>
          </w:p>
        </w:tc>
        <w:tc>
          <w:tcPr>
            <w:tcW w:w="2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r:id="rId68">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0" w:type="dxa"/>
            <w:vAlign w:val="bottom"/>
          </w:tcPr>
          <w:p>
            <w:pPr>
              <w:spacing w:after="0" w:line="176" w:lineRule="exact"/>
              <w:rPr>
                <w:sz w:val="20"/>
                <w:szCs w:val="20"/>
                <w:color w:val="auto"/>
              </w:rPr>
            </w:pPr>
            <w:r>
              <w:rPr>
                <w:rFonts w:ascii="Arial" w:cs="Arial" w:eastAsia="Arial" w:hAnsi="Arial"/>
                <w:sz w:val="18"/>
                <w:szCs w:val="18"/>
                <w:color w:val="auto"/>
                <w:w w:val="94"/>
              </w:rPr>
              <w:t>Specimen Common Stock Certificate (incorporated by reference to Exhibit 4.2 to the Company’s Form S-1/A, File No. 333-220947, filed on</w:t>
            </w:r>
          </w:p>
        </w:tc>
        <w:tc>
          <w:tcPr>
            <w:tcW w:w="20" w:type="dxa"/>
            <w:vAlign w:val="bottom"/>
          </w:tcPr>
          <w:p>
            <w:pPr>
              <w:spacing w:after="0"/>
              <w:rPr>
                <w:sz w:val="15"/>
                <w:szCs w:val="15"/>
                <w:color w:val="auto"/>
              </w:rPr>
            </w:pPr>
          </w:p>
        </w:tc>
      </w:tr>
      <w:tr>
        <w:trPr>
          <w:trHeight w:val="235"/>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November 14, 2017).</w:t>
            </w:r>
          </w:p>
        </w:tc>
      </w:tr>
      <w:tr>
        <w:trPr>
          <w:trHeight w:val="178"/>
        </w:trPr>
        <w:tc>
          <w:tcPr>
            <w:tcW w:w="20" w:type="dxa"/>
            <w:vAlign w:val="bottom"/>
          </w:tcPr>
          <w:p>
            <w:pPr>
              <w:spacing w:after="0"/>
              <w:rPr>
                <w:sz w:val="15"/>
                <w:szCs w:val="15"/>
                <w:color w:val="auto"/>
              </w:rPr>
            </w:pPr>
          </w:p>
        </w:tc>
        <w:tc>
          <w:tcPr>
            <w:tcW w:w="300" w:type="dxa"/>
            <w:vAlign w:val="bottom"/>
            <w:gridSpan w:val="2"/>
            <w:shd w:val="clear" w:color="auto" w:fill="CCEEFF"/>
          </w:tcPr>
          <w:p>
            <w:pPr>
              <w:spacing w:after="0" w:line="177" w:lineRule="exact"/>
              <w:rPr>
                <w:rFonts w:ascii="Arial" w:cs="Arial" w:eastAsia="Arial" w:hAnsi="Arial"/>
                <w:sz w:val="18"/>
                <w:szCs w:val="18"/>
                <w:color w:val="0000EE"/>
              </w:rPr>
            </w:pPr>
            <w:hyperlink r:id="rId69">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w w:val="91"/>
              </w:rPr>
              <w:t>Specimen Right Certificate (incorporated by reference to Exhibit 4.3 to the Company’s Form S-1/A, File No. 333 220947, filed on November 14,</w:t>
            </w:r>
          </w:p>
        </w:tc>
        <w:tc>
          <w:tcPr>
            <w:tcW w:w="2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r:id="rId70">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0" w:type="dxa"/>
            <w:vAlign w:val="bottom"/>
          </w:tcPr>
          <w:p>
            <w:pPr>
              <w:spacing w:after="0" w:line="176" w:lineRule="exact"/>
              <w:rPr>
                <w:sz w:val="20"/>
                <w:szCs w:val="20"/>
                <w:color w:val="auto"/>
              </w:rPr>
            </w:pPr>
            <w:r>
              <w:rPr>
                <w:rFonts w:ascii="Arial" w:cs="Arial" w:eastAsia="Arial" w:hAnsi="Arial"/>
                <w:sz w:val="18"/>
                <w:szCs w:val="18"/>
                <w:color w:val="auto"/>
                <w:w w:val="89"/>
              </w:rPr>
              <w:t>Specimen Warrant Certificate (incorporated by reference to Exhibit 4.4 to the Company’s Form S-1/A, File No. 333 220947, filed on November 14,</w:t>
            </w:r>
          </w:p>
        </w:tc>
        <w:tc>
          <w:tcPr>
            <w:tcW w:w="20" w:type="dxa"/>
            <w:vAlign w:val="bottom"/>
          </w:tcPr>
          <w:p>
            <w:pPr>
              <w:spacing w:after="0"/>
              <w:rPr>
                <w:sz w:val="15"/>
                <w:szCs w:val="15"/>
                <w:color w:val="auto"/>
              </w:rPr>
            </w:pPr>
          </w:p>
        </w:tc>
      </w:tr>
      <w:tr>
        <w:trPr>
          <w:trHeight w:val="235"/>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500" w:type="dxa"/>
            <w:vAlign w:val="bottom"/>
            <w:gridSpan w:val="2"/>
          </w:tcPr>
          <w:p>
            <w:pPr>
              <w:ind w:left="10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r>
      <w:tr>
        <w:trPr>
          <w:trHeight w:val="178"/>
        </w:trPr>
        <w:tc>
          <w:tcPr>
            <w:tcW w:w="20" w:type="dxa"/>
            <w:vAlign w:val="bottom"/>
          </w:tcPr>
          <w:p>
            <w:pPr>
              <w:spacing w:after="0"/>
              <w:rPr>
                <w:sz w:val="15"/>
                <w:szCs w:val="15"/>
                <w:color w:val="auto"/>
              </w:rPr>
            </w:pPr>
          </w:p>
        </w:tc>
        <w:tc>
          <w:tcPr>
            <w:tcW w:w="300" w:type="dxa"/>
            <w:vAlign w:val="bottom"/>
            <w:gridSpan w:val="2"/>
            <w:shd w:val="clear" w:color="auto" w:fill="CCEEFF"/>
          </w:tcPr>
          <w:p>
            <w:pPr>
              <w:spacing w:after="0" w:line="177" w:lineRule="exact"/>
              <w:rPr>
                <w:rFonts w:ascii="Arial" w:cs="Arial" w:eastAsia="Arial" w:hAnsi="Arial"/>
                <w:sz w:val="18"/>
                <w:szCs w:val="18"/>
                <w:color w:val="0000EE"/>
              </w:rPr>
            </w:pPr>
            <w:hyperlink r:id="rId71">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w w:val="89"/>
              </w:rPr>
              <w:t>Right Agreement, dated November 20, 2017, between the Company and Continental Stock Transfer &amp; Trust Company (incorporated by reference</w:t>
            </w:r>
          </w:p>
        </w:tc>
        <w:tc>
          <w:tcPr>
            <w:tcW w:w="2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 Exhibit 4.1 to the Company’s Form 8-K, File No. 001-38302, filed on November 22, 2017).</w:t>
            </w:r>
          </w:p>
        </w:tc>
        <w:tc>
          <w:tcPr>
            <w:tcW w:w="20" w:type="dxa"/>
            <w:vAlign w:val="bottom"/>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r:id="rId72">
              <w:r>
                <w:rPr>
                  <w:rFonts w:ascii="Arial" w:cs="Arial" w:eastAsia="Arial" w:hAnsi="Arial"/>
                  <w:sz w:val="18"/>
                  <w:szCs w:val="18"/>
                  <w:color w:val="0000EE"/>
                </w:rPr>
                <w:t>4.</w:t>
              </w:r>
              <w:r>
                <w:rPr>
                  <w:rFonts w:ascii="Arial" w:cs="Arial" w:eastAsia="Arial" w:hAnsi="Arial"/>
                  <w:sz w:val="18"/>
                  <w:szCs w:val="18"/>
                  <w:u w:val="single" w:color="auto"/>
                  <w:color w:val="0000EE"/>
                </w:rPr>
                <w:t>6</w:t>
              </w:r>
            </w:hyperlink>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0" w:type="dxa"/>
            <w:vAlign w:val="bottom"/>
          </w:tcPr>
          <w:p>
            <w:pPr>
              <w:spacing w:after="0" w:line="176" w:lineRule="exact"/>
              <w:rPr>
                <w:sz w:val="20"/>
                <w:szCs w:val="20"/>
                <w:color w:val="auto"/>
              </w:rPr>
            </w:pPr>
            <w:r>
              <w:rPr>
                <w:rFonts w:ascii="Arial" w:cs="Arial" w:eastAsia="Arial" w:hAnsi="Arial"/>
                <w:sz w:val="18"/>
                <w:szCs w:val="18"/>
                <w:color w:val="auto"/>
                <w:w w:val="87"/>
              </w:rPr>
              <w:t>Warrant Agreement, dated November 20, 2017, between Continental Stock Transfer &amp; Trust Company and the Company (incorporated by reference</w:t>
            </w:r>
          </w:p>
        </w:tc>
        <w:tc>
          <w:tcPr>
            <w:tcW w:w="20" w:type="dxa"/>
            <w:vAlign w:val="bottom"/>
          </w:tcPr>
          <w:p>
            <w:pPr>
              <w:spacing w:after="0"/>
              <w:rPr>
                <w:sz w:val="15"/>
                <w:szCs w:val="15"/>
                <w:color w:val="auto"/>
              </w:rPr>
            </w:pPr>
          </w:p>
        </w:tc>
      </w:tr>
      <w:tr>
        <w:trPr>
          <w:trHeight w:val="235"/>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to Exhibit 4.2 to the Company’s Form 8-K, File No. 001-38302, filed on November 22, 2017).</w:t>
            </w:r>
          </w:p>
        </w:tc>
      </w:tr>
      <w:tr>
        <w:trPr>
          <w:trHeight w:val="178"/>
        </w:trPr>
        <w:tc>
          <w:tcPr>
            <w:tcW w:w="20" w:type="dxa"/>
            <w:vAlign w:val="bottom"/>
          </w:tcPr>
          <w:p>
            <w:pPr>
              <w:spacing w:after="0"/>
              <w:rPr>
                <w:sz w:val="15"/>
                <w:szCs w:val="15"/>
                <w:color w:val="auto"/>
              </w:rPr>
            </w:pPr>
          </w:p>
        </w:tc>
        <w:tc>
          <w:tcPr>
            <w:tcW w:w="300" w:type="dxa"/>
            <w:vAlign w:val="bottom"/>
            <w:gridSpan w:val="2"/>
            <w:shd w:val="clear" w:color="auto" w:fill="CCEEFF"/>
          </w:tcPr>
          <w:p>
            <w:pPr>
              <w:spacing w:after="0" w:line="177" w:lineRule="exact"/>
              <w:rPr>
                <w:rFonts w:ascii="Arial" w:cs="Arial" w:eastAsia="Arial" w:hAnsi="Arial"/>
                <w:sz w:val="18"/>
                <w:szCs w:val="18"/>
                <w:color w:val="0000EE"/>
              </w:rPr>
            </w:pPr>
            <w:hyperlink r:id="rId73">
              <w:r>
                <w:rPr>
                  <w:rFonts w:ascii="Arial" w:cs="Arial" w:eastAsia="Arial" w:hAnsi="Arial"/>
                  <w:sz w:val="18"/>
                  <w:szCs w:val="18"/>
                  <w:color w:val="0000EE"/>
                </w:rPr>
                <w:t>4.</w:t>
              </w:r>
              <w:r>
                <w:rPr>
                  <w:rFonts w:ascii="Arial" w:cs="Arial" w:eastAsia="Arial" w:hAnsi="Arial"/>
                  <w:sz w:val="18"/>
                  <w:szCs w:val="18"/>
                  <w:u w:val="single" w:color="auto"/>
                  <w:color w:val="0000EE"/>
                </w:rPr>
                <w:t>7</w:t>
              </w:r>
            </w:hyperlink>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w w:val="89"/>
              </w:rPr>
              <w:t>Form of Unit Purchase Option, dated November 20, 2017, with EarlyBirdCapital, Inc. and its designees (incorporated by reference to Exhibit 4.3 to</w:t>
            </w:r>
          </w:p>
        </w:tc>
        <w:tc>
          <w:tcPr>
            <w:tcW w:w="2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the Company’s Form 8-K, File No. 001-38302, filed on November 22, 2017).</w:t>
            </w:r>
          </w:p>
        </w:tc>
        <w:tc>
          <w:tcPr>
            <w:tcW w:w="20" w:type="dxa"/>
            <w:vAlign w:val="bottom"/>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900" w:type="dxa"/>
            <w:vAlign w:val="bottom"/>
            <w:gridSpan w:val="4"/>
          </w:tcPr>
          <w:p>
            <w:pPr>
              <w:spacing w:after="0" w:line="176" w:lineRule="exact"/>
              <w:rPr>
                <w:rFonts w:ascii="Arial" w:cs="Arial" w:eastAsia="Arial" w:hAnsi="Arial"/>
                <w:sz w:val="18"/>
                <w:szCs w:val="18"/>
                <w:color w:val="0000EE"/>
              </w:rPr>
            </w:pPr>
            <w:hyperlink r:id="rId74">
              <w:r>
                <w:rPr>
                  <w:rFonts w:ascii="Arial" w:cs="Arial" w:eastAsia="Arial" w:hAnsi="Arial"/>
                  <w:sz w:val="18"/>
                  <w:szCs w:val="18"/>
                  <w:color w:val="0000EE"/>
                </w:rPr>
                <w:t>10.</w:t>
              </w:r>
              <w:r>
                <w:rPr>
                  <w:rFonts w:ascii="Arial" w:cs="Arial" w:eastAsia="Arial" w:hAnsi="Arial"/>
                  <w:sz w:val="18"/>
                  <w:szCs w:val="18"/>
                  <w:u w:val="single" w:color="auto"/>
                  <w:color w:val="0000EE"/>
                </w:rPr>
                <w:t>1(a)</w:t>
              </w:r>
            </w:hyperlink>
          </w:p>
        </w:tc>
        <w:tc>
          <w:tcPr>
            <w:tcW w:w="100" w:type="dxa"/>
            <w:vAlign w:val="bottom"/>
          </w:tcPr>
          <w:p>
            <w:pPr>
              <w:spacing w:after="0"/>
              <w:rPr>
                <w:sz w:val="15"/>
                <w:szCs w:val="15"/>
                <w:color w:val="auto"/>
              </w:rPr>
            </w:pPr>
          </w:p>
        </w:tc>
        <w:tc>
          <w:tcPr>
            <w:tcW w:w="10400" w:type="dxa"/>
            <w:vAlign w:val="bottom"/>
          </w:tcPr>
          <w:p>
            <w:pPr>
              <w:spacing w:after="0" w:line="176" w:lineRule="exact"/>
              <w:rPr>
                <w:sz w:val="20"/>
                <w:szCs w:val="20"/>
                <w:color w:val="auto"/>
              </w:rPr>
            </w:pPr>
            <w:r>
              <w:rPr>
                <w:rFonts w:ascii="Arial" w:cs="Arial" w:eastAsia="Arial" w:hAnsi="Arial"/>
                <w:sz w:val="18"/>
                <w:szCs w:val="18"/>
                <w:color w:val="auto"/>
                <w:w w:val="90"/>
              </w:rPr>
              <w:t>Letter Agreement, dated November 20, 2017, by and between the Company and Big Rock Partners Sponsor, LLC (incorporated by reference to</w:t>
            </w:r>
          </w:p>
        </w:tc>
        <w:tc>
          <w:tcPr>
            <w:tcW w:w="20" w:type="dxa"/>
            <w:vAlign w:val="bottom"/>
          </w:tcPr>
          <w:p>
            <w:pPr>
              <w:spacing w:after="0"/>
              <w:rPr>
                <w:sz w:val="15"/>
                <w:szCs w:val="15"/>
                <w:color w:val="auto"/>
              </w:rPr>
            </w:pPr>
          </w:p>
        </w:tc>
      </w:tr>
      <w:tr>
        <w:trPr>
          <w:trHeight w:val="235"/>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Exhibit 10.4 to the Company’s Form 8-K, File No. 001-38302, filed on November 22, 2017).</w:t>
            </w:r>
          </w:p>
        </w:tc>
      </w:tr>
      <w:tr>
        <w:trPr>
          <w:trHeight w:val="178"/>
        </w:trPr>
        <w:tc>
          <w:tcPr>
            <w:tcW w:w="20" w:type="dxa"/>
            <w:vAlign w:val="bottom"/>
          </w:tcPr>
          <w:p>
            <w:pPr>
              <w:spacing w:after="0"/>
              <w:rPr>
                <w:sz w:val="15"/>
                <w:szCs w:val="15"/>
                <w:color w:val="auto"/>
              </w:rPr>
            </w:pPr>
          </w:p>
        </w:tc>
        <w:tc>
          <w:tcPr>
            <w:tcW w:w="900" w:type="dxa"/>
            <w:vAlign w:val="bottom"/>
            <w:gridSpan w:val="4"/>
            <w:shd w:val="clear" w:color="auto" w:fill="CCEEFF"/>
          </w:tcPr>
          <w:p>
            <w:pPr>
              <w:spacing w:after="0" w:line="177" w:lineRule="exact"/>
              <w:rPr>
                <w:rFonts w:ascii="Arial" w:cs="Arial" w:eastAsia="Arial" w:hAnsi="Arial"/>
                <w:sz w:val="18"/>
                <w:szCs w:val="18"/>
                <w:color w:val="0000EE"/>
              </w:rPr>
            </w:pPr>
            <w:hyperlink r:id="rId75">
              <w:r>
                <w:rPr>
                  <w:rFonts w:ascii="Arial" w:cs="Arial" w:eastAsia="Arial" w:hAnsi="Arial"/>
                  <w:sz w:val="18"/>
                  <w:szCs w:val="18"/>
                  <w:color w:val="0000EE"/>
                </w:rPr>
                <w:t>10.</w:t>
              </w:r>
              <w:r>
                <w:rPr>
                  <w:rFonts w:ascii="Arial" w:cs="Arial" w:eastAsia="Arial" w:hAnsi="Arial"/>
                  <w:sz w:val="18"/>
                  <w:szCs w:val="18"/>
                  <w:u w:val="single" w:color="auto"/>
                  <w:color w:val="0000EE"/>
                </w:rPr>
                <w:t>1(b)</w:t>
              </w:r>
            </w:hyperlink>
          </w:p>
        </w:tc>
        <w:tc>
          <w:tcPr>
            <w:tcW w:w="100" w:type="dxa"/>
            <w:vAlign w:val="bottom"/>
            <w:shd w:val="clear" w:color="auto" w:fill="CCEEFF"/>
          </w:tcPr>
          <w:p>
            <w:pPr>
              <w:spacing w:after="0"/>
              <w:rPr>
                <w:sz w:val="15"/>
                <w:szCs w:val="15"/>
                <w:color w:val="auto"/>
              </w:rPr>
            </w:pPr>
          </w:p>
        </w:tc>
        <w:tc>
          <w:tcPr>
            <w:tcW w:w="1040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w w:val="90"/>
              </w:rPr>
              <w:t>Form of Letter, dated November 20, 2017, Agreement by and between the Company and its officers and directors. (incorporated by reference to</w:t>
            </w:r>
          </w:p>
        </w:tc>
        <w:tc>
          <w:tcPr>
            <w:tcW w:w="2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Exhibit 10.6 to the Company’s Form 8-K, File No. 001-38302, filed on November 22, 2017).</w:t>
            </w:r>
          </w:p>
        </w:tc>
        <w:tc>
          <w:tcPr>
            <w:tcW w:w="20" w:type="dxa"/>
            <w:vAlign w:val="bottom"/>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900" w:type="dxa"/>
            <w:vAlign w:val="bottom"/>
            <w:gridSpan w:val="4"/>
          </w:tcPr>
          <w:p>
            <w:pPr>
              <w:spacing w:after="0" w:line="176" w:lineRule="exact"/>
              <w:rPr>
                <w:rFonts w:ascii="Arial" w:cs="Arial" w:eastAsia="Arial" w:hAnsi="Arial"/>
                <w:sz w:val="18"/>
                <w:szCs w:val="18"/>
                <w:color w:val="0000EE"/>
              </w:rPr>
            </w:pPr>
            <w:hyperlink r:id="rId76">
              <w:r>
                <w:rPr>
                  <w:rFonts w:ascii="Arial" w:cs="Arial" w:eastAsia="Arial" w:hAnsi="Arial"/>
                  <w:sz w:val="18"/>
                  <w:szCs w:val="18"/>
                  <w:color w:val="0000EE"/>
                </w:rPr>
                <w:t>10.</w:t>
              </w:r>
              <w:r>
                <w:rPr>
                  <w:rFonts w:ascii="Arial" w:cs="Arial" w:eastAsia="Arial" w:hAnsi="Arial"/>
                  <w:sz w:val="18"/>
                  <w:szCs w:val="18"/>
                  <w:u w:val="single" w:color="auto"/>
                  <w:color w:val="0000EE"/>
                </w:rPr>
                <w:t>1(c)</w:t>
              </w:r>
            </w:hyperlink>
          </w:p>
        </w:tc>
        <w:tc>
          <w:tcPr>
            <w:tcW w:w="100" w:type="dxa"/>
            <w:vAlign w:val="bottom"/>
          </w:tcPr>
          <w:p>
            <w:pPr>
              <w:spacing w:after="0"/>
              <w:rPr>
                <w:sz w:val="15"/>
                <w:szCs w:val="15"/>
                <w:color w:val="auto"/>
              </w:rPr>
            </w:pPr>
          </w:p>
        </w:tc>
        <w:tc>
          <w:tcPr>
            <w:tcW w:w="10400" w:type="dxa"/>
            <w:vAlign w:val="bottom"/>
          </w:tcPr>
          <w:p>
            <w:pPr>
              <w:spacing w:after="0" w:line="176" w:lineRule="exact"/>
              <w:rPr>
                <w:sz w:val="20"/>
                <w:szCs w:val="20"/>
                <w:color w:val="auto"/>
              </w:rPr>
            </w:pPr>
            <w:r>
              <w:rPr>
                <w:rFonts w:ascii="Arial" w:cs="Arial" w:eastAsia="Arial" w:hAnsi="Arial"/>
                <w:sz w:val="18"/>
                <w:szCs w:val="18"/>
                <w:color w:val="auto"/>
                <w:w w:val="89"/>
              </w:rPr>
              <w:t>Letter Agreement, dated November 20, 2017, by and between the Company and A/Z Property Partners, LLC (incorporated by reference to Exhibit</w:t>
            </w:r>
          </w:p>
        </w:tc>
        <w:tc>
          <w:tcPr>
            <w:tcW w:w="20" w:type="dxa"/>
            <w:vAlign w:val="bottom"/>
          </w:tcPr>
          <w:p>
            <w:pPr>
              <w:spacing w:after="0"/>
              <w:rPr>
                <w:sz w:val="15"/>
                <w:szCs w:val="15"/>
                <w:color w:val="auto"/>
              </w:rPr>
            </w:pPr>
          </w:p>
        </w:tc>
      </w:tr>
      <w:tr>
        <w:trPr>
          <w:trHeight w:val="235"/>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10.5 to the Company’s Form 8-K, File No. 001-38302, filed on November 22, 2017).</w:t>
            </w:r>
          </w:p>
        </w:tc>
      </w:tr>
      <w:tr>
        <w:trPr>
          <w:trHeight w:val="178"/>
        </w:trPr>
        <w:tc>
          <w:tcPr>
            <w:tcW w:w="20" w:type="dxa"/>
            <w:vAlign w:val="bottom"/>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7" w:lineRule="exact"/>
              <w:rPr>
                <w:rFonts w:ascii="Arial" w:cs="Arial" w:eastAsia="Arial" w:hAnsi="Arial"/>
                <w:sz w:val="18"/>
                <w:szCs w:val="18"/>
                <w:color w:val="0000EE"/>
                <w:w w:val="79"/>
              </w:rPr>
            </w:pPr>
            <w:hyperlink r:id="rId7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8"/>
                <w:szCs w:val="18"/>
                <w:color w:val="auto"/>
                <w:w w:val="91"/>
              </w:rPr>
              <w:t>Investment Management Trust Account Agreement, dated November 20, 2017, between Continental Stock Transfer &amp; Trust Company and the</w:t>
            </w:r>
          </w:p>
        </w:tc>
        <w:tc>
          <w:tcPr>
            <w:tcW w:w="2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w w:val="99"/>
              </w:rPr>
              <w:t>Company (incorporated by reference to Exhibit 10.1 to the Company’s Form 8-K, File No. 001-38302, filed on November 22, 2017).</w:t>
            </w:r>
          </w:p>
        </w:tc>
        <w:tc>
          <w:tcPr>
            <w:tcW w:w="20" w:type="dxa"/>
            <w:vAlign w:val="bottom"/>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300" w:type="dxa"/>
            <w:vAlign w:val="bottom"/>
            <w:tcBorders>
              <w:bottom w:val="single" w:sz="8" w:color="0000EE"/>
            </w:tcBorders>
            <w:gridSpan w:val="2"/>
          </w:tcPr>
          <w:p>
            <w:pPr>
              <w:spacing w:after="0" w:line="176" w:lineRule="exact"/>
              <w:rPr>
                <w:rFonts w:ascii="Arial" w:cs="Arial" w:eastAsia="Arial" w:hAnsi="Arial"/>
                <w:sz w:val="18"/>
                <w:szCs w:val="18"/>
                <w:color w:val="0000EE"/>
                <w:w w:val="79"/>
              </w:rPr>
            </w:pPr>
            <w:hyperlink r:id="rId7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w:t>
              </w:r>
            </w:hyperlink>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0" w:type="dxa"/>
            <w:vAlign w:val="bottom"/>
          </w:tcPr>
          <w:p>
            <w:pPr>
              <w:spacing w:after="0" w:line="176" w:lineRule="exact"/>
              <w:rPr>
                <w:sz w:val="20"/>
                <w:szCs w:val="20"/>
                <w:color w:val="auto"/>
              </w:rPr>
            </w:pPr>
            <w:r>
              <w:rPr>
                <w:rFonts w:ascii="Arial" w:cs="Arial" w:eastAsia="Arial" w:hAnsi="Arial"/>
                <w:sz w:val="18"/>
                <w:szCs w:val="18"/>
                <w:color w:val="auto"/>
                <w:w w:val="90"/>
              </w:rPr>
              <w:t>Stock Escrow Agreement, dated November 20, 2017, between the Company, Big Rock Partners Sponsor, LLC and Continental Stock Transfer &amp;</w:t>
            </w:r>
          </w:p>
        </w:tc>
        <w:tc>
          <w:tcPr>
            <w:tcW w:w="20" w:type="dxa"/>
            <w:vAlign w:val="bottom"/>
          </w:tcPr>
          <w:p>
            <w:pPr>
              <w:spacing w:after="0"/>
              <w:rPr>
                <w:sz w:val="15"/>
                <w:szCs w:val="15"/>
                <w:color w:val="auto"/>
              </w:rPr>
            </w:pPr>
          </w:p>
        </w:tc>
      </w:tr>
      <w:tr>
        <w:trPr>
          <w:trHeight w:val="235"/>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w w:val="95"/>
              </w:rPr>
              <w:t>Trust Company (incorporated by reference to Exhibit 10.2 to the Company’s Form 8-K, File No. 001-38302, filed on November 22, 2017).</w:t>
            </w:r>
          </w:p>
        </w:tc>
      </w:tr>
      <w:tr>
        <w:trPr>
          <w:trHeight w:val="178"/>
        </w:trPr>
        <w:tc>
          <w:tcPr>
            <w:tcW w:w="20" w:type="dxa"/>
            <w:vAlign w:val="bottom"/>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7" w:lineRule="exact"/>
              <w:rPr>
                <w:rFonts w:ascii="Arial" w:cs="Arial" w:eastAsia="Arial" w:hAnsi="Arial"/>
                <w:sz w:val="18"/>
                <w:szCs w:val="18"/>
                <w:color w:val="0000EE"/>
                <w:w w:val="79"/>
              </w:rPr>
            </w:pPr>
            <w:hyperlink r:id="rId7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8"/>
                <w:szCs w:val="18"/>
                <w:color w:val="auto"/>
                <w:w w:val="94"/>
              </w:rPr>
              <w:t>Registration Rights Agreement among the Company and Big Rock Partners Sponsor, LLC (incorporated by reference to Exhibit 10.3 to the</w:t>
            </w:r>
          </w:p>
        </w:tc>
        <w:tc>
          <w:tcPr>
            <w:tcW w:w="2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Company’s Form 8-K, File No. 001-38302, filed on November 22, 2017).</w:t>
            </w:r>
          </w:p>
        </w:tc>
        <w:tc>
          <w:tcPr>
            <w:tcW w:w="20" w:type="dxa"/>
            <w:vAlign w:val="bottom"/>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300" w:type="dxa"/>
            <w:vAlign w:val="bottom"/>
            <w:tcBorders>
              <w:bottom w:val="single" w:sz="8" w:color="0000EE"/>
            </w:tcBorders>
            <w:gridSpan w:val="2"/>
          </w:tcPr>
          <w:p>
            <w:pPr>
              <w:spacing w:after="0" w:line="176" w:lineRule="exact"/>
              <w:rPr>
                <w:rFonts w:ascii="Arial" w:cs="Arial" w:eastAsia="Arial" w:hAnsi="Arial"/>
                <w:sz w:val="18"/>
                <w:szCs w:val="18"/>
                <w:color w:val="0000EE"/>
                <w:w w:val="79"/>
              </w:rPr>
            </w:pPr>
            <w:hyperlink r:id="rId8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w:t>
              </w:r>
            </w:hyperlink>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0" w:type="dxa"/>
            <w:vAlign w:val="bottom"/>
          </w:tcPr>
          <w:p>
            <w:pPr>
              <w:spacing w:after="0" w:line="176" w:lineRule="exact"/>
              <w:rPr>
                <w:sz w:val="20"/>
                <w:szCs w:val="20"/>
                <w:color w:val="auto"/>
              </w:rPr>
            </w:pPr>
            <w:r>
              <w:rPr>
                <w:rFonts w:ascii="Arial" w:cs="Arial" w:eastAsia="Arial" w:hAnsi="Arial"/>
                <w:sz w:val="18"/>
                <w:szCs w:val="18"/>
                <w:color w:val="auto"/>
                <w:w w:val="92"/>
              </w:rPr>
              <w:t>Administrative Services Agreement, dated November 20, 2017, between the Company and Big Rock Partners Sponsor, LLC (incorporated by</w:t>
            </w:r>
          </w:p>
        </w:tc>
        <w:tc>
          <w:tcPr>
            <w:tcW w:w="20" w:type="dxa"/>
            <w:vAlign w:val="bottom"/>
          </w:tcPr>
          <w:p>
            <w:pPr>
              <w:spacing w:after="0"/>
              <w:rPr>
                <w:sz w:val="15"/>
                <w:szCs w:val="15"/>
                <w:color w:val="auto"/>
              </w:rPr>
            </w:pPr>
          </w:p>
        </w:tc>
      </w:tr>
      <w:tr>
        <w:trPr>
          <w:trHeight w:val="235"/>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reference to Exhibit 10.7 to the Company’s Form 8-K, File No. 001-38302, filed on November 22, 2017).</w:t>
            </w:r>
          </w:p>
        </w:tc>
      </w:tr>
      <w:tr>
        <w:trPr>
          <w:trHeight w:val="649"/>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gridSpan w:val="2"/>
          </w:tcPr>
          <w:p>
            <w:pPr>
              <w:jc w:val="right"/>
              <w:ind w:right="5532"/>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r>
    </w:tbl>
    <w:p>
      <w:pPr>
        <w:sectPr>
          <w:pgSz w:w="11900" w:h="16838" w:orient="portrait"/>
          <w:cols w:equalWidth="0" w:num="1">
            <w:col w:w="11420"/>
          </w:cols>
          <w:pgMar w:left="240" w:top="129"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gridSpan w:val="3"/>
            <w:shd w:val="clear" w:color="auto" w:fill="CCEEFF"/>
          </w:tcPr>
          <w:p>
            <w:pPr>
              <w:spacing w:after="0"/>
              <w:rPr>
                <w:rFonts w:ascii="Arial" w:cs="Arial" w:eastAsia="Arial" w:hAnsi="Arial"/>
                <w:sz w:val="18"/>
                <w:szCs w:val="18"/>
                <w:color w:val="0000EE"/>
              </w:rPr>
            </w:pPr>
            <w:hyperlink r:id="rId81">
              <w:r>
                <w:rPr>
                  <w:rFonts w:ascii="Arial" w:cs="Arial" w:eastAsia="Arial" w:hAnsi="Arial"/>
                  <w:sz w:val="18"/>
                  <w:szCs w:val="18"/>
                  <w:color w:val="0000EE"/>
                </w:rPr>
                <w:t>10.</w:t>
              </w:r>
              <w:r>
                <w:rPr>
                  <w:rFonts w:ascii="Arial" w:cs="Arial" w:eastAsia="Arial" w:hAnsi="Arial"/>
                  <w:sz w:val="18"/>
                  <w:szCs w:val="18"/>
                  <w:u w:val="single" w:color="auto"/>
                  <w:color w:val="0000EE"/>
                </w:rPr>
                <w:t>6(a)</w:t>
              </w:r>
            </w:hyperlink>
          </w:p>
        </w:tc>
        <w:tc>
          <w:tcPr>
            <w:tcW w:w="10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Securities Subscription Agreement, dated September 26, 2017, between the Registrant and Big Rock Partners Sponsor, LLC (incorporated by</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reference to Exhibit 10.6 to the Company’s Form S-1/A, File No. 333-220947, filed on November 14, 2017).</w:t>
            </w:r>
          </w:p>
        </w:tc>
      </w:tr>
      <w:tr>
        <w:trPr>
          <w:trHeight w:val="176"/>
        </w:trPr>
        <w:tc>
          <w:tcPr>
            <w:tcW w:w="780" w:type="dxa"/>
            <w:vAlign w:val="bottom"/>
            <w:gridSpan w:val="3"/>
          </w:tcPr>
          <w:p>
            <w:pPr>
              <w:spacing w:after="0" w:line="176" w:lineRule="exact"/>
              <w:rPr>
                <w:rFonts w:ascii="Arial" w:cs="Arial" w:eastAsia="Arial" w:hAnsi="Arial"/>
                <w:sz w:val="18"/>
                <w:szCs w:val="18"/>
                <w:color w:val="0000EE"/>
              </w:rPr>
            </w:pPr>
            <w:hyperlink r:id="rId82">
              <w:r>
                <w:rPr>
                  <w:rFonts w:ascii="Arial" w:cs="Arial" w:eastAsia="Arial" w:hAnsi="Arial"/>
                  <w:sz w:val="18"/>
                  <w:szCs w:val="18"/>
                  <w:color w:val="0000EE"/>
                </w:rPr>
                <w:t>10.</w:t>
              </w:r>
              <w:r>
                <w:rPr>
                  <w:rFonts w:ascii="Arial" w:cs="Arial" w:eastAsia="Arial" w:hAnsi="Arial"/>
                  <w:sz w:val="18"/>
                  <w:szCs w:val="18"/>
                  <w:u w:val="single" w:color="auto"/>
                  <w:color w:val="0000EE"/>
                </w:rPr>
                <w:t>6(b)</w:t>
              </w:r>
            </w:hyperlink>
          </w:p>
        </w:tc>
        <w:tc>
          <w:tcPr>
            <w:tcW w:w="10640" w:type="dxa"/>
            <w:vAlign w:val="bottom"/>
          </w:tcPr>
          <w:p>
            <w:pPr>
              <w:ind w:left="240"/>
              <w:spacing w:after="0" w:line="176" w:lineRule="exact"/>
              <w:rPr>
                <w:sz w:val="20"/>
                <w:szCs w:val="20"/>
                <w:color w:val="auto"/>
              </w:rPr>
            </w:pPr>
            <w:r>
              <w:rPr>
                <w:rFonts w:ascii="Arial" w:cs="Arial" w:eastAsia="Arial" w:hAnsi="Arial"/>
                <w:sz w:val="18"/>
                <w:szCs w:val="18"/>
                <w:color w:val="auto"/>
                <w:w w:val="92"/>
              </w:rPr>
              <w:t>Securities Subscription Agreement, dated November 20, 2017, between the Company and Big Rock Partners Sponsor, LLC (incorporated by</w:t>
            </w:r>
          </w:p>
        </w:tc>
      </w:tr>
      <w:tr>
        <w:trPr>
          <w:trHeight w:val="235"/>
        </w:trPr>
        <w:tc>
          <w:tcPr>
            <w:tcW w:w="3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10640" w:type="dxa"/>
            <w:vAlign w:val="bottom"/>
          </w:tcPr>
          <w:p>
            <w:pPr>
              <w:ind w:left="240"/>
              <w:spacing w:after="0"/>
              <w:rPr>
                <w:sz w:val="20"/>
                <w:szCs w:val="20"/>
                <w:color w:val="auto"/>
              </w:rPr>
            </w:pPr>
            <w:r>
              <w:rPr>
                <w:rFonts w:ascii="Arial" w:cs="Arial" w:eastAsia="Arial" w:hAnsi="Arial"/>
                <w:sz w:val="18"/>
                <w:szCs w:val="18"/>
                <w:color w:val="auto"/>
              </w:rPr>
              <w:t>reference to Exhibit 10.9 to the Company’s Form 8-K, File No. 001-38302, filed on November 22, 2017).</w:t>
            </w:r>
          </w:p>
        </w:tc>
      </w:tr>
      <w:tr>
        <w:trPr>
          <w:trHeight w:val="178"/>
        </w:trPr>
        <w:tc>
          <w:tcPr>
            <w:tcW w:w="320" w:type="dxa"/>
            <w:vAlign w:val="bottom"/>
            <w:tcBorders>
              <w:bottom w:val="single" w:sz="8" w:color="0000EE"/>
            </w:tcBorders>
            <w:shd w:val="clear" w:color="auto" w:fill="CCEEFF"/>
          </w:tcPr>
          <w:p>
            <w:pPr>
              <w:spacing w:after="0" w:line="177" w:lineRule="exact"/>
              <w:rPr>
                <w:rFonts w:ascii="Arial" w:cs="Arial" w:eastAsia="Arial" w:hAnsi="Arial"/>
                <w:sz w:val="18"/>
                <w:szCs w:val="18"/>
                <w:color w:val="0000EE"/>
                <w:w w:val="85"/>
              </w:rPr>
            </w:pPr>
            <w:hyperlink r:id="rId8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640" w:type="dxa"/>
            <w:vAlign w:val="bottom"/>
            <w:tcBorders>
              <w:bottom w:val="single" w:sz="8" w:color="CCEEFF"/>
            </w:tcBorders>
            <w:shd w:val="clear" w:color="auto" w:fill="CCEEFF"/>
          </w:tcPr>
          <w:p>
            <w:pPr>
              <w:ind w:left="240"/>
              <w:spacing w:after="0" w:line="177" w:lineRule="exact"/>
              <w:rPr>
                <w:sz w:val="20"/>
                <w:szCs w:val="20"/>
                <w:color w:val="auto"/>
              </w:rPr>
            </w:pPr>
            <w:r>
              <w:rPr>
                <w:rFonts w:ascii="Arial" w:cs="Arial" w:eastAsia="Arial" w:hAnsi="Arial"/>
                <w:sz w:val="18"/>
                <w:szCs w:val="18"/>
                <w:color w:val="auto"/>
                <w:w w:val="88"/>
              </w:rPr>
              <w:t>Promissory Note, dated as of September 26, 2017, in favor of Richard Ackerman (incorporated by reference to Exhibit 10.7 to the Company’s Form</w:t>
            </w:r>
          </w:p>
        </w:tc>
      </w:tr>
      <w:tr>
        <w:trPr>
          <w:trHeight w:val="237"/>
        </w:trPr>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S-1/A, File No. 333-220947, filed on November 14, 2017).</w:t>
            </w:r>
          </w:p>
        </w:tc>
      </w:tr>
      <w:tr>
        <w:trPr>
          <w:trHeight w:val="176"/>
        </w:trPr>
        <w:tc>
          <w:tcPr>
            <w:tcW w:w="320" w:type="dxa"/>
            <w:vAlign w:val="bottom"/>
            <w:tcBorders>
              <w:bottom w:val="single" w:sz="8" w:color="0000EE"/>
            </w:tcBorders>
          </w:tcPr>
          <w:p>
            <w:pPr>
              <w:spacing w:after="0" w:line="176" w:lineRule="exact"/>
              <w:rPr>
                <w:rFonts w:ascii="Arial" w:cs="Arial" w:eastAsia="Arial" w:hAnsi="Arial"/>
                <w:sz w:val="18"/>
                <w:szCs w:val="18"/>
                <w:color w:val="0000EE"/>
                <w:w w:val="85"/>
              </w:rPr>
            </w:pPr>
            <w:hyperlink r:id="rId8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hyperlink>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40" w:type="dxa"/>
            <w:vAlign w:val="bottom"/>
          </w:tcPr>
          <w:p>
            <w:pPr>
              <w:ind w:left="240"/>
              <w:spacing w:after="0" w:line="176" w:lineRule="exact"/>
              <w:rPr>
                <w:sz w:val="20"/>
                <w:szCs w:val="20"/>
                <w:color w:val="auto"/>
              </w:rPr>
            </w:pPr>
            <w:r>
              <w:rPr>
                <w:rFonts w:ascii="Arial" w:cs="Arial" w:eastAsia="Arial" w:hAnsi="Arial"/>
                <w:sz w:val="18"/>
                <w:szCs w:val="18"/>
                <w:color w:val="auto"/>
                <w:w w:val="91"/>
              </w:rPr>
              <w:t>Promissory Note, dated as of September 26, 2017, in favor of Big Rock Partners Sponsor, LLC (incorporated by reference to Exhibit 10.8 to the</w:t>
            </w:r>
          </w:p>
        </w:tc>
      </w:tr>
      <w:tr>
        <w:trPr>
          <w:trHeight w:val="235"/>
        </w:trPr>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40" w:type="dxa"/>
            <w:vAlign w:val="bottom"/>
          </w:tcPr>
          <w:p>
            <w:pPr>
              <w:ind w:left="240"/>
              <w:spacing w:after="0"/>
              <w:rPr>
                <w:sz w:val="20"/>
                <w:szCs w:val="20"/>
                <w:color w:val="auto"/>
              </w:rPr>
            </w:pPr>
            <w:r>
              <w:rPr>
                <w:rFonts w:ascii="Arial" w:cs="Arial" w:eastAsia="Arial" w:hAnsi="Arial"/>
                <w:sz w:val="18"/>
                <w:szCs w:val="18"/>
                <w:color w:val="auto"/>
              </w:rPr>
              <w:t>Company’s Form S-1/A, File No. 333-220947, filed on November 14, 2017).</w:t>
            </w:r>
          </w:p>
        </w:tc>
      </w:tr>
      <w:tr>
        <w:trPr>
          <w:trHeight w:val="178"/>
        </w:trPr>
        <w:tc>
          <w:tcPr>
            <w:tcW w:w="320" w:type="dxa"/>
            <w:vAlign w:val="bottom"/>
            <w:tcBorders>
              <w:bottom w:val="single" w:sz="8" w:color="0000EE"/>
            </w:tcBorders>
            <w:shd w:val="clear" w:color="auto" w:fill="CCEEFF"/>
          </w:tcPr>
          <w:p>
            <w:pPr>
              <w:spacing w:after="0" w:line="177" w:lineRule="exact"/>
              <w:rPr>
                <w:rFonts w:ascii="Arial" w:cs="Arial" w:eastAsia="Arial" w:hAnsi="Arial"/>
                <w:sz w:val="18"/>
                <w:szCs w:val="18"/>
                <w:color w:val="0000EE"/>
                <w:w w:val="85"/>
              </w:rPr>
            </w:pPr>
            <w:hyperlink r:id="rId8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9</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640" w:type="dxa"/>
            <w:vAlign w:val="bottom"/>
            <w:tcBorders>
              <w:bottom w:val="single" w:sz="8" w:color="CCEEFF"/>
            </w:tcBorders>
            <w:shd w:val="clear" w:color="auto" w:fill="CCEEFF"/>
          </w:tcPr>
          <w:p>
            <w:pPr>
              <w:ind w:left="240"/>
              <w:spacing w:after="0" w:line="177" w:lineRule="exact"/>
              <w:rPr>
                <w:sz w:val="20"/>
                <w:szCs w:val="20"/>
                <w:color w:val="auto"/>
              </w:rPr>
            </w:pPr>
            <w:r>
              <w:rPr>
                <w:rFonts w:ascii="Arial" w:cs="Arial" w:eastAsia="Arial" w:hAnsi="Arial"/>
                <w:sz w:val="18"/>
                <w:szCs w:val="18"/>
                <w:color w:val="auto"/>
                <w:w w:val="91"/>
              </w:rPr>
              <w:t>Form of Indemnification Agreement, dated November 20, 2017, with the Company’s officers and directors (incorporated by reference to Exhibit</w:t>
            </w:r>
          </w:p>
        </w:tc>
      </w:tr>
      <w:tr>
        <w:trPr>
          <w:trHeight w:val="237"/>
        </w:trPr>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10.8 to the Company’s Form 8-K, File No. 001-38302, filed on November 22, 2017).</w:t>
            </w:r>
          </w:p>
        </w:tc>
      </w:tr>
    </w:tbl>
    <w:p>
      <w:pPr>
        <w:ind w:left="1020" w:hanging="1012"/>
        <w:spacing w:after="0"/>
        <w:tabs>
          <w:tab w:leader="none" w:pos="1020" w:val="left"/>
        </w:tabs>
        <w:numPr>
          <w:ilvl w:val="0"/>
          <w:numId w:val="29"/>
        </w:numPr>
        <w:rPr>
          <w:rFonts w:ascii="Arial" w:cs="Arial" w:eastAsia="Arial" w:hAnsi="Arial"/>
          <w:sz w:val="16"/>
          <w:szCs w:val="16"/>
          <w:u w:val="single" w:color="auto"/>
          <w:color w:val="0000EE"/>
        </w:rPr>
      </w:pPr>
      <w:r>
        <w:rPr>
          <w:rFonts w:ascii="Arial" w:cs="Arial" w:eastAsia="Arial" w:hAnsi="Arial"/>
          <w:sz w:val="16"/>
          <w:szCs w:val="16"/>
          <w:color w:val="auto"/>
        </w:rPr>
        <w:t>Code of Ethics (incorporated by reference to Exhibit 14 to the Company’s Form S-1/A, File No. 333-220947, filed on November 14, 2017).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31.</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0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Certification of the Chief Executive Officer required by Rule 13a-14(a) or Rule 15d-14(a).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2"/>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10580" w:type="dxa"/>
            <w:vAlign w:val="bottom"/>
          </w:tcPr>
          <w:p>
            <w:pPr>
              <w:ind w:left="180"/>
              <w:spacing w:after="0" w:line="176" w:lineRule="exact"/>
              <w:rPr>
                <w:sz w:val="20"/>
                <w:szCs w:val="20"/>
                <w:color w:val="auto"/>
              </w:rPr>
            </w:pPr>
            <w:r>
              <w:rPr>
                <w:rFonts w:ascii="Arial" w:cs="Arial" w:eastAsia="Arial" w:hAnsi="Arial"/>
                <w:sz w:val="18"/>
                <w:szCs w:val="18"/>
                <w:color w:val="auto"/>
              </w:rPr>
              <w:t>Certification of the Chief Financial Officer required by Rule 13a-14(a) or Rule 15d-14(a).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2"/>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0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Certification of the Chief Executive Officer required by Rule 13a-14(b) or Rule 15d-14(b) and 18 U.S.C. 1350.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2"/>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32.</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10580" w:type="dxa"/>
            <w:vAlign w:val="bottom"/>
          </w:tcPr>
          <w:p>
            <w:pPr>
              <w:ind w:left="180"/>
              <w:spacing w:after="0" w:line="176" w:lineRule="exact"/>
              <w:rPr>
                <w:sz w:val="20"/>
                <w:szCs w:val="20"/>
                <w:color w:val="auto"/>
              </w:rPr>
            </w:pPr>
            <w:r>
              <w:rPr>
                <w:rFonts w:ascii="Arial" w:cs="Arial" w:eastAsia="Arial" w:hAnsi="Arial"/>
                <w:sz w:val="18"/>
                <w:szCs w:val="18"/>
                <w:color w:val="auto"/>
              </w:rPr>
              <w:t>Certification of the Chief Financial Officer required by Rule 13a-14(b) or Rule 15d-14(b) and 18 U.S.C. 1350.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58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58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58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020" w:hanging="101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1020" w:hanging="101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64"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Registrants may voluntarily include a summary of information required by Form 10-K under this Item 16. The Company has elected not to include such summary information.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March 23, 2018</w:t>
      </w:r>
      <w:r>
        <w:rPr>
          <w:sz w:val="20"/>
          <w:szCs w:val="20"/>
          <w:color w:val="auto"/>
        </w:rPr>
        <w:tab/>
      </w:r>
      <w:r>
        <w:rPr>
          <w:rFonts w:ascii="Arial" w:cs="Arial" w:eastAsia="Arial" w:hAnsi="Arial"/>
          <w:sz w:val="16"/>
          <w:szCs w:val="16"/>
          <w:b w:val="1"/>
          <w:bCs w:val="1"/>
          <w:color w:val="auto"/>
        </w:rPr>
        <w:t>BIG ROCK PARTNERS ACQUISITION CORP.</w:t>
      </w:r>
    </w:p>
    <w:p>
      <w:pPr>
        <w:spacing w:after="0" w:line="231" w:lineRule="exact"/>
        <w:rPr>
          <w:sz w:val="20"/>
          <w:szCs w:val="20"/>
          <w:color w:val="auto"/>
        </w:rPr>
      </w:pPr>
    </w:p>
    <w:p>
      <w:pPr>
        <w:ind w:left="5380"/>
        <w:spacing w:after="0"/>
        <w:tabs>
          <w:tab w:leader="none" w:pos="5800" w:val="left"/>
        </w:tabs>
        <w:rPr>
          <w:sz w:val="20"/>
          <w:szCs w:val="20"/>
          <w:color w:val="auto"/>
        </w:rPr>
      </w:pPr>
      <w:r>
        <w:rPr>
          <w:rFonts w:ascii="Arial" w:cs="Arial" w:eastAsia="Arial" w:hAnsi="Arial"/>
          <w:sz w:val="18"/>
          <w:szCs w:val="18"/>
          <w:color w:val="auto"/>
        </w:rPr>
        <w:t>By:</w:t>
        <w:tab/>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President and Chief Executive Officer</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08"/>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89"/>
              </w:rPr>
              <w:t>Chairman, President and Chief Executive Officer</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1"/>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Ackerman</w:t>
            </w:r>
          </w:p>
        </w:tc>
        <w:tc>
          <w:tcPr>
            <w:tcW w:w="1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March 23, 2018</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Richard Ackerman</w:t>
            </w:r>
          </w:p>
        </w:tc>
        <w:tc>
          <w:tcPr>
            <w:tcW w:w="1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3"/>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Lori B. Wittman</w:t>
            </w:r>
          </w:p>
        </w:tc>
        <w:tc>
          <w:tcPr>
            <w:tcW w:w="1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Chief Financial Officer and Director</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March 23, 2018</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Lori B. Wittman</w:t>
            </w:r>
          </w:p>
        </w:tc>
        <w:tc>
          <w:tcPr>
            <w:tcW w:w="12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(Principal Financial and Accounting Officer)</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3"/>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Birdoff</w:t>
            </w:r>
          </w:p>
        </w:tc>
        <w:tc>
          <w:tcPr>
            <w:tcW w:w="1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March 23, 2018</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Richard Birdoff</w:t>
            </w:r>
          </w:p>
        </w:tc>
        <w:tc>
          <w:tcPr>
            <w:tcW w:w="1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3"/>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Fong</w:t>
            </w:r>
          </w:p>
        </w:tc>
        <w:tc>
          <w:tcPr>
            <w:tcW w:w="1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March 23, 2018</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Michael Fong</w:t>
            </w:r>
          </w:p>
        </w:tc>
        <w:tc>
          <w:tcPr>
            <w:tcW w:w="1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3"/>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F. Koenig</w:t>
            </w:r>
          </w:p>
        </w:tc>
        <w:tc>
          <w:tcPr>
            <w:tcW w:w="1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March 23, 2018</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Stuart F. Koenig</w:t>
            </w:r>
          </w:p>
        </w:tc>
        <w:tc>
          <w:tcPr>
            <w:tcW w:w="1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3"/>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G. Rex</w:t>
            </w:r>
          </w:p>
        </w:tc>
        <w:tc>
          <w:tcPr>
            <w:tcW w:w="1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March 23, 2018</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Albert G. Rex</w:t>
            </w:r>
          </w:p>
        </w:tc>
        <w:tc>
          <w:tcPr>
            <w:tcW w:w="1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3"/>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Troy T. Taylor</w:t>
            </w:r>
          </w:p>
        </w:tc>
        <w:tc>
          <w:tcPr>
            <w:tcW w:w="1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March 23, 2018</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Troy T. Taylor</w:t>
            </w:r>
          </w:p>
        </w:tc>
        <w:tc>
          <w:tcPr>
            <w:tcW w:w="1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25"/>
        </w:trPr>
        <w:tc>
          <w:tcPr>
            <w:tcW w:w="45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2"/>
          </w:tcPr>
          <w:p>
            <w:pPr>
              <w:jc w:val="right"/>
              <w:ind w:right="369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9"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740" w:type="dxa"/>
            <w:vAlign w:val="bottom"/>
            <w:gridSpan w:val="2"/>
          </w:tcPr>
          <w:p>
            <w:pPr>
              <w:jc w:val="center"/>
              <w:ind w:right="732"/>
              <w:spacing w:after="0"/>
              <w:rPr>
                <w:sz w:val="20"/>
                <w:szCs w:val="20"/>
                <w:color w:val="auto"/>
              </w:rPr>
            </w:pPr>
            <w:r>
              <w:rPr>
                <w:rFonts w:ascii="Arial" w:cs="Arial" w:eastAsia="Arial" w:hAnsi="Arial"/>
                <w:sz w:val="18"/>
                <w:szCs w:val="18"/>
                <w:b w:val="1"/>
                <w:bCs w:val="1"/>
                <w:color w:val="auto"/>
                <w:w w:val="97"/>
              </w:rPr>
              <w:t>BIG ROCK PARTNERS ACQUISITION CORP.</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80" w:type="dxa"/>
            <w:vAlign w:val="bottom"/>
          </w:tcPr>
          <w:p>
            <w:pPr>
              <w:jc w:val="center"/>
              <w:ind w:right="1592"/>
              <w:spacing w:after="0"/>
              <w:rPr>
                <w:sz w:val="20"/>
                <w:szCs w:val="20"/>
                <w:color w:val="auto"/>
              </w:rPr>
            </w:pPr>
            <w:r>
              <w:rPr>
                <w:rFonts w:ascii="Arial" w:cs="Arial" w:eastAsia="Arial" w:hAnsi="Arial"/>
                <w:sz w:val="18"/>
                <w:szCs w:val="18"/>
                <w:b w:val="1"/>
                <w:bCs w:val="1"/>
                <w:color w:val="auto"/>
                <w:w w:val="99"/>
              </w:rPr>
              <w:t>INDEX TO FINANCIAL STATEMENTS</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0" w:type="dxa"/>
            <w:vAlign w:val="bottom"/>
            <w:gridSpan w:val="8"/>
          </w:tcPr>
          <w:p>
            <w:pPr>
              <w:spacing w:after="0"/>
              <w:rPr>
                <w:sz w:val="20"/>
                <w:szCs w:val="20"/>
                <w:color w:val="auto"/>
              </w:rPr>
            </w:pPr>
            <w:r>
              <w:rPr>
                <w:rFonts w:ascii="Arial" w:cs="Arial" w:eastAsia="Arial" w:hAnsi="Arial"/>
                <w:sz w:val="18"/>
                <w:szCs w:val="18"/>
                <w:color w:val="FFFFFF"/>
              </w:rPr>
              <w:t>F.</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80" w:type="dxa"/>
            <w:vAlign w:val="bottom"/>
            <w:gridSpan w:val="7"/>
            <w:shd w:val="clear" w:color="auto" w:fill="CCEEFF"/>
          </w:tcPr>
          <w:p>
            <w:pPr>
              <w:spacing w:after="0" w:line="177" w:lineRule="exact"/>
              <w:rPr>
                <w:rFonts w:ascii="Arial" w:cs="Arial" w:eastAsia="Arial" w:hAnsi="Arial"/>
                <w:sz w:val="18"/>
                <w:szCs w:val="18"/>
                <w:color w:val="0000EE"/>
              </w:rPr>
            </w:pPr>
            <w:hyperlink w:anchor="page55">
              <w:r>
                <w:rPr>
                  <w:rFonts w:ascii="Arial" w:cs="Arial" w:eastAsia="Arial" w:hAnsi="Arial"/>
                  <w:sz w:val="18"/>
                  <w:szCs w:val="18"/>
                  <w:color w:val="0000EE"/>
                </w:rPr>
                <w:t>Report of Independent Registered Public Accounting Firm</w:t>
              </w:r>
            </w:hyperlink>
          </w:p>
        </w:tc>
        <w:tc>
          <w:tcPr>
            <w:tcW w:w="2420" w:type="dxa"/>
            <w:vAlign w:val="bottom"/>
            <w:shd w:val="clear" w:color="auto" w:fill="CCEEFF"/>
          </w:tcPr>
          <w:p>
            <w:pPr>
              <w:jc w:val="center"/>
              <w:ind w:left="1212"/>
              <w:spacing w:after="0" w:line="177"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7"/>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Balance Sheet</w:t>
              </w:r>
            </w:hyperlink>
          </w:p>
        </w:tc>
        <w:tc>
          <w:tcPr>
            <w:tcW w:w="2420" w:type="dxa"/>
            <w:vAlign w:val="bottom"/>
            <w:shd w:val="clear" w:color="auto" w:fill="CCEEFF"/>
          </w:tcPr>
          <w:p>
            <w:pPr>
              <w:jc w:val="center"/>
              <w:ind w:left="1212"/>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7"/>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Statement of Operations</w:t>
              </w:r>
            </w:hyperlink>
          </w:p>
        </w:tc>
        <w:tc>
          <w:tcPr>
            <w:tcW w:w="2420" w:type="dxa"/>
            <w:vAlign w:val="bottom"/>
            <w:shd w:val="clear" w:color="auto" w:fill="CCEEFF"/>
          </w:tcPr>
          <w:p>
            <w:pPr>
              <w:jc w:val="center"/>
              <w:ind w:left="1212"/>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7"/>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Statement of Changes in Stockholders’ Equity</w:t>
              </w:r>
            </w:hyperlink>
          </w:p>
        </w:tc>
        <w:tc>
          <w:tcPr>
            <w:tcW w:w="2420" w:type="dxa"/>
            <w:vAlign w:val="bottom"/>
            <w:shd w:val="clear" w:color="auto" w:fill="CCEEFF"/>
          </w:tcPr>
          <w:p>
            <w:pPr>
              <w:jc w:val="center"/>
              <w:ind w:left="1212"/>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7"/>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Statement of Cash Flows</w:t>
              </w:r>
            </w:hyperlink>
          </w:p>
        </w:tc>
        <w:tc>
          <w:tcPr>
            <w:tcW w:w="2420" w:type="dxa"/>
            <w:vAlign w:val="bottom"/>
            <w:shd w:val="clear" w:color="auto" w:fill="CCEEFF"/>
          </w:tcPr>
          <w:p>
            <w:pPr>
              <w:jc w:val="center"/>
              <w:ind w:left="1212"/>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80" w:type="dxa"/>
            <w:vAlign w:val="bottom"/>
            <w:gridSpan w:val="7"/>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Notes to Financial Statements</w:t>
              </w:r>
            </w:hyperlink>
          </w:p>
        </w:tc>
        <w:tc>
          <w:tcPr>
            <w:tcW w:w="2420" w:type="dxa"/>
            <w:vAlign w:val="bottom"/>
            <w:shd w:val="clear" w:color="auto" w:fill="CCEEFF"/>
          </w:tcPr>
          <w:p>
            <w:pPr>
              <w:jc w:val="center"/>
              <w:ind w:left="1212"/>
              <w:spacing w:after="0" w:line="176" w:lineRule="exact"/>
              <w:rPr>
                <w:sz w:val="20"/>
                <w:szCs w:val="20"/>
                <w:color w:val="auto"/>
              </w:rPr>
            </w:pPr>
            <w:r>
              <w:rPr>
                <w:rFonts w:ascii="Arial" w:cs="Arial" w:eastAsia="Arial" w:hAnsi="Arial"/>
                <w:sz w:val="18"/>
                <w:szCs w:val="18"/>
                <w:color w:val="auto"/>
                <w:w w:val="89"/>
              </w:rPr>
              <w:t>F-7 to F-17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Big Rock Partners Acquisition Corp.</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audited the accompanying balance sheet of Big Rock Partners Acquisition Corp. (the “Company”) as of December 31, 2017, the related statements of operations, changes in stockholders’ equity and cash flows for the period from September 18, 2017 (inception) through December 31, 2017, and the related notes (collectively referred to as the “financial statements”). In our opinion, the financial statements present fairly, in all material respects, the financial position of the Company as of December 31, 2017, and the results of its operations and its cash flows for the period from September 18, 2017 (inception) through December 31, 2017, in conformity with accounting principles generally accepted in the United States of America.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Marcum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2018</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80" w:type="dxa"/>
            <w:vAlign w:val="bottom"/>
          </w:tcPr>
          <w:p>
            <w:pPr>
              <w:jc w:val="center"/>
              <w:ind w:left="1112"/>
              <w:spacing w:after="0"/>
              <w:rPr>
                <w:sz w:val="20"/>
                <w:szCs w:val="20"/>
                <w:color w:val="auto"/>
              </w:rPr>
            </w:pPr>
            <w:r>
              <w:rPr>
                <w:rFonts w:ascii="Arial" w:cs="Arial" w:eastAsia="Arial" w:hAnsi="Arial"/>
                <w:sz w:val="18"/>
                <w:szCs w:val="18"/>
                <w:b w:val="1"/>
                <w:bCs w:val="1"/>
                <w:color w:val="auto"/>
                <w:w w:val="96"/>
              </w:rPr>
              <w:t>BIG ROCK PARTNERS ACQUISITION CORP.</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jc w:val="center"/>
              <w:ind w:left="1132"/>
              <w:spacing w:after="0"/>
              <w:rPr>
                <w:sz w:val="20"/>
                <w:szCs w:val="20"/>
                <w:color w:val="auto"/>
              </w:rPr>
            </w:pPr>
            <w:r>
              <w:rPr>
                <w:rFonts w:ascii="Arial" w:cs="Arial" w:eastAsia="Arial" w:hAnsi="Arial"/>
                <w:sz w:val="18"/>
                <w:szCs w:val="18"/>
                <w:b w:val="1"/>
                <w:bCs w:val="1"/>
                <w:color w:val="auto"/>
                <w:w w:val="96"/>
              </w:rPr>
              <w:t>BALANCE SHEET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180" w:type="dxa"/>
            <w:vAlign w:val="bottom"/>
          </w:tcPr>
          <w:p>
            <w:pPr>
              <w:jc w:val="center"/>
              <w:ind w:left="1132"/>
              <w:spacing w:after="0"/>
              <w:rPr>
                <w:sz w:val="20"/>
                <w:szCs w:val="20"/>
                <w:color w:val="auto"/>
              </w:rPr>
            </w:pPr>
            <w:r>
              <w:rPr>
                <w:rFonts w:ascii="Arial" w:cs="Arial" w:eastAsia="Arial" w:hAnsi="Arial"/>
                <w:sz w:val="18"/>
                <w:szCs w:val="18"/>
                <w:b w:val="1"/>
                <w:bCs w:val="1"/>
                <w:color w:val="auto"/>
                <w:w w:val="94"/>
              </w:rPr>
              <w:t>DECEMBER 31, 2017</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0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2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69,029,443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69,565,819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85,671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offering costs</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Common stock subject to possible redemption, 6,444,515 shares at redemption value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64,472,647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w w:val="92"/>
              </w:rPr>
              <w:t>Common stock, $0.001 par value; 100,000,000 shares authorized; 2,590,985 shares issued and outstanding (excluding 6,444,515 shares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180" w:type="dxa"/>
            <w:vAlign w:val="bottom"/>
          </w:tcPr>
          <w:p>
            <w:pPr>
              <w:ind w:left="160"/>
              <w:spacing w:after="0"/>
              <w:rPr>
                <w:sz w:val="20"/>
                <w:szCs w:val="20"/>
                <w:color w:val="auto"/>
              </w:rPr>
            </w:pPr>
            <w:r>
              <w:rPr>
                <w:rFonts w:ascii="Arial" w:cs="Arial" w:eastAsia="Arial" w:hAnsi="Arial"/>
                <w:sz w:val="18"/>
                <w:szCs w:val="18"/>
                <w:color w:val="auto"/>
              </w:rPr>
              <w:t>subject to possible redemption)</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5,102,443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(105,033)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69,565,819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SEPTEMBER 18, 2017 (INCEPTION) THROUGH DECEMBER 31,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134,476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ind w:left="16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(134,476)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Pr>
          <w:p>
            <w:pPr>
              <w:ind w:left="160"/>
              <w:spacing w:after="0"/>
              <w:rPr>
                <w:sz w:val="20"/>
                <w:szCs w:val="20"/>
                <w:color w:val="auto"/>
              </w:rPr>
            </w:pPr>
            <w:r>
              <w:rPr>
                <w:rFonts w:ascii="Arial" w:cs="Arial" w:eastAsia="Arial" w:hAnsi="Arial"/>
                <w:sz w:val="18"/>
                <w:szCs w:val="18"/>
                <w:color w:val="auto"/>
              </w:rPr>
              <w:t>Unrealized loss on marketable securities held in Trust Account</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018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Weighted average shares outstanding, basic and diluted </w:t>
            </w:r>
            <w:r>
              <w:rPr>
                <w:rFonts w:ascii="Arial" w:cs="Arial" w:eastAsia="Arial" w:hAnsi="Arial"/>
                <w:sz w:val="24"/>
                <w:szCs w:val="24"/>
                <w:color w:val="auto"/>
                <w:vertAlign w:val="superscript"/>
              </w:rPr>
              <w:t>(1)</w:t>
            </w: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1,888,881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01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Basic and diluted net loss per common share </w:t>
            </w:r>
            <w:r>
              <w:rPr>
                <w:rFonts w:ascii="Arial" w:cs="Arial" w:eastAsia="Arial" w:hAnsi="Arial"/>
                <w:sz w:val="24"/>
                <w:szCs w:val="24"/>
                <w:b w:val="1"/>
                <w:bCs w:val="1"/>
                <w:color w:val="auto"/>
                <w:vertAlign w:val="superscript"/>
              </w:rPr>
              <w:t>(2)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700" w:hanging="69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Excludes an aggregate of up to 6,444,515 shares subject to redemption at December 31, 2017.</w:t>
      </w:r>
    </w:p>
    <w:p>
      <w:pPr>
        <w:spacing w:after="0" w:line="15" w:lineRule="exact"/>
        <w:rPr>
          <w:rFonts w:ascii="Arial" w:cs="Arial" w:eastAsia="Arial" w:hAnsi="Arial"/>
          <w:sz w:val="18"/>
          <w:szCs w:val="18"/>
          <w:color w:val="auto"/>
        </w:rPr>
      </w:pPr>
    </w:p>
    <w:p>
      <w:pPr>
        <w:ind w:left="700" w:hanging="692"/>
        <w:spacing w:after="0" w:line="261"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loss per common share - basic and diluted excludes interest income attributable to common stock subject to redemption of $5,845 for the period from September 18, 2017 (inception) through December 31, 2017 (see Note 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SEPTEMBER 18, 2017 (INCEPTION) THROUGH DECEMBER 31,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4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5"/>
                <w:szCs w:val="15"/>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5"/>
                <w:szCs w:val="15"/>
                <w:b w:val="1"/>
                <w:bCs w:val="1"/>
                <w:color w:val="auto"/>
                <w:w w:val="95"/>
              </w:rPr>
              <w:t>Additional Paid</w:t>
            </w:r>
          </w:p>
        </w:tc>
        <w:tc>
          <w:tcPr>
            <w:tcW w:w="120" w:type="dxa"/>
            <w:vAlign w:val="bottom"/>
          </w:tcPr>
          <w:p>
            <w:pPr>
              <w:spacing w:after="0"/>
              <w:rPr>
                <w:sz w:val="15"/>
                <w:szCs w:val="15"/>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89"/>
              </w:rPr>
              <w:t>Accumulated</w:t>
            </w: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5"/>
                <w:szCs w:val="15"/>
                <w:b w:val="1"/>
                <w:bCs w:val="1"/>
                <w:color w:val="auto"/>
              </w:rPr>
              <w:t>Amount</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5"/>
                <w:szCs w:val="15"/>
                <w:b w:val="1"/>
                <w:bCs w:val="1"/>
                <w:color w:val="auto"/>
              </w:rPr>
              <w:t>in Capital</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Deficit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95"/>
              </w:rPr>
              <w:t>Equity</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September 18, 2017 (inception)</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to Sponsor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Sale of 6,900,000 Units, net of underwriting discount and</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offering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6,900,000</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66,820,681</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66,827,581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Sale of Private Placement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2,724,727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Issuance of Representative Shares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Sale of Unit Purchase Option</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(6,444,515)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(64,466,202)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(64,472,647)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(105,033)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2,590,985</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2,591</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5,102,443</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(105,033)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8" w:name="page59"/>
    <w:bookmarkEnd w:id="5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ectPr>
          <w:pgSz w:w="11900" w:h="16838" w:orient="portrait"/>
          <w:cols w:equalWidth="0" w:num="1">
            <w:col w:w="11420"/>
          </w:cols>
          <w:pgMar w:left="240" w:top="129"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left="1860"/>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ind w:left="186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left="1860"/>
        <w:spacing w:after="0"/>
        <w:rPr>
          <w:sz w:val="20"/>
          <w:szCs w:val="20"/>
          <w:color w:val="auto"/>
        </w:rPr>
      </w:pPr>
      <w:r>
        <w:rPr>
          <w:rFonts w:ascii="Arial" w:cs="Arial" w:eastAsia="Arial" w:hAnsi="Arial"/>
          <w:sz w:val="16"/>
          <w:szCs w:val="16"/>
          <w:b w:val="1"/>
          <w:bCs w:val="1"/>
          <w:color w:val="auto"/>
        </w:rPr>
        <w:t>FOR THE PERIOD FROM SEPTEMBER 18, 2017 (INCEPTION) THROUGH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Interest earned on marketable securities held in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loss on marketable securities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Accounts payable and accrued expenses</w:t>
      </w:r>
    </w:p>
    <w:p>
      <w:pPr>
        <w:spacing w:after="0" w:line="2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Investment of cash in Trust Account</w:t>
      </w:r>
    </w:p>
    <w:p>
      <w:pPr>
        <w:spacing w:after="0" w:line="2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Proceeds from issuance of common stock to Sponsor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 of Units, net of underwriting discounts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sale of Private Placement Units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Unit Purchase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promissory note – related parties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Repayment of promissory note -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Payment of offering costs</w:t>
      </w:r>
    </w:p>
    <w:p>
      <w:pPr>
        <w:spacing w:after="0" w:line="2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Initial classification of common stock subject to 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68" w:hanging="468"/>
        <w:spacing w:after="0"/>
        <w:tabs>
          <w:tab w:leader="none" w:pos="468" w:val="left"/>
        </w:tabs>
        <w:numPr>
          <w:ilvl w:val="0"/>
          <w:numId w:val="33"/>
        </w:numPr>
        <w:rPr>
          <w:rFonts w:ascii="Arial" w:cs="Arial" w:eastAsia="Arial" w:hAnsi="Arial"/>
          <w:sz w:val="15"/>
          <w:szCs w:val="15"/>
          <w:color w:val="auto"/>
        </w:rPr>
      </w:pPr>
      <w:r>
        <w:rPr>
          <w:rFonts w:ascii="Arial" w:cs="Arial" w:eastAsia="Arial" w:hAnsi="Arial"/>
          <w:sz w:val="15"/>
          <w:szCs w:val="15"/>
          <w:color w:val="auto"/>
        </w:rPr>
        <w:t>(105,033)</w:t>
      </w:r>
    </w:p>
    <w:p>
      <w:pPr>
        <w:spacing w:after="0" w:line="26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(34,183)</w:t>
      </w:r>
    </w:p>
    <w:p>
      <w:pPr>
        <w:spacing w:after="0" w:line="15"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4,740</w:t>
      </w:r>
    </w:p>
    <w:p>
      <w:pPr>
        <w:spacing w:after="0" w:line="21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(87,002)</w:t>
      </w:r>
    </w:p>
    <w:p>
      <w:pPr>
        <w:spacing w:after="0" w:line="15" w:lineRule="exact"/>
        <w:rPr>
          <w:sz w:val="20"/>
          <w:szCs w:val="20"/>
          <w:color w:val="auto"/>
        </w:rPr>
      </w:pPr>
    </w:p>
    <w:p>
      <w:pPr>
        <w:ind w:left="608"/>
        <w:spacing w:after="0"/>
        <w:rPr>
          <w:sz w:val="20"/>
          <w:szCs w:val="20"/>
          <w:color w:val="auto"/>
        </w:rPr>
      </w:pPr>
      <w:r>
        <w:rPr>
          <w:rFonts w:ascii="Arial" w:cs="Arial" w:eastAsia="Arial" w:hAnsi="Arial"/>
          <w:sz w:val="16"/>
          <w:szCs w:val="16"/>
          <w:color w:val="auto"/>
        </w:rPr>
        <w:t>85,671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6946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27"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(135,807)</w:t>
      </w:r>
    </w:p>
    <w:p>
      <w:pPr>
        <w:spacing w:after="0" w:line="200" w:lineRule="exact"/>
        <w:rPr>
          <w:sz w:val="20"/>
          <w:szCs w:val="20"/>
          <w:color w:val="auto"/>
        </w:rPr>
      </w:pPr>
    </w:p>
    <w:p>
      <w:pPr>
        <w:spacing w:after="0" w:line="27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(69,000,000)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946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10"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(69,000,000)</w:t>
      </w:r>
    </w:p>
    <w:p>
      <w:pPr>
        <w:spacing w:after="0" w:line="200" w:lineRule="exact"/>
        <w:rPr>
          <w:sz w:val="20"/>
          <w:szCs w:val="20"/>
          <w:color w:val="auto"/>
        </w:rPr>
      </w:pPr>
    </w:p>
    <w:p>
      <w:pPr>
        <w:spacing w:after="0" w:line="274"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25,000</w:t>
      </w:r>
    </w:p>
    <w:p>
      <w:pPr>
        <w:spacing w:after="0" w:line="15"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67,275,000</w:t>
      </w:r>
    </w:p>
    <w:p>
      <w:pPr>
        <w:spacing w:after="0" w:line="9"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2,725,000</w:t>
      </w:r>
    </w:p>
    <w:p>
      <w:pPr>
        <w:spacing w:after="0" w:line="9"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147,625</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(147,625)</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(439,919)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946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4" w:lineRule="exact"/>
        <w:rPr>
          <w:sz w:val="20"/>
          <w:szCs w:val="20"/>
          <w:color w:val="auto"/>
        </w:rPr>
      </w:pPr>
    </w:p>
    <w:p>
      <w:pPr>
        <w:ind w:left="308"/>
        <w:spacing w:after="0"/>
        <w:rPr>
          <w:sz w:val="20"/>
          <w:szCs w:val="20"/>
          <w:color w:val="auto"/>
        </w:rPr>
      </w:pPr>
      <w:r>
        <w:rPr>
          <w:rFonts w:ascii="Arial" w:cs="Arial" w:eastAsia="Arial" w:hAnsi="Arial"/>
          <w:sz w:val="16"/>
          <w:szCs w:val="16"/>
          <w:b w:val="1"/>
          <w:bCs w:val="1"/>
          <w:color w:val="auto"/>
        </w:rPr>
        <w:t>69,585,181</w:t>
      </w:r>
    </w:p>
    <w:p>
      <w:pPr>
        <w:spacing w:after="0" w:line="275"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449,374</w:t>
      </w:r>
    </w:p>
    <w:p>
      <w:pPr>
        <w:spacing w:after="0" w:line="21"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946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4" w:lineRule="exact"/>
        <w:rPr>
          <w:sz w:val="20"/>
          <w:szCs w:val="20"/>
          <w:color w:val="auto"/>
        </w:rPr>
      </w:pPr>
    </w:p>
    <w:p>
      <w:pPr>
        <w:ind w:left="528" w:hanging="528"/>
        <w:spacing w:after="0"/>
        <w:tabs>
          <w:tab w:leader="none" w:pos="528"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449,374</w:t>
      </w:r>
    </w:p>
    <w:p>
      <w:pPr>
        <w:spacing w:after="0" w:line="200" w:lineRule="exact"/>
        <w:rPr>
          <w:rFonts w:ascii="Arial" w:cs="Arial" w:eastAsia="Arial" w:hAnsi="Arial"/>
          <w:sz w:val="16"/>
          <w:szCs w:val="16"/>
          <w:b w:val="1"/>
          <w:bCs w:val="1"/>
          <w:color w:val="auto"/>
        </w:rPr>
      </w:pPr>
    </w:p>
    <w:p>
      <w:pPr>
        <w:spacing w:after="0" w:line="318" w:lineRule="exact"/>
        <w:rPr>
          <w:rFonts w:ascii="Arial" w:cs="Arial" w:eastAsia="Arial" w:hAnsi="Arial"/>
          <w:sz w:val="16"/>
          <w:szCs w:val="16"/>
          <w:b w:val="1"/>
          <w:bCs w:val="1"/>
          <w:color w:val="auto"/>
        </w:rPr>
      </w:pPr>
    </w:p>
    <w:p>
      <w:pPr>
        <w:ind w:left="308" w:hanging="308"/>
        <w:spacing w:after="0"/>
        <w:tabs>
          <w:tab w:leader="none" w:pos="308" w:val="left"/>
        </w:tabs>
        <w:numPr>
          <w:ilvl w:val="0"/>
          <w:numId w:val="34"/>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64,576,390</w:t>
      </w:r>
    </w:p>
    <w:p>
      <w:pPr>
        <w:spacing w:after="0" w:line="87" w:lineRule="exact"/>
        <w:rPr>
          <w:sz w:val="20"/>
          <w:szCs w:val="20"/>
          <w:color w:val="auto"/>
        </w:rPr>
      </w:pPr>
    </w:p>
    <w:p>
      <w:pPr>
        <w:sectPr>
          <w:pgSz w:w="11900" w:h="16838" w:orient="portrait"/>
          <w:cols w:equalWidth="0" w:num="2">
            <w:col w:w="9560" w:space="632"/>
            <w:col w:w="1228"/>
          </w:cols>
          <w:pgMar w:left="240" w:top="12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redemption</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(103,743)</w:t>
            </w:r>
          </w:p>
        </w:tc>
      </w:tr>
      <w:tr>
        <w:trPr>
          <w:trHeight w:val="210"/>
        </w:trPr>
        <w:tc>
          <w:tcPr>
            <w:tcW w:w="20" w:type="dxa"/>
            <w:vAlign w:val="bottom"/>
          </w:tcPr>
          <w:p>
            <w:pPr>
              <w:spacing w:after="0"/>
              <w:rPr>
                <w:sz w:val="18"/>
                <w:szCs w:val="18"/>
                <w:color w:val="auto"/>
              </w:rPr>
            </w:pPr>
          </w:p>
        </w:tc>
        <w:tc>
          <w:tcPr>
            <w:tcW w:w="10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Accrued offering costs charged to additional paid in capital</w:t>
            </w: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7,500</w:t>
            </w:r>
          </w:p>
        </w:tc>
        <w:tc>
          <w:tcPr>
            <w:tcW w:w="1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type w:val="continuous"/>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ORGANIZATION AND BUSINESS OPERATIONS</w:t>
      </w:r>
    </w:p>
    <w:p>
      <w:pPr>
        <w:spacing w:after="0" w:line="231"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Big Rock Partners Acquisition Corp. (the “Company”) is a newly organized blank check company incorporated in Delaware on September 18, 2017. The Company was formed for the purpose of acquiring, through a merger, share exchange, asset acquisition, stock purchase, reorganization, recapitalization, or other similar business transaction, one or more operating businesses or entities that the Company has not yet identified (a “Business Combination”). Although the Company is not limited to a particular industry or geographic region for purposes of consummating a Business Combination, the Company intends to focus on businesses in the senior housing and care industry in the United States.</w:t>
      </w:r>
    </w:p>
    <w:p>
      <w:pPr>
        <w:spacing w:after="0" w:line="170" w:lineRule="exact"/>
        <w:rPr>
          <w:sz w:val="20"/>
          <w:szCs w:val="20"/>
          <w:color w:val="auto"/>
        </w:rPr>
      </w:pPr>
    </w:p>
    <w:p>
      <w:pPr>
        <w:jc w:val="both"/>
        <w:ind w:right="20" w:firstLine="324"/>
        <w:spacing w:after="0" w:line="332" w:lineRule="auto"/>
        <w:rPr>
          <w:sz w:val="20"/>
          <w:szCs w:val="20"/>
          <w:color w:val="auto"/>
        </w:rPr>
      </w:pPr>
      <w:r>
        <w:rPr>
          <w:rFonts w:ascii="Arial" w:cs="Arial" w:eastAsia="Arial" w:hAnsi="Arial"/>
          <w:sz w:val="16"/>
          <w:szCs w:val="16"/>
          <w:color w:val="auto"/>
        </w:rPr>
        <w:t>At December 31, 2017, the Company had not yet commenced operations. All activity through December 31, 2017 relates to the Company’s formation, its initial public offering (“Initial Public Offering”), which is described below, and the search for a target business with which to complete a Business Combination.</w:t>
      </w:r>
    </w:p>
    <w:p>
      <w:pPr>
        <w:spacing w:after="0" w:line="139"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registration statements for the Company’s Initial Public Offering were declared effective on November 20, 2017. On November 22, 2017, the Company consummated the Initial Public Offering of 6,000,000 units (“Units” and, with respect to the common stock included in the Units being offered, the “Public Shares”), generating gross proceeds of $60,000,000, which is described in Note 3. Each Unit consists of one share of common stock, one right (“Public Right”) and one-half of one warrant (“Public Warrant”). Each Public Right will convert into one-tenth (1/10) of one share of common stock upon consummation of a Business Combination. Each whole Public Warrant entitles the holder to purchase one share of common stock at an exercise price of $11.50 per whole share.</w:t>
      </w:r>
    </w:p>
    <w:p>
      <w:pPr>
        <w:spacing w:after="0" w:line="170"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Simultaneously with the Initial Public Offering, the Company consummated the sale of 250,000 units (the “Private Placement Units”) at a price of $10.00 per Unit in a private placement to Big Rock Partners Sponsor, LLC (the “Sponsor”), generating gross proceeds of $2,500,000, which is described in Note 4.</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the closing of the Initial Public Offering, an amount of $60,000,000 ($10.00 per Unit) from the net proceeds of the sale of the Units in the Initial Public Offering and the Private Placement Units was placed in a trust account (“Trust Account”) which may be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or (ii) the distribution of the Trust Account, as described below.</w:t>
      </w:r>
    </w:p>
    <w:p>
      <w:pPr>
        <w:spacing w:after="0" w:line="19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On November 29, 2017, in connection with the underwriters’ exercise of their over-allotment option in full, the Company consummated the sale of an additional 900,000 Units, and the sale of an additional 22,500 Private Placement Units at $10.00 per unit, generating total gross proceeds of $9,225,000. A total of $9,000,000 of the net proceeds were deposited in the Trust Account, bringing the aggregate proceeds held in the Trust Account to $69,000,000.</w:t>
      </w:r>
    </w:p>
    <w:p>
      <w:pPr>
        <w:spacing w:after="0" w:line="161"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At the closing of the Initial Public Offering, the Company issued EarlyBirdCapital and its designees 120,000 shares of common stock (the “Representative Shares”). On November 29, 2017, the Company issued an additional 18,000 Representative Shares for no consideration (see Note 7).</w:t>
      </w:r>
    </w:p>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Transaction costs amounted to $2,172,419, consisting of $1,725,000 of underwriting fees and $447,419 of Initial Public Offering costs. In addition, at December 31, 2017, $449,374 of cash was held outside of the Trust Account and is available for working capital purposes.</w:t>
      </w:r>
    </w:p>
    <w:p>
      <w:pPr>
        <w:spacing w:after="0" w:line="18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(excluding taxes payable on income earned on the Trust Account)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will provide its stockholders with the opportunity to redeem all or a portion of their shares included in the Units sold in the Initial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($10.00 per share, plus any pro rata interest earned on the funds held in the Trust Account and not previously released to the Company to pay its franchise and income tax obligations). There will be no redemption rights upon the completion of a Business Combination with respect to the Company’s warrants.</w:t>
      </w:r>
    </w:p>
    <w:p>
      <w:pPr>
        <w:spacing w:after="0" w:line="20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Company’s Sponsor, officers and directors (the “Initial Stockholders”) have agreed (a) to vote their Founder’s Shares (as defined in Note 5), Placement Shares (as defined in Note 4) and any Public Shares held by them in favor of approving a Business Combination and (b) not to convert any Founder’s Shares, Placement Shares and any Public Shares held by them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will have until 12 months from the closing of the Initial Public Offering to consummate a Business Combination. However, if the Company anticipates that it may not be able to consummate a Business Combination within 12 months, the Company may extend the period of time to consummate a Business Combination up to two times, each by an additional three months (for a total of up to 18 months to complete a Business Combination) (the “Combination Period”). Pursuant to the terms of the Amended and Restated Certificate of Incorporation and the trust agreement entered into between the Company and Continental Stock Transfer &amp; Trust Company on November 20, 2017, in order to extend the time available for the Company to consummate a Business Combination, the Sponsor or its affiliates or designees must deposit into the Trust Account $690,000 ($0.10 per share), up to an aggregate of $1,380,000, or $0.20 per share, if the Company extends for the full six months, on or prior to the date of the applicable deadline, for each three month extension. The Sponsor and its affiliates or designees are not obligated to fund the Trust Account to extend the time for the Company to complete a Business Combination.</w:t>
      </w:r>
    </w:p>
    <w:p>
      <w:pPr>
        <w:spacing w:after="0" w:line="17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 more than ten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In the event of such distribution, it is possible that the per share value of the assets remaining available for distribution (including Trust Account assets) will be less than the $10.00 per Unit in the Initial Public Offering.</w:t>
      </w:r>
    </w:p>
    <w:p>
      <w:pPr>
        <w:spacing w:after="0" w:line="17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Initial Stockholders have agreed to (i) waive their redemption rights with respect to Founder Shares, Placement Shares and any Public Shares they may acquire during or after the Initial Public Offering in connection with the consummation of a Business Combination, (ii) to waive their rights to liquidating distributions from the Trust Account with respect to their Founder’s Shares and Placement Shares if the Company fails to consummate a Business Combination within the Combination Period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9"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In order to protect the amounts held in the Trust Account, A/Z Property Partners, LLC (“AZ Property Partners”), an entity majority owned and controlled by Richard Ackerman, the Company’s Chairman, President and Chief Executive Officer,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Additionally, the agreement entered into by AZ Property Partners specifically provides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w:t>
      </w:r>
    </w:p>
    <w:p>
      <w:pPr>
        <w:spacing w:after="0" w:line="1" w:lineRule="exact"/>
        <w:rPr>
          <w:sz w:val="20"/>
          <w:szCs w:val="20"/>
          <w:color w:val="auto"/>
        </w:rPr>
      </w:pPr>
    </w:p>
    <w:p>
      <w:pPr>
        <w:jc w:val="both"/>
        <w:ind w:firstLine="8"/>
        <w:spacing w:after="0" w:line="295" w:lineRule="auto"/>
        <w:tabs>
          <w:tab w:leader="none" w:pos="26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to any claims for indemnification by the underwriters against certain liabilities, including liabilities under the Securities Act of 1933, as amended (the “Securities Act”). The Company will seek to reduce the possibility that A/Z Property Partners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63" w:lineRule="exact"/>
        <w:rPr>
          <w:sz w:val="20"/>
          <w:szCs w:val="20"/>
          <w:color w:val="auto"/>
        </w:rPr>
      </w:pPr>
    </w:p>
    <w:p>
      <w:pPr>
        <w:ind w:right="6660" w:firstLine="8"/>
        <w:spacing w:after="0" w:line="504" w:lineRule="auto"/>
        <w:tabs>
          <w:tab w:leader="none" w:pos="17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will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9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the Company’s estimates.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2017, the assets held in the Trust Account were held in U.S. Treasury Bills.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3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2017, common stock subject to possible redemption is presented as temporary equity, outside of the stockholders’ equity section of the Company’s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31"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Offering costs consist of legal, accounting, underwriting fees and other costs incurred through the balance sheet date that are directly related to the Initial Public Offering. Offering costs amounting to $2,172,419 were charged to stockholders’ equity upon the completion of the Initial Public Offering.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9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As of December 31, 2017,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70" w:lineRule="exact"/>
        <w:rPr>
          <w:sz w:val="20"/>
          <w:szCs w:val="20"/>
          <w:color w:val="auto"/>
        </w:rPr>
      </w:pPr>
    </w:p>
    <w:p>
      <w:pPr>
        <w:jc w:val="both"/>
        <w:ind w:firstLine="324"/>
        <w:spacing w:after="0" w:line="335" w:lineRule="auto"/>
        <w:rPr>
          <w:sz w:val="20"/>
          <w:szCs w:val="20"/>
          <w:color w:val="auto"/>
        </w:rPr>
      </w:pPr>
      <w:r>
        <w:rPr>
          <w:rFonts w:ascii="Arial" w:cs="Arial" w:eastAsia="Arial" w:hAnsi="Arial"/>
          <w:sz w:val="15"/>
          <w:szCs w:val="15"/>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w:t>
      </w:r>
    </w:p>
    <w:p>
      <w:pPr>
        <w:spacing w:after="0" w:line="142"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On December 22, 2017 the U.S. Tax Cuts and Jobs Act of 2017 (“Tax Reform”) was signed into law. As a result of Tax Reform, the U.S. statutory tax rate was lowered from 35% to 21% effective January 1, 2018, among other changes. ASC Topic 740 requires companies to recognize the effect of tax law changes in the period of enactment; therefore, the Company was required to revalue its deferred tax assets and liabilities at December 31, 2017 at the new rate. The SEC issued Staff Accounting Bulletin No. 118 (“SAB 118”) to address the application of GAAP in situations when a registrant does not have the necessary information available, prepared, or analyzed (including computations) in reasonable detail to complete the accounting for certain tax effects of Tax Reform.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complies with accounting and disclosure requirements ASC Topic 260, “Earnings Per Share.” Net loss per common share is computed by dividing net loss by the weighted average number of common shares outstanding for the period. The Company applies the two-class method in calculating earnings per share. Shares of common stock subject to possible redemption at December 31, 2017, which are not currently redeemable and are not redeemable at fair value, have been excluded from the calculation of basic loss per share since such shares, if redeemed, only participate in their pro rata share of the Trust Account earnings. The Company has not considered the effect of (1) warrants sold in the Initial Public Offering and private placement to purchase 3,586,250 shares of common stock, (2) rights sold in the Initial Public Offering and private placement that convert into 717,250 shares of common stock and (3) 600,000 shares of common stock, warrants to purchase 300,000 shares of common stock and rights that convert into 60,000 shares of common stock in the unit purchase option sold to the underwriter, in the calculation of diluted loss per share, since the exercise of the warrants, the conversion of the rights into shares of common stock and the exercise of the unit purchase option is contingent upon the occurrence of future events. As a result, diluted loss per common share is the same as basic income per common share for the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per common share</w:t>
      </w:r>
    </w:p>
    <w:p>
      <w:pPr>
        <w:spacing w:after="0" w:line="231"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The Company’s net loss is adjusted for the portion of income that is attributable to common stock subject to redemption, as these shares only participate in the income of the Trust Account and not the losses of the Company. Accordingly, basic and diluted loss per common share is calculated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0"/>
              </w:rPr>
              <w:t>For the Period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122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auto"/>
                <w:w w:val="90"/>
              </w:rPr>
              <w:t>from September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99"/>
              <w:spacing w:after="0" w:line="162" w:lineRule="exact"/>
              <w:rPr>
                <w:sz w:val="20"/>
                <w:szCs w:val="20"/>
                <w:color w:val="auto"/>
              </w:rPr>
            </w:pPr>
            <w:r>
              <w:rPr>
                <w:rFonts w:ascii="Arial" w:cs="Arial" w:eastAsia="Arial" w:hAnsi="Arial"/>
                <w:sz w:val="15"/>
                <w:szCs w:val="15"/>
                <w:b w:val="1"/>
                <w:bCs w:val="1"/>
                <w:color w:val="auto"/>
              </w:rPr>
              <w:t>18, 2017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(inception)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through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Less: Income attributable to common stock subject to redemption</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(110,878)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1,888,881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10200" w:type="dxa"/>
            <w:vAlign w:val="bottom"/>
            <w:gridSpan w:val="2"/>
          </w:tcPr>
          <w:p>
            <w:pPr>
              <w:spacing w:after="0"/>
              <w:rPr>
                <w:sz w:val="20"/>
                <w:szCs w:val="20"/>
                <w:color w:val="auto"/>
              </w:rPr>
            </w:pPr>
            <w:r>
              <w:rPr>
                <w:rFonts w:ascii="Arial" w:cs="Arial" w:eastAsia="Arial" w:hAnsi="Arial"/>
                <w:sz w:val="18"/>
                <w:szCs w:val="18"/>
                <w:b w:val="1"/>
                <w:bCs w:val="1"/>
                <w:color w:val="auto"/>
              </w:rPr>
              <w:t>Concentration of credit risk</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At December 31, 2017, the Company had not experienced losses on this account and management believes the Company is not exposed to significant risks on such account.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Measurements and Disclosures,” approximates the carrying amounts represented in the accompanying balance sheet, primarily due to their short-term nature.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INITIAL PUBLIC OFFERING</w:t>
      </w:r>
    </w:p>
    <w:p>
      <w:pPr>
        <w:spacing w:after="0" w:line="23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Pursuant to the Initial Public Offering, the Company sold 6,900,000 units at a purchase price of $10.00 per Unit, which includes the full exercise by the underwriters of their over-allotment option of 900,000 Units at $10.00 per Unit. Each Unit consists of one share of common stock, one Public Right and one Public Warrant. Each Public Right will convert into one-tenth (1/10) of one share of common stock upon consummation of a Business Combination (see Note 7). Each whole Public Warrant entitles the holder to purchase one share of common stock at an exercise price of $11.50 per whole share (see Note 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PRIVATE PLACEMENT</w:t>
      </w:r>
    </w:p>
    <w:p>
      <w:pPr>
        <w:spacing w:after="0" w:line="23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Simultaneously with the Initial Public Offering, the Sponsor purchased 250,000 Private Placement Units, at $10.00 per Private Placement Unit, for an aggregate purchase price of $2,500,000. On November 29, 2017, the Company consummated the sale of an additional 22,500 Private Placement Units at a price of $10.00 per unit, which were purchased by the Sponsor, generating gross proceeds of $225,000. Each Private Placement Unit consists of one share of common stock (“Placement Share”), one right (“Placement Right”) and one-half of one warrant (each, a “Placement Warrant”), each whole Placement Warrant exercisable to purchase one share of common stock at an exercise price of $11.50.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Placement Rights and the Placement Warrants will expire worthless.</w:t>
      </w:r>
    </w:p>
    <w:p>
      <w:pPr>
        <w:spacing w:after="0" w:line="172"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Private Placement Units are identical to the Units sold in the Initial Public Offering except that the Placement Warrants (i) are not redeemable by the Company and (ii) may be exercised for cash or on a cashless basis, so long as they are held by the initial purchaser or any of its permitted transferees. In addition, the Private Placement Units and their component securities may not be transferable, assignable or salable until after the consummation of a Business Combination, subject to certain limited exceptions.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64" w:lineRule="exact"/>
        <w:rPr>
          <w:sz w:val="20"/>
          <w:szCs w:val="20"/>
          <w:color w:val="auto"/>
        </w:rPr>
      </w:pPr>
    </w:p>
    <w:p>
      <w:pPr>
        <w:ind w:right="8340" w:firstLine="8"/>
        <w:spacing w:after="0" w:line="504" w:lineRule="auto"/>
        <w:tabs>
          <w:tab w:leader="none" w:pos="17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Founder Shares</w:t>
      </w:r>
    </w:p>
    <w:p>
      <w:pPr>
        <w:spacing w:after="0" w:line="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September 2017, the Company issued an aggregate of 1,437,500 shares of common stock to the Sponsor (“Founder’s Shares”) for an aggregate purchase price of $25,000. On November 20, 2017, the Company effectuated a 1.2-for-1 stock dividend of its common stock resulting in an aggregate of 1,725,000 Founder's Shares outstanding. The Founder’s Shares included an aggregate of up to 225,000 shares subject to forfeiture by the Sponsor to the extent that the underwriters’ over-allotment was not exercised in full or in part, so that the Initial Stockholders would own 20% of the Company’s issued and outstanding shares after the Initial Public Offering (assuming the Initial Stockholders do not purchase any Public Shares in the Initial Public Offering and excluding the Private Placement Units and the Representative Shares (as defined in Note 6)). As a result of the underwriters’ election to fully exercise their over-allotment option, 225,000 Founder Shares are no longer subject to forfeiture.</w:t>
      </w:r>
    </w:p>
    <w:p>
      <w:pPr>
        <w:spacing w:after="0" w:line="17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Initial Stockholders have agreed not to transfer, assign or sell any of the Founder’s Shares until the earlier of (i) one year after the date of the consummation of a Business Combination, or (ii) with respect to 50% of the Founder Shares, the date on which the closing price of the Company’s common stock equals or exceeds $12.50 per share (as adjusted for stock splits, stock dividends, reorganizations and recapitalizations) for any 20 trading days within any 30-trading day period commencing after a Business Combination, or earlier, in each case, if </w:t>
      </w:r>
      <w:r>
        <w:rPr>
          <w:rFonts w:ascii="Arial" w:cs="Arial" w:eastAsia="Arial" w:hAnsi="Arial"/>
          <w:sz w:val="16"/>
          <w:szCs w:val="16"/>
          <w:color w:val="231F20"/>
        </w:rPr>
        <w:t>subsequent to a Business Combination, the Company consummates a</w:t>
      </w:r>
      <w:r>
        <w:rPr>
          <w:rFonts w:ascii="Arial" w:cs="Arial" w:eastAsia="Arial" w:hAnsi="Arial"/>
          <w:sz w:val="16"/>
          <w:szCs w:val="16"/>
          <w:color w:val="auto"/>
        </w:rPr>
        <w:t xml:space="preserve"> </w:t>
      </w:r>
      <w:r>
        <w:rPr>
          <w:rFonts w:ascii="Arial" w:cs="Arial" w:eastAsia="Arial" w:hAnsi="Arial"/>
          <w:sz w:val="16"/>
          <w:szCs w:val="16"/>
          <w:color w:val="231F20"/>
        </w:rPr>
        <w:t>subsequent liquidation, merger, stock exchange, reorganization or other similar transaction which results in all of the Company’s stockholders having the right to exchange their common stock for cash, securities or other property.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Notes – Related Parties</w:t>
      </w: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On September 26, 2017, the Company issued to the Sponsor and its Chief Executive Officer, unsecured promissory notes pursuant to which the Company could borrow up to an aggregate amount of $150,000 and $25,000, respectively (the “Promissory Notes”). The Promissory Notes were non-interest bearing and payable on the earlier to occur of (i) December 31, 2018, or (ii) the consummation of the Initial Public Offering. The Promissory Notes were repaid on November 24, 2017.</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Services Agreement</w:t>
      </w:r>
    </w:p>
    <w:p>
      <w:pPr>
        <w:spacing w:after="0" w:line="2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entered into an agreement whereby, commencing on November 20, 2017 through the earlier of the consummation of a Business Combination or the Company’s liquidation, the Company will pay the Sponsor a monthly fee of $10,000 for office space, utilities and administrative support. For the period from September 18, 2017 (inception) through December 31, 2017, the Company incurred $15,000 in fees for these services, of which $5,000 is included in accounts payable and accrued expenses in the accompanying balance sheet.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order to finance transaction costs in connection with a Business Combination, the Sponsor, an affiliate of the Sponsor, or the Company’s officers and directors may, but are not obligated to, loan the Company funds from time to time or at any time, as may be required (“Working Capital Loans”). Each Working Capital Loan would be evidenced by a promissory note. The Working Capital Loans would either be paid upon consummation of a Business Combination, without interest, or, at the holder’s discretion, up to $1,500,000 of the Working Capital Loans may be converted into units at a price of $10.00 per unit. The units would be identical to the Private Placement Units. In the event that a Business Combination does not close, the loans will be forgiven. There were no outstanding Working Capital Loans at December 31, 2017.</w:t>
      </w:r>
    </w:p>
    <w:p>
      <w:pPr>
        <w:spacing w:after="0" w:line="192" w:lineRule="exact"/>
        <w:rPr>
          <w:sz w:val="20"/>
          <w:szCs w:val="20"/>
          <w:color w:val="auto"/>
        </w:rPr>
      </w:pPr>
    </w:p>
    <w:p>
      <w:pPr>
        <w:ind w:right="7880" w:firstLine="8"/>
        <w:spacing w:after="0" w:line="504" w:lineRule="auto"/>
        <w:tabs>
          <w:tab w:leader="none" w:pos="17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Registration Rights</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Pursuant to a registration rights agreement entered into on November 20, 2017, the holders of the Founder Shares, Private Placement Units (and their underlying securities), Representative Shares (as defined below) and any Units that may be issued upon conversion of the Working Capital Loans (and their underlying securities) are entitled to registration rights. The holders of a majority of these securities are entitled to make up to three demands, excluding short form demands, that the Company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Units issued to the Sponsor, officers, directors or their affiliates in payment of Working Capital Loans made to the Company (in each case, including the underlying securities) can elect to exercise these registration rights at any time after the Company consummates a Business Combination.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Notwithstanding anything to the contrary, EarlyBirdCapital, Inc. (“EarlyBirdCapital”) and its designees may participate in a “piggy-back” registration during the seven year period beginning on the effective date of the registration statement. However, the registration rights agreement will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engaged EarlyBirdCapital as an advisor in connection with a Business Combination to assist the Company in holding meetings with its stockholders to discuss a potential Business Combination and the target business’ attributes, introduce the Company to potential investors that are interested in purchasing securities, assist the Company in obtaining stockholder approval for the Business Combination and assist the Company with its press releases and public filings in connection with a Business Combination. The Company will pay EarlyBirdCapital a cash fee for such services upon the consummation of a Business Combination in an amount equal to 4.0% of the gross proceeds of the Initial Public Offering (exclusive of any applicable finders’ fees which might become payable).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$0.001 per share with such designation,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preferences as may be determined from time to time by the Company’s Board of Directors. At December 31, 2017, there were no shares of preferred stock issued or outstanding.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100,000,000 shares of common stock with a par value of $0.001 per share. Holders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are entitled to one vote for each share. At December 31, 2017, there were 2,590,985 shares of common stock issued and outstanding (excluding 6,444,515 shares of common stock subject to possible redemption), of which 225,000 shares were subject to forfeiture to the extent that the underwriter’s over-allotment option was not exercised in full so that the Company’s Initial Stockholders would own 20% of the issued and outstanding shares after the Initial Public Offering (assuming the Initial Stockholders do not purchase any Public Shares in the Initial Public Offering and excluding the Private Placement Units and the Representative Shares). As a result of the underwriters’ election to fully exercise their over-allotment option on November 29, 2017, 225,000 Founder Shares are no longer subject to forfeiture.</w:t>
      </w:r>
    </w:p>
    <w:p>
      <w:pPr>
        <w:spacing w:after="0" w:line="17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Each holder of a right will receive one-tenth (1/10) of one share of common stock upon consummation of a Business Combination, even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of such right redeemed all shares held by it in connection with a Business Combination. No fractional shares will be issued upon conversion of the rights. No additional consideration will be required to be paid by a holder of rights in order to receive its additional shares upon consummation of a Business Combination, as the consideration related thereto has been included in the Unit purchase price paid for by investors in the Initial Public Offering. If the Company enters into a definitive agreement for a Business Combination in which the Company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its rights in order to receive 1/10 share underlying each right (without paying additional consideration). The shares issuable upon conversion of the rights will be freely tradable (except to the extent held by affiliates of the Company).</w:t>
      </w:r>
    </w:p>
    <w:p>
      <w:pPr>
        <w:spacing w:after="0" w:line="172"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If the Company is unable to complete a Business Combination within the Combination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Further, there are no contractual penalties for failure to deliver securities to the holders of the rights upon consummation of a Business Combination. Additionally, in no event will the Company be required to net cash settle the rights. Accordingly, holders of the rights might not receive the shares of common stock underlying the rights.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shares will be issued upon exercise of the Public Warrants.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Public Warrants will become exercisable on the later of the completion of a Business Combination and November 22, 2018; provided in that the Company has an effective registration statement under the Securities Act covering the shares of common stock issuable upon exercise of the Public Warrants and a current prospectus relating to them is available. The Company has agreed that as soon as practicable, the Company will use its best efforts to file with the SEC a registration statement for the registration, under the Securities Act, of the shares of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foregoing, if a registration statement covering the shares of common stock issuable upon exercise of the Public Warrants is not effective 90 days following the consummation of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any time during the exercise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8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3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At the closing of the Initial Public Offering, the Company issued EarlyBirdCapital and its designees 120,000 Representative Shares. On November 29, 2017, the Company issued an additional 18,000 Representative Shares for no consideration. The Company accounted for the Representative Shares as an expense of the Initial Public Offering resulting in a charge directly to stockholders’ equity. The Company determined the fair value of Representative Shares to be $1,380,000 based upon the offering price of the Units of $10.00 per Unit. The underwriter has agreed not to transfer, assign or sell any such shares until the completion of a Business Combination. In addition, the underwriter and its designees have agreed (i) to waive their redemption rights with respect to such shares in connection with the completion of a Business Combination and (ii) to waive their rights to liquidating distributions from the Trust Account with respect to such shares if the Company fails to complete a Business Combination within the Combination Period.</w:t>
      </w:r>
    </w:p>
    <w:p>
      <w:pPr>
        <w:spacing w:after="0" w:line="172"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shares have been deemed compensation by FINRA and are therefore subject to a lock-up for a period of 180 days pursuant to Rule 5110(g)(1) of FINRA’s NASD Conduct Rules. Pursuant to FINRA Rule 5110(g)(1), these securities will not be the subject of any hedging, short sale, derivative, put or call transaction that would result in the economic disposition of the securities by any person for a period of 180 days immediately following the date of the Initial Public Offering, nor may they be sold, transferred, assigned, pledged or hypothecated for a period of 180 days immediately following the Initial Public Offering except to any underwriter and selected dealer participating in the Initial Public Offering and their bona fide officers or partners.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Purchase Option</w:t>
      </w:r>
    </w:p>
    <w:p>
      <w:pPr>
        <w:spacing w:after="0" w:line="23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November 22, 2017, the Company sold to EarlyBirdCapital, for $100, an option to purchase up to 600,000 Units exercisable at $10.00 per Unit (or an aggregate exercise price of $6,000,000) commencing on the later of November 20, 2018 and the consummation of a Business Combination. The unit purchase option may be exercised for cash or on a cashless basis, at the holder’s option, and expires five years from November 20, 2017. The Units issuable upon exercise of this option are identical to those offered in the Initial Public Offering. The Company accounted for the unit purchase option, inclusive of the receipt of $100 cash payment, as an expense of the Initial Public Offering resulting in a charge directly to stockholders’ equity. The Company estimated the fair value of this unit purchase option to be approximately $2,042,889 (or $3.40 per Unit) using the Black-Scholes option-pricing model. The fair value of the unit purchase option granted to the underwriters was estimated as of the date of grant using the following assumptions: (1) expected volatility of 35%, (2) risk-free interest rate of 2.05% and (3) expected life of five years. The option and such units purchased pursuant to the option, as well as the common stock underlying such units, the rights included in such units, the common stock that is issuable for the rights included in such units, the warrants included in such units, and the shares underlying such warrants, have been deemed compensation by FINRA and are therefore subject to a 180-day lock-up pursuant to Rule 5110(g)(1) of FINRA’s NASDAQ Conduct Rules. Additionally, the option may not be sold, transferred, assigned, pledged or hypothecated for a one-year period (including the foregoing 180-day period) following the date of Initial Public Offering except to any underwriter and selected dealer participating in the Initial Public Offering and their bona fide officers or partners. The option grants to holders demand and “piggy back” rights for periods of five and seven years, respectively, from the effective date of the registration statement with respect to the registration under the Securities Act of the securities directly and indirectly issuable upon exercise of the option. The Company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the Company’s recapitalization, reorganization, merger or consolidation. However, the option will not be adjusted for issuances of common stock at a price below its exercise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102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9240" w:type="dxa"/>
            <w:vAlign w:val="bottom"/>
          </w:tcPr>
          <w:p>
            <w:pPr>
              <w:jc w:val="center"/>
              <w:ind w:left="192"/>
              <w:spacing w:after="0"/>
              <w:rPr>
                <w:sz w:val="20"/>
                <w:szCs w:val="20"/>
                <w:color w:val="auto"/>
              </w:rPr>
            </w:pPr>
            <w:r>
              <w:rPr>
                <w:rFonts w:ascii="Arial" w:cs="Arial" w:eastAsia="Arial" w:hAnsi="Arial"/>
                <w:sz w:val="18"/>
                <w:szCs w:val="18"/>
                <w:b w:val="1"/>
                <w:bCs w:val="1"/>
                <w:color w:val="auto"/>
                <w:w w:val="97"/>
              </w:rPr>
              <w:t>BIG ROCK PARTNERS ACQUISITION CORP.</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40" w:type="dxa"/>
            <w:vAlign w:val="bottom"/>
          </w:tcPr>
          <w:p>
            <w:pPr>
              <w:jc w:val="center"/>
              <w:ind w:left="172"/>
              <w:spacing w:after="0"/>
              <w:rPr>
                <w:sz w:val="20"/>
                <w:szCs w:val="20"/>
                <w:color w:val="auto"/>
              </w:rPr>
            </w:pPr>
            <w:r>
              <w:rPr>
                <w:rFonts w:ascii="Arial" w:cs="Arial" w:eastAsia="Arial" w:hAnsi="Arial"/>
                <w:sz w:val="18"/>
                <w:szCs w:val="18"/>
                <w:b w:val="1"/>
                <w:bCs w:val="1"/>
                <w:color w:val="auto"/>
                <w:w w:val="96"/>
              </w:rPr>
              <w:t>NOTES TO BALANCE SHEET</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40" w:type="dxa"/>
            <w:vAlign w:val="bottom"/>
          </w:tcPr>
          <w:p>
            <w:pPr>
              <w:jc w:val="center"/>
              <w:ind w:left="192"/>
              <w:spacing w:after="0"/>
              <w:rPr>
                <w:sz w:val="20"/>
                <w:szCs w:val="20"/>
                <w:color w:val="auto"/>
              </w:rPr>
            </w:pPr>
            <w:r>
              <w:rPr>
                <w:rFonts w:ascii="Arial" w:cs="Arial" w:eastAsia="Arial" w:hAnsi="Arial"/>
                <w:sz w:val="18"/>
                <w:szCs w:val="18"/>
                <w:b w:val="1"/>
                <w:bCs w:val="1"/>
                <w:color w:val="auto"/>
                <w:w w:val="94"/>
              </w:rPr>
              <w:t>DECEMBER 31, 2017</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0200" w:type="dxa"/>
            <w:vAlign w:val="bottom"/>
            <w:gridSpan w:val="3"/>
          </w:tcPr>
          <w:p>
            <w:pPr>
              <w:spacing w:after="0"/>
              <w:rPr>
                <w:sz w:val="20"/>
                <w:szCs w:val="20"/>
                <w:color w:val="auto"/>
              </w:rPr>
            </w:pPr>
            <w:r>
              <w:rPr>
                <w:rFonts w:ascii="Arial" w:cs="Arial" w:eastAsia="Arial" w:hAnsi="Arial"/>
                <w:sz w:val="18"/>
                <w:szCs w:val="18"/>
                <w:b w:val="1"/>
                <w:bCs w:val="1"/>
                <w:color w:val="231F20"/>
              </w:rPr>
              <w:t>8. INCOME TAX</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180" w:type="dxa"/>
            <w:vAlign w:val="bottom"/>
            <w:gridSpan w:val="2"/>
          </w:tcPr>
          <w:p>
            <w:pPr>
              <w:ind w:left="320"/>
              <w:spacing w:after="0"/>
              <w:rPr>
                <w:sz w:val="20"/>
                <w:szCs w:val="20"/>
                <w:color w:val="auto"/>
              </w:rPr>
            </w:pPr>
            <w:r>
              <w:rPr>
                <w:rFonts w:ascii="Arial" w:cs="Arial" w:eastAsia="Arial" w:hAnsi="Arial"/>
                <w:sz w:val="18"/>
                <w:szCs w:val="18"/>
                <w:color w:val="231F20"/>
              </w:rPr>
              <w:t>The Company’s net deferred tax assets are as follows: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0200" w:type="dxa"/>
            <w:vAlign w:val="bottom"/>
            <w:gridSpan w:val="3"/>
          </w:tcPr>
          <w:p>
            <w:pPr>
              <w:spacing w:after="0"/>
              <w:rPr>
                <w:sz w:val="20"/>
                <w:szCs w:val="20"/>
                <w:color w:val="auto"/>
              </w:rPr>
            </w:pPr>
            <w:r>
              <w:rPr>
                <w:rFonts w:ascii="Arial" w:cs="Arial" w:eastAsia="Arial" w:hAnsi="Arial"/>
                <w:sz w:val="18"/>
                <w:szCs w:val="18"/>
                <w:color w:val="auto"/>
              </w:rPr>
              <w:t>Deferred tax asset</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operating loss carryforward</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gridSpan w:val="2"/>
          </w:tcPr>
          <w:p>
            <w:pPr>
              <w:ind w:left="320"/>
              <w:spacing w:after="0"/>
              <w:rPr>
                <w:sz w:val="20"/>
                <w:szCs w:val="20"/>
                <w:color w:val="auto"/>
              </w:rPr>
            </w:pPr>
            <w:r>
              <w:rPr>
                <w:rFonts w:ascii="Arial" w:cs="Arial" w:eastAsia="Arial" w:hAnsi="Arial"/>
                <w:sz w:val="18"/>
                <w:szCs w:val="18"/>
                <w:color w:val="auto"/>
              </w:rPr>
              <w:t>Unrealized loss on securities</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(22,057)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9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 net of allowance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018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231F20"/>
              </w:rPr>
              <w:t>The income tax provision (benefit) consists of the following:</w:t>
            </w: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0200" w:type="dxa"/>
            <w:vAlign w:val="bottom"/>
            <w:gridSpan w:val="3"/>
          </w:tcPr>
          <w:p>
            <w:pPr>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tcPr>
          <w:p>
            <w:pPr>
              <w:ind w:left="3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tcPr>
          <w:p>
            <w:pPr>
              <w:ind w:left="3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231F20"/>
        </w:rPr>
        <w:t>As of December 31, 2017, the Company had U.S. federal and state net operating loss carryovers (“NOLs”) of $100,293 available to offset future taxable income. These NOLs expire beginning in 2034. In accordance with Section 382 of the Internal Revenue Code, deductibility of the Company’s NOLs may be subject to an annual limitation in the event of a change in control as defined under the regulations.</w:t>
      </w:r>
    </w:p>
    <w:p>
      <w:pPr>
        <w:spacing w:after="0" w:line="194" w:lineRule="exact"/>
        <w:rPr>
          <w:sz w:val="20"/>
          <w:szCs w:val="20"/>
          <w:color w:val="auto"/>
        </w:rPr>
      </w:pPr>
    </w:p>
    <w:p>
      <w:pPr>
        <w:jc w:val="both"/>
        <w:ind w:right="60" w:firstLine="324"/>
        <w:spacing w:after="0" w:line="291" w:lineRule="auto"/>
        <w:rPr>
          <w:sz w:val="20"/>
          <w:szCs w:val="20"/>
          <w:color w:val="auto"/>
        </w:rPr>
      </w:pPr>
      <w:r>
        <w:rPr>
          <w:rFonts w:ascii="Arial" w:cs="Arial" w:eastAsia="Arial" w:hAnsi="Arial"/>
          <w:sz w:val="16"/>
          <w:szCs w:val="16"/>
          <w:color w:val="231F20"/>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September 18, 2017 (inception) through December 31, 2017, the change in the valuation allowance was $22,057.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231F20"/>
              </w:rPr>
              <w:t>A reconciliation of the federal income tax rate to the Company’s effective tax rate at December 31, 2017 is as follows: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rate change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231F20"/>
        </w:rPr>
        <w:t>The Company files income tax returns in the U.S. federal jurisdiction in various state and local jurisdictions and is subject to examination by the various taxing authorities. The Company’s tax returns for the period from September 18, 2017 (inception) through December 31, 2017 remain open and subject to examination. The Company considers Florida to be a significant state tax jurisdiction.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31" w:lineRule="exact"/>
        <w:rPr>
          <w:sz w:val="20"/>
          <w:szCs w:val="20"/>
          <w:color w:val="auto"/>
        </w:rPr>
      </w:pPr>
    </w:p>
    <w:p>
      <w:pPr>
        <w:jc w:val="both"/>
        <w:ind w:right="60" w:firstLine="324"/>
        <w:spacing w:after="0" w:line="268"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114" w:right="17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8" w:lineRule="exact"/>
        <w:rPr>
          <w:sz w:val="20"/>
          <w:szCs w:val="20"/>
          <w:color w:val="auto"/>
        </w:rPr>
      </w:pPr>
    </w:p>
    <w:p>
      <w:pPr>
        <w:ind w:left="1620" w:hanging="917"/>
        <w:spacing w:after="0" w:line="332"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39" w:lineRule="exact"/>
        <w:rPr>
          <w:sz w:val="20"/>
          <w:szCs w:val="20"/>
          <w:color w:val="auto"/>
        </w:rPr>
      </w:pPr>
    </w:p>
    <w:p>
      <w:pPr>
        <w:ind w:left="1620" w:hanging="917"/>
        <w:spacing w:after="0" w:line="268"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2017, and indicates the fair value hierarchy of the valuation inputs the Company utilized to determine such fair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8700" w:type="dxa"/>
            <w:vAlign w:val="bottom"/>
          </w:tcPr>
          <w:p>
            <w:pPr>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Pr>
          <w:p>
            <w:pPr>
              <w:spacing w:after="0"/>
              <w:rPr>
                <w:sz w:val="15"/>
                <w:szCs w:val="15"/>
                <w:color w:val="auto"/>
              </w:rPr>
            </w:pPr>
          </w:p>
        </w:tc>
        <w:tc>
          <w:tcPr>
            <w:tcW w:w="1100" w:type="dxa"/>
            <w:vAlign w:val="bottom"/>
          </w:tcPr>
          <w:p>
            <w:pPr>
              <w:jc w:val="right"/>
              <w:ind w:right="306"/>
              <w:spacing w:after="0"/>
              <w:rPr>
                <w:sz w:val="20"/>
                <w:szCs w:val="20"/>
                <w:color w:val="auto"/>
              </w:rPr>
            </w:pPr>
            <w:r>
              <w:rPr>
                <w:rFonts w:ascii="Arial" w:cs="Arial" w:eastAsia="Arial" w:hAnsi="Arial"/>
                <w:sz w:val="15"/>
                <w:szCs w:val="15"/>
                <w:b w:val="1"/>
                <w:bCs w:val="1"/>
                <w:color w:val="auto"/>
              </w:rPr>
              <w:t>Level</w:t>
            </w:r>
          </w:p>
        </w:tc>
        <w:tc>
          <w:tcPr>
            <w:tcW w:w="1360" w:type="dxa"/>
            <w:vAlign w:val="bottom"/>
            <w:gridSpan w:val="2"/>
          </w:tcPr>
          <w:p>
            <w:pPr>
              <w:jc w:val="right"/>
              <w:ind w:right="326"/>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43"/>
        </w:trPr>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75"/>
        </w:trPr>
        <w:tc>
          <w:tcPr>
            <w:tcW w:w="870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$69,029,443</w:t>
            </w:r>
          </w:p>
        </w:tc>
        <w:tc>
          <w:tcPr>
            <w:tcW w:w="140" w:type="dxa"/>
            <w:vAlign w:val="bottom"/>
          </w:tcPr>
          <w:p>
            <w:pPr>
              <w:spacing w:after="0"/>
              <w:rPr>
                <w:sz w:val="23"/>
                <w:szCs w:val="23"/>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 evaluates subsequent events and transactions that occur after the balance sheet date up to the date that the financial statements were issued.</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Other than as described below, the Company did not identify any subsequent events that would have required adjustment or disclosure in the financial statements.</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January 2018, the Company withdrew $23,135 of interest income to pay its franchise tax obligations.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Richard Ackerman, certify that:</w:t>
      </w:r>
    </w:p>
    <w:p>
      <w:pPr>
        <w:spacing w:after="0" w:line="185"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Big Rock Partners Acquisition Corp.;</w:t>
      </w:r>
    </w:p>
    <w:p>
      <w:pPr>
        <w:spacing w:after="0" w:line="184" w:lineRule="exact"/>
        <w:rPr>
          <w:rFonts w:ascii="Arial" w:cs="Arial" w:eastAsia="Arial" w:hAnsi="Arial"/>
          <w:sz w:val="18"/>
          <w:szCs w:val="18"/>
          <w:color w:val="auto"/>
        </w:rPr>
      </w:pPr>
    </w:p>
    <w:p>
      <w:pPr>
        <w:ind w:right="100" w:firstLine="8"/>
        <w:spacing w:after="0" w:line="332" w:lineRule="auto"/>
        <w:tabs>
          <w:tab w:leader="none" w:pos="317"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Arial" w:cs="Arial" w:eastAsia="Arial" w:hAnsi="Arial"/>
          <w:sz w:val="16"/>
          <w:szCs w:val="16"/>
          <w:color w:val="auto"/>
        </w:rPr>
      </w:pPr>
    </w:p>
    <w:p>
      <w:pPr>
        <w:ind w:right="180" w:firstLine="8"/>
        <w:spacing w:after="0" w:line="268" w:lineRule="auto"/>
        <w:tabs>
          <w:tab w:leader="none" w:pos="3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8"/>
          <w:szCs w:val="18"/>
          <w:color w:val="auto"/>
        </w:rPr>
      </w:pPr>
    </w:p>
    <w:p>
      <w:pPr>
        <w:ind w:right="140" w:firstLine="8"/>
        <w:spacing w:after="0" w:line="268" w:lineRule="auto"/>
        <w:tabs>
          <w:tab w:leader="none" w:pos="3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8" w:lineRule="exact"/>
        <w:rPr>
          <w:sz w:val="20"/>
          <w:szCs w:val="20"/>
          <w:color w:val="auto"/>
        </w:rPr>
      </w:pPr>
    </w:p>
    <w:p>
      <w:pPr>
        <w:ind w:right="140" w:firstLine="8"/>
        <w:spacing w:after="0" w:line="259" w:lineRule="auto"/>
        <w:tabs>
          <w:tab w:leader="none" w:pos="3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sz w:val="20"/>
          <w:szCs w:val="20"/>
          <w:color w:val="auto"/>
        </w:rPr>
      </w:pPr>
    </w:p>
    <w:p>
      <w:pPr>
        <w:ind w:right="220" w:firstLine="8"/>
        <w:spacing w:after="0" w:line="268" w:lineRule="auto"/>
        <w:tabs>
          <w:tab w:leader="none" w:pos="3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160" w:firstLine="8"/>
        <w:spacing w:after="0" w:line="259" w:lineRule="auto"/>
        <w:tabs>
          <w:tab w:leader="none" w:pos="322"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sz w:val="20"/>
          <w:szCs w:val="20"/>
          <w:color w:val="auto"/>
        </w:rPr>
      </w:pPr>
    </w:p>
    <w:p>
      <w:pPr>
        <w:ind w:right="580" w:firstLine="8"/>
        <w:spacing w:after="0" w:line="332" w:lineRule="auto"/>
        <w:tabs>
          <w:tab w:leader="none" w:pos="31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sz w:val="20"/>
          <w:szCs w:val="20"/>
          <w:color w:val="auto"/>
        </w:rPr>
      </w:pPr>
    </w:p>
    <w:p>
      <w:pPr>
        <w:ind w:right="420" w:firstLine="8"/>
        <w:spacing w:after="0" w:line="268" w:lineRule="auto"/>
        <w:tabs>
          <w:tab w:leader="none" w:pos="3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640" w:firstLine="8"/>
        <w:spacing w:after="0" w:line="268" w:lineRule="auto"/>
        <w:tabs>
          <w:tab w:leader="none" w:pos="32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23, 2018</w:t>
      </w:r>
      <w:r>
        <w:rPr>
          <w:sz w:val="20"/>
          <w:szCs w:val="20"/>
          <w:color w:val="auto"/>
        </w:rPr>
        <w:tab/>
      </w:r>
      <w:r>
        <w:rPr>
          <w:rFonts w:ascii="Arial" w:cs="Arial" w:eastAsia="Arial" w:hAnsi="Arial"/>
          <w:sz w:val="16"/>
          <w:szCs w:val="16"/>
          <w:color w:val="auto"/>
        </w:rPr>
        <w:t>By: /s/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27940</wp:posOffset>
            </wp:positionV>
            <wp:extent cx="252984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Lori B. Wittman, certify that:</w:t>
      </w:r>
    </w:p>
    <w:p>
      <w:pPr>
        <w:spacing w:after="0" w:line="185"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Big Rock Partners Acquisition Corp.;</w:t>
      </w:r>
    </w:p>
    <w:p>
      <w:pPr>
        <w:spacing w:after="0" w:line="157" w:lineRule="exact"/>
        <w:rPr>
          <w:rFonts w:ascii="Arial" w:cs="Arial" w:eastAsia="Arial" w:hAnsi="Arial"/>
          <w:sz w:val="18"/>
          <w:szCs w:val="18"/>
          <w:color w:val="auto"/>
        </w:rPr>
      </w:pPr>
    </w:p>
    <w:p>
      <w:pPr>
        <w:ind w:right="100" w:firstLine="8"/>
        <w:spacing w:after="0" w:line="332" w:lineRule="auto"/>
        <w:tabs>
          <w:tab w:leader="none" w:pos="307"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Arial" w:cs="Arial" w:eastAsia="Arial" w:hAnsi="Arial"/>
          <w:sz w:val="16"/>
          <w:szCs w:val="16"/>
          <w:color w:val="auto"/>
        </w:rPr>
      </w:pPr>
    </w:p>
    <w:p>
      <w:pPr>
        <w:ind w:right="180" w:firstLine="8"/>
        <w:spacing w:after="0" w:line="268" w:lineRule="auto"/>
        <w:tabs>
          <w:tab w:leader="none" w:pos="317"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right="140" w:firstLine="8"/>
        <w:spacing w:after="0" w:line="268" w:lineRule="auto"/>
        <w:tabs>
          <w:tab w:leader="none" w:pos="31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8" w:lineRule="exact"/>
        <w:rPr>
          <w:sz w:val="20"/>
          <w:szCs w:val="20"/>
          <w:color w:val="auto"/>
        </w:rPr>
      </w:pPr>
    </w:p>
    <w:p>
      <w:pPr>
        <w:ind w:right="140" w:firstLine="8"/>
        <w:spacing w:after="0" w:line="259" w:lineRule="auto"/>
        <w:tabs>
          <w:tab w:leader="none" w:pos="3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sz w:val="20"/>
          <w:szCs w:val="20"/>
          <w:color w:val="auto"/>
        </w:rPr>
      </w:pPr>
    </w:p>
    <w:p>
      <w:pPr>
        <w:ind w:right="220" w:firstLine="8"/>
        <w:spacing w:after="0" w:line="268" w:lineRule="auto"/>
        <w:tabs>
          <w:tab w:leader="none" w:pos="3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160" w:firstLine="8"/>
        <w:spacing w:after="0" w:line="259" w:lineRule="auto"/>
        <w:tabs>
          <w:tab w:leader="none" w:pos="322"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600" w:firstLine="8"/>
        <w:spacing w:after="0" w:line="332" w:lineRule="auto"/>
        <w:tabs>
          <w:tab w:leader="none" w:pos="30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sz w:val="20"/>
          <w:szCs w:val="20"/>
          <w:color w:val="auto"/>
        </w:rPr>
      </w:pPr>
    </w:p>
    <w:p>
      <w:pPr>
        <w:ind w:right="400" w:firstLine="8"/>
        <w:spacing w:after="0" w:line="268" w:lineRule="auto"/>
        <w:tabs>
          <w:tab w:leader="none" w:pos="32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right="620" w:firstLine="8"/>
        <w:spacing w:after="0" w:line="268" w:lineRule="auto"/>
        <w:tabs>
          <w:tab w:leader="none" w:pos="3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23, 2018</w:t>
      </w:r>
      <w:r>
        <w:rPr>
          <w:sz w:val="20"/>
          <w:szCs w:val="20"/>
          <w:color w:val="auto"/>
        </w:rPr>
        <w:tab/>
      </w:r>
      <w:r>
        <w:rPr>
          <w:rFonts w:ascii="Arial" w:cs="Arial" w:eastAsia="Arial" w:hAnsi="Arial"/>
          <w:sz w:val="16"/>
          <w:szCs w:val="16"/>
          <w:color w:val="auto"/>
        </w:rPr>
        <w:t>By: /s/ Lori B.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27940</wp:posOffset>
            </wp:positionV>
            <wp:extent cx="252984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Lori B. Wittman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accompanying Annual Report on Form 10-K of Big Rock Partners Acquisition Corp. (the "Company") for the year ended December 31, 2017, as filed with the U.S. Securities and Exchange Commission (the “Report”), the undersigned hereby certifies pursuant to 18 U.S.C. Section 1350, as adopted pursuant to Section 906 of the Sarbanes-Oxley Act of 2002, to my knowledge and belief, that:</w:t>
      </w:r>
    </w:p>
    <w:p>
      <w:pPr>
        <w:spacing w:after="0" w:line="19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23, 2018</w:t>
      </w:r>
      <w:r>
        <w:rPr>
          <w:sz w:val="20"/>
          <w:szCs w:val="20"/>
          <w:color w:val="auto"/>
        </w:rPr>
        <w:tab/>
      </w:r>
      <w:r>
        <w:rPr>
          <w:rFonts w:ascii="Arial" w:cs="Arial" w:eastAsia="Arial" w:hAnsi="Arial"/>
          <w:sz w:val="16"/>
          <w:szCs w:val="16"/>
          <w:color w:val="auto"/>
        </w:rPr>
        <w:t>By: /s/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27940</wp:posOffset>
            </wp:positionV>
            <wp:extent cx="252984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984885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accompanying Annual Report on Form 10-K of Big Rock Partners Acquisition Corp. (the "Company") for the year ended December 31, 2017, as filed with the U.S. Securities and Exchange Commission (the “Report”), the undersigned hereby certifies pursuant to 18 U.S.C. Section 1350, as adopted pursuant to Section 906 of the Sarbanes-Oxley Act of 2002, to my knowledge and belief, that:</w:t>
      </w:r>
    </w:p>
    <w:p>
      <w:pPr>
        <w:spacing w:after="0" w:line="194"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23, 2018</w:t>
      </w:r>
      <w:r>
        <w:rPr>
          <w:sz w:val="20"/>
          <w:szCs w:val="20"/>
          <w:color w:val="auto"/>
        </w:rPr>
        <w:tab/>
      </w:r>
      <w:r>
        <w:rPr>
          <w:rFonts w:ascii="Arial" w:cs="Arial" w:eastAsia="Arial" w:hAnsi="Arial"/>
          <w:sz w:val="16"/>
          <w:szCs w:val="16"/>
          <w:color w:val="auto"/>
        </w:rPr>
        <w:t>By: /s/ Lori B.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27940</wp:posOffset>
            </wp:positionV>
            <wp:extent cx="252984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Lori B. Wittman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lowerRoman"/>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5"/>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4"/>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2"/>
    </w:lvl>
  </w:abstractNum>
  <w:abstractNum w:abstractNumId="35">
    <w:nsid w:val="1D4ED43B"/>
    <w:multiLevelType w:val="hybridMultilevel"/>
    <w:lvl w:ilvl="0">
      <w:lvlJc w:val="left"/>
      <w:lvlText w:val="%1."/>
      <w:numFmt w:val="decimal"/>
      <w:start w:val="2"/>
    </w:lvl>
  </w:abstractNum>
  <w:abstractNum w:abstractNumId="36">
    <w:nsid w:val="725A06FB"/>
    <w:multiLevelType w:val="hybridMultilevel"/>
    <w:lvl w:ilvl="0">
      <w:lvlJc w:val="left"/>
      <w:lvlText w:val="%1."/>
      <w:numFmt w:val="decimal"/>
      <w:start w:val="5"/>
    </w:lvl>
  </w:abstractNum>
  <w:abstractNum w:abstractNumId="37">
    <w:nsid w:val="2CD89A32"/>
    <w:multiLevelType w:val="hybridMultilevel"/>
    <w:lvl w:ilvl="0">
      <w:lvlJc w:val="left"/>
      <w:lvlText w:val="%1."/>
      <w:numFmt w:val="decimal"/>
      <w:start w:val="6"/>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lowerLetter"/>
      <w:start w:val="3"/>
    </w:lvl>
  </w:abstractNum>
  <w:abstractNum w:abstractNumId="42">
    <w:nsid w:val="6DE91B18"/>
    <w:multiLevelType w:val="hybridMultilevel"/>
    <w:lvl w:ilvl="0">
      <w:lvlJc w:val="left"/>
      <w:lvlText w:val="%1."/>
      <w:numFmt w:val="decimal"/>
      <w:start w:val="5"/>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lowerLetter"/>
      <w:start w:val="3"/>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63" Type="http://schemas.openxmlformats.org/officeDocument/2006/relationships/hyperlink" Target="http://www.sec.gov/Archives/edgar/data/1719406/000165495417011010/brpa_ex11.htm" TargetMode="External"/><Relationship Id="rId64" Type="http://schemas.openxmlformats.org/officeDocument/2006/relationships/hyperlink" Target="http://www.sec.gov/Archives/edgar/data/1719406/000165495417011010/brpa_ex12.htm" TargetMode="External"/><Relationship Id="rId65" Type="http://schemas.openxmlformats.org/officeDocument/2006/relationships/hyperlink" Target="http://www.sec.gov/Archives/edgar/data/1719406/000165495417011010/brpa_ex3-1.htm" TargetMode="External"/><Relationship Id="rId66" Type="http://schemas.openxmlformats.org/officeDocument/2006/relationships/hyperlink" Target="http://www.sec.gov/Archives/edgar/data/1719406/000165495417011010/brpa_ex3-2.htm" TargetMode="External"/><Relationship Id="rId67" Type="http://schemas.openxmlformats.org/officeDocument/2006/relationships/hyperlink" Target="http://www.sec.gov/Archives/edgar/data/1719406/000165495417010676/brpa_ex41.htm" TargetMode="External"/><Relationship Id="rId68" Type="http://schemas.openxmlformats.org/officeDocument/2006/relationships/hyperlink" Target="http://www.sec.gov/Archives/edgar/data/1719406/000165495417010676/brpa_ex42.htm" TargetMode="External"/><Relationship Id="rId69" Type="http://schemas.openxmlformats.org/officeDocument/2006/relationships/hyperlink" Target="http://www.sec.gov/Archives/edgar/data/1719406/000165495417010676/brpa_ex43.htm" TargetMode="External"/><Relationship Id="rId70" Type="http://schemas.openxmlformats.org/officeDocument/2006/relationships/hyperlink" Target="http://www.sec.gov/Archives/edgar/data/1719406/000165495417010676/brpa_ex44.htm" TargetMode="External"/><Relationship Id="rId71" Type="http://schemas.openxmlformats.org/officeDocument/2006/relationships/hyperlink" Target="http://www.sec.gov/Archives/edgar/data/1719406/000165495417011010/brpa_ex41.htm" TargetMode="External"/><Relationship Id="rId72" Type="http://schemas.openxmlformats.org/officeDocument/2006/relationships/hyperlink" Target="http://www.sec.gov/Archives/edgar/data/1719406/000165495417011010/brpa_ex4-2.htm" TargetMode="External"/><Relationship Id="rId73" Type="http://schemas.openxmlformats.org/officeDocument/2006/relationships/hyperlink" Target="http://www.sec.gov/Archives/edgar/data/1719406/000165495417011010/brpa_ex4-3.htm" TargetMode="External"/><Relationship Id="rId74" Type="http://schemas.openxmlformats.org/officeDocument/2006/relationships/hyperlink" Target="http://www.sec.gov/Archives/edgar/data/1719406/000165495417011010/brpa_ex10-4.htm" TargetMode="External"/><Relationship Id="rId75" Type="http://schemas.openxmlformats.org/officeDocument/2006/relationships/hyperlink" Target="http://www.sec.gov/Archives/edgar/data/1719406/000165495417011010/brpa_ex10-6.htm" TargetMode="External"/><Relationship Id="rId76" Type="http://schemas.openxmlformats.org/officeDocument/2006/relationships/hyperlink" Target="http://www.sec.gov/Archives/edgar/data/1719406/000165495417011010/brpa_ex10-5.htm" TargetMode="External"/><Relationship Id="rId77" Type="http://schemas.openxmlformats.org/officeDocument/2006/relationships/hyperlink" Target="http://www.sec.gov/Archives/edgar/data/1719406/000165495417011010/brpa_ex10-1.htm" TargetMode="External"/><Relationship Id="rId78" Type="http://schemas.openxmlformats.org/officeDocument/2006/relationships/hyperlink" Target="http://www.sec.gov/Archives/edgar/data/1719406/000165495417011010/brpa_ex10-2.htm" TargetMode="External"/><Relationship Id="rId79" Type="http://schemas.openxmlformats.org/officeDocument/2006/relationships/hyperlink" Target="http://www.sec.gov/Archives/edgar/data/1719406/000165495417011010/brpa_ex10-3.htm" TargetMode="External"/><Relationship Id="rId80" Type="http://schemas.openxmlformats.org/officeDocument/2006/relationships/hyperlink" Target="http://www.sec.gov/Archives/edgar/data/1719406/000165495417011010/brpa_ex10-7.htm" TargetMode="External"/><Relationship Id="rId81" Type="http://schemas.openxmlformats.org/officeDocument/2006/relationships/hyperlink" Target="http://www.sec.gov/Archives/edgar/data/1719406/000165495417010676/brpa_ex106.htm" TargetMode="External"/><Relationship Id="rId82" Type="http://schemas.openxmlformats.org/officeDocument/2006/relationships/hyperlink" Target="http://www.sec.gov/Archives/edgar/data/1719406/000165495417011010/brpa_ex10-9.htm" TargetMode="External"/><Relationship Id="rId83" Type="http://schemas.openxmlformats.org/officeDocument/2006/relationships/hyperlink" Target="http://www.sec.gov/Archives/edgar/data/1719406/000165495417010676/brpa_ex107.htm" TargetMode="External"/><Relationship Id="rId84" Type="http://schemas.openxmlformats.org/officeDocument/2006/relationships/hyperlink" Target="http://www.sec.gov/Archives/edgar/data/1719406/000165495417010676/brpa_ex108.htm" TargetMode="External"/><Relationship Id="rId85" Type="http://schemas.openxmlformats.org/officeDocument/2006/relationships/hyperlink" Target="http://www.sec.gov/Archives/edgar/data/1719406/000165495417011010/brpa_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2020-01-14T20:59:05Z</dcterms:created>
  <dcterms:modified xsi:type="dcterms:W3CDTF">2020-01-14T20:59:05Z</dcterms:modified>
</cp:coreProperties>
</file>