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QUARTERLY REPORT PURSUANT TO SECTION 13 OR 15(d) OF THE SECURITIES EXCHANGE ACT OF 1934</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2019</w:t>
      </w:r>
    </w:p>
    <w:p>
      <w:pPr>
        <w:spacing w:after="0" w:line="22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001-38302</w:t>
      </w:r>
    </w:p>
    <w:p>
      <w:pPr>
        <w:spacing w:after="0" w:line="22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2040" w:type="dxa"/>
        <w:tblCellMar>
          <w:top w:w="0" w:type="dxa"/>
          <w:left w:w="0" w:type="dxa"/>
          <w:bottom w:w="0" w:type="dxa"/>
          <w:right w:w="0" w:type="dxa"/>
        </w:tblCellMar>
      </w:tblP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b w:val="1"/>
                <w:bCs w:val="1"/>
                <w:color w:val="auto"/>
                <w:w w:val="88"/>
              </w:rPr>
              <w:t>Delaware</w:t>
            </w:r>
          </w:p>
        </w:tc>
        <w:tc>
          <w:tcPr>
            <w:tcW w:w="2800" w:type="dxa"/>
            <w:vAlign w:val="bottom"/>
          </w:tcPr>
          <w:p>
            <w:pPr>
              <w:jc w:val="right"/>
              <w:ind w:right="292"/>
              <w:spacing w:after="0"/>
              <w:rPr>
                <w:sz w:val="20"/>
                <w:szCs w:val="20"/>
                <w:color w:val="auto"/>
              </w:rPr>
            </w:pPr>
            <w:r>
              <w:rPr>
                <w:rFonts w:ascii="Arial" w:cs="Arial" w:eastAsia="Arial" w:hAnsi="Arial"/>
                <w:sz w:val="18"/>
                <w:szCs w:val="18"/>
                <w:b w:val="1"/>
                <w:bCs w:val="1"/>
                <w:color w:val="auto"/>
              </w:rPr>
              <w:t>82-2844431</w:t>
            </w:r>
          </w:p>
        </w:tc>
      </w:tr>
      <w:tr>
        <w:trPr>
          <w:trHeight w:val="216"/>
        </w:trPr>
        <w:tc>
          <w:tcPr>
            <w:tcW w:w="3960" w:type="dxa"/>
            <w:vAlign w:val="bottom"/>
          </w:tcPr>
          <w:p>
            <w:pPr>
              <w:jc w:val="center"/>
              <w:ind w:right="1072"/>
              <w:spacing w:after="0"/>
              <w:rPr>
                <w:sz w:val="20"/>
                <w:szCs w:val="20"/>
                <w:color w:val="auto"/>
              </w:rPr>
            </w:pPr>
            <w:r>
              <w:rPr>
                <w:rFonts w:ascii="Arial" w:cs="Arial" w:eastAsia="Arial" w:hAnsi="Arial"/>
                <w:sz w:val="18"/>
                <w:szCs w:val="18"/>
                <w:color w:val="auto"/>
                <w:w w:val="90"/>
              </w:rPr>
              <w:t>(State or other jurisdiction of</w:t>
            </w:r>
          </w:p>
        </w:tc>
        <w:tc>
          <w:tcPr>
            <w:tcW w:w="2800" w:type="dxa"/>
            <w:vAlign w:val="bottom"/>
          </w:tcPr>
          <w:p>
            <w:pPr>
              <w:jc w:val="center"/>
              <w:ind w:left="1112"/>
              <w:spacing w:after="0"/>
              <w:rPr>
                <w:sz w:val="20"/>
                <w:szCs w:val="20"/>
                <w:color w:val="auto"/>
              </w:rPr>
            </w:pPr>
            <w:r>
              <w:rPr>
                <w:rFonts w:ascii="Arial" w:cs="Arial" w:eastAsia="Arial" w:hAnsi="Arial"/>
                <w:sz w:val="18"/>
                <w:szCs w:val="18"/>
                <w:color w:val="auto"/>
                <w:w w:val="90"/>
              </w:rPr>
              <w:t>(I.R.S. Employer</w:t>
            </w:r>
          </w:p>
        </w:tc>
      </w:t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color w:val="auto"/>
                <w:w w:val="89"/>
              </w:rPr>
              <w:t>incorporation or organization)</w:t>
            </w:r>
          </w:p>
        </w:tc>
        <w:tc>
          <w:tcPr>
            <w:tcW w:w="2800" w:type="dxa"/>
            <w:vAlign w:val="bottom"/>
          </w:tcPr>
          <w:p>
            <w:pPr>
              <w:jc w:val="center"/>
              <w:ind w:left="109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3960" w:type="dxa"/>
            <w:vAlign w:val="bottom"/>
          </w:tcPr>
          <w:p>
            <w:pPr>
              <w:jc w:val="center"/>
              <w:ind w:right="1092"/>
              <w:spacing w:after="0"/>
              <w:rPr>
                <w:sz w:val="20"/>
                <w:szCs w:val="20"/>
                <w:color w:val="auto"/>
              </w:rPr>
            </w:pPr>
            <w:r>
              <w:rPr>
                <w:rFonts w:ascii="Arial" w:cs="Arial" w:eastAsia="Arial" w:hAnsi="Arial"/>
                <w:sz w:val="18"/>
                <w:szCs w:val="18"/>
                <w:b w:val="1"/>
                <w:bCs w:val="1"/>
                <w:color w:val="auto"/>
                <w:w w:val="88"/>
              </w:rPr>
              <w:t>2645 N. Federal Highway, Suite 230</w:t>
            </w:r>
          </w:p>
        </w:tc>
        <w:tc>
          <w:tcPr>
            <w:tcW w:w="2800" w:type="dxa"/>
            <w:vAlign w:val="bottom"/>
          </w:tcPr>
          <w:p>
            <w:pPr>
              <w:spacing w:after="0"/>
              <w:rPr>
                <w:sz w:val="24"/>
                <w:szCs w:val="24"/>
                <w:color w:val="auto"/>
              </w:rPr>
            </w:pPr>
          </w:p>
        </w:tc>
      </w:tr>
      <w:tr>
        <w:trPr>
          <w:trHeight w:val="222"/>
        </w:trPr>
        <w:tc>
          <w:tcPr>
            <w:tcW w:w="3960" w:type="dxa"/>
            <w:vAlign w:val="bottom"/>
          </w:tcPr>
          <w:p>
            <w:pPr>
              <w:jc w:val="center"/>
              <w:ind w:right="1072"/>
              <w:spacing w:after="0"/>
              <w:rPr>
                <w:sz w:val="20"/>
                <w:szCs w:val="20"/>
                <w:color w:val="auto"/>
              </w:rPr>
            </w:pPr>
            <w:r>
              <w:rPr>
                <w:rFonts w:ascii="Arial" w:cs="Arial" w:eastAsia="Arial" w:hAnsi="Arial"/>
                <w:sz w:val="18"/>
                <w:szCs w:val="18"/>
                <w:b w:val="1"/>
                <w:bCs w:val="1"/>
                <w:color w:val="auto"/>
                <w:w w:val="90"/>
              </w:rPr>
              <w:t>Delray Beach, FL</w:t>
            </w:r>
          </w:p>
        </w:tc>
        <w:tc>
          <w:tcPr>
            <w:tcW w:w="2800" w:type="dxa"/>
            <w:vAlign w:val="bottom"/>
          </w:tcPr>
          <w:p>
            <w:pPr>
              <w:jc w:val="right"/>
              <w:ind w:right="492"/>
              <w:spacing w:after="0"/>
              <w:rPr>
                <w:sz w:val="20"/>
                <w:szCs w:val="20"/>
                <w:color w:val="auto"/>
              </w:rPr>
            </w:pPr>
            <w:r>
              <w:rPr>
                <w:rFonts w:ascii="Arial" w:cs="Arial" w:eastAsia="Arial" w:hAnsi="Arial"/>
                <w:sz w:val="18"/>
                <w:szCs w:val="18"/>
                <w:b w:val="1"/>
                <w:bCs w:val="1"/>
                <w:color w:val="auto"/>
              </w:rPr>
              <w:t>33483</w:t>
            </w:r>
          </w:p>
        </w:tc>
      </w:t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color w:val="auto"/>
                <w:w w:val="90"/>
              </w:rPr>
              <w:t>(Address of principal executive offices)</w:t>
            </w:r>
          </w:p>
        </w:tc>
        <w:tc>
          <w:tcPr>
            <w:tcW w:w="2800" w:type="dxa"/>
            <w:vAlign w:val="bottom"/>
          </w:tcPr>
          <w:p>
            <w:pPr>
              <w:jc w:val="center"/>
              <w:ind w:left="109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ind w:left="10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2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w:t>
            </w:r>
          </w:p>
        </w:tc>
      </w:t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5"/>
              </w:rPr>
              <w:t>Title of each class</w:t>
            </w:r>
          </w:p>
        </w:tc>
        <w:tc>
          <w:tcPr>
            <w:tcW w:w="302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Trading Symbol(s)</w:t>
            </w: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6"/>
              </w:rPr>
              <w:t>which registered</w:t>
            </w:r>
          </w:p>
        </w:tc>
      </w:tr>
      <w:tr>
        <w:trPr>
          <w:trHeight w:val="20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Units, each consisting of one share of Common</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jc w:val="center"/>
              <w:ind w:right="672"/>
              <w:spacing w:after="0"/>
              <w:rPr>
                <w:sz w:val="20"/>
                <w:szCs w:val="20"/>
                <w:color w:val="auto"/>
              </w:rPr>
            </w:pPr>
            <w:r>
              <w:rPr>
                <w:rFonts w:ascii="Arial" w:cs="Arial" w:eastAsia="Arial" w:hAnsi="Arial"/>
                <w:sz w:val="18"/>
                <w:szCs w:val="18"/>
                <w:color w:val="auto"/>
                <w:w w:val="93"/>
              </w:rPr>
              <w:t>BRPAU</w:t>
            </w:r>
          </w:p>
        </w:tc>
        <w:tc>
          <w:tcPr>
            <w:tcW w:w="1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88"/>
              </w:rPr>
              <w:t>Stock, one Right and one-half of one Warrant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Common Stock, par value $0.001 per share</w:t>
            </w:r>
          </w:p>
        </w:tc>
        <w:tc>
          <w:tcPr>
            <w:tcW w:w="3020" w:type="dxa"/>
            <w:vAlign w:val="bottom"/>
          </w:tcPr>
          <w:p>
            <w:pPr>
              <w:jc w:val="center"/>
              <w:ind w:right="652"/>
              <w:spacing w:after="0"/>
              <w:rPr>
                <w:sz w:val="20"/>
                <w:szCs w:val="20"/>
                <w:color w:val="auto"/>
              </w:rPr>
            </w:pPr>
            <w:r>
              <w:rPr>
                <w:rFonts w:ascii="Arial" w:cs="Arial" w:eastAsia="Arial" w:hAnsi="Arial"/>
                <w:sz w:val="18"/>
                <w:szCs w:val="18"/>
                <w:color w:val="auto"/>
                <w:w w:val="89"/>
              </w:rPr>
              <w:t>BRPA</w:t>
            </w: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54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Rights, exchangeable into one-tenth of one share of</w:t>
            </w:r>
          </w:p>
        </w:tc>
        <w:tc>
          <w:tcPr>
            <w:tcW w:w="3020" w:type="dxa"/>
            <w:vAlign w:val="bottom"/>
          </w:tcPr>
          <w:p>
            <w:pPr>
              <w:jc w:val="center"/>
              <w:ind w:right="652"/>
              <w:spacing w:after="0"/>
              <w:rPr>
                <w:sz w:val="20"/>
                <w:szCs w:val="20"/>
                <w:color w:val="auto"/>
              </w:rPr>
            </w:pPr>
            <w:r>
              <w:rPr>
                <w:rFonts w:ascii="Arial" w:cs="Arial" w:eastAsia="Arial" w:hAnsi="Arial"/>
                <w:sz w:val="18"/>
                <w:szCs w:val="18"/>
                <w:color w:val="auto"/>
                <w:w w:val="90"/>
              </w:rPr>
              <w:t>BRPAR</w:t>
            </w: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54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Common Stock</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Warrants, each whole warrant exercisable for one</w:t>
            </w:r>
          </w:p>
        </w:tc>
        <w:tc>
          <w:tcPr>
            <w:tcW w:w="3020" w:type="dxa"/>
            <w:vAlign w:val="bottom"/>
          </w:tcPr>
          <w:p>
            <w:pPr>
              <w:jc w:val="center"/>
              <w:ind w:right="652"/>
              <w:spacing w:after="0"/>
              <w:rPr>
                <w:sz w:val="20"/>
                <w:szCs w:val="20"/>
                <w:color w:val="auto"/>
              </w:rPr>
            </w:pPr>
            <w:r>
              <w:rPr>
                <w:rFonts w:ascii="Arial" w:cs="Arial" w:eastAsia="Arial" w:hAnsi="Arial"/>
                <w:sz w:val="18"/>
                <w:szCs w:val="18"/>
                <w:color w:val="auto"/>
                <w:w w:val="90"/>
              </w:rPr>
              <w:t>BRPAW</w:t>
            </w: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r>
        <w:trPr>
          <w:trHeight w:val="216"/>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share of Common Stock at an exercise price of</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22"/>
        </w:trPr>
        <w:tc>
          <w:tcPr>
            <w:tcW w:w="366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21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240"/>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ind w:left="380" w:hanging="372"/>
        <w:spacing w:after="0" w:line="207" w:lineRule="exact"/>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06" w:right="239" w:bottom="418" w:gutter="0" w:footer="0" w:header="0"/>
        </w:sectPr>
      </w:pPr>
    </w:p>
    <w:p>
      <w:pPr>
        <w:spacing w:after="0" w:line="194"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4">
            <w:col w:w="3420" w:space="40"/>
            <w:col w:w="3300" w:space="720"/>
            <w:col w:w="1920" w:space="100"/>
            <w:col w:w="1920"/>
          </w:cols>
          <w:pgMar w:left="240" w:top="706" w:right="239" w:bottom="418" w:gutter="0" w:footer="0" w:header="0"/>
          <w:type w:val="continuous"/>
        </w:sectPr>
      </w:pPr>
    </w:p>
    <w:p>
      <w:pPr>
        <w:spacing w:after="0" w:line="42"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8, 2019, there were 6,068,840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418"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18"/>
            <w:shd w:val="clear" w:color="auto" w:fill="CCEEFF"/>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18"/>
            <w:shd w:val="clear" w:color="auto" w:fill="CCEEFF"/>
          </w:tcPr>
          <w:p>
            <w:pPr>
              <w:ind w:left="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18"/>
            <w:shd w:val="clear" w:color="auto" w:fill="CCEEFF"/>
          </w:tcPr>
          <w:p>
            <w:pPr>
              <w:ind w:left="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Changes in Stockholders’ Equity</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18"/>
            <w:shd w:val="clear" w:color="auto" w:fill="CCEEFF"/>
          </w:tcPr>
          <w:p>
            <w:pPr>
              <w:ind w:left="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18"/>
            <w:shd w:val="clear" w:color="auto" w:fill="CCEEFF"/>
          </w:tcPr>
          <w:p>
            <w:pPr>
              <w:ind w:left="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MANAGEMENT’S DISCUSSION AND ANALYSIS OF FINANCIAL CONDITION AND RESULTS OF OPERATIONS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3.</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DEFAULTS UPON SENIOR SECURITIES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4.</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5.</w:t>
              </w:r>
            </w:hyperlink>
          </w:p>
        </w:tc>
        <w:tc>
          <w:tcPr>
            <w:tcW w:w="87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6.</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EXHIBITS</w:t>
              </w:r>
            </w:hyperlink>
          </w:p>
        </w:tc>
        <w:tc>
          <w:tcPr>
            <w:tcW w:w="7900" w:type="dxa"/>
            <w:vAlign w:val="bottom"/>
            <w:tcBorders>
              <w:bottom w:val="single" w:sz="8" w:color="CCEEFF"/>
            </w:tcBorders>
            <w:gridSpan w:val="16"/>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0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1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72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4"/>
              <w:spacing w:after="0"/>
              <w:rPr>
                <w:sz w:val="20"/>
                <w:szCs w:val="20"/>
                <w:color w:val="auto"/>
              </w:rPr>
            </w:pPr>
            <w:r>
              <w:rPr>
                <w:rFonts w:ascii="Arial" w:cs="Arial" w:eastAsia="Arial" w:hAnsi="Arial"/>
                <w:sz w:val="15"/>
                <w:szCs w:val="15"/>
                <w:b w:val="1"/>
                <w:bCs w:val="1"/>
                <w:color w:val="auto"/>
                <w:w w:val="87"/>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(Unaudited)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41,477,046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70,765,966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41,685,076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70,796,159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537,306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327,198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Promissory notes payable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1,464,814</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2,433,757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1,257,410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Common stock subject to possible redemption, 3,258,579 and 6,310,461 shares at redemption value as of September 30,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2019 and December 31, 2018, respectively</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34,251,313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64,538,743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7"/>
              </w:rPr>
              <w:t>Common stock, $0.001 par value; 100,000,000 shares authorized; 2,810,261 and 2,725,039 shares issued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w w:val="91"/>
              </w:rPr>
              <w:t>outstanding (excluding 3,258,579 and 6,310,461 shares subject to possible redemption) as of September 30, 2019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and December 31, 2018,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4,612,947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5,036,213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Retained earnings/(Accumulated deficit)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384,249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41,685,076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70,796,159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183,305</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220,243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522,228</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684,427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(183,305)</w:t>
            </w: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(220,243)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(522,228)</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(684,427)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258,236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1,033,537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 held in Trust Account</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258,236</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283,316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1,033,537</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769,441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511,309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(15,736)</w:t>
            </w: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(34,989)</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(88,128)</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(48,052)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59,195</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423,181</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36,962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2,801,350</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2,622,584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2,773,842</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2,606,566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(0.09)</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an aggregate of 3,258,579 and 6,397,438 shares subject to possible redemption at September 30, 2019 and 2018, respectively.</w:t>
      </w:r>
    </w:p>
    <w:p>
      <w:pPr>
        <w:spacing w:after="0" w:line="225" w:lineRule="exact"/>
        <w:rPr>
          <w:rFonts w:ascii="Arial" w:cs="Arial" w:eastAsia="Arial" w:hAnsi="Arial"/>
          <w:sz w:val="18"/>
          <w:szCs w:val="18"/>
          <w:color w:val="auto"/>
        </w:rPr>
      </w:pPr>
    </w:p>
    <w:p>
      <w:pPr>
        <w:jc w:val="both"/>
        <w:ind w:left="240" w:hanging="232"/>
        <w:spacing w:after="0" w:line="259"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$159,486 and $188,243 for the three months ended September 30, 2019 and 2018, respectively, and $658,996 and $542,726, for the nine months ended September 30, 2019 and 2018, respectively. (See Note 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1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5"/>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5"/>
                <w:szCs w:val="15"/>
                <w:b w:val="1"/>
                <w:bCs w:val="1"/>
                <w:color w:val="auto"/>
                <w:w w:val="91"/>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2,590,985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5,102,443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(105,033)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2018 (unaudited)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2,605,782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5,086,951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(89,552)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(6,602)</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2018 (unaudited)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2,622,584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5,093,540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(96,154)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2018 (unaudited)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2,638,062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5,065,442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(68,071)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Three and Nine Months Ended September 30, 2019</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Retained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Earnings/</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1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5"/>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5"/>
                <w:szCs w:val="15"/>
                <w:b w:val="1"/>
                <w:bCs w:val="1"/>
                <w:color w:val="auto"/>
                <w:w w:val="94"/>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(188,035)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2,794,297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4,848,178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(367,234)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89"/>
              </w:rPr>
              <w:t>Capital contribution to Trust Account to extend the date by which the Company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 required to consummate a Business Combination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2019 (unaudited)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2,801,350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4,672,153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325,054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89"/>
              </w:rPr>
              <w:t>Capital contribution to Trust Account to extend the date by which the Company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 required to consummate a Business Combination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2019 (unaudited)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2,810,261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4,612,947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384,249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9240" w:type="dxa"/>
            <w:vAlign w:val="bottom"/>
            <w:gridSpan w:val="10"/>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 condensed financial statements.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Nine Months Ended</w:t>
      </w:r>
    </w:p>
    <w:p>
      <w:pPr>
        <w:spacing w:after="0" w:line="6" w:lineRule="exact"/>
        <w:rPr>
          <w:sz w:val="20"/>
          <w:szCs w:val="20"/>
          <w:color w:val="auto"/>
        </w:rPr>
      </w:pPr>
    </w:p>
    <w:p>
      <w:pPr>
        <w:jc w:val="center"/>
        <w:ind w:left="868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Unrealized gain on marketable securities held in Trust Account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88,128</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(530,657)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(402,303)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30,990,611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franchise and other taxes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(854,147)</w:t>
            </w: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investing activities</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30,602,457</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37,515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promissory notes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774,814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(30,990,611)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(29,888,599)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(372,288)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 Beginning</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194,280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703,181</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to Trust Account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All activity through September 30, 2019 relates to the Company’s formation, the initial public offering (the “Initial Public Offering”) of 6,900,000 units (the “Units”) that occurred on November 22, 2017, the simultaneous sale of 272,500 units (the “Private Placement Units”) in a private placement to Big Rock Partners Sponsor, LLC (the “Sponsor”), and the Company’s search for a target business with which to complete a Business Combination.</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Company initially had until November 22, 2018 to complete a Business Combination. However, if the Company anticipated that it could not consummate a Business Combination by November 22, 2018, the Company could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w:t>
      </w:r>
    </w:p>
    <w:p>
      <w:pPr>
        <w:spacing w:after="0" w:line="3" w:lineRule="exact"/>
        <w:rPr>
          <w:sz w:val="20"/>
          <w:szCs w:val="20"/>
          <w:color w:val="auto"/>
        </w:rPr>
      </w:pPr>
    </w:p>
    <w:p>
      <w:pPr>
        <w:jc w:val="both"/>
        <w:ind w:firstLine="8"/>
        <w:spacing w:after="0" w:line="302" w:lineRule="auto"/>
        <w:tabs>
          <w:tab w:leader="none" w:pos="198" w:val="left"/>
        </w:tabs>
        <w:numPr>
          <w:ilvl w:val="0"/>
          <w:numId w:val="3"/>
        </w:numPr>
        <w:rPr>
          <w:rFonts w:ascii="Arial" w:cs="Arial" w:eastAsia="Arial" w:hAnsi="Arial"/>
          <w:sz w:val="16"/>
          <w:szCs w:val="16"/>
          <w:color w:val="auto"/>
        </w:rPr>
      </w:pPr>
      <w:r>
        <w:rPr>
          <w:rFonts w:ascii="Arial" w:cs="Arial" w:eastAsia="Arial" w:hAnsi="Arial"/>
          <w:sz w:val="16"/>
          <w:szCs w:val="16"/>
          <w:color w:val="auto"/>
        </w:rPr>
        <w:t>Trust Company on November 20, 2017, in order to extend the time available for the Company to consummate a Business Combination, the Sponsor or its affiliates or designees were required to deposit into the Trust Account $690,000 ($0.10 per share) for each three month extension, up to an aggregate of $1,380,000, or $0.20 per share, if the Company extended for the full six months, on or prior to the date of the applicable deadline.</w:t>
      </w:r>
    </w:p>
    <w:p>
      <w:pPr>
        <w:spacing w:after="0" w:line="1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The deposit was funded by a non-interest bearing unsecured promissory note from BRAC Lending Group LLC, an affiliate of the underwriter (the “Investor”) (see Note 4). The note is repayable upon the consummation of a Business Combination (see Note 4). On February 21, 2019, the Company further extended the time required to consummate a Business Combination to May 22, 2019 and deposited an additional $690,000 into the Trust Account. If the Company fails to consummate a Business Combination, the outstanding debt under the Note will be forgiven, except to the extent of any funds held outside of the Company's Trust Account after paying all other fees and expenses of the Company.</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“Extended Date”).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the Extended Date. During the nine months ended September 30, 2019,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condensed statements of stockholders’ equity. In order to pay for part of the third extension payment, the Company issued an unsecured promissory note (the “Note”) in favor of the Investor, in the original principal amount of $6,814. The Note does not bear interest and matures upon closing of a Business Combination by the Company. If the Company fails to consummate a Business Combination, the outstanding debt under the Note will be forgiven, except to the extent of any funds held outside of the Company's Trust Account after paying all other fees and expenses of the Company.</w:t>
      </w:r>
    </w:p>
    <w:p>
      <w:pPr>
        <w:spacing w:after="0" w:line="18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5"/>
          <w:szCs w:val="15"/>
          <w:color w:val="auto"/>
        </w:rPr>
        <w:t>Pursuant to the Company’s Amended and Restated Certificate of Incorporation, the Company had until August 22, 2019 to consummate a Business Combination. On August 21, 2019, the Company stockholders approved an amendment to the Company’s Amended and Restated Certificate of Incorporation (the “chapter”)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Through September 30, 2019, the Company deposited an aggregate of $157,334 into the Trust Account to fund the first two thirty day extension payments. In October 2019, the Company deposited an additional $78,667 into the Trust Account to fund an additional thirty day extension payment. The Company now has until November 22, 2019 to consummate a Business Combination. In order to pay for the extension payments, the Company issued unsecured promissory notes in favor of the Sponsor and Investor in the aggregate principal amounts of $327,198 and $78,000, respectively (see Note 4). The promissory notes do not bear interest and mature upon closing of a Business Combination by the Company. If the Company fails to consummate a Business Combination, the outstanding debt under the promissory notes will be forgiven, except to the extent of any funds held outside of the Company's Trust Account after paying all other fees and expenses of the Company.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until November 22, 2019 to consummate a Business Combination. The Company has scheduled a special meeting of stockholders for November 21, 2019, pursuant to which it will seek stockholder approval to, among other matters, amend the Company's Amended and Restated Certificate of Incorporation to extend the period of time for which the Company is required to consummate a Business Combination from November 22, 2019 to March 23, 2020. If the Company's stockholders approve the amendment to the Company's Amended and Restated Certificate of Incorporation, public stockholders may elect to redeem their shares for a pro rata portion of the amount then on deposit in the Trust Account. However, the Company may not redeem its public shares in an amount that would cause the Company's net tangible assets to be less than $5,000,001. There is no assurance that the Company's stockholders will vote to approve the extension of time with which the Company has to complete a Business Combination. If the Company does not obtain stockholder approval, the Company would wind up its affairs and liquidate.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is currently in compliance with Nasdaq Listing Rule 5620(a) for continued listing and the matter was closed.</w:t>
      </w:r>
    </w:p>
    <w:p>
      <w:pPr>
        <w:spacing w:after="0" w:line="19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On August 9, 2019, the Company received a notice from the Staff stating that the Company was no longer in compliance with Nasdaq Listing Rule 5550(a)(3) for continued listing due to its failure to maintain a minimum of 300 public holders. The Company had until September 23, 2019 to provide Nasdaq with a specific plan to achieve and sustain compliance with the listing requirement. The notice is a notification of deficiency, not of imminent delisting, and has no current effect on the listing or trading of the Company's securities on Nasdaq.</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September 23, 2019 and October 28, 2019, the Company submitted a plan to regain compliance of compliance with Nasdaq and requested an extension through February 5, 2020. On October 28, 2019, Nasdaq requested additional information regarding the Company's compliance plan, to which the Company responded on November 8, 2019. As of the date of this filing, the response from Nasdaq remains pending. If Nasdaq accepts the Company's plan, Nasdaq may grant the Company an extension of up to 180 calendar days from the date of the notice to evidence compliance with the Rule. If Nasdaq does not accept the Company's plan, the Company will have the opportunity to appeal the decision in front of a Nasdaq Hearings Panel.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2019, the Company had $194,280 in its operating bank account, $41,477,046 in cash and marketable securities held in the Trust Account to be used for a Business Combination or to repurchase or convert stock in connection therewith and a working capital deficit of $300,476, which excludes franchise and income taxes payable of $133,239, of which such amounts will be paid from interest earned on the Trust Account. As of September 30, 2019, approximately $964,000 of the amount on deposit in the Trust Account represented interest income, which is available to pay the Company’s tax obligations. To date, the Company has withdrawn approximately $508,000 of interest from the Trust Account in order to pay the Company’s taxes, of which approximately $466,000 was withdrawn during the nine months ended September 30, 2019.</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4). In addition, the Investor agreed to loan the Company all funds necessary to pay expenses incurred in connection with and in order to consummate a business combination (the “Business Combination Expenses”) and such loans will be added to the Notes (as defined in Note 4).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4).</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November 22, 2019 to consummate a Business Combination. There is no assurance that the Company will be able to do so prior to November 22,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2018 as filed with the SEC on March 15, 2019, which contains the audited financial statements and notes thereto. The interim results for the three and nine months ended September 30, 2019 are not necessarily indicative of the results to be expected for the year ending December 31, 2019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September 30, 2019 and December 31, 2018, the assets held in the Trust Account were held in money market funds. During the nine months ended September 30, 2019, the Company withdrew $465,993 of interest income to pay its franchise and income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September 30, 2019 and 2018, which are not currently redeemable and are not redeemable at fair value, have been excluded from the calculation of basic net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are contingent upon the occurrence of future events. As a result, diluted loss per common share is the same as basic income per common share for the periods presented.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net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423,181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(159,486)</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(188,243)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(658,996)</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(542,726)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(100,291)</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(160,159)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(235,815)</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(505,764)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2,801,350</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2,622,584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2,773,842</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2,606,566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4. INVESTOR AGREEMENT AND PROMISSORY NOTES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17, 2018, the Company entered into an Agreement with the Sponsor and the Investor. Pursuant to the Agreement, the Sponsor transferred an aggregate of 1,500,000 Founders Shares (as defined in Note 5) to the Investor in exchange for the agreements set forth below and aggregate cash consideration of $1.00.</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w:t>
      </w:r>
    </w:p>
    <w:p>
      <w:pPr>
        <w:spacing w:after="0" w:line="17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the Note in favor of the Investor in order to pay for part of the third extension payment in the original principal amount of $6,814. In connection with the stockholders approval of the Extension to November 22, 2019, the Company issued an unsecured promissory note (the “Second Note” and, together with the Note, the “Extension Notes”) in favor of the Investor in order to pay for part of the first two additional thirty day extension payments in the aggregate principal amount of $78,000. In October 2019, the Investor loaned the Company an additional $39,333 to pay for part of the extension payment in connection with the Extension to November 22, 2019 (see Note 7).</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the Company does not consummate a Business Combination, all outstanding loans under the Notes and Extension Notes will be forgiven, except to the extent of any funds held outside of the Trust Account after paying all other fees and expenses of the Company incurred prior to the date of such failure to consummate a Business Combination. As of September 30, 2019, the outstanding balance under the Notes and Extension Notes amounted to an aggregate of $1,464,814.</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In September 2019, the Company issued an unsecured promissory note to the Sponsor in the original principal amount of $327,198 to pay for Non-Business Combination Related Expenses. Of the amount loaned to the Company, $79,333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 In October 2019, the Sponsor loaned the Company an additional $39,333 to pay for part of the extension payment in connection with the Extension to November 22, 2019 (see Note 7). As of September 30, 2019, the outstanding balance under promissory note amounted to $327,198.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preferences as may be determined from time to time by the Company’s Board of Directors. At September 30, 2019 and December 31, 2018, there were no shares of preferred stock issued or outstanding.</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100,000,000 shares of common stock with a par value of $0.001 per share. Holders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are entitled to one vote for each share. At September 30, 2019 and December 31, 2018, there were 2,810,261 and 2,725,039, respectively, shares of common stock issued and outstanding (excluding 3,258,579 and 6,310,461 shares of common stock subject to possible redemption,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Other than as described below, the Company did not identify any subsequent events that would have required adjustment or disclosure in the condensed financial statements.</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October 2019, the Company deposited into the Trust Account an aggregate of $78,667 in connection with the extension to November 22, 2019. The Company now has until November 22, 2019 to consummate a Business Combination. In order to pay for the extension payment, the Company issued unsecured promissory notes in favor of the Investor and the Sponsor, each in the original principal amount of $39,333. The notes do not bear interest and mature upon the closing of a Business Combination by the Company. If the Company fails to consummate a Business Combination, the outstanding debt under the notes will be forgiven, except to the extent of any funds held outside of the Company’s Trust Account after paying all other fees and expenses of the Company.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until November 22, 2019 to consummate a Business Combination. The Company has scheduled a special meeting of stockholders for November 21, 2019, pursuant to which it will seek stockholder approval to, among other matters, amend the Company's Amended and Restated Certificate of Incorporation to extend the period of time for which the Company is required to consummate a Business Combination from November 22, 2019 to March 23, 2020. The Company has agreed that if the extension amendment proposal is approved and the extension is implemented, it will deposit into the Trust Account $0.02 for each public share that is not converted in connection with the stockholder vote to approve the extension, for each monthly period,or portion thereof, that is needed by the Company to complete an initial business combination from November 22, 2019 until March 23, 2020. There is no assurance that the Company's stockholders will vote to approve the extension of time with which the Company has to complete a Business Combination. If the Company does not obtain stockholder approval, the Company would wind up its affairs and liquidate.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2018 filed with the SEC on March 15, 2019.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we have to consummate a Business Combination up to two times for an aggregate of up to six months and the Investor agreed to loan us the funds necessary to obtain the extensions (the “Extension(s)”). On November 20, 2018, we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we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Agreement, the Investor has also agreed to loan us all funds necessary to pay expenses incurred in connection with and in order to consummate a Business Combination (the “Business Combination Expenses”) and such loans will be added to the Notes. Also, pursuant to the Agreement, the Sponsor has agreed to be responsible for all our liabilities effective November 17, 2018, except for liabilities associated with the possible redemption of shares by our shareholders, as described in our Amended and Restated Certificate of Incorporation. The Sponsor has also agreed to loan us the funds necessary to pay our expenses other than the Business Combination Expenses through the closing of a Business Combination when and as needed in order for us to continue in operation (the “Non-Business Combination Related Expenses”).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8"/>
          <w:szCs w:val="18"/>
          <w:color w:val="auto"/>
        </w:rPr>
        <w:t>The Founder’s Shares transferred by the Sponsor to the Investor will remain in escrow in the name of the Investor, subject to the terms of the Stock Escrow Agreement, dated November 20, 2017, among us, the Sponsor and Continental Stock Transfer &amp; Trust Company. Additionally, the Sponsor assigned the registration rights it was granted, pursuant to the Registration Rights Agreement, dated November 20, 2017 between us and the Sponsor, with respect to the Founder’s Shares to the Investor in connection with the transfer.</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21, 2019, our stockholders approved an amendment to our Amended and Restated Certificate of Incorporation to extend the period of time for which we are required to consummate a Business Combination to August 22, 2019 (the “Extended Date”). The number of shares of common stock presented for redemption in connection with the extension was 2,119,772. We paid cash in the aggregate amount of $22,099,233, or approximately $10.43 per share, to redeeming stockholders. We agreed to deposit, or cause to be deposited on our behalf, into the Trust Account $0.02 for each public share outstanding for each 30-day extension period utilized through the Extended Date. During the nine months ended September 30, 2019, we deposited an aggregate of $286,814 into the Trust Account, of which $280,000 was contributed to the Trust Account by a third party and is not required to be repaid by us. In order to pay for part of the extension payment, we issued an unsecured promissory note (the “Note”) in favor of the Investor, in the original principal amount of $6,814. The Note does not bear interest and matures upon closing of a Business Combination. If we fail to consummate a Business Combination, the outstanding debt under the Note will be forgiven, except to the extent of any funds held outside of the Trust Account after paying all of our other fees and expenses.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Company’s Amended and Restated Certificate of Incorporation, the Company had until August 22, 2019 to consummate a Business Combination. On August 21, 2019, the Company stockholders approved an amendment to the Company’s Amended and Restated Certificate of Incorporation (the “chapter”) to extend the period of time for which the Company is required to consummate a Business Combination (the “Extension”) from August 22, 2019 to November 22, 2019. The number of shares of common stock presented for redemption in connection with the extension was 846,888. We paid cash in the aggregate amount of $8,891,378, or approximately $10.50 per share, to redeeming stockholders. We agreed to deposit, or cause to be deposited on our behalf, into the Trust Account $0.02 for each public share outstanding for each 30-day extension period utilized through the Extension. Through September 30, 2019, we deposited an aggregate of $157,334 into the Trust Account to fund the first two 30-day extension payments. In October 2019, we deposited an additional $78,667 into the Trust Account to fund an additional 30-day extension payment. We now have until November 22, 2019 to consummate a Business Combination. In order to pay for the extension payments, we issued unsecured promissory notes in favor of the Sponsor and Investor in the aggregate principal amounts of $327,198 and $78,000, respectively (see Note 4). The promissory notes do not bear interest and mature upon closing of a Business Combination by the Company. If the Company fails to consummate a Business Combination, the outstanding debt under the promissory notes will be forgiven, except to the extent of any funds held outside of the Company's Trust Account after paying all other fees and expenses of the Company.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until November 22, 2019 to consummate a Business Combination. The Company has scheduled a special meeting of stockholders for November 21, 2019, pursuant to which it will seek stockholder approval to, among other matters, amend the Company's Amended and Restated Certificate of Incorporation to extend the period of time for which the Company is required to consummate a Business Combination from November 22, 2019 to March 23, 2020. If the Company's stockholders approve the amendment to the Company's Amended and Restated Certificate of Incorporation, public stockholders may elect to redeem their shares for a pro rata portion of the amount then on deposit in the Trust Account. However, the Company may not redeem its public shares in an amount that would cause the Company's net tangible assets to be less than $5,000,001. There is no assurance that the Company's stockholders will vote to approve the extension of time with which the Company has to complete a Business Combination. If the Company does not obtain stockholder approval, the Company would wind up its affairs and liquidate.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we received a notice from the Staff stating that we were no longer in compliance with Nasdaq Listing Rule 5550(a)(3) for continued listing due to its failure to maintain a minimum of 300 public holders. We had until September 23, 2019 to provide Nasdaq with a specific plan to achieve and sustain compliance with the listing requirement. The notice is a notification of deficiency, not of imminent delisting, and has no current effect on the listing or trading of our securities on Nasdaq.</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23, 2019 the Company submitted a plan to regain compliance with Nasdaq and requested an extension through February 5, 2020. As of the date of this filing, the response from Nasdaq is pending. If Nasdaq accepts our plan, Nasdaq may grant us an extension of up to 180 calendar days from the date of the notice to evidence compliance with the Rule. If Nasdaq does not accept our plan, we will have the opportunity to appeal the decision in front of a Nasdaq Hearings Panel.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2019, we had a net income of $59,195, which consists of interest income on securities held in the trust account established for the benefit of our public stockholders (the “Trust Account”) of $258,236, offset by operating costs of $183,305 and provision for income taxes of $15,736.</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2019, we had a net income of $423,181, which consists of interest income on securities held in the Trust Account of $1,033,537, offset by operating costs of $522,228 and provision for income taxes of $88,128.</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2018, we had a net income of $28,084, which consists of interest income on marketable securities held in the Trust Account of $283,390, offset by operating costs of $220,243, an unrealized loss on marketable securities held in the Trust Account of $74 and a provision for income taxes of $34,989.</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2018, we had net income of $36,962, which consists of interest income on marketable securities held in the Trust Account of $769,441, offset by operating costs of $684,427 and a provision for income taxes of $48,052.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07"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2019, we had cash and marketable securities held in the Trust Account of $41,477,046 (including approximately $964,000 of interest income) consisting of money market funds. Interest income earned on the balance in the Trust Account may be used by us to pay taxes. To date, we have withdrawn approximately $508,000 of interest from the Trust Account in order to pay our income and franchise taxes, of which approximately $466,000 was withdrawn during the nine months ended September 30, 2019.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cash used in operating activities amounted to $530,657. Net income of $423,181 was the result of interest earned on securities held in the Trust Account of $1,033,537, offset by changes in operating assets and liabilities, which provided $79,699 of cash for operating activities.</w:t>
      </w:r>
    </w:p>
    <w:p>
      <w:pPr>
        <w:spacing w:after="0" w:line="194"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For the nine months ended September 30, 2018, cash used in operating activities amounted to $402,303. Net income of $36,962 was impacted by interest earned on marketable securities held in the Trust Account of $769,441. Changes in operating assets and liabilities provided $330,176 of cash for operating activities.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2019, the Sponsor has loaned us an aggregate of $327,198 in order to pay our Non-Business Combination Related Expenses and extension payments.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apply the two-class method in calculating earnings per share. Shares of common stock subject to possible redemption which are not currently redeemable and are not redeemable at fair value, have been excluded from the calculation of basic net loss per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 short-term nature of the investments, we do not believe that there will be an associated material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2019. Based upon their evaluation, our Chief Executive Officer and Chief Financial Officer concluded that our disclosure controls and procedures (as defined in Rules 13a-15 (e) and 15d-15 (e) under the Exchange Act) were effective as of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2018 filed with the SEC on March 15, 2019.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August 21, 2019, the Company’s stockholders approved to amend its Amended and Restated Certificate of Incorporation to extend the period of time for which the Company is required to consummate a Business Combination to November 22, 2019. The number of shares of common stock presented for redemption in connection with the extension was 846,888. The Company paid cash in the aggregate amount of $8,891,378, or approximately $10.50 per share, to redeeming stockholders. For additional information, see Note 1 to the condensed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 w:type="dxa"/>
            <w:vAlign w:val="bottom"/>
            <w:gridSpan w:val="3"/>
          </w:tcPr>
          <w:p>
            <w:pPr>
              <w:spacing w:after="0"/>
              <w:rPr>
                <w:sz w:val="20"/>
                <w:szCs w:val="20"/>
                <w:color w:val="auto"/>
              </w:rPr>
            </w:pPr>
            <w:r>
              <w:rPr>
                <w:rFonts w:ascii="Arial" w:cs="Arial" w:eastAsia="Arial" w:hAnsi="Arial"/>
                <w:sz w:val="15"/>
                <w:szCs w:val="15"/>
                <w:b w:val="1"/>
                <w:bCs w:val="1"/>
                <w:color w:val="auto"/>
              </w:rPr>
              <w:t>No.</w:t>
            </w:r>
          </w:p>
        </w:tc>
        <w:tc>
          <w:tcPr>
            <w:tcW w:w="720" w:type="dxa"/>
            <w:vAlign w:val="bottom"/>
          </w:tcPr>
          <w:p>
            <w:pPr>
              <w:spacing w:after="0"/>
              <w:rPr>
                <w:sz w:val="15"/>
                <w:szCs w:val="15"/>
                <w:color w:val="auto"/>
              </w:rPr>
            </w:pPr>
          </w:p>
        </w:tc>
        <w:tc>
          <w:tcPr>
            <w:tcW w:w="10380" w:type="dxa"/>
            <w:vAlign w:val="bottom"/>
            <w:gridSpan w:val="2"/>
          </w:tcPr>
          <w:p>
            <w:pPr>
              <w:ind w:left="100"/>
              <w:spacing w:after="0"/>
              <w:rPr>
                <w:sz w:val="20"/>
                <w:szCs w:val="20"/>
                <w:color w:val="auto"/>
              </w:rPr>
            </w:pPr>
            <w:r>
              <w:rPr>
                <w:rFonts w:ascii="Arial" w:cs="Arial" w:eastAsia="Arial" w:hAnsi="Arial"/>
                <w:sz w:val="15"/>
                <w:szCs w:val="15"/>
                <w:b w:val="1"/>
                <w:bCs w:val="1"/>
                <w:color w:val="auto"/>
              </w:rPr>
              <w:t>Description of Exhibit</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Second Amendment to Amended and Restated Certificate of Incorporation (incorporated by reference to Exhibit 3.1 to the Company’s Form 8-K,</w:t>
            </w: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filed on August 23, 2019)</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72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3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Certification of Principal Executive Officer Pursuant to Securities Exchange Act Rules 13a-14(a) and 15(d)-14(a), as adopted Pursuant to Section</w:t>
            </w: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7"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7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8"/>
                <w:szCs w:val="18"/>
                <w:color w:val="auto"/>
              </w:rPr>
              <w:t>*</w:t>
            </w:r>
          </w:p>
        </w:tc>
        <w:tc>
          <w:tcPr>
            <w:tcW w:w="1038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Certification of Principal Financial Officer Pursuant to Securities Exchange Act Rules 13a-14(a) and 15(d)-14(a), as adopted Pursuant to Section</w:t>
            </w: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302 of the Sarbanes-Oxley Act of 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72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3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 Act of</w:t>
            </w: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7"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7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8"/>
                <w:szCs w:val="18"/>
                <w:color w:val="auto"/>
              </w:rPr>
              <w:t>**</w:t>
            </w:r>
          </w:p>
        </w:tc>
        <w:tc>
          <w:tcPr>
            <w:tcW w:w="1038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20" w:type="dxa"/>
            <w:vAlign w:val="bottom"/>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8" w:lineRule="exact"/>
        <w:rPr>
          <w:sz w:val="20"/>
          <w:szCs w:val="20"/>
          <w:color w:val="auto"/>
        </w:rPr>
      </w:pPr>
    </w:p>
    <w:p>
      <w:pPr>
        <w:ind w:right="10180" w:firstLine="8"/>
        <w:spacing w:after="0" w:line="332" w:lineRule="auto"/>
        <w:tabs>
          <w:tab w:leader="none" w:pos="176"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herewith. **Furnished.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 and Director</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486"/>
        <w:spacing w:after="0" w:line="33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380" w:val="left"/>
          <w:tab w:leader="none" w:pos="696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Lori Wittman,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486"/>
        <w:spacing w:after="0" w:line="33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00" w:hanging="492"/>
        <w:spacing w:after="0" w:line="33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6380" w:val="left"/>
          <w:tab w:leader="none" w:pos="696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Director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4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September 30, 2019,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320" w:val="left"/>
          <w:tab w:leader="none" w:pos="6880" w:val="left"/>
        </w:tabs>
        <w:rPr>
          <w:sz w:val="20"/>
          <w:szCs w:val="20"/>
          <w:color w:val="auto"/>
        </w:rPr>
      </w:pPr>
      <w:r>
        <w:rPr>
          <w:rFonts w:ascii="Arial" w:cs="Arial" w:eastAsia="Arial" w:hAnsi="Arial"/>
          <w:sz w:val="18"/>
          <w:szCs w:val="18"/>
          <w:color w:val="auto"/>
        </w:rPr>
        <w:t>Dated: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10795</wp:posOffset>
            </wp:positionV>
            <wp:extent cx="28644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864485" cy="1714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September 30, 2019,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500" w:val="left"/>
          <w:tab w:leader="none" w:pos="7060" w:val="left"/>
        </w:tabs>
        <w:rPr>
          <w:sz w:val="20"/>
          <w:szCs w:val="20"/>
          <w:color w:val="auto"/>
        </w:rPr>
      </w:pPr>
      <w:r>
        <w:rPr>
          <w:rFonts w:ascii="Arial" w:cs="Arial" w:eastAsia="Arial" w:hAnsi="Arial"/>
          <w:sz w:val="18"/>
          <w:szCs w:val="18"/>
          <w:color w:val="auto"/>
        </w:rPr>
        <w:t>Dated: November 14,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amp;"/>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5" Type="http://schemas.openxmlformats.org/officeDocument/2006/relationships/hyperlink" Target="http://www.sec.gov/Archives/edgar/data/1719406/000165495419009963/brpa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2019-11-28T06:11:37Z</dcterms:created>
  <dcterms:modified xsi:type="dcterms:W3CDTF">2019-11-28T06:11:37Z</dcterms:modified>
</cp:coreProperties>
</file>