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2019</w:t>
      </w:r>
    </w:p>
    <w:p>
      <w:pPr>
        <w:spacing w:after="0" w:line="219" w:lineRule="exact"/>
        <w:rPr>
          <w:sz w:val="24"/>
          <w:szCs w:val="24"/>
          <w:color w:val="auto"/>
        </w:rPr>
      </w:pPr>
    </w:p>
    <w:p>
      <w:pPr>
        <w:ind w:left="3640" w:right="2120" w:hanging="3632"/>
        <w:spacing w:after="0" w:line="501" w:lineRule="auto"/>
        <w:tabs>
          <w:tab w:leader="none" w:pos="3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001-38302</w:t>
      </w:r>
    </w:p>
    <w:p>
      <w:pPr>
        <w:spacing w:after="0" w:line="22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2040" w:type="dxa"/>
        <w:tblCellMar>
          <w:top w:w="0" w:type="dxa"/>
          <w:left w:w="0" w:type="dxa"/>
          <w:bottom w:w="0" w:type="dxa"/>
          <w:right w:w="0" w:type="dxa"/>
        </w:tblCellMar>
      </w:tblP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b w:val="1"/>
                <w:bCs w:val="1"/>
                <w:color w:val="auto"/>
                <w:w w:val="88"/>
              </w:rPr>
              <w:t>Delaware</w:t>
            </w:r>
          </w:p>
        </w:tc>
        <w:tc>
          <w:tcPr>
            <w:tcW w:w="2800" w:type="dxa"/>
            <w:vAlign w:val="bottom"/>
          </w:tcPr>
          <w:p>
            <w:pPr>
              <w:jc w:val="right"/>
              <w:ind w:right="292"/>
              <w:spacing w:after="0"/>
              <w:rPr>
                <w:sz w:val="20"/>
                <w:szCs w:val="20"/>
                <w:color w:val="auto"/>
              </w:rPr>
            </w:pPr>
            <w:r>
              <w:rPr>
                <w:rFonts w:ascii="Arial" w:cs="Arial" w:eastAsia="Arial" w:hAnsi="Arial"/>
                <w:sz w:val="18"/>
                <w:szCs w:val="18"/>
                <w:b w:val="1"/>
                <w:bCs w:val="1"/>
                <w:color w:val="auto"/>
              </w:rPr>
              <w:t>82-2844431</w:t>
            </w:r>
          </w:p>
        </w:tc>
      </w:tr>
      <w:tr>
        <w:trPr>
          <w:trHeight w:val="216"/>
        </w:trPr>
        <w:tc>
          <w:tcPr>
            <w:tcW w:w="3960" w:type="dxa"/>
            <w:vAlign w:val="bottom"/>
          </w:tcPr>
          <w:p>
            <w:pPr>
              <w:jc w:val="center"/>
              <w:ind w:right="1072"/>
              <w:spacing w:after="0"/>
              <w:rPr>
                <w:sz w:val="20"/>
                <w:szCs w:val="20"/>
                <w:color w:val="auto"/>
              </w:rPr>
            </w:pPr>
            <w:r>
              <w:rPr>
                <w:rFonts w:ascii="Arial" w:cs="Arial" w:eastAsia="Arial" w:hAnsi="Arial"/>
                <w:sz w:val="18"/>
                <w:szCs w:val="18"/>
                <w:color w:val="auto"/>
                <w:w w:val="90"/>
              </w:rPr>
              <w:t>(State or other jurisdiction of</w:t>
            </w:r>
          </w:p>
        </w:tc>
        <w:tc>
          <w:tcPr>
            <w:tcW w:w="2800" w:type="dxa"/>
            <w:vAlign w:val="bottom"/>
          </w:tcPr>
          <w:p>
            <w:pPr>
              <w:jc w:val="center"/>
              <w:ind w:left="1112"/>
              <w:spacing w:after="0"/>
              <w:rPr>
                <w:sz w:val="20"/>
                <w:szCs w:val="20"/>
                <w:color w:val="auto"/>
              </w:rPr>
            </w:pPr>
            <w:r>
              <w:rPr>
                <w:rFonts w:ascii="Arial" w:cs="Arial" w:eastAsia="Arial" w:hAnsi="Arial"/>
                <w:sz w:val="18"/>
                <w:szCs w:val="18"/>
                <w:color w:val="auto"/>
                <w:w w:val="90"/>
              </w:rPr>
              <w:t>(I.R.S. Employer</w:t>
            </w:r>
          </w:p>
        </w:tc>
      </w:t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color w:val="auto"/>
                <w:w w:val="89"/>
              </w:rPr>
              <w:t>incorporation or organization)</w:t>
            </w:r>
          </w:p>
        </w:tc>
        <w:tc>
          <w:tcPr>
            <w:tcW w:w="2800" w:type="dxa"/>
            <w:vAlign w:val="bottom"/>
          </w:tcPr>
          <w:p>
            <w:pPr>
              <w:jc w:val="center"/>
              <w:ind w:left="109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3960" w:type="dxa"/>
            <w:vAlign w:val="bottom"/>
          </w:tcPr>
          <w:p>
            <w:pPr>
              <w:jc w:val="center"/>
              <w:ind w:right="1092"/>
              <w:spacing w:after="0"/>
              <w:rPr>
                <w:sz w:val="20"/>
                <w:szCs w:val="20"/>
                <w:color w:val="auto"/>
              </w:rPr>
            </w:pPr>
            <w:r>
              <w:rPr>
                <w:rFonts w:ascii="Arial" w:cs="Arial" w:eastAsia="Arial" w:hAnsi="Arial"/>
                <w:sz w:val="18"/>
                <w:szCs w:val="18"/>
                <w:b w:val="1"/>
                <w:bCs w:val="1"/>
                <w:color w:val="auto"/>
                <w:w w:val="88"/>
              </w:rPr>
              <w:t>2645 N. Federal Highway, Suite 230</w:t>
            </w:r>
          </w:p>
        </w:tc>
        <w:tc>
          <w:tcPr>
            <w:tcW w:w="2800" w:type="dxa"/>
            <w:vAlign w:val="bottom"/>
          </w:tcPr>
          <w:p>
            <w:pPr>
              <w:spacing w:after="0"/>
              <w:rPr>
                <w:sz w:val="24"/>
                <w:szCs w:val="24"/>
                <w:color w:val="auto"/>
              </w:rPr>
            </w:pPr>
          </w:p>
        </w:tc>
      </w:tr>
      <w:tr>
        <w:trPr>
          <w:trHeight w:val="222"/>
        </w:trPr>
        <w:tc>
          <w:tcPr>
            <w:tcW w:w="3960" w:type="dxa"/>
            <w:vAlign w:val="bottom"/>
          </w:tcPr>
          <w:p>
            <w:pPr>
              <w:jc w:val="center"/>
              <w:ind w:right="1072"/>
              <w:spacing w:after="0"/>
              <w:rPr>
                <w:sz w:val="20"/>
                <w:szCs w:val="20"/>
                <w:color w:val="auto"/>
              </w:rPr>
            </w:pPr>
            <w:r>
              <w:rPr>
                <w:rFonts w:ascii="Arial" w:cs="Arial" w:eastAsia="Arial" w:hAnsi="Arial"/>
                <w:sz w:val="18"/>
                <w:szCs w:val="18"/>
                <w:b w:val="1"/>
                <w:bCs w:val="1"/>
                <w:color w:val="auto"/>
                <w:w w:val="90"/>
              </w:rPr>
              <w:t>Delray Beach, FL</w:t>
            </w:r>
          </w:p>
        </w:tc>
        <w:tc>
          <w:tcPr>
            <w:tcW w:w="2800" w:type="dxa"/>
            <w:vAlign w:val="bottom"/>
          </w:tcPr>
          <w:p>
            <w:pPr>
              <w:jc w:val="right"/>
              <w:ind w:right="492"/>
              <w:spacing w:after="0"/>
              <w:rPr>
                <w:sz w:val="20"/>
                <w:szCs w:val="20"/>
                <w:color w:val="auto"/>
              </w:rPr>
            </w:pPr>
            <w:r>
              <w:rPr>
                <w:rFonts w:ascii="Arial" w:cs="Arial" w:eastAsia="Arial" w:hAnsi="Arial"/>
                <w:sz w:val="18"/>
                <w:szCs w:val="18"/>
                <w:b w:val="1"/>
                <w:bCs w:val="1"/>
                <w:color w:val="auto"/>
              </w:rPr>
              <w:t>33483</w:t>
            </w:r>
          </w:p>
        </w:tc>
      </w:tr>
      <w:tr>
        <w:trPr>
          <w:trHeight w:val="222"/>
        </w:trPr>
        <w:tc>
          <w:tcPr>
            <w:tcW w:w="3960" w:type="dxa"/>
            <w:vAlign w:val="bottom"/>
          </w:tcPr>
          <w:p>
            <w:pPr>
              <w:jc w:val="center"/>
              <w:ind w:right="1092"/>
              <w:spacing w:after="0"/>
              <w:rPr>
                <w:sz w:val="20"/>
                <w:szCs w:val="20"/>
                <w:color w:val="auto"/>
              </w:rPr>
            </w:pPr>
            <w:r>
              <w:rPr>
                <w:rFonts w:ascii="Arial" w:cs="Arial" w:eastAsia="Arial" w:hAnsi="Arial"/>
                <w:sz w:val="18"/>
                <w:szCs w:val="18"/>
                <w:color w:val="auto"/>
                <w:w w:val="90"/>
              </w:rPr>
              <w:t>(Address of principal executive offices)</w:t>
            </w:r>
          </w:p>
        </w:tc>
        <w:tc>
          <w:tcPr>
            <w:tcW w:w="2800" w:type="dxa"/>
            <w:vAlign w:val="bottom"/>
          </w:tcPr>
          <w:p>
            <w:pPr>
              <w:jc w:val="center"/>
              <w:ind w:left="109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734-2300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240"/>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w:t>
      </w:r>
    </w:p>
    <w:p>
      <w:pPr>
        <w:ind w:left="380" w:hanging="372"/>
        <w:spacing w:after="0" w:line="207" w:lineRule="exact"/>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06" w:right="239" w:bottom="1440" w:gutter="0" w:footer="0" w:header="0"/>
        </w:sectPr>
      </w:pPr>
    </w:p>
    <w:p>
      <w:pPr>
        <w:spacing w:after="0" w:line="194" w:lineRule="exact"/>
        <w:rPr>
          <w:sz w:val="24"/>
          <w:szCs w:val="24"/>
          <w:color w:val="auto"/>
        </w:rPr>
      </w:pPr>
    </w:p>
    <w:p>
      <w:pPr>
        <w:ind w:left="190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4">
            <w:col w:w="3460" w:space="40"/>
            <w:col w:w="3320" w:space="720"/>
            <w:col w:w="1920" w:space="80"/>
            <w:col w:w="1880"/>
          </w:cols>
          <w:pgMar w:left="240" w:top="706" w:right="239" w:bottom="1440" w:gutter="0" w:footer="0" w:header="0"/>
          <w:type w:val="continuous"/>
        </w:sectPr>
      </w:pPr>
    </w:p>
    <w:p>
      <w:pPr>
        <w:spacing w:after="0" w:line="42"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w:t>
            </w:r>
          </w:p>
        </w:tc>
      </w:tr>
      <w:tr>
        <w:trPr>
          <w:trHeight w:val="223"/>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9"/>
                <w:szCs w:val="19"/>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which registered</w:t>
            </w:r>
          </w:p>
        </w:tc>
      </w:tr>
      <w:tr>
        <w:trPr>
          <w:trHeight w:val="193"/>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Units, each consisting of one share of Common Stock, one Right and one-half of</w:t>
            </w:r>
          </w:p>
        </w:tc>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BRPAU</w:t>
            </w:r>
          </w:p>
        </w:tc>
        <w:tc>
          <w:tcPr>
            <w:tcW w:w="100" w:type="dxa"/>
            <w:vAlign w:val="bottom"/>
            <w:shd w:val="clear" w:color="auto" w:fill="CCEEFF"/>
          </w:tcPr>
          <w:p>
            <w:pPr>
              <w:spacing w:after="0"/>
              <w:rPr>
                <w:sz w:val="16"/>
                <w:szCs w:val="16"/>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2"/>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one Warrant</w:t>
            </w:r>
          </w:p>
        </w:tc>
        <w:tc>
          <w:tcPr>
            <w:tcW w:w="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03"/>
        </w:trPr>
        <w:tc>
          <w:tcPr>
            <w:tcW w:w="526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6"/>
              </w:rPr>
              <w:t>BRPA</w:t>
            </w: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3"/>
        </w:trPr>
        <w:tc>
          <w:tcPr>
            <w:tcW w:w="5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Rights, exchangeable into one-tenth of one share of Common Stock</w:t>
            </w:r>
          </w:p>
        </w:tc>
        <w:tc>
          <w:tcPr>
            <w:tcW w:w="12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BRPAR</w:t>
            </w:r>
          </w:p>
        </w:tc>
        <w:tc>
          <w:tcPr>
            <w:tcW w:w="100" w:type="dxa"/>
            <w:vAlign w:val="bottom"/>
            <w:shd w:val="clear" w:color="auto" w:fill="CCEEFF"/>
          </w:tcPr>
          <w:p>
            <w:pPr>
              <w:spacing w:after="0"/>
              <w:rPr>
                <w:sz w:val="17"/>
                <w:szCs w:val="17"/>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193"/>
        </w:trPr>
        <w:tc>
          <w:tcPr>
            <w:tcW w:w="5260" w:type="dxa"/>
            <w:vAlign w:val="bottom"/>
          </w:tcPr>
          <w:p>
            <w:pPr>
              <w:jc w:val="center"/>
              <w:spacing w:after="0"/>
              <w:rPr>
                <w:sz w:val="20"/>
                <w:szCs w:val="20"/>
                <w:color w:val="auto"/>
              </w:rPr>
            </w:pPr>
            <w:r>
              <w:rPr>
                <w:rFonts w:ascii="Arial" w:cs="Arial" w:eastAsia="Arial" w:hAnsi="Arial"/>
                <w:sz w:val="16"/>
                <w:szCs w:val="16"/>
                <w:color w:val="auto"/>
                <w:w w:val="90"/>
              </w:rPr>
              <w:t>Warrants, each whole warrant exercisable for one share of Common Stock at an</w:t>
            </w:r>
          </w:p>
        </w:tc>
        <w:tc>
          <w:tcPr>
            <w:tcW w:w="12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1"/>
              </w:rPr>
              <w:t>BRPAW</w:t>
            </w:r>
          </w:p>
        </w:tc>
        <w:tc>
          <w:tcPr>
            <w:tcW w:w="10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5260" w:type="dxa"/>
            <w:vAlign w:val="bottom"/>
          </w:tcPr>
          <w:p>
            <w:pPr>
              <w:jc w:val="center"/>
              <w:spacing w:after="0"/>
              <w:rPr>
                <w:sz w:val="20"/>
                <w:szCs w:val="20"/>
                <w:color w:val="auto"/>
              </w:rPr>
            </w:pPr>
            <w:r>
              <w:rPr>
                <w:rFonts w:ascii="Arial" w:cs="Arial" w:eastAsia="Arial" w:hAnsi="Arial"/>
                <w:sz w:val="16"/>
                <w:szCs w:val="16"/>
                <w:color w:val="auto"/>
                <w:w w:val="91"/>
              </w:rPr>
              <w:t>exercise price of $11.50</w:t>
            </w: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2019, there were 9,035,500 shares of the Company’s common stock, par value $0.001,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4"/>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Statements of Operations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6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Changes in Stockholders’ Equity</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6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36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2.</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MANAGEMENT’S DISCUSSION AND ANALYSIS OF FINANCIAL CONDITION AND RESULTS OF OPERATIONS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PART II.</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DEFAULTS UPON SENIOR SECURITIES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5.</w:t>
              </w:r>
            </w:hyperlink>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 w:type="dxa"/>
            <w:vAlign w:val="bottom"/>
            <w:gridSpan w:val="2"/>
            <w:shd w:val="clear" w:color="auto" w:fill="CCEEFF"/>
          </w:tcPr>
          <w:p>
            <w:pPr>
              <w:spacing w:after="0" w:line="17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6.</w:t>
              </w:r>
            </w:hyperlink>
          </w:p>
        </w:tc>
        <w:tc>
          <w:tcPr>
            <w:tcW w:w="300" w:type="dxa"/>
            <w:vAlign w:val="bottom"/>
            <w:gridSpan w:val="3"/>
            <w:shd w:val="clear" w:color="auto" w:fill="CCEEFF"/>
          </w:tcPr>
          <w:p>
            <w:pPr>
              <w:spacing w:after="0"/>
              <w:rPr>
                <w:sz w:val="17"/>
                <w:szCs w:val="17"/>
                <w:color w:val="auto"/>
              </w:rPr>
            </w:pPr>
          </w:p>
        </w:tc>
        <w:tc>
          <w:tcPr>
            <w:tcW w:w="870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0" w:type="dxa"/>
            <w:vAlign w:val="bottom"/>
            <w:gridSpan w:val="23"/>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18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March 31, 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5"/>
                <w:szCs w:val="15"/>
                <w:b w:val="1"/>
                <w:bCs w:val="1"/>
                <w:color w:val="auto"/>
                <w:w w:val="93"/>
              </w:rPr>
              <w:t>(Unaudited)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71,657,035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70,765,966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71,707,751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70,796,159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446,368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48,027</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494,395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Promissory note payable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1,486,642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1,981,037</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1,257,410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subject to possible redemption, 6,241,203 and 6,310,461 shares at redemption value as of March 31, 2019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December 31, 2018,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64,726,709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64,538,743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Common stock, $0.001 par value; 100,000,000 shares authorized; 2,794,297 and 2,725,039 shares issued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outstanding (excluding 6,241,203 and 6,310,461 shares subject to possible redemption) as of March 31, 2019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December 31, 2018, respectively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4,848,178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5,036,213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earnings/(Accumulated deficit)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5,000,006</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71,707,751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70,796,159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5"/>
                <w:szCs w:val="15"/>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163,181</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192,374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(163,181)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382,862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(31,716)</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187,965</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2,725,039</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Excludes an aggregate of up to 6,241,203 and 6,429,718 shares subject to possible redemption at March 31, 2019 and 2018, respectively.</w:t>
      </w:r>
    </w:p>
    <w:p>
      <w:pPr>
        <w:spacing w:after="0" w:line="24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$272,387 and $185,056, respectively, for the three months ended March 31, 2019 and 2018,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5"/>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4"/>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2,590,985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5,102,443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(105,033)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value of common stock subject to possible redemption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2018 (unaudited)</w:t>
            </w:r>
          </w:p>
        </w:tc>
        <w:tc>
          <w:tcPr>
            <w:tcW w:w="7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2,605,782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5,086,951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(89,552)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8"/>
              </w:rPr>
              <w:t>Retained</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Earnings/</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Paid-in</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5"/>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4"/>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2,725,039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5,036,213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value of common stock subject to possible redemption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(188,035)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7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2,794,297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4,848,178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149,033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5,000,005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9240" w:type="dxa"/>
            <w:vAlign w:val="bottom"/>
            <w:gridSpan w:val="10"/>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 condensed financial statements.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187,965</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(382,862)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securities held in Trust Account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(104,731)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(297,696)</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(197,817)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withdrawn from Trust Account to pay franchise taxes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181,793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(508,207)</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23,134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promissory notes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861,642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796,642</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(182,183)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 Beginning</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1,818</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267,191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187,966</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Although the Company is not limited to a particular industry or geographic region for purposes of consummating a Business Combination, the Company is focusing on businesses in the senior housing and care industry in the United States.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All activity through March 31, 2019 relates to the Company’s formation, the initial public offering (the “Initial Public Offering”) of 6,900,000 units (the “Units”) that occurred on November 22, 2017, the simultaneous sale of 272,500 units (the “Private Placement Units”) in a private placement to Big Rock Partners Sponsor, LLC (the “Sponsor”), and the Company’s search for a target business with which to complete a Business Combination.</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Company initially had until November 22, 2018 to complete a Business Combination. However, if the Company anticipated that it could not consummate a Business Combination by November 22, 2018, the Company could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w:t>
      </w:r>
    </w:p>
    <w:p>
      <w:pPr>
        <w:spacing w:after="0" w:line="3" w:lineRule="exact"/>
        <w:rPr>
          <w:sz w:val="20"/>
          <w:szCs w:val="20"/>
          <w:color w:val="auto"/>
        </w:rPr>
      </w:pPr>
    </w:p>
    <w:p>
      <w:pPr>
        <w:jc w:val="both"/>
        <w:ind w:firstLine="8"/>
        <w:spacing w:after="0" w:line="302" w:lineRule="auto"/>
        <w:tabs>
          <w:tab w:leader="none" w:pos="198" w:val="left"/>
        </w:tabs>
        <w:numPr>
          <w:ilvl w:val="0"/>
          <w:numId w:val="5"/>
        </w:numPr>
        <w:rPr>
          <w:rFonts w:ascii="Arial" w:cs="Arial" w:eastAsia="Arial" w:hAnsi="Arial"/>
          <w:sz w:val="16"/>
          <w:szCs w:val="16"/>
          <w:color w:val="auto"/>
        </w:rPr>
      </w:pPr>
      <w:r>
        <w:rPr>
          <w:rFonts w:ascii="Arial" w:cs="Arial" w:eastAsia="Arial" w:hAnsi="Arial"/>
          <w:sz w:val="16"/>
          <w:szCs w:val="16"/>
          <w:color w:val="auto"/>
        </w:rPr>
        <w:t>Trust Company on November 20, 2017, in order to extend the time available for the Company to consummate a Business Combination, the Sponsor or its affiliates or designees were required to deposit into the Trust Account $690,000 ($0.10 per share) for each three month extension, up to an aggregate of $1,380,000, or $0.20 per share, if the Company extended for the full six months, on or prior to the date of the applicable deadline.</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20, 2018, the period of time for the Company to consummate a Business Combination was extended for an additional three month period ending on February 22, 2019, and, accordingly, $690,000 was deposited into the Trust Account. The deposit was funded by a non-interest bearing unsecured loan from BRAC Lending Group LLC, an affiliate of the underwriter (the “Investor”). The loan is repayable upon the consummation of a Business Combination (see Note 4). On February 21, 2019, the Company further extended the time required to consummate a Business Combination to May 22, 2019 and deposited an additional $690,000 into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7, 2019, the Company received a notice from the staff of the Listing Qualifications Department of Nasdaq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has scheduled its annual meeting of stockholders for May 21, 2019 (see Note 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March 31, 2019, the Company had $1,818 in its operating bank account, $71,657,035 in cash and marketable securities held in the Trust Account to be used for a Business Combination or to repurchase or convert stock in connection therewith and a working capital deficit of $345,652, which excludes franchise and income taxes payable of $98,027, of which such amounts will be paid from interest earned on the Trust Account. As of March 31, 2019, approximately $1,277,000 of the amount on deposit in the Trust Account represented interest income, which is available to pay the Company’s tax obligations. To date, the Company has withdrawn approximately $224,000 of interest from the Trust Account in order to pay the Company’s taxes, of which approximately $182,000 was withdrawn during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4). In addition, the Investor agreed to loan the Company all funds necessary to pay expenses incurred in connection with and in order to consummate a business combination (the “Business Combination Expenses”) and such loans will be added to the Notes (as defined in Note 4).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4).</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May 22, 2019 to consummate a Business Combination. There is no assurance that the Company will be able to do so prior to May 22, 2019 (see Note 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2018 as filed with the SEC on March 15, 2019, which contains the audited financial statements and notes thereto. The interim results for the three months ended March 31, 2019 are not necessarily indicative of the results to be expected for the year ending December 31, 2019 or for any future interim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March 31, 2019 and December 31, 2018, the assets held in the Trust Account were held in money market funds. During the three months ended March 31, 2019, the Company withdrew $181,793 of interest income to pay its franchise tax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March 31, 2019 and December 31, 2018, which are not currently redeemable and are not redeemable at fair value, have been excluded from the calculation of basic net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are contingent upon the occurrence of future events. As a result, diluted loss per common share is the same as basic income per common share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net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(272,387)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(185,056)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(84,4228)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2,725,039</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2,590,985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4. INVESTOR AGREEMENT AND PROMISSORY NOTES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370" w:lineRule="auto"/>
        <w:rPr>
          <w:sz w:val="20"/>
          <w:szCs w:val="20"/>
          <w:color w:val="auto"/>
        </w:rPr>
      </w:pPr>
      <w:r>
        <w:rPr>
          <w:rFonts w:ascii="Arial" w:cs="Arial" w:eastAsia="Arial" w:hAnsi="Arial"/>
          <w:sz w:val="15"/>
          <w:szCs w:val="15"/>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As of March 31, 2019, the outstanding balance under the Notes amounted to an aggregate of $1,380,000.</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 At March 31, 2019, the outstanding balance under this loan amounted to $106,642.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 designation,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preferences as may be determined from time to time by the Company’s Board of Directors. At March 31, 2019 and December 31, 2018, there were no shares of preferred stock issued or outstanding.</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March 31, 2019 and December 31, 2018, there were 2,794,297 and 2,725,039, respectively, shares of common stock issued and outstanding (excluding 6,241,203 and 6,310,461 shares of common stock subject to possible redemption,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condensed financial statements were issued. Other than as described below, the Company did not identify any subsequent events that would have required adjustment or disclosure in the condensed financial statements.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scheduled its annual meeting of stockholders for May 21, 2019, pursuant to which it will seek stockholder approval to, among other matters, extend the time by which the Company has to complete a Business Combination from May 22, 2019 to August 22, 2019. There is no assurance that the Company’s stockholders will vote to approve the extension of time with which the Company has to complete a Business Combination. If the Company does not obtain stockholder approval, the Company would wind up its affairs and liquidate.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2018 filed with the SEC on March 15, 2019.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we have to consummate a Business Combination up to two times for an aggregate of up to six months and the Investor agreed to loan us the funds necessary to obtain the extensions (the “Extension(s)”). On November 20, 2018, we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we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Agreement, the Investor has also agreed to loan us all funds necessary to pay expenses incurred in connection with and in order to consummate a Business Combination (the “Business Combination Expenses”) and such loans will be added to the Notes. Also, pursuant to the Agreement, the Sponsor has agreed to be responsible for all our liabilities as of November 17, 2018, except for liabilities associated with the possible redemption of shares by our shareholders, as described in our Amended and Restated Certificate of Incorporation. The Sponsor has also agreed to loan us the funds necessary to pay our expenses other than the Business Combination Expenses through the closing of a Business Combination when and as needed in order for us to continue in operation (the “Non-Business Combination Related Expenses”).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Founder’s Shares transferred by the Sponsor to the Investor will remain in escrow in the name of the Investor, subject to the terms of the Stock Escrow Agreement, dated November 20, 2017, among us, the Sponsor and Continental Stock Transfer &amp; Trust Company. Additionally, the Sponsor assigned the registration rights it was granted, pursuant to the Registration Rights Agreement, dated November 20, 2017 between us and the Sponsor, with respect to the Founder’s Shares to the Investor in connection with the transfer.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color w:val="auto"/>
        </w:rPr>
        <w:t>We have scheduled our annual meeting of stockholders for May 21, 2019, pursuant to which we will seek stockholder approval to, among other matters, extend the time by which we have to complete a Business Combination from May 22, 2019 to August 22, 2019. There is no assurance that our stockholders will vote to approve the extension of time with which we have to complete a Business Combination. If we do not obtain stockholder approval, we would wind up our affairs and liquidate.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March 31, 2019, we had a net income of $187,965, which consists of interest income on securities held in the trust account established for the benefit of our public stockholders (the “Trust Account”) of $382,862, offset by operating costs of $163,181 and provision for income taxes of $31,716.</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2018, we had a net income of $15,481, which consists of interest income on securities held in the Trust Account of $213,569, offset by operating costs of $192,374, an unrealized loss on marketable securities held in the Trust Account of $1,599, and a provision for income taxes of $4,115.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2019, we had cash and marketable securities held in the Trust Account of $71,657,035 (including approximately $1,277,000 of interest income) consisting of money market funds. Interest income earned on the balance in the Trust Account may be used by us to pay taxes. To date, we have withdrawn approximately $224,000 of interest from the Trust Account in order to pay our income and franchise taxes, of which approximately $182,000 was withdrawn during the three months ended March 31, 2019.</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three months ended March 31, 2019, cash used in operating activities amounted to $297,696. Net income of $187,965 was the result of interest earned on securities held in the Trust Account of $382,862, offset by changes in operating assets and liabilities, which used $102,799 of cash for operating activities.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2018, cash used in operating activities amounted to $197,817. Net income of $15,481 was the result of interest earned on marketable securities held in the Trust Account of $213,569, offset by an unrealized loss on marketable securities held in our Trust Account of $1,599 and changes in operating assets and liabilities, which used $1,328 of cash for operating activities.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2019, the Sponsor has loaned us an aggregate of $106,642 in order to pay our Non-Business Combination Related Expenses.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apply the two-class method in calculating earnings per share. Shares of common stock subject to possible redemption which are not currently redeemable and are not redeemable at fair value, have been excluded from the calculation of basic net loss per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consummation of our Initial Public Offering, we invested the funds held in the Trust Account in money market funds meeting certain conditions under Rule 2a-7 under the Investment Company Act, which invest solely in United States Treasuries. Due to these short-term nature of the investments, we do not believe that there will be an associated material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2019. Based upon their evaluation, our Chief Executive Officer and Chief Financial Officer concluded that our disclosure controls and procedures (as defined in Rules 13a-15 (e) and 15d-15 (e) under the Exchange Act) were effective as of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2018 filed with the SEC on March 15, 2019. As of the date of this Report, there have been no material changes to the risk factors disclosed in our Annual Report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 w:type="dxa"/>
            <w:vAlign w:val="bottom"/>
            <w:gridSpan w:val="2"/>
          </w:tcPr>
          <w:p>
            <w:pPr>
              <w:spacing w:after="0"/>
              <w:rPr>
                <w:sz w:val="20"/>
                <w:szCs w:val="20"/>
                <w:color w:val="auto"/>
              </w:rPr>
            </w:pPr>
            <w:r>
              <w:rPr>
                <w:rFonts w:ascii="Arial" w:cs="Arial" w:eastAsia="Arial" w:hAnsi="Arial"/>
                <w:sz w:val="15"/>
                <w:szCs w:val="15"/>
                <w:b w:val="1"/>
                <w:bCs w:val="1"/>
                <w:color w:val="auto"/>
              </w:rPr>
              <w:t>No.</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tcPr>
          <w:p>
            <w:pPr>
              <w:spacing w:after="0"/>
              <w:rPr>
                <w:sz w:val="20"/>
                <w:szCs w:val="20"/>
                <w:color w:val="auto"/>
              </w:rPr>
            </w:pPr>
            <w:r>
              <w:rPr>
                <w:rFonts w:ascii="Arial" w:cs="Arial" w:eastAsia="Arial" w:hAnsi="Arial"/>
                <w:sz w:val="15"/>
                <w:szCs w:val="15"/>
                <w:b w:val="1"/>
                <w:bCs w:val="1"/>
                <w:color w:val="auto"/>
              </w:rPr>
              <w:t>Description of Exhibit</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500" w:type="dxa"/>
            <w:vAlign w:val="bottom"/>
            <w:tcBorders>
              <w:top w:val="single" w:sz="8" w:color="auto"/>
              <w:bottom w:val="single" w:sz="8" w:color="CCEEFF"/>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Certification of Principal Executive Officer Pursuant to Securities Exchange Act Rules 13a-14(a) and 15(d)-14(a), as adopted Pursuant to Section</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302 of the Sarbanes-Oxley Act of 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88"/>
              </w:rPr>
              <w:t>Certification of Principal Financial Officer Pursuant to Securities Exchange Act Rules 13a-14(a) and 15(d)-14(a), as adopted Pursuant to Section 302</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5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50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 of</w:t>
            </w: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50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500" w:type="dxa"/>
            <w:vAlign w:val="bottom"/>
          </w:tcPr>
          <w:p>
            <w:pPr>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 of</w:t>
            </w: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0" w:type="dxa"/>
            <w:vAlign w:val="bottom"/>
            <w:gridSpan w:val="2"/>
          </w:tcPr>
          <w:p>
            <w:pPr>
              <w:ind w:left="100"/>
              <w:spacing w:after="0"/>
              <w:rPr>
                <w:sz w:val="20"/>
                <w:szCs w:val="20"/>
                <w:color w:val="auto"/>
              </w:rPr>
            </w:pPr>
            <w:r>
              <w:rPr>
                <w:rFonts w:ascii="Arial" w:cs="Arial" w:eastAsia="Arial" w:hAnsi="Arial"/>
                <w:sz w:val="18"/>
                <w:szCs w:val="18"/>
                <w:color w:val="auto"/>
              </w:rPr>
              <w:t>2002</w:t>
            </w:r>
          </w:p>
        </w:tc>
      </w:tr>
      <w:tr>
        <w:trPr>
          <w:trHeight w:val="21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101.SCH*</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10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right="10120" w:firstLine="8"/>
        <w:spacing w:after="0" w:line="332" w:lineRule="auto"/>
        <w:tabs>
          <w:tab w:leader="none" w:pos="23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400" w:val="left"/>
          <w:tab w:leader="none" w:pos="598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10795</wp:posOffset>
            </wp:positionV>
            <wp:extent cx="29241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Richard Ackerman</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5400" w:val="left"/>
          <w:tab w:leader="none" w:pos="598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10795</wp:posOffset>
            </wp:positionV>
            <wp:extent cx="29241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Lori B. Wittman</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Financial Officer and Director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1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373" w:lineRule="exact"/>
        <w:rPr>
          <w:rFonts w:ascii="Arial" w:cs="Arial" w:eastAsia="Arial" w:hAnsi="Arial"/>
          <w:sz w:val="18"/>
          <w:szCs w:val="18"/>
          <w:color w:val="auto"/>
        </w:rPr>
      </w:pPr>
    </w:p>
    <w:p>
      <w:pPr>
        <w:jc w:val="both"/>
        <w:ind w:left="660" w:hanging="328"/>
        <w:spacing w:after="0" w:line="370"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4"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2" w:lineRule="exact"/>
        <w:rPr>
          <w:rFonts w:ascii="Arial" w:cs="Arial" w:eastAsia="Arial" w:hAnsi="Arial"/>
          <w:sz w:val="18"/>
          <w:szCs w:val="18"/>
          <w:color w:val="auto"/>
        </w:rPr>
      </w:pPr>
    </w:p>
    <w:p>
      <w:pPr>
        <w:ind w:left="980" w:hanging="324"/>
        <w:spacing w:after="0" w:line="33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9"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87" w:lineRule="exact"/>
        <w:rPr>
          <w:rFonts w:ascii="Arial" w:cs="Arial" w:eastAsia="Arial" w:hAnsi="Arial"/>
          <w:sz w:val="16"/>
          <w:szCs w:val="16"/>
          <w:color w:val="auto"/>
        </w:rPr>
      </w:pPr>
    </w:p>
    <w:p>
      <w:pPr>
        <w:ind w:left="980" w:hanging="324"/>
        <w:spacing w:after="0" w:line="268"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4"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Ackerman</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Richard Ackerman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Lori Wittman,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Big Rock Partners Acquisition Corp.;</w:t>
      </w:r>
    </w:p>
    <w:p>
      <w:pPr>
        <w:spacing w:after="0" w:line="225" w:lineRule="exact"/>
        <w:rPr>
          <w:rFonts w:ascii="Arial" w:cs="Arial" w:eastAsia="Arial" w:hAnsi="Arial"/>
          <w:sz w:val="18"/>
          <w:szCs w:val="18"/>
          <w:color w:val="auto"/>
        </w:rPr>
      </w:pPr>
    </w:p>
    <w:p>
      <w:pPr>
        <w:jc w:val="both"/>
        <w:ind w:left="660" w:hanging="328"/>
        <w:spacing w:after="0" w:line="370"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324"/>
        <w:spacing w:after="0" w:line="33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980" w:hanging="324"/>
        <w:spacing w:after="0" w:line="268"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6"/>
          <w:szCs w:val="16"/>
          <w:color w:val="auto"/>
        </w:rPr>
        <w:t>/s/ Lori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Lori Wittman</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March 31, 2019,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667385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accompanying Quarterly Report on Form 10-Q of Big Rock Partners Acquisition Corp. (the “Company”) for the quarterly period ended March 31, 2019, as filed with the Securities and Exchange Commission (the “Report”), the undersigned hereby certifies pursuant to 18 U.S.C. Section 1350, as adopted pursuant to Section 906 of the Sarbanes-Oxley Act of 2002, to my knowledge and belief, that:</w:t>
      </w:r>
    </w:p>
    <w:p>
      <w:pPr>
        <w:spacing w:after="0" w:line="194"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May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Lori B.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B. Wittman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amp;"/>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2019-12-02T19:15:27Z</dcterms:created>
  <dcterms:modified xsi:type="dcterms:W3CDTF">2019-12-02T19:15:27Z</dcterms:modified>
</cp:coreProperties>
</file>