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ind w:left="3960" w:right="2380" w:hanging="3952"/>
        <w:spacing w:after="0" w:line="493" w:lineRule="auto"/>
        <w:tabs>
          <w:tab w:leader="none" w:pos="23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 (d) OF THE SECURITIES EXCHANGE ACT OF 1934 For the fiscal year ended December 31, 2020</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spacing w:after="0"/>
        <w:tabs>
          <w:tab w:leader="none" w:pos="3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1473200</wp:posOffset>
            </wp:positionH>
            <wp:positionV relativeFrom="paragraph">
              <wp:posOffset>-10160</wp:posOffset>
            </wp:positionV>
            <wp:extent cx="1207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001-38302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BIG ROCK PARTNERS ACQUISITION CORP.</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7" w:lineRule="exact"/>
        <w:rPr>
          <w:sz w:val="24"/>
          <w:szCs w:val="24"/>
          <w:color w:val="auto"/>
        </w:rPr>
      </w:pPr>
    </w:p>
    <w:tbl>
      <w:tblPr>
        <w:tblLayout w:type="fixed"/>
        <w:tblInd w:w="1140" w:type="dxa"/>
        <w:tblCellMar>
          <w:top w:w="0" w:type="dxa"/>
          <w:left w:w="0" w:type="dxa"/>
          <w:bottom w:w="0" w:type="dxa"/>
          <w:right w:w="0" w:type="dxa"/>
        </w:tblCellMar>
      </w:tblPr>
      <w:tr>
        <w:trPr>
          <w:trHeight w:val="237"/>
        </w:trPr>
        <w:tc>
          <w:tcPr>
            <w:tcW w:w="5980" w:type="dxa"/>
            <w:vAlign w:val="bottom"/>
            <w:gridSpan w:val="3"/>
          </w:tcPr>
          <w:p>
            <w:pPr>
              <w:jc w:val="center"/>
              <w:ind w:right="1680"/>
              <w:spacing w:after="0"/>
              <w:rPr>
                <w:sz w:val="20"/>
                <w:szCs w:val="20"/>
                <w:color w:val="auto"/>
              </w:rPr>
            </w:pPr>
            <w:r>
              <w:rPr>
                <w:rFonts w:ascii="Arial" w:cs="Arial" w:eastAsia="Arial" w:hAnsi="Arial"/>
                <w:sz w:val="18"/>
                <w:szCs w:val="18"/>
                <w:b w:val="1"/>
                <w:bCs w:val="1"/>
                <w:color w:val="auto"/>
                <w:w w:val="88"/>
              </w:rPr>
              <w:t>Delaware</w:t>
            </w:r>
          </w:p>
        </w:tc>
        <w:tc>
          <w:tcPr>
            <w:tcW w:w="3000" w:type="dxa"/>
            <w:vAlign w:val="bottom"/>
          </w:tcPr>
          <w:p>
            <w:pPr>
              <w:jc w:val="center"/>
              <w:ind w:right="1232"/>
              <w:spacing w:after="0"/>
              <w:rPr>
                <w:sz w:val="20"/>
                <w:szCs w:val="20"/>
                <w:color w:val="auto"/>
              </w:rPr>
            </w:pPr>
            <w:r>
              <w:rPr>
                <w:rFonts w:ascii="Arial" w:cs="Arial" w:eastAsia="Arial" w:hAnsi="Arial"/>
                <w:sz w:val="18"/>
                <w:szCs w:val="18"/>
                <w:b w:val="1"/>
                <w:bCs w:val="1"/>
                <w:color w:val="auto"/>
                <w:w w:val="87"/>
              </w:rPr>
              <w:t>82-2844431</w:t>
            </w:r>
          </w:p>
        </w:tc>
      </w:tr>
      <w:tr>
        <w:trPr>
          <w:trHeight w:val="202"/>
        </w:trPr>
        <w:tc>
          <w:tcPr>
            <w:tcW w:w="43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9"/>
              </w:rPr>
              <w:t>(State or other jurisdiction of</w:t>
            </w:r>
          </w:p>
        </w:tc>
        <w:tc>
          <w:tcPr>
            <w:tcW w:w="36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tcPr>
          <w:p>
            <w:pPr>
              <w:jc w:val="center"/>
              <w:ind w:right="1232"/>
              <w:spacing w:after="0" w:line="201" w:lineRule="exact"/>
              <w:rPr>
                <w:sz w:val="20"/>
                <w:szCs w:val="20"/>
                <w:color w:val="auto"/>
              </w:rPr>
            </w:pPr>
            <w:r>
              <w:rPr>
                <w:rFonts w:ascii="Arial" w:cs="Arial" w:eastAsia="Arial" w:hAnsi="Arial"/>
                <w:sz w:val="18"/>
                <w:szCs w:val="18"/>
                <w:b w:val="1"/>
                <w:bCs w:val="1"/>
                <w:color w:val="auto"/>
                <w:w w:val="92"/>
              </w:rPr>
              <w:t>(I.R.S. Employer</w:t>
            </w:r>
          </w:p>
        </w:tc>
      </w:tr>
      <w:tr>
        <w:trPr>
          <w:trHeight w:val="228"/>
        </w:trPr>
        <w:tc>
          <w:tcPr>
            <w:tcW w:w="5980" w:type="dxa"/>
            <w:vAlign w:val="bottom"/>
            <w:gridSpan w:val="3"/>
          </w:tcPr>
          <w:p>
            <w:pPr>
              <w:jc w:val="center"/>
              <w:ind w:right="1680"/>
              <w:spacing w:after="0"/>
              <w:rPr>
                <w:sz w:val="20"/>
                <w:szCs w:val="20"/>
                <w:color w:val="auto"/>
              </w:rPr>
            </w:pPr>
            <w:r>
              <w:rPr>
                <w:rFonts w:ascii="Arial" w:cs="Arial" w:eastAsia="Arial" w:hAnsi="Arial"/>
                <w:sz w:val="18"/>
                <w:szCs w:val="18"/>
                <w:b w:val="1"/>
                <w:bCs w:val="1"/>
                <w:color w:val="auto"/>
                <w:w w:val="89"/>
              </w:rPr>
              <w:t>incorporation or organization)</w:t>
            </w:r>
          </w:p>
        </w:tc>
        <w:tc>
          <w:tcPr>
            <w:tcW w:w="3000" w:type="dxa"/>
            <w:vAlign w:val="bottom"/>
          </w:tcPr>
          <w:p>
            <w:pPr>
              <w:jc w:val="center"/>
              <w:ind w:right="1232"/>
              <w:spacing w:after="0"/>
              <w:rPr>
                <w:sz w:val="20"/>
                <w:szCs w:val="20"/>
                <w:color w:val="auto"/>
              </w:rPr>
            </w:pPr>
            <w:r>
              <w:rPr>
                <w:rFonts w:ascii="Arial" w:cs="Arial" w:eastAsia="Arial" w:hAnsi="Arial"/>
                <w:sz w:val="18"/>
                <w:szCs w:val="18"/>
                <w:b w:val="1"/>
                <w:bCs w:val="1"/>
                <w:color w:val="auto"/>
                <w:w w:val="89"/>
              </w:rPr>
              <w:t>Identification No.)</w:t>
            </w:r>
          </w:p>
        </w:tc>
      </w:tr>
      <w:tr>
        <w:trPr>
          <w:trHeight w:val="420"/>
        </w:trPr>
        <w:tc>
          <w:tcPr>
            <w:tcW w:w="5980" w:type="dxa"/>
            <w:vAlign w:val="bottom"/>
            <w:gridSpan w:val="3"/>
          </w:tcPr>
          <w:p>
            <w:pPr>
              <w:jc w:val="center"/>
              <w:ind w:left="2912"/>
              <w:spacing w:after="0"/>
              <w:rPr>
                <w:sz w:val="20"/>
                <w:szCs w:val="20"/>
                <w:color w:val="auto"/>
              </w:rPr>
            </w:pPr>
            <w:r>
              <w:rPr>
                <w:rFonts w:ascii="Arial" w:cs="Arial" w:eastAsia="Arial" w:hAnsi="Arial"/>
                <w:sz w:val="18"/>
                <w:szCs w:val="18"/>
                <w:b w:val="1"/>
                <w:bCs w:val="1"/>
                <w:color w:val="auto"/>
                <w:w w:val="88"/>
              </w:rPr>
              <w:t>2645 N. Federal Highway, Suite 230</w:t>
            </w:r>
          </w:p>
        </w:tc>
        <w:tc>
          <w:tcPr>
            <w:tcW w:w="3000" w:type="dxa"/>
            <w:vAlign w:val="bottom"/>
          </w:tcPr>
          <w:p>
            <w:pPr>
              <w:spacing w:after="0"/>
              <w:rPr>
                <w:sz w:val="24"/>
                <w:szCs w:val="24"/>
                <w:color w:val="auto"/>
              </w:rPr>
            </w:pPr>
          </w:p>
        </w:tc>
      </w:tr>
      <w:tr>
        <w:trPr>
          <w:trHeight w:val="228"/>
        </w:trPr>
        <w:tc>
          <w:tcPr>
            <w:tcW w:w="5980" w:type="dxa"/>
            <w:vAlign w:val="bottom"/>
            <w:gridSpan w:val="3"/>
          </w:tcPr>
          <w:p>
            <w:pPr>
              <w:jc w:val="center"/>
              <w:ind w:left="2912"/>
              <w:spacing w:after="0"/>
              <w:rPr>
                <w:sz w:val="20"/>
                <w:szCs w:val="20"/>
                <w:color w:val="auto"/>
              </w:rPr>
            </w:pPr>
            <w:r>
              <w:rPr>
                <w:rFonts w:ascii="Arial" w:cs="Arial" w:eastAsia="Arial" w:hAnsi="Arial"/>
                <w:sz w:val="18"/>
                <w:szCs w:val="18"/>
                <w:b w:val="1"/>
                <w:bCs w:val="1"/>
                <w:color w:val="auto"/>
                <w:w w:val="89"/>
              </w:rPr>
              <w:t>Delray Beach, Florida 33483</w:t>
            </w:r>
          </w:p>
        </w:tc>
        <w:tc>
          <w:tcPr>
            <w:tcW w:w="3000" w:type="dxa"/>
            <w:vAlign w:val="bottom"/>
          </w:tcPr>
          <w:p>
            <w:pPr>
              <w:spacing w:after="0"/>
              <w:rPr>
                <w:sz w:val="19"/>
                <w:szCs w:val="19"/>
                <w:color w:val="auto"/>
              </w:rPr>
            </w:pPr>
          </w:p>
        </w:tc>
      </w:tr>
    </w:tbl>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(310) 734-2300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706" w:right="339" w:bottom="0" w:gutter="0" w:footer="0" w:header="0"/>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943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17145"/>
                    </a:xfrm>
                    <a:prstGeom prst="rect">
                      <a:avLst/>
                    </a:prstGeom>
                    <a:noFill/>
                  </pic:spPr>
                </pic:pic>
              </a:graphicData>
            </a:graphic>
          </wp:anchor>
        </w:drawing>
      </w:r>
    </w:p>
    <w:p>
      <w:pPr>
        <w:spacing w:after="0" w:line="16" w:lineRule="exact"/>
        <w:rPr>
          <w:sz w:val="24"/>
          <w:szCs w:val="24"/>
          <w:color w:val="auto"/>
        </w:rPr>
      </w:pPr>
    </w:p>
    <w:p>
      <w:pPr>
        <w:spacing w:after="0" w:line="257" w:lineRule="auto"/>
        <w:rPr>
          <w:sz w:val="20"/>
          <w:szCs w:val="20"/>
          <w:color w:val="auto"/>
        </w:rPr>
      </w:pPr>
      <w:r>
        <w:rPr>
          <w:rFonts w:ascii="Arial" w:cs="Arial" w:eastAsia="Arial" w:hAnsi="Arial"/>
          <w:sz w:val="18"/>
          <w:szCs w:val="18"/>
          <w:b w:val="1"/>
          <w:bCs w:val="1"/>
          <w:color w:val="auto"/>
        </w:rPr>
        <w:t>Units, each consisting of one share of Common Stock, one Right and one-half of one Warrant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9" w:lineRule="exact"/>
        <w:rPr>
          <w:sz w:val="24"/>
          <w:szCs w:val="24"/>
          <w:color w:val="auto"/>
        </w:rPr>
      </w:pPr>
    </w:p>
    <w:p>
      <w:pPr>
        <w:spacing w:after="0" w:line="250" w:lineRule="auto"/>
        <w:rPr>
          <w:sz w:val="20"/>
          <w:szCs w:val="20"/>
          <w:color w:val="auto"/>
        </w:rPr>
      </w:pPr>
      <w:r>
        <w:rPr>
          <w:rFonts w:ascii="Arial" w:cs="Arial" w:eastAsia="Arial" w:hAnsi="Arial"/>
          <w:sz w:val="18"/>
          <w:szCs w:val="18"/>
          <w:b w:val="1"/>
          <w:bCs w:val="1"/>
          <w:color w:val="auto"/>
        </w:rPr>
        <w:t>Rights, exchangeable into one-tenth of one share of Common Stock</w:t>
      </w:r>
    </w:p>
    <w:p>
      <w:pPr>
        <w:spacing w:after="0" w:line="1" w:lineRule="exact"/>
        <w:rPr>
          <w:sz w:val="24"/>
          <w:szCs w:val="24"/>
          <w:color w:val="auto"/>
        </w:rPr>
      </w:pPr>
    </w:p>
    <w:p>
      <w:pPr>
        <w:ind w:right="20"/>
        <w:spacing w:after="0" w:line="260" w:lineRule="auto"/>
        <w:rPr>
          <w:sz w:val="20"/>
          <w:szCs w:val="20"/>
          <w:color w:val="auto"/>
        </w:rPr>
      </w:pPr>
      <w:r>
        <w:rPr>
          <w:rFonts w:ascii="Arial" w:cs="Arial" w:eastAsia="Arial" w:hAnsi="Arial"/>
          <w:sz w:val="18"/>
          <w:szCs w:val="18"/>
          <w:b w:val="1"/>
          <w:bCs w:val="1"/>
          <w:color w:val="auto"/>
        </w:rPr>
        <w:t>Warrants, each whole warrant exercisable for one share of Common Stock at an exercise price of $11.50</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Trading Symbol(s)</w:t>
            </w:r>
          </w:p>
        </w:tc>
        <w:tc>
          <w:tcPr>
            <w:tcW w:w="22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322"/>
        </w:trPr>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BRPAU</w:t>
            </w:r>
          </w:p>
        </w:tc>
        <w:tc>
          <w:tcPr>
            <w:tcW w:w="2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r>
        <w:trPr>
          <w:trHeight w:val="324"/>
        </w:trPr>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BRPA</w:t>
            </w:r>
          </w:p>
        </w:tc>
        <w:tc>
          <w:tcPr>
            <w:tcW w:w="2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r>
        <w:trPr>
          <w:trHeight w:val="324"/>
        </w:trPr>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BRPAR</w:t>
            </w:r>
          </w:p>
        </w:tc>
        <w:tc>
          <w:tcPr>
            <w:tcW w:w="2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r>
        <w:trPr>
          <w:trHeight w:val="432"/>
        </w:trPr>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BRPAW</w:t>
            </w:r>
          </w:p>
        </w:tc>
        <w:tc>
          <w:tcPr>
            <w:tcW w:w="2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bl>
    <w:p>
      <w:pPr>
        <w:spacing w:after="0" w:line="311" w:lineRule="exact"/>
        <w:rPr>
          <w:sz w:val="24"/>
          <w:szCs w:val="24"/>
          <w:color w:val="auto"/>
        </w:rPr>
      </w:pPr>
    </w:p>
    <w:p>
      <w:pPr>
        <w:sectPr>
          <w:pgSz w:w="11900" w:h="16838" w:orient="portrait"/>
          <w:cols w:equalWidth="0" w:num="2">
            <w:col w:w="4880" w:space="220"/>
            <w:col w:w="6140"/>
          </w:cols>
          <w:pgMar w:left="320" w:top="706" w:right="3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99" w:lineRule="exact"/>
        <w:rPr>
          <w:sz w:val="24"/>
          <w:szCs w:val="24"/>
          <w:color w:val="auto"/>
        </w:rPr>
      </w:pPr>
    </w:p>
    <w:p>
      <w:pPr>
        <w:spacing w:after="0" w:line="207" w:lineRule="exact"/>
        <w:tabs>
          <w:tab w:leader="none" w:pos="8380" w:val="left"/>
          <w:tab w:leader="none" w:pos="898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tabs>
          <w:tab w:leader="none" w:pos="8540" w:val="left"/>
          <w:tab w:leader="none" w:pos="918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1100"/>
              <w:spacing w:after="0"/>
              <w:rPr>
                <w:sz w:val="20"/>
                <w:szCs w:val="20"/>
                <w:color w:val="auto"/>
              </w:rPr>
            </w:pPr>
            <w:r>
              <w:rPr>
                <w:rFonts w:ascii="Arial" w:cs="Arial" w:eastAsia="Arial" w:hAnsi="Arial"/>
                <w:sz w:val="18"/>
                <w:szCs w:val="18"/>
                <w:color w:val="auto"/>
              </w:rPr>
              <w:t>Accelerated filer</w:t>
            </w:r>
          </w:p>
        </w:tc>
        <w:tc>
          <w:tcPr>
            <w:tcW w:w="1600" w:type="dxa"/>
            <w:vAlign w:val="bottom"/>
          </w:tcPr>
          <w:p>
            <w:pPr>
              <w:ind w:left="1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1100"/>
              <w:spacing w:after="0"/>
              <w:rPr>
                <w:sz w:val="20"/>
                <w:szCs w:val="20"/>
                <w:color w:val="auto"/>
              </w:rPr>
            </w:pPr>
            <w:r>
              <w:rPr>
                <w:rFonts w:ascii="Arial" w:cs="Arial" w:eastAsia="Arial" w:hAnsi="Arial"/>
                <w:sz w:val="18"/>
                <w:szCs w:val="18"/>
                <w:color w:val="auto"/>
              </w:rPr>
              <w:t>Smaller reporting company</w:t>
            </w:r>
          </w:p>
        </w:tc>
        <w:tc>
          <w:tcPr>
            <w:tcW w:w="1600" w:type="dxa"/>
            <w:vAlign w:val="bottom"/>
          </w:tcPr>
          <w:p>
            <w:pPr>
              <w:ind w:left="1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5"/>
        </w:trPr>
        <w:tc>
          <w:tcPr>
            <w:tcW w:w="27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4460" w:type="dxa"/>
            <w:vAlign w:val="bottom"/>
          </w:tcPr>
          <w:p>
            <w:pPr>
              <w:ind w:left="1100"/>
              <w:spacing w:after="0"/>
              <w:rPr>
                <w:sz w:val="20"/>
                <w:szCs w:val="20"/>
                <w:color w:val="auto"/>
              </w:rPr>
            </w:pPr>
            <w:r>
              <w:rPr>
                <w:rFonts w:ascii="Arial" w:cs="Arial" w:eastAsia="Arial" w:hAnsi="Arial"/>
                <w:sz w:val="18"/>
                <w:szCs w:val="18"/>
                <w:color w:val="auto"/>
              </w:rPr>
              <w:t>Emerging growth company</w:t>
            </w:r>
          </w:p>
        </w:tc>
        <w:tc>
          <w:tcPr>
            <w:tcW w:w="1600" w:type="dxa"/>
            <w:vAlign w:val="bottom"/>
          </w:tcPr>
          <w:p>
            <w:pPr>
              <w:ind w:left="1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0"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207" w:lineRule="exact"/>
        <w:tabs>
          <w:tab w:leader="none" w:pos="7340" w:val="left"/>
          <w:tab w:leader="none" w:pos="7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240"/>
          </w:cols>
          <w:pgMar w:left="320" w:top="706" w:right="339" w:bottom="0" w:gutter="0" w:footer="0" w:header="0"/>
          <w:type w:val="continuous"/>
        </w:sectPr>
      </w:pPr>
    </w:p>
    <w:bookmarkStart w:id="1" w:name="page2"/>
    <w:bookmarkEnd w:id="1"/>
    <w:p>
      <w:pPr>
        <w:jc w:val="both"/>
        <w:spacing w:after="0" w:line="306" w:lineRule="auto"/>
        <w:rPr>
          <w:sz w:val="20"/>
          <w:szCs w:val="20"/>
          <w:color w:val="auto"/>
        </w:rPr>
      </w:pPr>
      <w:r>
        <w:rPr>
          <w:rFonts w:ascii="Arial" w:cs="Arial" w:eastAsia="Arial" w:hAnsi="Arial"/>
          <w:sz w:val="16"/>
          <w:szCs w:val="16"/>
          <w:color w:val="auto"/>
        </w:rPr>
        <w:t>The aggregate market value of the voting and non-voting common stock outstanding, other than shares held by persons who may be deemed affiliates of the registrant, computed by reference to the closing price for the common stock as of the last business day of the registrant’s most recently completed second fiscal quarter ($10.50 as of June 30, 2020), as reported on the Nasdaq Capital Market, was approximately $6.1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May 7, 2021, was 2,687,912.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Big Rock Partners Acquisition Corp. (the “Company”) is filing this Amendment No. 1 on Form 10-K/A (the “Amendment”) to the Annual Report on Form 10-K for the year ended December 31, 2020, originally filed with the U.S. Securities and Exchange Commission (the “SEC”) on April 1, 2021 (the “Original 10-K”) as a comprehensive amendment to amend and restate its financial statements and related footnote disclosures as of December 31, 2020. Accordingly, the following sections of the Original 10-K are being amended and restated hereby: Part I, Item 1A “Risk Factors”, Part II, Item 7 “Management’s Discussion and Analysis of Financial Condition and Results of Operations”, Part II, Item 8 “Financial Statements and Supplementary Data”, Part II, Item 9A “Controls and Procedures” and Part IV, Item 15, “Exhibits and Financial Statement Schedules”. In addition, as required by Rule 12b-15 under the Securities Exchange Act of 1934, as amended (“Exchange Act”), new certifications by our principal executive officer and principal financial officer are being filed as exhibits to this Amendment.</w:t>
      </w:r>
    </w:p>
    <w:p>
      <w:pPr>
        <w:spacing w:after="0" w:line="198"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As noted above, Part II, Item 8 “Financial Statements and Supplementary Data” of this Amendment reflects the restatement of financial information included in the Company’s Original 10-K filed with the SEC. This Amendment supersedes the financial information included in the Original 10-K.</w:t>
      </w:r>
    </w:p>
    <w:p>
      <w:pPr>
        <w:spacing w:after="0" w:line="1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Except as described above, no other changes have been made to the Original 10-K. The Original 10-K continues to speak as of the date of the Original 10-K, and we have not updated the disclosures contained therein to reflect any events which occurred at a date subsequent to the filing of the Original 10-K. Accordingly, this Amendment should be read in conjunction with the Original 10-K and our filings with the SEC subsequent to the date of the Original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of Restatement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6, 2021, the audit committee of the board of directors (“Audit Committee”) of the Company determined, after consultation with Marcum LLP, the Company’s independent registered public accounting firm, that the Company’s financial statements which were included in the Original 10-K should no longer be relied upon due to an error in such financial statements relating to the Company’s classification of an aggregate of 136,250 warrants that were issued to the Company’s sponsor in a private placement that closed concurrently with the closing of the Company’s initial public offering (“Private Warrants”) as equity. Similarly, the Company’s management’s reports on the effectiveness of internal control over financial reporting for such periods should no longer be relied upon.</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error was uncovered following the release of a joint statement on April 12, 2021 by the Acting Director of the Division of Corporation Finance and Acting Chief Accountant of the SEC regarding the accounting and reporting considerations for warrants issued by special purpose acquisition companies entitled “Staff Statement on Accounting and Reporting Considerations for Warrants Issued by Special Purpose Acquisition Companies (“SPACs”) (the “SEC Statement”). The SEC Statement advises, among other things, that certain adjustments generally present in SPAC warrants preclude such warrants from being accounted for as equity.</w:t>
      </w: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result of the SEC Statement, the Company reevaluated the accounting treatment of the Private Warrants. In consideration of the guidance in Accounting Standards Codification (“ASC”) 815-40, “</w:t>
      </w:r>
      <w:r>
        <w:rPr>
          <w:rFonts w:ascii="Arial" w:cs="Arial" w:eastAsia="Arial" w:hAnsi="Arial"/>
          <w:sz w:val="16"/>
          <w:szCs w:val="16"/>
          <w:i w:val="1"/>
          <w:iCs w:val="1"/>
          <w:color w:val="auto"/>
        </w:rPr>
        <w:t>Derivatives and Hedging — Contracts in Entity’s Own Equity”.</w:t>
      </w:r>
      <w:r>
        <w:rPr>
          <w:rFonts w:ascii="Arial" w:cs="Arial" w:eastAsia="Arial" w:hAnsi="Arial"/>
          <w:sz w:val="16"/>
          <w:szCs w:val="16"/>
          <w:color w:val="auto"/>
        </w:rPr>
        <w:t xml:space="preserve">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Private Warrants are not indexed to the Company’s common stock in the manner contemplated by ASC Section 815-40-15 because the holder of the instrument is not an input into the pricing of a fixed-for-fixed option on equity shares. Accordingly, the Private Warrants are required to be classified as a liability measured at fair value at inception (on the date of issuance) and at each reporting date in accordance with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with changes in fair value recognized in the statement of operations in the period of change.</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restatement results in non-cash, non-operating financial statement corrections and will have no impact on the Company’s current or previously reported cash position, operating expenses or total operating, investing or financing cash flows.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Part IV, Item 15, Note 2, “Restatement of Previously Issued Financial Statements” of the notes to the consolidated financial statements of this Amendment for a more detailed discussion of the error and the effects of the restatement.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Considerations</w:t>
      </w:r>
    </w:p>
    <w:p>
      <w:pPr>
        <w:spacing w:after="0" w:line="225"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In connection with the restatement, the Company’s management reassessed the effectiveness of its disclosure controls and procedures as of December 31, 2020. As a result of that reassessment and in light of the SEC Statement, the Company’s management determined that its disclosure controls and procedures as of December 31, 2020 were not effective solely as a result of its classification of the Private Warrants as components of equity instead of as derivative liabilities. For a discussion of management’s consideration of the material weakness identified, see Item 9A. Controls and Procedures included in this Amendment.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Our business, financial condition, operating results, and cash flows may be impacted by a number of factors, many of which are beyond our control, including those set forth below and elsewhere in this Amendment and the Original 10-K, the occurrence of any one of which could have a material adverse effect on our actual results. The risks set forth below do not include specific risks relating to our proposed business combination with NeuroRx, or the risks inherent in NeuroRx’s business, which are included in Amendment No. 1 to the Registration Statement on Form S-4/A which we filed with the SEC on April 16, 2021, as may be further amended from time to time. The risks presented below assumes that we will not consummate the proposed business combination with NeuroRx, and that we will secure a further extension to consummate an initial business combination and then seek to find an alternative target with which to consummate an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Restatement</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Private Warrants are accounted for as liabilities and the changes in value of our Private Warrants could have a material effect on our financial results.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The SEC Statement advises, among other things, that certain adjustments generally present in SPAC warrants preclude such warrants from being accounted for as equity. As a result of the SEC Statement, we reevaluated the accounting treatment of the Private Warrants and determined to classify the Private Warrants as liabilities measured at fair value, with changes in fair value recognized in the statement of operations in the period of change.</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included on our consolidated balance sheet as of December 31, 2020 is a derivative liability related to embedded features contained within our Private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statements and results of operations may fluctuate quarterly, based on factors, which are outside of our control. Due to the recurring fair value measurement, we expect that we will recognize non-cash gains or losses on our Private Warrants each reporting period and that the amount of such gains or losses could be material.</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as of December 31, 2020.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Following this issuance of the SEC Statement, on May 6, 2021, after consultation with Marcum LLP, the Company’s independent registered public accounting firm, the Company’s management and the Audit Committee concluded that the Company’s financial statements which were included in the Original 10-K should no longer be relied upon due to errors in such consolidated financial statements relating to the Company’s classification the Private Warrants as equity rather than as liabilities. As a result, our management concluded that our internal control over financial reporting was not effective as of December 31, 2020 due to the existence of material weaknesses in such controls, and we have also concluded that our disclosure controls and procedures were not effective as of December 31, 2020 due to material weaknesses in our internal control over financial reporting, all as described in Part II, Item 9A, “Controls and Procedures” of this Amendment. 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 We continue to evaluate steps to remediate the material weakness. These remediation measures may be time consuming and costly and there is no assurance that these initiatives will ultimately have the intended effects.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jc w:val="both"/>
        <w:ind w:firstLine="648"/>
        <w:spacing w:after="0" w:line="291" w:lineRule="auto"/>
        <w:rPr>
          <w:sz w:val="20"/>
          <w:szCs w:val="20"/>
          <w:color w:val="auto"/>
        </w:rPr>
      </w:pPr>
      <w:r>
        <w:rPr>
          <w:rFonts w:ascii="Arial" w:cs="Arial" w:eastAsia="Arial" w:hAnsi="Arial"/>
          <w:sz w:val="16"/>
          <w:szCs w:val="16"/>
          <w:color w:val="auto"/>
        </w:rPr>
        <w:t>Moreover, because of the inherent limitations of any control system, material misstatements due to error or fraud may not be prevented or detected and corrected on a timely basis, or at all. If we are unable to provide reliable and timely financial reports in the future, our business and reputation may be further harmed. Restated financial statements and failures in internal control may also cause us to fail to meet reporting obligations, negatively affect investor confidence in our management and the accuracy of our financial statements and disclosures, or result in adverse publicity and concerns from investors, any of which could have a negative effect on the price of our securities, subject us to regulatory investigations and penalties or stockholder litigation, and have a material adverse impact on our financial condition.</w:t>
      </w:r>
    </w:p>
    <w:p>
      <w:pPr>
        <w:spacing w:after="0" w:line="17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We have restated our consolidated financial statements for the year as of and ended December 31, 2020, which may affect investor confidence, our stock price, our ability to raise capital in the future, our results of operations and financial condition, our ability to complete the proposed business combination with NeuroRx, and which may result in stockholder litigation.</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Amendment includes restated consolidated financial statements as of and for the fiscal year ended December 31, 2020. Such restatement may have the effect of eroding investor confidence in the Company and our financial reporting and accounting practices and processes, and may negatively impact the trading price of our securities, could have a material adverse effect on our business, results of operations and financial condition, may make it more difficult for us to raise capital on acceptable terms, if at all, and may adversely impact our ability to complete our proposed business combination with NeuroRx. The restatement and related material weaknesses in our internal control over financial reporting may also result in stockholder litigation.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Searching for and Consummating a Business Combination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operating history and, accordingly, you will not have any basis on which to evaluate our ability to achieve our business objective.</w:t>
      </w:r>
    </w:p>
    <w:p>
      <w:pPr>
        <w:spacing w:after="0" w:line="24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We have no operating results to date. Therefore, our ability to commence operations is dependent upon obtaining financing through the public offering of our securities. Since we do not have an operating history, you will have no basis upon which to evaluate our ability to achieve our business objective, which is to consummate an initial business combination. We have not conducted any substantive discussions and we have no plans, arrangements or understandings with any prospective acquisition candidates. We will not generate any revenues until, at the earliest, after the consummation of a business combination.</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consummate a business combination, our public stockholders may be forced to wait until May 24, 2021, or longer if additional extensions are approved, before receiving distributions from the trust account.</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until May 24, 2021, or such later date as may be approved by our stockholders, in which to complete a business combination. We have no obligation to return funds to investors prior to such date unless (i) we consummate a business combination prior thereto or (ii) we seek to amend our amended and restated certificate of incorporation prior to consummation of a business combination, and only then in cases where investors have sought to convert or sell their shares to us. Only after the expiration of this full time period will public security holders be entitled to distributions from the trust account if we are unable to complete a business combination. Accordingly, investors’ funds may be unavailable to them until after such date and to liquidate your investment, public security holders may be forced to sell their public shares or warrants, potentially at a loss.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requirement that we complete an initial business combination by May 24, 2021 (or such later date as may be approved by our stockholders) may give potential target businesses leverage over us in negotiating a business combination.</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until May 24, 2021 (or such later date as may be approved by our stockholders) to complete an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Our public stockholders may not be afforded an opportunity to vote on our proposed business combination.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will either (1) seek stockholder approval of our initial business combination at a meeting called for such purpose at which public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elsewhere in this Report. Accordingly, it is possible that we will consummate our initial business combination even if holders of a majority of our public shares do not approve of the business combination we consummate.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Sponsor, BRAC, and designees of the underwriter of our IPO control a substantial interest in us and thus may influence certain actions requiring a stockholder vote.</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of the date of this Amendment, our Sponsor, BRAC, and EBC and its designees own approximately 76.9% of our issued and outstanding shares of common stock. Neither the Sponsor, BRAC, our directors or executive officers nor EBC or any of their respective affiliates beneficially owned any public shares as of the date of this Amendment. However, they may choose to buy public shares in the open market and/or through negotiated private purchases after the date of this proxy statement. In the event that purchases do occur, the purchasers may seek to purchase shares from stockholders who would otherwise have voted against our initial business combination and/or elected to convert their shares. In connection with any vote for a proposed business combination, our Sponsor and BRAC, as well as all of our officers and directors, have agreed to vote the shares of common stock owned by them immediately before the Initial Public Offering as well as any shares of common stock acquired in the Initial Public Offering or in the aftermarket in favor of such proposed business combination.</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board of directors is divided into two classes, each of which will generally serve for a term of two years with only one class of directors being elected in each year. There may not be an annual meeting of stockholders to elect new directors prior to the consummation of a business combination, in which case all of the current directors will continue in office until at least the consummation of the business combination. If there is an annual meeting, as a consequence of our “staggered” board of directors, only a minority of the board of directors will be considered for election and our Sponsor, because of its ownership position, will have considerable influence regarding the outcome. Accordingly, our Sponsor will continue to exert control at least until the consummation of a business combination.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ability of our stockholders to exercise their conversion rights or sell their shares to us in a tender offer may not allow us to effectuate the most desirable business combination or optimize our capital structure.</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our business combination requires us to use substantially all of our cash to pay the purchase price, because we will not know how many stockholders may exercise conversion rights or seek to sell their shares to us in a tender offer, we may either need to reserve part of the trust account for possible payment upon such conversion, or we may need to arrange third party financing to help fund our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 w:name="page7"/>
    <w:bookmarkEnd w:id="6"/>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In connection with any vote to approve a business combination, we will offer each public stockholder the option to vote in favor of a proposed business combination and still seek conversion of his, her or its shares.</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In connection with any vote to approve a business combination, we will offer each public stockholder (but not our Sponsor, officers or directors) the right to have his, her or its shares of common stock converted to cash (subject to the limitations described elsewhere in this Amendment and the Original 10-K) regardless of whether such stockholder votes for or against such proposed business combination. This ability to seek conversion while voting in favor of our proposed business combination may make it more likely that we will consummate a business combination.</w:t>
      </w:r>
    </w:p>
    <w:p>
      <w:pPr>
        <w:spacing w:after="0" w:line="16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In connection with any stockholder meeting called to approve a proposed initial business combination, we may require stockholders who wish to convert their shares in connection with a proposed business combination to comply with specific requirements for conversion that may make it more difficult for them to exercise their conversion rights prior to the deadline for exercising their rights.</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any stockholder meeting called to approve a proposed initial business combination, each public stockholder will have the right, regardless of whether he is voting for or against such proposed business combination, to demand that we convert his shares into a pro rata share of the trust account as of two business days prior to the consummation of the initial business combination. We may require public stockholders who wish to convert their shares in connection with a proposed business combination to either (i) physically tender their certificates to our transfer agent or (ii) deliver their shares to the transfer agent electronically using the Depository Trust Company’s DWAC (Deposit/Withdrawal At Custodian) System, at the holders’ option, in each case prior to a date set forth in the proxy materials sent in connection with the proposal to approve the business combination.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we cannot assure you of this fact. Accordingly, if it takes longer than we anticipate for stockholders to deliver their shares, stockholders who wish to convert may be unable to meet the deadline for exercising their conversion rights and thus may be unable to convert their shares.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in connection with any stockholder meeting called to approve a proposed business combination, we require public stockholders who wish to convert their shares to comply with specific requirements for conversion, such converting stockholders may be unable to sell their securities when they wish to in the event that the proposed business combination is not approved.</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we require public stockholders who wish to convert their shares to either (i) physically tender their certificates to our transfer agent or (ii) deliver their shares to the transfer agent electronically using the Depository Trust Company’s DWAC (Deposit/Withdrawal At Custodian) System as described above and such proposed business combination is not consummated, we will promptly return such certificates to the tendering public stockholders. Accordingly, investors who attempted to convert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to, even while other stockholders that did not seek conversion may be able to sell their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of our structure, other companies may have a competitive advantage and we may not be able to consummate an attractive business combination.</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Our ability to compete in acquiring a target business will be limited by our available financial resources. This inherent competitive limitation gives others an advantage in pursuing the acquisition of certain target businesses. Furthermore, seeking stockholder approval or engaging in a tender offer in connection with any proposed business combination may delay the consummation of such a transaction. Additionally, our outstanding warrants, rights and the unit purchase option, and the future dilution they potentially represent, may not be viewed favorably by certain target businesses. Any of the foregoing may place us at a competitive disadvantage in successfully negotiating a business combination.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will not be able to complete a business combination with prospective target businesses unless their financial statements are prepared in accordance with such standards.</w:t>
      </w:r>
    </w:p>
    <w:p>
      <w:pPr>
        <w:spacing w:after="0" w:line="1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Additionally, to the extent we furnish our stockholders with financial statements prepared in accordance with IFRS, such financial statements may need to be audited in accordance with U.S. GAAP at the time of the consummation of the business combination. These financial statement requirements may limit the pool of potential target businesses we may acquire.</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issue shares of our capital stock or debt securities to complete a business combination, which would reduce the equity interest of our stockholders and likely cause a change in control of our ownership.</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Our amended and restated certificate of incorporation authorizes the issuance of up to 100,000,000 shares of common stock, par value $0.001 per share, and 1,000,000 shares of preferred stock, par value $0.001 per share. We may issue a substantial number of additional shares of common stock or shares of preferred stock, or a combination of common stock and preferred stock, to complete a business combination. The issuance of additional shares of common stock will not reduce the per-share conversion amount in the trust account. The issuance of additional shares of common stock or preferred stock:</w:t>
      </w:r>
    </w:p>
    <w:p>
      <w:pPr>
        <w:spacing w:after="0" w:line="1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existing common stockholders;</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 w:lineRule="exact"/>
        <w:rPr>
          <w:rFonts w:ascii="Arial" w:cs="Arial" w:eastAsia="Arial" w:hAnsi="Arial"/>
          <w:sz w:val="16"/>
          <w:szCs w:val="16"/>
          <w:color w:val="auto"/>
        </w:rPr>
      </w:pPr>
    </w:p>
    <w:p>
      <w:pPr>
        <w:ind w:left="660" w:right="5060" w:hanging="328"/>
        <w:spacing w:after="0" w:line="37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shares of common stock. Similarly, if we issue debt securities, it could result in: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 business combination are insufficient to repay our debt obligations;</w:t>
      </w:r>
    </w:p>
    <w:p>
      <w:pPr>
        <w:spacing w:after="0" w:line="32" w:lineRule="exact"/>
        <w:rPr>
          <w:rFonts w:ascii="Arial" w:cs="Arial" w:eastAsia="Arial" w:hAnsi="Arial"/>
          <w:sz w:val="16"/>
          <w:szCs w:val="16"/>
          <w:color w:val="auto"/>
        </w:rPr>
      </w:pPr>
    </w:p>
    <w:p>
      <w:pPr>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93" w:lineRule="exact"/>
        <w:rPr>
          <w:sz w:val="20"/>
          <w:szCs w:val="20"/>
          <w:color w:val="auto"/>
        </w:rPr>
      </w:pPr>
    </w:p>
    <w:p>
      <w:pPr>
        <w:ind w:right="20" w:firstLine="707"/>
        <w:spacing w:after="0" w:line="268" w:lineRule="auto"/>
        <w:rPr>
          <w:sz w:val="20"/>
          <w:szCs w:val="20"/>
          <w:color w:val="auto"/>
        </w:rPr>
      </w:pPr>
      <w:r>
        <w:rPr>
          <w:rFonts w:ascii="Arial" w:cs="Arial" w:eastAsia="Arial" w:hAnsi="Arial"/>
          <w:sz w:val="18"/>
          <w:szCs w:val="18"/>
          <w:color w:val="auto"/>
        </w:rPr>
        <w:t>If we incur indebtedness, our lenders will not have a claim on the cash in the trust account and such indebtedness will not decrease the per-share conversion amount in the trust account.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 w:name="page9"/>
    <w:bookmarkEnd w:id="8"/>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a business combination or to fund the operations and growth of the target business, which could compel us to restructure or abandon a particular business combination.</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of December 31, 2020, we had approximately $466 in available funds held outside of our trust account and approximately $6.0 million in the trust account. If these amounts prove to be insufficient to consummate an initial business combination, we will be required to seek additional financing. Such financing may not be available on acceptable terms, if at all. To the extent that additional financing proves to be unavailable when needed to consummate the proposed business combination with NeuroRx or any other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Sponsor, officers, directors or stockholders is required to provide any financing to us in connection with or after a business combination.</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acquire and therefore you may be relying solely on the judgment of our board of directors in approving a proposed business combination.</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only be required to obtain a fairness opinion with respect to the target business that we seek to acquire if it is an entity that is affiliated with any of our officers, directors or Sponsor. In all other instances, we will have no obligation to obtain an opinion. Accordingly, investors will be relying solely on the judgment of our board of directors in approving a proposed business combination.</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Resources could be spent researching acquisitions that are not consummated, which could materially adversely affect subsequent attempts to locate and acquire or merge with another business.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It is anticipated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a decision is made not to complete a specific business combination, the costs incurred up to that point for the proposed transaction likely would not be recoverable. Furthermore, even if an agreement is reached relating to a specific target business, we may fail to consummate the business combination for any number of reasons including those beyond our control. Any such event will result in a loss to us of the related costs incurred which could materially adversely affect subsequent attempts to locate and acquire or merge with another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only be able to complete one business combination, which will cause us to be solely dependent on a single business which may have a limited number of products or services.</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It is likely we will consummate a business combination with a single target business, although we have the ability to simultaneously acquire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20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19"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a business combination.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9" w:name="page10"/>
    <w:bookmarkEnd w:id="9"/>
    <w:p>
      <w:pPr>
        <w:jc w:val="both"/>
        <w:ind w:firstLine="648"/>
        <w:spacing w:after="0" w:line="291" w:lineRule="auto"/>
        <w:rPr>
          <w:sz w:val="20"/>
          <w:szCs w:val="20"/>
          <w:color w:val="auto"/>
        </w:rPr>
      </w:pPr>
      <w:r>
        <w:rPr>
          <w:rFonts w:ascii="Arial" w:cs="Arial" w:eastAsia="Arial" w:hAnsi="Arial"/>
          <w:sz w:val="16"/>
          <w:szCs w:val="16"/>
          <w:color w:val="auto"/>
        </w:rPr>
        <w:t>Alternatively, if we determine to simultaneously acquire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combinations.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into a single operating business. If we are unable to adequately address these risks, it could negatively impact our profitability and results of operations.</w:t>
      </w:r>
    </w:p>
    <w:p>
      <w:pPr>
        <w:spacing w:after="0" w:line="17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Our search for an initial business combination, and any target business with which we ultimately consummate an initial business combination, may be materially adversely affected by the recent coronavirus (COVID-19) outbreak and other events, and the status of debt and equity markets.</w:t>
      </w:r>
    </w:p>
    <w:p>
      <w:pPr>
        <w:spacing w:after="0" w:line="14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COVID-19 pandemic has adversely affected, and other events (such as terrorist attacks, natural disasters or a significant outbreak of other infectious diseases) could adversely affect, the economies and financial markets worldwide, and the business of any potential target business with which we consummate an initial business combination could be materially and adversely affected. Furthermore, we may be unable to complete an initial business combination if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an initial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events (such as terrorist attacks, natural disasters or a significant outbreak of other infectious diseases) continue for an extensive period of time, our ability to consummate an initial business combination, or the operations of a target business with which we ultimately consummate an initial business combination, may be materially adversely affected.</w:t>
      </w:r>
    </w:p>
    <w:p>
      <w:pPr>
        <w:spacing w:after="0" w:line="17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In addition, our ability to consummate a transaction may be dependent on the ability to raise equity and debt financing which may be impacted by COVID-19 and other events (such as terrorist attacks, natural disasters or a significant outbreak of other infectious diseases), including as a result of increased market volatility, decreased market liquidity in third-party financing being unavailable on terms acceptable to us or at all.</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recent years and especially since the fourth quarter of 2020,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22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0" w:name="page11"/>
    <w:bookmarkEnd w:id="10"/>
    <w:p>
      <w:pPr>
        <w:jc w:val="both"/>
        <w:spacing w:after="0" w:line="268"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recent months, the market for directors and officers liability insurance for special purpose acquisition companies has changed. The premiums charged for such policies have generally increased and the terms of such policies have generally become less favorable. There can be no assurance that these trends will not continue.</w:t>
      </w:r>
    </w:p>
    <w:p>
      <w:pPr>
        <w:spacing w:after="0" w:line="1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20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Post-Business Combination Company</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ability to successfully effect a business combination and to be successful thereafter will be totally dependent upon the efforts of our key personnel, some of whom may join us following a business combination. While we intend to closely scrutinize any individuals we engage after a business combination, we cannot assure you that our assessment of these individuals will prove to be correct.</w:t>
      </w:r>
    </w:p>
    <w:p>
      <w:pPr>
        <w:spacing w:after="0" w:line="1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ability to successfully effect a business combination is dependent upon the efforts of our key personnel. We believe that our success depends on the continued service of our key personnel, at least until we have consummated our initial business combination. We cannot assure you that any of our key personnel will remain with us for the immediate or foreseeable future. In addition, none of our officers are required to commit any specified amount of time to our affairs and, accordingly, our officers may have conflicts of interest in allocating management time among various business activities, including identifying potential business combinations and monitoring the related due diligence. We do not have employment agreements with, or key-man insurance on the life of, any of our officers. The unexpected loss of the services of our key personnel could have a detrimental effect on us.</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Additionally, the role of our key personnel after a business combination cannot presently be ascertained. Although some of our key personnel may continue to serve in senior management or advisory positions following a business combination, it is likely that most, if not all, of the management of the target business will remain in place. While we intend to closely scrutinize any individuals we engage after a business combination, we cannot assure you that our assessment of these individuals will prove to be correct.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officers and directors may not have significant experience or knowledge regarding the jurisdiction or industry of the target business we may seek to acquire.</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not limited to a particular industry and may consummate a business combination with a target business in any geographic location or industry we choose. We cannot assure you that our officers and directors will have enough experience or have sufficient knowledge relating to the jurisdiction of the target or its industry to make an informed decision regarding a business combination.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b w:val="1"/>
          <w:bCs w:val="1"/>
          <w:i w:val="1"/>
          <w:iCs w:val="1"/>
          <w:color w:val="auto"/>
        </w:rPr>
        <w:t>If we do not conduct an adequate due diligence investigation of a target business, we may subsequently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must conduct a due diligence investigation of the target businesses we intend to acquire. Intensive due diligence is time consuming and expensive due to the operations, accounting, finance and legal professionals who must be involved in the due diligence process. Even if we conduct extensive due diligence on a target business, this diligence may not reveal all material issues that may affect a particular target business, and factors outside the control of the target business and outside of our control may later arise. If our diligence fails to identify issues specific to a target business, industry or the environment in which the target business operates, we may later be forced to write-down or write-off assets, restructure our operations, or incur impairment or other charges that could result in our reporting losses. Even though these charges may be non-cash items and not have an immediate impact on our liquidity, the fact that we report charges of this nature could contribute to negative market perceptions about us or our common stock. In addition, charges of this nature may cause us to violate net worth or other covenants to which we may be subject as a result of assuming pre-existing debt held by a target business or by virtue of our obtaining debt financing during or subsequent to the business combination.</w:t>
      </w:r>
    </w:p>
    <w:p>
      <w:pPr>
        <w:spacing w:after="0" w:line="17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we would be subject to a variety of additional risks that may negatively impact our operations.</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may effect a business combination with a company located outside of the United States. If we did, we would be subject to any special considerations or risks associated with companies operating in the target business’s home jurisdiction, including any of the following:</w:t>
      </w:r>
    </w:p>
    <w:p>
      <w:pPr>
        <w:spacing w:after="0" w:line="18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1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We cannot assure you that we would be able to adequately address these additional risks. If we were unable to do so, our operations might suffer.</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8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If we effect a business combination with a company located outside of the United States, the laws of the country in which such company operates will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tax consequences to our business combinations that may adversely affect us.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While we expect to undertake any merger or acquisition so as to minimize taxes both to the acquired business and/or asset and us, such business combination might not meet the statutory requirements of a tax-free reorganization, or the parties might not obtain the intended tax-free treatment upon a transfer of shares or assets. A non-qualifying reorganization could result in the imposition of substantial taxes.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Risks Relating to Potential Conflicts of Interest of our Management, Directors, and Others</w:t>
      </w:r>
    </w:p>
    <w:p>
      <w:pPr>
        <w:spacing w:after="0" w:line="23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Our officers and directors may allocate their time to other businesses thereby causing conflicts of interest in their determination as to how much time to devote to our affairs. This conflict of interest could have a negative impact on our ability to consummate a business combination.</w:t>
      </w:r>
    </w:p>
    <w:p>
      <w:pPr>
        <w:spacing w:after="0" w:line="1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officers and directors are not required to commit their full time to our affairs, which could create a conflict of interest when allocating their time between our operations and their other commitments. We presently expect each of our employees to devote such amount of time as they reasonably believe is necessary to our business. We do not intend to have any full time employees prior to the consummation of our initial business combination. All of our officers and directors are engaged in other business endeavors and are not obligated to devote any specific number of hours to our affairs. If our officers’ and directors’ other business affairs require them to devote more substantial amounts of time to such affairs, it could limit their ability to devote time to our affairs and could have a negative impact on our ability to consummate our initial business combination. We cannot assure you that these conflicts will be resolved in our favor.</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officers and directors may have a conflict of interest in determining whether a particular target business is appropriate for a business combination.</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Sponsor, which is affiliated with certain of our officers and directors, has agreed to waive its right to convert its founder’s shares and any other shares purchased in the Initial Public Offering or thereafter, or to receive distributions from the trust account with respect to their founder’s shares upon our liquidation if we are unable to consummate a business combination. Accordingly, the shares acquired prior to the Initial Public Offering will be worthless if we do not consummate a business combination. Additionally, the warrants, including the warrants contained in the private placement units held by our Sponsor, will expire worthless if we do not consummate a business combination. The personal and financial interests of our directors and officers, through their interests in our Sponsor,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8"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b w:val="1"/>
          <w:bCs w:val="1"/>
          <w:i w:val="1"/>
          <w:iCs w:val="1"/>
          <w:color w:val="auto"/>
        </w:rPr>
        <w:t>Certain of our officers have, and any of our officers and directors or their affiliates may in the future have, outside fiduciary and contractual obligations and, accordingly, may have conflicts of interest in determining to which entity a particular business opportunity should be presented.</w:t>
      </w:r>
    </w:p>
    <w:p>
      <w:pPr>
        <w:spacing w:after="0" w:line="1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Certain of our directors have, and any of our officers and directors or their affiliates may in the future have, fiduciary and contractual obligations to other companies. Accordingly, they may participate in transactions and have obligations that may be in conflict or competition with the consummation of our initial business combination. As a result, a potential target business may be presented by our management team to another entity prior to its presentation to us and we may not be afforded the opportunity to engage in a transaction with such target business. For a more detailed description of the pre-existing fiduciary and contractual obligations of our management team, and the potential conflicts of interest that such obligations may present, see the section titled “Part III, Item 10. Directors, Executive Officers and Corporate Governance.”</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a business combination and as a result, may cause them to have conflicts of interest in determining whether a particular business combination is the most advantageous.</w:t>
      </w:r>
    </w:p>
    <w:p>
      <w:pPr>
        <w:spacing w:after="0" w:line="1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Our key personnel will be able to remain with the company after the consummation of a business combination only if they are able to negotiate employment or consulting agreements or other appropriate arrangements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the company after the consummation of the business combination. The personal and financial interests of such individuals may influence their motivation in identifying and selecting a target business.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do not file and maintain a current and effective prospectus relating to the common stock issuable upon exercise of the warrants, holders will only be able to exercise such warrants on a “cashless basis.”</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we do not file and maintain a current and effective prospectus relating to the common stock issuable upon exercise of the warrants at the time that holders wish to exercise such warrants, they will only be able to exercise them on a “cashless basis” provided that an exemption from registration is available. As a result, the number of shares of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common stock issuable upon exercise of the warrants is available. Under the terms of the warrant agreement, we have agreed to use our best efforts to meet these conditions and to file and maintain a current and effective prospectus relating to the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17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An investor will only be able to exercise a warrant if the issuance of shares of common stock upon such exercise has been registered or qualified or is deemed exempt under the securities laws of the state of residence of the holder of the warrants.</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 warrants will be exercisable and we will not be obligated to issue shares of common stock unless the shares of common stock issuable upon such exercise has been registered or qualified or deemed to be exempt under the securities laws of the state of residence of the holder of the warrants. If the shares of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 and may be subject to redemption.</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with the approval by the holders of at least 50% of the then outstanding warrants.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warrants were issued in registered form under the Warrant Agreement, dated November 20, 2017, between Continental Stock Transfer &amp; Trust Company, as warrant agent, and us. The warrant agreement provides that the terms of the warrants may be amended without the consent of any holder to cure any ambiguity or correct any defective provision. The warrant agreement requires the approval by the holders of at least 50% of the then outstanding warrants (including the warrants contained in the private placement units) in order to make any change that adversely affects the interests of the registered holders. Accordingly, we would need only 1,656,876, or 48.0%, of the public warrants to vote in favor of a proposed amendment for it to be approved (assuming the holders of the warrants contained in the private placement units all voted in favor of the amendment).</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amend the terms of the rights in a manner that may be adverse to holders with the approval by the holders of at least 50% of the then outstanding rights.</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Our rights were issued in registered form under a right agreement between Continental Stock Transfer &amp; Trust Company, as rights agent, and us. The right agreement provides that the terms of the rights may be amended without the consent of any holder to cure any ambiguity or correct any defective provision. The right agreement requires the approval by the holders of at least 50% of the then outstanding rights in order to make any change that adversely affects the interests of the registered holders. Accordingly, we would need only 3,313,751, or 48.0%, of the public rights to vote in favor of a proposed amendment for it to be approved (assuming the holders of the private rights all voted in favor of the amendment).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both"/>
        <w:spacing w:after="0" w:line="268"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trust could be reduced and the per-share redemption price received by stockholders may be less than $10.00.</w:t>
      </w:r>
    </w:p>
    <w:p>
      <w:pPr>
        <w:spacing w:after="0" w:line="18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placing of funds in trust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 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trust could be subject to claims which could take priority over those of our public stockholders. If we are unable to complete a business combination and distribute the proceeds held in trust to our public stockholders, A/Z Property has agreed (subject to certain exceptions described elsewhere in this Report) that it will be liable to ensure that the proceeds in the trust account are not reduced below $10.00 per share by the claims of target businesses or claims of vendors or other entities that are owed money by us for services rendered or contracted for or products sold to us. We believe A/Z Property has sufficient net worth to satisfy its indemnity obligation should it arise, however we cannot assure you that A/Z Property will have sufficient liquid assets to satisfy obligations if it is required to do so. Additionally, the agreement entered into by A/Z Property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the Initial Public Offering against certain liabilities, including liabilities under the Securities Act. Therefore, the per-share distribution from the trust account may be less than $10.00, plus interest, due to such claims.</w:t>
      </w:r>
    </w:p>
    <w:p>
      <w:pPr>
        <w:spacing w:after="0" w:line="18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may not be able to return to our public stockholders at least $10.00 per share. As a result, if any such claims were successfully made against the trust account, the funds available for our initial business combination and redemptions could be reduced to less than $10.00 per public share.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amended and restated certificate of incorporation provides that we will continue in existence until May 24, 2021, or such later date as may be approved by our stockholders. If we have not completed a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us to pay our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we cannot assure you that third parties will not seek to recover from our stockholders amounts owed to them by us.</w:t>
      </w:r>
    </w:p>
    <w:p>
      <w:pPr>
        <w:spacing w:after="0" w:line="17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5" w:name="page16"/>
    <w:bookmarkEnd w:id="15"/>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directors may decide not to enforce A/Z Property's indemnification obligations, resulting in a reduction in the amount of funds in the trust account available for distribution to our public stockholders.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that the proceeds in the trust account are reduced below $10.00 per public share and A/Z Property asserts that it is unable to satisfy its obligations or that it has no indemnification obligations related to a particular claim, our independent directors would determine whether to take legal action against A/Z Property to enforce such indemnification obligations. While we currently expect that our independent directors would take legal action on our behalf against A/Z Property to enforce such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stockholders may be reduced below $10.00 per share.</w:t>
      </w:r>
    </w:p>
    <w:p>
      <w:pPr>
        <w:spacing w:after="0" w:line="174" w:lineRule="exact"/>
        <w:rPr>
          <w:sz w:val="20"/>
          <w:szCs w:val="20"/>
          <w:color w:val="auto"/>
        </w:rPr>
      </w:pPr>
    </w:p>
    <w:p>
      <w:pPr>
        <w:ind w:right="180" w:firstLine="44"/>
        <w:spacing w:after="0" w:line="268" w:lineRule="auto"/>
        <w:rPr>
          <w:sz w:val="20"/>
          <w:szCs w:val="20"/>
          <w:color w:val="auto"/>
        </w:rPr>
      </w:pPr>
      <w:r>
        <w:rPr>
          <w:rFonts w:ascii="Arial" w:cs="Arial" w:eastAsia="Arial" w:hAnsi="Arial"/>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November 23, 2020, the Company received a notice from the Listing Qualifications Department of The Nasdaq Stock Market LLC stating that, as of November 20, 2020, the Company was not in compliance with Listing Rule IM-5101-2, which requires that a special purpose acquisition company complete one or more business combinations within 36 months of the effectiveness of the registration statement filed in connection with its initial public offering. Since the Company’s registration statement became effective on November 20, 2017, it was required to complete an initial business combination by no later than November 20, 2020. The Rule also provides that failure to comply with this requirement will result in the Listing Qualifications Department issuing a Staff Delisting Determination under Rule 5810 to delist the Company’s securities. The Listing Qualifications Department had advised the Company that its securities would be subject to delisting unless it timely requested a hearing before an independent Hearings Panel. The Company appealed the ruling and Nasdaq scheduled the appeal for January 14, 2021 (the “</w:t>
      </w:r>
      <w:r>
        <w:rPr>
          <w:rFonts w:ascii="Arial" w:cs="Arial" w:eastAsia="Arial" w:hAnsi="Arial"/>
          <w:sz w:val="16"/>
          <w:szCs w:val="16"/>
          <w:u w:val="single" w:color="auto"/>
          <w:color w:val="auto"/>
        </w:rPr>
        <w:t>Nasdaq Appeal</w:t>
      </w:r>
      <w:r>
        <w:rPr>
          <w:rFonts w:ascii="Arial" w:cs="Arial" w:eastAsia="Arial" w:hAnsi="Arial"/>
          <w:sz w:val="16"/>
          <w:szCs w:val="16"/>
          <w:color w:val="auto"/>
        </w:rPr>
        <w:t>”). On January 4, 2021, the Company received an additional notice from Nasdaq stating that the Company’s failure to hold an annual stockholder meeting for the fiscal year ended December 31, 2019 by December 31, 2020, as required by Nasdaq Listing Rule 5820, could serve as an additional basis for delisting the Company’s securities from Nasdaq, the Company requested that this issue be added to the Nasdaq Appeal.</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January 14, 2021, the Company attended a hearing before the Nasdaq Hearings Panel with respect to the November 23, 2020 and January 2, 2021 delisting notices. During the hearing, the Company requested an extension through May 24, 2021 to regain compliance with the Nasdaq listing rules. On January 15, 2021, the Company received notice from Nasdaq that Nasdaq had granted the Company’s request to continue its listing on Nasdaq through May 24, 2021 (“Extended Date”). Nasdaq’s decision is subject to certain conditions, including that the Company will have completed the Merger with NeuroRx on or before the Extended Date and that NRX Pharmaceuticals will have demonstrated compliance with all requirements for initial listing on Nasdaq. While the Company expects to complete the Merger by the Extended Date, there can be no assurance that it will be able to do so.</w:t>
      </w:r>
    </w:p>
    <w:p>
      <w:pPr>
        <w:spacing w:after="0" w:line="17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If Nasdaq delists the Company’s securities from trading on its exchange, the Company could face significant material adverse consequences, including:</w:t>
      </w:r>
    </w:p>
    <w:p>
      <w:pPr>
        <w:spacing w:after="0" w:line="18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determination that our shares of common stock are “penny stock” which will require brokers trading in our shares of common stock to adhere to more stringent rules, possibly resulting in a reduced level of trading activity in the secondary trading market for our shares of common stock;</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6" w:name="page17"/>
    <w:bookmarkEnd w:id="16"/>
    <w:p>
      <w:pPr>
        <w:jc w:val="both"/>
        <w:ind w:firstLine="648"/>
        <w:spacing w:after="0" w:line="288"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our units, common stock, rights and warrants are listed on Nasdaq, our units, common stock, rights and warrants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w:t>
      </w:r>
    </w:p>
    <w:p>
      <w:pPr>
        <w:spacing w:after="0" w:line="17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outstanding rights, warrants and unit purchase options may have an adverse effect on the market price of our common stock and make it more difficult to effect a business combination.</w:t>
      </w:r>
    </w:p>
    <w:p>
      <w:pPr>
        <w:spacing w:after="0" w:line="18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issued rights to receive 690,000 shares of common stock and warrants to purchase 3,450,000 shares of common stock as part of the units offered in connection with the Initial Public Offering and rights to receive 27,250 shares of common stock and warrants to purchase 136,250 shares of common stock in connection with the Private Placement. We also issued unit purchase options to purchase 600,000 units to EarlyBirdCapital, Inc. (and/or its designees) which, if exercised, will result in the issuance of 600,000 shares of common stock, rights to receive 60,000 shares of common stock and warrants to purchase an additional 300,000 shares of common stock. We may also issue additional private units, which will be identical to the private placement units, to our Sponsor, officers or directors in payment of working capital loans made to us as described in this Amendment and the Original 10-K. To the extent we issue shares of common stock to effect a business combination, the potential for the issuance of a substantial number of additional shares upon conversion or exercise of these rights, warrants and unit purchase options could make us a less attractive acquisition vehicle in the eyes of a target business. Such securities, when exercised, will increase the number of issued and outstanding shares of common stock and reduce the value of the shares issued to complete the business combination. Accordingly, our rights, warrants and unit purchase option may make it more difficult to effectuate a business combination or increase the cost of acquiring the target business. Additionally, the sale, or even the possibility of sale, of the shares underlying the warrants, rights, or unit purchase option could have an adverse effect on the market price for our securities or on our ability to obtain future financing. If and to the extent these rights are converted or warrants and options are exercised, you may experience dilution to your holdings.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the common stock equals or exceeds $21.00 per share (as adjusted for stock splits, stock dividends, reorganizations and recapitalizations) for any 20 trading days within a 30 trading-day period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warrants contained in the private placement units will be redeemable by us so long as they are held by the Sponsor or its permitted transferees.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7" w:name="page18"/>
    <w:bookmarkEnd w:id="17"/>
    <w:p>
      <w:pPr>
        <w:jc w:val="both"/>
        <w:spacing w:after="0" w:line="331" w:lineRule="auto"/>
        <w:rPr>
          <w:sz w:val="20"/>
          <w:szCs w:val="20"/>
          <w:color w:val="auto"/>
        </w:rPr>
      </w:pPr>
      <w:r>
        <w:rPr>
          <w:rFonts w:ascii="Arial" w:cs="Arial" w:eastAsia="Arial" w:hAnsi="Arial"/>
          <w:sz w:val="16"/>
          <w:szCs w:val="16"/>
          <w:b w:val="1"/>
          <w:bCs w:val="1"/>
          <w:i w:val="1"/>
          <w:i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1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If we call our public warrants for redemption after the redemption criteria described elsewhere in this Amendment and the Original 10-K have been satisfied, our management will have the option to require any holder that wishes to exercise his warrant (including any warrants held by our Sponsor, officers or directors or their permitted transferees)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“upside” of the holder’s investment in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obligation to net cash settle the rights or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 event will we have any obligation to net cash settle the rights or warrants. Furthermore, there are no contractual penalties for failure to deliver securities to the holders of the rights or warrants upon consummation of an initial business combination or exercise of the warrants. Accordingly, you might not receive the shares of common stock underlying the rights and warrants.</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our security holders exercise their registration rights, it may have an adverse effect on the market price of our shares of common stock and the existence of these rights may make it more difficult to effect a business combination.</w:t>
      </w:r>
    </w:p>
    <w:p>
      <w:pPr>
        <w:spacing w:after="0" w:line="18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Our stockholders prior to the Initial Public Offering are entitled to demand that we register the resale of the founder’s shares at any time commencing three months prior to the date on which their shares may be released from escrow. Additionally, the holders of the private placement units and any private units our Sponsor, officers, directors, or their affiliates may be issued in payment of working capital loans made to us are entitled to demand that we register the resale of the private placement units and any other private units we issue to them (and the underlying securities) commencing at any time after we consummate an initial business combination. The presence of these additional shares of common stock trading in the public market may have an adverse effect on the market price of our securities. In addition, the existence of these rights may make it more difficult to effectuate a business combination or increase the cost of acquiring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pacing w:after="0" w:line="16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amended and restated certificate of incorporation and bylaws contain provisions that may discourage unsolicited takeover proposals that stockholders may consider to be in their best interests. Our board of directors is divided into two classes, each of which will generally serve for a term of two years with only one class of directors being elected in each year. As a result, at a given annual meeting only a minority of the board of directors may be considered for election. Since our “staggered board” may prevent our stockholders from replacing a majority of our board of directors at any given annual meeting, it may entrench management and discourage unsolicited stockholder proposals that may be in the best interests of stockholders. Also, our amended and restated certificate of incorporation provides our board of directors the ability to designate the terms of and issue new series of preferred stock, which may inhibit a takeover of us.</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Any person or entity purchasing or otherwise acquiring any interest in shares of our capital stock shall be deemed to have notice of and consented to the forum provisions in our amended and restated certificate of incorporation.</w:t>
      </w:r>
    </w:p>
    <w:p>
      <w:pPr>
        <w:spacing w:after="0" w:line="169" w:lineRule="exact"/>
        <w:rPr>
          <w:sz w:val="20"/>
          <w:szCs w:val="20"/>
          <w:color w:val="auto"/>
        </w:rPr>
      </w:pPr>
    </w:p>
    <w:p>
      <w:pPr>
        <w:jc w:val="both"/>
        <w:ind w:firstLine="692"/>
        <w:spacing w:after="0" w:line="298"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shares of common stock less attractive to investors.</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for up to five years. However, if our non-convertible debt issued within a three 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shares of common stock less attractive because we may rely on these provisions. If some investors find our shares of common stock less attractive as a result, there may be a less active trading market for our shares and our share price may be more volatile.</w:t>
      </w:r>
    </w:p>
    <w:p>
      <w:pPr>
        <w:spacing w:after="0" w:line="180" w:lineRule="exact"/>
        <w:rPr>
          <w:sz w:val="20"/>
          <w:szCs w:val="20"/>
          <w:color w:val="auto"/>
        </w:rPr>
      </w:pPr>
    </w:p>
    <w:p>
      <w:pPr>
        <w:jc w:val="both"/>
        <w:ind w:right="20" w:firstLine="44"/>
        <w:spacing w:after="0" w:line="268"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a business combination.</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company that, among other things, is or holds itself out as being engaged primarily, or proposes to engage primarily, in the business of investing, reinvesting, owning, trading or holding certain types of securities would be deemed an investment company under the Investment Company Act, as amended, or the Investment Company Act. Since we will invest the proceeds held in the trust account, it is possible that we could be deemed an investment company. Notwithstanding the foregoing, we do not believe that our anticipated principal activities will subject us to the Investment Company Act. To this end, the proceeds held in trust may be invested by the trustee only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By restricting the investment of the proceeds to these instruments, we intend to meet the requirements for the exemption provided in Rule 3a-1 promulgated under the Investment Company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9" w:name="page20"/>
    <w:bookmarkEnd w:id="19"/>
    <w:p>
      <w:pPr>
        <w:ind w:firstLine="700"/>
        <w:spacing w:after="0" w:line="268" w:lineRule="auto"/>
        <w:rPr>
          <w:sz w:val="20"/>
          <w:szCs w:val="20"/>
          <w:color w:val="auto"/>
        </w:rPr>
      </w:pPr>
      <w:r>
        <w:rPr>
          <w:rFonts w:ascii="Arial" w:cs="Arial" w:eastAsia="Arial" w:hAnsi="Arial"/>
          <w:sz w:val="18"/>
          <w:szCs w:val="18"/>
          <w:color w:val="auto"/>
        </w:rPr>
        <w:t>If we are nevertheless deemed to be an investment company under the Investment Company Act, we may be subject to certain restrictions that may make it more difficult for us to complete a business combination, including:</w:t>
      </w:r>
    </w:p>
    <w:p>
      <w:pPr>
        <w:spacing w:after="0" w:line="18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1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 addition, we may have imposed upon us certain burdensome requirements, including: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reporting, record keeping, voting, proxy, compliance policies and procedures and disclosure requirements and other rules and regulations.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Compliance with these additional regulatory burdens would require additional expense for which we have not allotted.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Compliance with the Sarbanes-Oxley Act of 2002 will require substantial financial and management resources and may increase the time and costs of completing an acquisition.</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404 of the Sarbanes-Oxley Act of 2002 requires that we evaluate and report on our system of internal controls. If we fail to maintain the adequacy of our internal controls,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controls, which requirement we are exempt from so long as we qualify as an “emerging growth company,” as defined in Section 2(a) of the Securities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 Furthermore, any failure to implement required new or improved controls, or difficulties encountered in the implementation of adequate controls over our financial processes and reporting in the future, could harm our operating results or cause us to fail to meet our reporting obligations. Inferior internal controls could also cause investors to lose confidence in our reported financial information, which could have a negative effect on the trading price of our stock.</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i w:val="1"/>
          <w:iCs w:val="1"/>
          <w:color w:val="auto"/>
        </w:rPr>
        <w:t>The following discussion and analysis of the Company’s financial condition and results of operations should be read in conjunction with our audited consolidated financial statements and the notes related thereto which are included in “Item 8. Financial Statements and Supplementary Data” of this Amendment.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Amendment and the Original 10-K.</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Management’s Discussion and Analysis of Financial Condition and Results of Operations has been amended and restated to give effect to the restatement and revision of our financial statements as more fully described in the Explanatory Note and in “Note 2—Restatement of Previously Issued Financial Statements” to our accompanying financial statements. For further detail regarding the restatement adjustments, see Explanatory Note and Item 9A: Controls and Procedures, both contained herein.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 blank check company incorporated in Delaware on September 18, 2017 and formed for the purpose of entering into a merger, share exchange, asset acquisition, stock purchase, recapitalization, reorganization or other similar business combination with one or more target businesses or entities (a “Business Combination”). Our efforts in identifying a prospective target business for our initial Business Combination are not limited to a particular industry or geographic region. We intend to effectuate our Business Combination using cash from the proceeds of our Initial Public Offering and the sale of Private Placement Units that occurred simultaneously with the completion of our Initial Public Offering, our securities, debt or a combination of cash, securities and debt.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Proposed Business Combination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December 13, 2020, the Company entered into the Merger Agreement with NeuroRx and Merger Sub. The Merger Agreement was subsequently amended on January 27, 2021 and March 19, 2021. Pursuant to the Merger Agreement, Merger Sub will merge with and into NeuroRx, with NeuroRx surviving the Merger. As a result of the Merger, NeuroRx will become a wholly-owned subsidiary of the Company, with the stockholders of NeuroRx becoming stockholders of the Company. Under the Merger Agreement, at the Effective Time, each outstanding share of NeuroRx common stock (including shares of NeuroRx common stock resulting from the conversion of NeuroRx preferred stock immediately prior to the Effective Time) will be converted into the right to receive a pro rata portion of the Closing Consideration and the contingent right to receive a pro rata portion of the Earnout Shares and Earnout Cash. Each option and warrant of NeuroRx that is outstanding and unexercised immediately prior to the Effective Time will be assumed by the Company and will represent the right to acquire an adjusted number of shares of the Company’s Common Stock at an adjusted exercise price, in each case, pursuant to the terms of the Merger Agreement.</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Pursuant to the Merger Agreement, the Company will enter into the Sponsor Agreement with the Sponsor and BRAC providing that (a) the Sponsor and BRAC will forfeit the Forfeited Shares and (b) the Sponsor Earnout Shares will be subject to escrow, and will either be released from escrow to the Sponsor upon the achievement of the Earnout Shares Milestone or terminated and canceled by the Company on December 31, 2022, in the event that the Earnout Shares Milestone is not achieved.</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Pursuant to the Merger Agreement, the Company, Sponsor, BRAC, Graubard Miller, the Initial Stockholders and Continental will enter into the Stock Escrow Amendment providing: (a) for the forfeiture and cancellation of the Forfeited Shares, (b) that the Sponsor Earnout Shares will be subject to escrow pursuant to the Sponsor Agreement and in accordance with the terms of the Merger Agreement, (c) that the 40,000 shares of Common Stock held by Graubard Miller will be released from escrow and (d) that all remaining shares of Common Stock held in escrow thereunder will be released from escrow on the earlier of (i) the six-month anniversary of the closing, (ii) with respect to 50% of the shares of Common Stock, the date on which the closing price of the Common Stock equals or exceeds $12.00 per share (as adjusted for stock splits, stock dividends, reorganizations, recapitalizations and the like) for any 20 trading days within any 30-trading day period commencing after the closing, and (iii) the date after the closing on which the Company consummates a liquidation, merger, stock exchange or other similar transaction which results in all of the Company’s stockholders having the right to exchange their Common Stock for cash, securities or other property.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jc w:val="both"/>
        <w:ind w:firstLine="648"/>
        <w:spacing w:after="0" w:line="287" w:lineRule="auto"/>
        <w:rPr>
          <w:sz w:val="20"/>
          <w:szCs w:val="20"/>
          <w:color w:val="auto"/>
        </w:rPr>
      </w:pPr>
      <w:r>
        <w:rPr>
          <w:rFonts w:ascii="Arial" w:cs="Arial" w:eastAsia="Arial" w:hAnsi="Arial"/>
          <w:sz w:val="16"/>
          <w:szCs w:val="16"/>
          <w:color w:val="auto"/>
        </w:rPr>
        <w:t>Pursuant to the Merger Agreement, to the extent the sum of the amount remaining in the trust account after disbursements to the Company’s public stockholders who seek redemption of their public shares plus the amount raised in the PIPE (described below) and any other financing exceeds $5 million, the Company’s outstanding loans will be repaid at the closing of the Merger. Further, the Company, the Sponsor and the Company’s lenders will enter into an omnibus amendment to each outstanding promissory note or other borrowing with the Company as the maker providing that, to the extent not repaid in accordance with the Merger Agreement, the outstanding principal and accrued unpaid interest pursuant to such promissory notes, after any repayments permitted pursuant to the terms of the Merger Agreement, will be converted into convertible notes of NRX Pharmaceuticals with an aggregate principal amount of no more than approximately $2.7 million, which will bear interest at three percent (3%) per annum, and may be converted from time to time, at the holder’s option, into shares of Common Stock at a price of $10.00 per share, and which will mature on the date that is twenty-four (24) months after the date of the Merger closing. Any other borrowings not repaid or converted into convertible notes pursuant to the Merger Agreement will be forgiven or discharged prior to closing.</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Immediately after the closing of the Merger, NeuroRx’s stockholders will hold approximately 93% of the issued and outstanding shares of the Company’s Common Stock, the current stockholders of the Company will hold approximately 5% of the issued and outstanding Common Stock, and the PIPE Investors will hold approximately 2% of the issued and outstanding Common Stock, which pro forma ownership (i) takes into effect the forfeiture, termination and cancellation of 875,000 shares of Common Stock by the Sponsor and BRAC pursuant to the Merger Agreement, and the issuance to EBC of 200,000 shares of Common Stock in lieu of the cash fee owed to EBC under the existing Business Combination Marketing Agreement, (ii) takes into effect the exchange of each outstanding Right for one-tenth of one share of Common Stock pursuant to the terms of the Rights, (iii) assumes no holder of Public Shares exercises its conversion rights, (iv) includes the effect of the PIPE but does not include the effect of any other financing of the Company and (v) assumes the Earnout Shares Milestone is not satisfied immediately after the Closing.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Placement</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In connection with the Merger, on March 12, 2021, the Company entered into Subscription Agreements the PIPE Investors, pursuant to which the Company will, substantially concurrently with, and contingent upon, the consummation of the Merger, issue an aggregate of 1,000,000 shares of Common Stock to the PIPE Investors at a price of $10.00 per share, for aggregate gross proceeds to the Company of $10,000,000.</w:t>
      </w:r>
    </w:p>
    <w:p>
      <w:pPr>
        <w:spacing w:after="0" w:line="1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closing of the PIPE is conditioned upon, among other things, (i) the substantially concurrent consummation of the Merger, (ii) the accuracy of all representations and warranties of the Company and the PIPE Investors in the Subscription Agreements, and the performance of all covenants of the Company and the PIPE Investors under the Subscription Agreements, (iii) the shares of Common Stock shall have been approved for listing on the Nasdaq, subject to official notice of issuance, and (iv) the Merger Agreement shall not have been terminated or rescinded, and no amendment, waiver or modification shall have occurred thereunder that would materially adversely affect the economic benefits that the PIPE Investor would reasonably expect to receive under the Subscription Agreement without having received the PIPE Investor’s prior written consent (not to be unreasonably withheld, conditioned, or delayed).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Extensions to Complete Business Combination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23, 2020, our stockholders approved an amendment to the charter to extend the period of time for which we are required to consummate a Business Combination (the “Fifth Extension”) from July 23, 2020 to December 23, 2020. The number of shares of common stock presented for redemption in connection with the Fifth Extension was 27,786. We paid cash in amount of approximately $299,000, or approximately $10.77 per share, to redeeming stockholders. We agreed to deposit, or cause to be deposited on its behalf, into the Trust Account $0.02 for each public share outstanding for each 30-day extension period utilized through the Fifth Extension. In connection with this extension, we deposited an aggregate of $44,219 into the Trust Account to fund the extension through November 23, 2020.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2" w:name="page23"/>
    <w:bookmarkEnd w:id="22"/>
    <w:p>
      <w:pPr>
        <w:jc w:val="both"/>
        <w:ind w:firstLine="648"/>
        <w:spacing w:after="0" w:line="259" w:lineRule="auto"/>
        <w:rPr>
          <w:sz w:val="20"/>
          <w:szCs w:val="20"/>
          <w:color w:val="auto"/>
        </w:rPr>
      </w:pPr>
      <w:r>
        <w:rPr>
          <w:rFonts w:ascii="Arial" w:cs="Arial" w:eastAsia="Arial" w:hAnsi="Arial"/>
          <w:sz w:val="18"/>
          <w:szCs w:val="18"/>
          <w:color w:val="auto"/>
        </w:rPr>
        <w:t>On December 18, 2020, our stockholders approved an amendment to the charter to extend the date by which we must complete an initial business combination from December 23, 2020 to April 23, 2021 (the “Sixth Extension”). No stockholders exercised their right to convert their public shares into cash in connection with the Sixth Extension.</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21, 2020, our stockholders approved an amendment to the charter to extend the date by which we must complete a business combination from April 23, 2021 to May 24, 2021 (the “Seventh Extension”). Stockholders holding an aggregate of 330 public shares exercised their right to convert such shares of the Company’s common stock into cash in connection with the Seventh Extension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Nasdaq Compliance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November 23, 2020, the Company received a notice from the Listing Qualifications Department of The Nasdaq Stock Market LLC stating that, as of November 20, 2020, the Company was not in compliance with Listing Rule IM-5101-2, which requires that a special purpose acquisition company complete one or more business combinations within 36 months of the effectiveness of the registration statement filed in connection with its initial public offering. Since the Company’s registration statement became effective on November 20, 2017, it was required to complete an initial business combination by no later than November 20, 2020. The Rule also provides that failure to comply with this requirement will result in the Listing Qualifications Department issuing a Staff Delisting Determination under Rule 5810 to delist the Company’s securities. The Listing Qualifications Department had advised the Company that its securities would be subject to delisting unless it timely requested a hearing before an independent Hearings Panel. The Company appealed the ruling and Nasdaq scheduled the appeal for January 14, 2021. On January 4, 2021, the Company received an additional notice from Nasdaq stating that the Company’s failure to hold an annual stockholder meeting for the fiscal year ended December 31, 2019 by December 31, 2020, as required by Nasdaq Listing Rule 5820, could serve as an additional basis for delisting the Company’s securities from Nasdaq, the Company requested that this issue be added to the Nasdaq Appeal.</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On January 14, 2021, the Company attended a hearing before the Nasdaq Hearings Panel with respect to the November 23, 2020 and January 2, 2021 delisting notices. During the hearing, the Company requested an extension through May 24, 2021 to regain compliance with the Nasdaq listing rules. On January 15, 2021, the Company received notice from Nasdaq that Nasdaq had granted the Company’s request to continue its listing on Nasdaq through May 24, 2021. Nasdaq’s decision is subject to certain conditions, including that the Company will have completed the Merger with NeuroRx on or before the Extended Date and that NRX Pharmaceuticals will have demonstrated compliance with all requirements for initial listing on Nasdaq.</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neither engaged in any operations nor generated any revenues to date. Since our Initial Public Offering, our activity has been limited to the search for a prospective initial Business Combination, and we will not be generating any operating revenues until the closing and completion of our initial Business Combination. We are incurring expenses as a result of being a public company (for legal, financial reporting, accounting and auditing compliance), as well as for due diligence expenses.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 restatement described in Note 2 of the notes to the financial statements included herein, we classify the Private Warrants as liabilities at their fair value and adjust the warrant instrument to fair value at each reporting period. This liability is subject to re-measurement at each balance sheet date until exercised, and any change in fair value is recognized in our statement of operations.</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For the year ended December 31, 2020, we had a net loss of $1,089,510, which consists of operating expenses of $907,406, income tax provision of $17,841 and a change in the fair value of the warrant liability of $655,098, offset by interest income on securities held in the trust account established for the benefit of our public stockholders (the “Trust Account”) of $138,764 and the forgiveness of previously recorded professional fees of $352,071.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3" w:name="page24"/>
    <w:bookmarkEnd w:id="23"/>
    <w:p>
      <w:pPr>
        <w:jc w:val="both"/>
        <w:ind w:firstLine="648"/>
        <w:spacing w:after="0" w:line="268" w:lineRule="auto"/>
        <w:rPr>
          <w:sz w:val="20"/>
          <w:szCs w:val="20"/>
          <w:color w:val="auto"/>
        </w:rPr>
      </w:pPr>
      <w:r>
        <w:rPr>
          <w:rFonts w:ascii="Arial" w:cs="Arial" w:eastAsia="Arial" w:hAnsi="Arial"/>
          <w:sz w:val="18"/>
          <w:szCs w:val="18"/>
          <w:color w:val="auto"/>
        </w:rPr>
        <w:t>For the year ended December 31, 2019, we had a net income of $408,427, which consists of interest income on securities held in the Trust Account of $1,205,820, offset by operating costs of $713,187 and provision for income taxes of $84,206.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December 31, 2020, we had cash and marketable securities held in the Trust Account of $5,967,947 (including approximately $138,764 of interest income) consisting of money market funds. Interest income earned on the balance in the Trust Account may be used by us to pay taxes. To date, we have withdrawn $716,788 of interest from the Trust Account in order to pay our income and franchise taxes, of which $161,430 was withdrawn during the year ended December 31, 2020.</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the year ended December 31, 2020, cash used in operating activities amounted to $598,617. Net loss of $1,089,510 was the result of the forgiveness of previously recorded professional fees in the amount of $352,071, a non-cash charge for the change in the fair value of warrant liability of $655,098 and interest earned on securities held in the Trust Account of $138,764 and changes in operating assets and liabilities, which provided $326,630 of cash for operating activities.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2019, cash used in operating activities amounted to $792,731. Net income of $408,427 was the result of interest earned on securities held in the Trust Account of $1,205,820, offset by changes in operating assets and liabilities, which provided $4,662 of cash for operating activities.</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intend to use substantially all of the funds held in the Trust Account to acquire a target business or businesses and to pay our expenses relating thereto. To the extent that our capital stock is used, in whole or in part, as consideration to complete our Business Combination, the remaining proceeds held in the Trust Account, as well as any other net proceeds not expended, will be used as working capital to finance the operations of the target business. Such working capital funds could be used in a variety of ways including, but not limited to, continuing or expanding the target business’ operations, for strategic acquisitions and for marketing, research and development of existing or new products. Such funds could also be used to repay any expenses or finders’ fees which we had incurred prior to the completion of our Business Combination if the funds available to us outside of the Trust Account were insufficient to cover such expenses.</w:t>
      </w:r>
    </w:p>
    <w:p>
      <w:pPr>
        <w:spacing w:after="0" w:line="20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of December 31, 2020, A/Z Property has loaned us an aggregate of approximately $862,148 in order to pay our Non-Business Combination Related Expenses and extension payments. Upon consummation of a Business Combination, up to $200,000 of the Non-Business Combination Related Expenses may be repaid by us to the Sponsor provided that we have funds available to us sufficient to repay such expenses (the “Cap”) as well as to pay for all stockholder redemptions, all Business Combination Expenses, repayment of the Notes, and any funds necessary for our working capital requirements following closing of the Business Combination. Any remaining amounts in excess of the Cap will be forgiven. If we do not consummate a Business Combination, all outstanding loans made by the Sponsor to cover the Non-Business Combination Related Expenses will be forgiven. We repaid $35,000 of such loans during the year ended December 31, 2020.</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2020, BRAC has loaned us an aggregate of approximately $1,809,889 in order to fund extension payments and other expenses.</w:t>
      </w:r>
    </w:p>
    <w:p>
      <w:pPr>
        <w:spacing w:after="0" w:line="248"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We do not believe we will need to raise additional funds in order to meet expenditures required for operating our business. However, if our estimate of the costs of identifying a target business, undertaking in-depth due diligence and negotiating a Business Combination are less than the actual amounts necessary to do so, we may have insufficient funds available to operate our business prior to our Business Combination. In order to fund working capital deficiencies or finance transaction costs in connection with a Business Combination, our Sponsor, officers and directors or their respective affiliates may, but are not obligated to, except as described above,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units, at a price of $10.00 per unit at the option of the lender. The units would be identical to the Private Placement Units.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4" w:name="page25"/>
    <w:bookmarkEnd w:id="24"/>
    <w:p>
      <w:pPr>
        <w:jc w:val="both"/>
        <w:ind w:firstLine="648"/>
        <w:spacing w:after="0" w:line="291" w:lineRule="auto"/>
        <w:rPr>
          <w:sz w:val="20"/>
          <w:szCs w:val="20"/>
          <w:color w:val="auto"/>
        </w:rPr>
      </w:pPr>
      <w:r>
        <w:rPr>
          <w:rFonts w:ascii="Arial" w:cs="Arial" w:eastAsia="Arial" w:hAnsi="Arial"/>
          <w:sz w:val="16"/>
          <w:szCs w:val="16"/>
          <w:color w:val="auto"/>
        </w:rPr>
        <w:t>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December 31,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long-term debt, capital lease obligations, operating lease obligations or long-term liabilities.</w:t>
      </w:r>
    </w:p>
    <w:p>
      <w:pPr>
        <w:spacing w:after="0" w:line="225" w:lineRule="exact"/>
        <w:rPr>
          <w:sz w:val="20"/>
          <w:szCs w:val="20"/>
          <w:color w:val="auto"/>
        </w:rPr>
      </w:pPr>
    </w:p>
    <w:p>
      <w:pPr>
        <w:jc w:val="both"/>
        <w:ind w:firstLine="692"/>
        <w:spacing w:after="0" w:line="288" w:lineRule="auto"/>
        <w:rPr>
          <w:sz w:val="20"/>
          <w:szCs w:val="20"/>
          <w:color w:val="auto"/>
        </w:rPr>
      </w:pPr>
      <w:r>
        <w:rPr>
          <w:rFonts w:ascii="Arial" w:cs="Arial" w:eastAsia="Arial" w:hAnsi="Arial"/>
          <w:sz w:val="16"/>
          <w:szCs w:val="16"/>
          <w:color w:val="auto"/>
        </w:rPr>
        <w:t>We have engaged EarlyBirdCapital as an advisor in connection with a Business Combination to assist us in holding meetings with its stockholders to discuss a potential Business Combination and the target business’ attributes, introduce us to potential investors that are interested in purchasing securities, assist us in obtaining stockholder approval for the Business Combination and assist us with our press releases and public filings in connection with a Business Combination. The Business Combination Marketing Agreement between us and EarlyBirdCapital provides that we will pay EarlyBirdCapital a cash fee for such services upon the consummation of a Business Combination in an amount equal to 4.0% of the gross proceeds of the Initial Public Offering (exclusive of any applicable finders’ fees which might become payable). In connection with the proposed Merger with NeuroRx, EarlyBirdCapital agreed that, in lieu of such cash fee, it would be paid an aggregate of 200,000 shares of our common stock upon consummation of the Merger. If a Business Combination is not consummated for any reason, no fee will be due or payable.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account for warrants in accordance with the guidance contained in ASC 815-40-15-7D under which the warrants that do not meet the criteria for equity treatment and must be recorded as liabilities. As the Private Warrants meet the definition of a derivative as contemplated in ASC 815, we classify the Private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Private Warrants was estimated using a Black-Scholes Model approach.</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account for our common stock subject to possible conversion in accordance with the guidance in Accounting Standards Codification (“ASC”) Topic 480 “Distinguishing Liabilities from Equity.” Common stock subject to mandatory redemption is classified as a liability instrument and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at redemption value as temporary equity, outside of the stockholders’ equity section of our consolidated balance sheets.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apply the two-class method in calculating earnings per share. Net income (loss) per common share, basic and diluted for common stock subject to possible redemption is calculated by dividing the interest income earned on the Trust Account, net of applicable taxes, if any, by the weighted average number of shares of common stock subject to possible redemption outstanding for the period. Net income (loss) per common share, basic and diluted for and non-redeemable common stock is calculated by dividing net loss less income attributable to common stock subject to possible redemption, by the weighted average number of shares of non-redeemable common stock outstanding for the period presented.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information appears following Item 15 of this Amendment and is included herein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(our “Certifying Officers”) carried out an evaluation of the effectiveness of the design and operation of our disclosure controls and procedures as of December 31, 2020. On April 1, 2021, we filed our Original 10-K. Based upon their evaluation at that time, our Certifying Officers had concluded that our disclosure controls and procedures (as defined in Rules 13a-15(e) and 15d-15(e) under the Exchange Act) were effective. Subsequently, and in connection with this Amendment, our Certifying Officers re-evaluated the effectiveness of our disclosure controls and procedures as of December 31, 2020, pursuant to Rule 13a-15(b) under the Exchange Act. Based upon that evaluation and in light of the SEC Statement, our Certifying Officers concluded that, solely due to the Company’s restatement of its financial statements to reclassify the Company’s Private Warrants as described in the Explanatory Note to this Amendment, our disclosure controls and procedures were not effective as of December 31, 2020.</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Management’s Annual Report on Internal Controls Over Financial Reporting</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the Exchange Act Rule 13a-15(f). Our internal control over financial reporting is designed to provide reasonable assurance to our management and board of directors regarding the preparation and fair presentation of published financial statements. A control system, no matter how well designed and operated, can only provide reasonable, not absolute, assurance that the objectives of the control system are met. Because of these inherent limitations, management does not expect that our internal control over financial reporting will prevent all error and all fraud. Management conducted an evaluation of our internal control over financial reporting based on the framework in Internal Control—Integrated Framework issued in 2013 by the Committee of Sponsoring Organizations of the Treadway Commission (the “2013 Framework”). Based on our evaluation under the 2013 Framework, management concluded that our internal control over financial reporting was not effective as of December 31, 2020.</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connection with the restatement of our financial statements included in this Amendment, our management, including our principal executive and financial officers, have evaluated the effectiveness of our internal control over financial reporting and concluded that we did not maintain effective internal control over financial reporting as of December 31, 2020 because of a material weakness in our internal control over financial reporting described below related to the accounting for a significant and unusual transaction related to the Private Warrants. Notwithstanding the material weakness described below, our management has concluded that our restated and revised audited financial statements included in this Amendment are fairly stated in all material respects in accordance with U.S. GAAP for each of the periods presented herein.</w:t>
      </w:r>
    </w:p>
    <w:p>
      <w:pPr>
        <w:spacing w:after="0" w:line="17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In connection with the restatement described in “Note 2— Restatement of Previously Issued Financial Statements” to the accompanying financial statements included in this Amendment, management identified a material weakness in our internal control over financial reporting related to the accounting for a significant and unusual transaction related to the Private Warrants. This material weakness resulted in a material misstatement of our warrant liability, change in fair value of warrant liability, additional paid-in capital and accumulated deficit as of and for the year ended December 31, 2020.</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To respond to this material weakness, we have devoted, and plan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Amendment does not include an attestation report of internal controls from our independent registered public accounting firm due to our status as an emerging growth company under the JOBS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On April 28, 2021, we revised our prior position on accounting for warrants and concluded that our previously issued financial statements as of and for the year ended December 31, 2020 should not be relied on because of a misapplication in the guidance on warrant accounting. However, the non-cash adjustments to the financial statements do not impact the amounts previously reported for our cash and cash equivalents, total assets, revenue or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our financial statements included in this Amendment,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EXHIBITS, FINANCIAL STATEMENT SCHEDULES</w:t>
      </w:r>
    </w:p>
    <w:p>
      <w:pPr>
        <w:spacing w:after="0" w:line="231" w:lineRule="exact"/>
        <w:rPr>
          <w:sz w:val="20"/>
          <w:szCs w:val="20"/>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Amendment:</w:t>
      </w:r>
    </w:p>
    <w:p>
      <w:pPr>
        <w:spacing w:after="0" w:line="225" w:lineRule="exact"/>
        <w:rPr>
          <w:sz w:val="20"/>
          <w:szCs w:val="20"/>
          <w:color w:val="auto"/>
        </w:rPr>
      </w:pPr>
    </w:p>
    <w:p>
      <w:pPr>
        <w:ind w:left="560" w:hanging="55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60" w:type="dxa"/>
            <w:vAlign w:val="bottom"/>
            <w:gridSpan w:val="8"/>
            <w:shd w:val="clear" w:color="auto" w:fill="CCEEFF"/>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Report of Independent Registered Public Accounting Firm</w:t>
              </w:r>
            </w:hyperlink>
          </w:p>
        </w:tc>
        <w:tc>
          <w:tcPr>
            <w:tcW w:w="554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center"/>
              <w:ind w:right="440"/>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F-2</w:t>
              </w:r>
            </w:hyperlink>
          </w:p>
        </w:tc>
      </w:tr>
      <w:tr>
        <w:trPr>
          <w:trHeight w:val="216"/>
        </w:trPr>
        <w:tc>
          <w:tcPr>
            <w:tcW w:w="41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340" w:type="dxa"/>
            <w:vAlign w:val="bottom"/>
            <w:tcBorders>
              <w:top w:val="single" w:sz="8" w:color="CCEEFF"/>
            </w:tcBorders>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430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Consolidated Balance Sheets</w:t>
              </w:r>
            </w:hyperlink>
          </w:p>
        </w:tc>
        <w:tc>
          <w:tcPr>
            <w:tcW w:w="5540" w:type="dxa"/>
            <w:vAlign w:val="bottom"/>
            <w:shd w:val="clear" w:color="auto" w:fill="CCEEFF"/>
          </w:tcPr>
          <w:p>
            <w:pPr>
              <w:spacing w:after="0"/>
              <w:rPr>
                <w:sz w:val="15"/>
                <w:szCs w:val="15"/>
                <w:color w:val="auto"/>
              </w:rPr>
            </w:pPr>
          </w:p>
        </w:tc>
        <w:tc>
          <w:tcPr>
            <w:tcW w:w="1240" w:type="dxa"/>
            <w:vAlign w:val="bottom"/>
            <w:gridSpan w:val="4"/>
            <w:shd w:val="clear" w:color="auto" w:fill="CCEEFF"/>
          </w:tcPr>
          <w:p>
            <w:pPr>
              <w:jc w:val="center"/>
              <w:ind w:right="440"/>
              <w:spacing w:after="0" w:line="17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F-3</w:t>
              </w:r>
            </w:hyperlink>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4300" w:type="dxa"/>
            <w:vAlign w:val="bottom"/>
            <w:gridSpan w:val="7"/>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Consolidated Statements of Operations</w:t>
              </w:r>
            </w:hyperlink>
          </w:p>
        </w:tc>
        <w:tc>
          <w:tcPr>
            <w:tcW w:w="5540" w:type="dxa"/>
            <w:vAlign w:val="bottom"/>
          </w:tcPr>
          <w:p>
            <w:pPr>
              <w:spacing w:after="0"/>
              <w:rPr>
                <w:sz w:val="15"/>
                <w:szCs w:val="15"/>
                <w:color w:val="auto"/>
              </w:rPr>
            </w:pPr>
          </w:p>
        </w:tc>
        <w:tc>
          <w:tcPr>
            <w:tcW w:w="1240" w:type="dxa"/>
            <w:vAlign w:val="bottom"/>
            <w:gridSpan w:val="4"/>
          </w:tcPr>
          <w:p>
            <w:pPr>
              <w:jc w:val="center"/>
              <w:ind w:right="440"/>
              <w:spacing w:after="0" w:line="17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F-4</w:t>
              </w:r>
            </w:hyperlink>
          </w:p>
        </w:tc>
      </w:tr>
      <w:tr>
        <w:trPr>
          <w:trHeight w:val="21"/>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4300" w:type="dxa"/>
            <w:vAlign w:val="bottom"/>
            <w:gridSpan w:val="7"/>
            <w:shd w:val="clear" w:color="auto" w:fill="CCEEFF"/>
          </w:tcPr>
          <w:p>
            <w:pPr>
              <w:ind w:left="20"/>
              <w:spacing w:after="0" w:line="17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Consolidated Statements of Changes in Stockholders’ Equity</w:t>
              </w:r>
            </w:hyperlink>
          </w:p>
        </w:tc>
        <w:tc>
          <w:tcPr>
            <w:tcW w:w="5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center"/>
              <w:ind w:right="720"/>
              <w:spacing w:after="0" w:line="17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F-5</w:t>
              </w:r>
            </w:hyperlink>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4300" w:type="dxa"/>
            <w:vAlign w:val="bottom"/>
            <w:gridSpan w:val="7"/>
          </w:tcPr>
          <w:p>
            <w:pPr>
              <w:ind w:left="2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Consolidated Statements of Cash Flows</w:t>
              </w:r>
            </w:hyperlink>
          </w:p>
        </w:tc>
        <w:tc>
          <w:tcPr>
            <w:tcW w:w="5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3"/>
          </w:tcPr>
          <w:p>
            <w:pPr>
              <w:jc w:val="center"/>
              <w:ind w:right="720"/>
              <w:spacing w:after="0" w:line="17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F-6</w:t>
              </w:r>
            </w:hyperlink>
          </w:p>
        </w:tc>
      </w:tr>
      <w:tr>
        <w:trPr>
          <w:trHeight w:val="21"/>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430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Notes to Consolidated Financial Statements</w:t>
              </w:r>
            </w:hyperlink>
          </w:p>
        </w:tc>
        <w:tc>
          <w:tcPr>
            <w:tcW w:w="6780" w:type="dxa"/>
            <w:vAlign w:val="bottom"/>
            <w:gridSpan w:val="5"/>
            <w:shd w:val="clear" w:color="auto" w:fill="CCEEFF"/>
          </w:tcPr>
          <w:p>
            <w:pPr>
              <w:jc w:val="center"/>
              <w:ind w:left="5012"/>
              <w:spacing w:after="0" w:line="17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F-7 to F-25</w:t>
              </w:r>
            </w:hyperlink>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430"/>
        </w:trPr>
        <w:tc>
          <w:tcPr>
            <w:tcW w:w="540" w:type="dxa"/>
            <w:vAlign w:val="bottom"/>
            <w:gridSpan w:val="2"/>
          </w:tcPr>
          <w:p>
            <w:pPr>
              <w:spacing w:after="0"/>
              <w:rPr>
                <w:sz w:val="20"/>
                <w:szCs w:val="20"/>
                <w:color w:val="auto"/>
              </w:rPr>
            </w:pPr>
            <w:r>
              <w:rPr>
                <w:rFonts w:ascii="Arial" w:cs="Arial" w:eastAsia="Arial" w:hAnsi="Arial"/>
                <w:sz w:val="18"/>
                <w:szCs w:val="18"/>
                <w:color w:val="auto"/>
              </w:rPr>
              <w:t>(2)</w:t>
            </w:r>
          </w:p>
        </w:tc>
        <w:tc>
          <w:tcPr>
            <w:tcW w:w="3920" w:type="dxa"/>
            <w:vAlign w:val="bottom"/>
            <w:gridSpan w:val="6"/>
          </w:tcPr>
          <w:p>
            <w:pPr>
              <w:ind w:left="120"/>
              <w:spacing w:after="0"/>
              <w:rPr>
                <w:sz w:val="20"/>
                <w:szCs w:val="20"/>
                <w:color w:val="auto"/>
              </w:rPr>
            </w:pPr>
            <w:r>
              <w:rPr>
                <w:rFonts w:ascii="Arial" w:cs="Arial" w:eastAsia="Arial" w:hAnsi="Arial"/>
                <w:sz w:val="18"/>
                <w:szCs w:val="18"/>
                <w:color w:val="auto"/>
              </w:rPr>
              <w:t>Financial Statement Schedules:</w:t>
            </w:r>
          </w:p>
        </w:tc>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540" w:type="dxa"/>
            <w:vAlign w:val="bottom"/>
            <w:gridSpan w:val="2"/>
          </w:tcPr>
          <w:p>
            <w:pPr>
              <w:spacing w:after="0"/>
              <w:rPr>
                <w:sz w:val="20"/>
                <w:szCs w:val="20"/>
                <w:color w:val="auto"/>
              </w:rPr>
            </w:pPr>
            <w:r>
              <w:rPr>
                <w:rFonts w:ascii="Arial" w:cs="Arial" w:eastAsia="Arial" w:hAnsi="Arial"/>
                <w:sz w:val="18"/>
                <w:szCs w:val="18"/>
                <w:color w:val="auto"/>
              </w:rPr>
              <w:t>None.</w:t>
            </w:r>
          </w:p>
        </w:tc>
        <w:tc>
          <w:tcPr>
            <w:tcW w:w="1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540" w:type="dxa"/>
            <w:vAlign w:val="bottom"/>
            <w:gridSpan w:val="2"/>
          </w:tcPr>
          <w:p>
            <w:pPr>
              <w:spacing w:after="0"/>
              <w:rPr>
                <w:sz w:val="20"/>
                <w:szCs w:val="20"/>
                <w:color w:val="auto"/>
              </w:rPr>
            </w:pPr>
            <w:r>
              <w:rPr>
                <w:rFonts w:ascii="Arial" w:cs="Arial" w:eastAsia="Arial" w:hAnsi="Arial"/>
                <w:sz w:val="18"/>
                <w:szCs w:val="18"/>
                <w:color w:val="auto"/>
              </w:rPr>
              <w:t>(3)</w:t>
            </w:r>
          </w:p>
        </w:tc>
        <w:tc>
          <w:tcPr>
            <w:tcW w:w="3920" w:type="dxa"/>
            <w:vAlign w:val="bottom"/>
            <w:gridSpan w:val="6"/>
          </w:tcPr>
          <w:p>
            <w:pPr>
              <w:ind w:left="120"/>
              <w:spacing w:after="0"/>
              <w:rPr>
                <w:sz w:val="20"/>
                <w:szCs w:val="20"/>
                <w:color w:val="auto"/>
              </w:rPr>
            </w:pPr>
            <w:r>
              <w:rPr>
                <w:rFonts w:ascii="Arial" w:cs="Arial" w:eastAsia="Arial" w:hAnsi="Arial"/>
                <w:sz w:val="18"/>
                <w:szCs w:val="18"/>
                <w:color w:val="auto"/>
              </w:rPr>
              <w:t>Exhibits</w:t>
            </w:r>
          </w:p>
        </w:tc>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Amendment.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b w:val="1"/>
                <w:bCs w:val="1"/>
                <w:color w:val="auto"/>
                <w:w w:val="93"/>
              </w:rPr>
              <w:t>Exhibit No.</w:t>
            </w:r>
          </w:p>
        </w:tc>
        <w:tc>
          <w:tcPr>
            <w:tcW w:w="98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8"/>
        </w:trPr>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760" w:type="dxa"/>
            <w:vAlign w:val="bottom"/>
            <w:shd w:val="clear" w:color="auto" w:fill="000000"/>
          </w:tcPr>
          <w:p>
            <w:pPr>
              <w:spacing w:after="0"/>
              <w:rPr>
                <w:sz w:val="2"/>
                <w:szCs w:val="2"/>
                <w:color w:val="auto"/>
              </w:rPr>
            </w:pPr>
          </w:p>
        </w:tc>
      </w:tr>
      <w:tr>
        <w:trPr>
          <w:trHeight w:val="176"/>
        </w:trPr>
        <w:tc>
          <w:tcPr>
            <w:tcW w:w="1360" w:type="dxa"/>
            <w:vAlign w:val="bottom"/>
            <w:gridSpan w:val="2"/>
            <w:shd w:val="clear" w:color="auto" w:fill="CCEEFF"/>
          </w:tcPr>
          <w:p>
            <w:pPr>
              <w:jc w:val="right"/>
              <w:ind w:right="1052"/>
              <w:spacing w:after="0" w:line="176" w:lineRule="exact"/>
              <w:rPr>
                <w:rFonts w:ascii="Arial" w:cs="Arial" w:eastAsia="Arial" w:hAnsi="Arial"/>
                <w:sz w:val="18"/>
                <w:szCs w:val="18"/>
                <w:color w:val="0000FF"/>
                <w:w w:val="79"/>
              </w:rPr>
            </w:pPr>
            <w:hyperlink r:id="rId39">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w:t>
              </w:r>
            </w:hyperlink>
          </w:p>
        </w:tc>
        <w:tc>
          <w:tcPr>
            <w:tcW w:w="98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89"/>
              </w:rPr>
              <w:t>Agreement and Plan of Merger, dated as of December 13, 2020, by and among Big Rock Partners Acquisition Corp., NeuroRx, Inc., and</w:t>
            </w:r>
          </w:p>
        </w:tc>
      </w:tr>
      <w:tr>
        <w:trPr>
          <w:trHeight w:val="236"/>
        </w:trPr>
        <w:tc>
          <w:tcPr>
            <w:tcW w:w="220" w:type="dxa"/>
            <w:vAlign w:val="bottom"/>
            <w:tcBorders>
              <w:top w:val="single" w:sz="8" w:color="0000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Big Rock Merger Corp. (incorporated by reference to Exhibit 2.1 to the Company’s Form 8-K, filed on December 17, 2020).</w:t>
            </w:r>
          </w:p>
        </w:tc>
      </w:tr>
      <w:tr>
        <w:trPr>
          <w:trHeight w:val="208"/>
        </w:trPr>
        <w:tc>
          <w:tcPr>
            <w:tcW w:w="1360" w:type="dxa"/>
            <w:vAlign w:val="bottom"/>
            <w:gridSpan w:val="2"/>
          </w:tcPr>
          <w:p>
            <w:pPr>
              <w:jc w:val="right"/>
              <w:ind w:right="1052"/>
              <w:spacing w:after="0"/>
              <w:rPr>
                <w:sz w:val="20"/>
                <w:szCs w:val="20"/>
                <w:color w:val="auto"/>
              </w:rPr>
            </w:pPr>
            <w:r>
              <w:rPr>
                <w:rFonts w:ascii="Arial" w:cs="Arial" w:eastAsia="Arial" w:hAnsi="Arial"/>
                <w:sz w:val="18"/>
                <w:szCs w:val="18"/>
                <w:color w:val="0000FF"/>
                <w:w w:val="79"/>
              </w:rPr>
              <w:t>2.2</w:t>
            </w:r>
          </w:p>
        </w:tc>
        <w:tc>
          <w:tcPr>
            <w:tcW w:w="9880" w:type="dxa"/>
            <w:vAlign w:val="bottom"/>
            <w:gridSpan w:val="2"/>
          </w:tcPr>
          <w:p>
            <w:pPr>
              <w:ind w:left="120"/>
              <w:spacing w:after="0"/>
              <w:rPr>
                <w:sz w:val="20"/>
                <w:szCs w:val="20"/>
                <w:color w:val="auto"/>
              </w:rPr>
            </w:pPr>
            <w:r>
              <w:rPr>
                <w:rFonts w:ascii="Arial" w:cs="Arial" w:eastAsia="Arial" w:hAnsi="Arial"/>
                <w:sz w:val="18"/>
                <w:szCs w:val="18"/>
                <w:color w:val="auto"/>
                <w:w w:val="90"/>
              </w:rPr>
              <w:t>First Amendment to Agreement and Plan of Merger, dated as of January 27, 2021, by and among Big Rock Partners Acquisition Corp.,</w:t>
            </w: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80" w:type="dxa"/>
            <w:vAlign w:val="bottom"/>
            <w:gridSpan w:val="2"/>
          </w:tcPr>
          <w:p>
            <w:pPr>
              <w:ind w:left="120"/>
              <w:spacing w:after="0"/>
              <w:rPr>
                <w:sz w:val="20"/>
                <w:szCs w:val="20"/>
                <w:color w:val="auto"/>
              </w:rPr>
            </w:pPr>
            <w:r>
              <w:rPr>
                <w:rFonts w:ascii="Arial" w:cs="Arial" w:eastAsia="Arial" w:hAnsi="Arial"/>
                <w:sz w:val="18"/>
                <w:szCs w:val="18"/>
                <w:color w:val="auto"/>
                <w:w w:val="94"/>
              </w:rPr>
              <w:t>NeuroRx, Inc., and Big Rock Merger Corp. (incorporated by reference to Exhibit 2.1 to the Company’s Form 10-K, filed on April 1,</w:t>
            </w:r>
          </w:p>
        </w:tc>
      </w:tr>
      <w:tr>
        <w:trPr>
          <w:trHeight w:val="223"/>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80" w:type="dxa"/>
            <w:vAlign w:val="bottom"/>
            <w:gridSpan w:val="2"/>
          </w:tcPr>
          <w:p>
            <w:pPr>
              <w:ind w:left="120"/>
              <w:spacing w:after="0"/>
              <w:rPr>
                <w:sz w:val="20"/>
                <w:szCs w:val="20"/>
                <w:color w:val="auto"/>
              </w:rPr>
            </w:pPr>
            <w:r>
              <w:rPr>
                <w:rFonts w:ascii="Arial" w:cs="Arial" w:eastAsia="Arial" w:hAnsi="Arial"/>
                <w:sz w:val="18"/>
                <w:szCs w:val="18"/>
                <w:color w:val="auto"/>
              </w:rPr>
              <w:t>2021).</w:t>
            </w:r>
          </w:p>
        </w:tc>
      </w:tr>
      <w:tr>
        <w:trPr>
          <w:trHeight w:val="177"/>
        </w:trPr>
        <w:tc>
          <w:tcPr>
            <w:tcW w:w="1360" w:type="dxa"/>
            <w:vAlign w:val="bottom"/>
            <w:gridSpan w:val="2"/>
            <w:shd w:val="clear" w:color="auto" w:fill="CCEEFF"/>
          </w:tcPr>
          <w:p>
            <w:pPr>
              <w:jc w:val="right"/>
              <w:ind w:right="1052"/>
              <w:spacing w:after="0" w:line="176" w:lineRule="exact"/>
              <w:rPr>
                <w:rFonts w:ascii="Arial" w:cs="Arial" w:eastAsia="Arial" w:hAnsi="Arial"/>
                <w:sz w:val="18"/>
                <w:szCs w:val="18"/>
                <w:color w:val="0000FF"/>
                <w:w w:val="79"/>
              </w:rPr>
            </w:pPr>
            <w:hyperlink r:id="rId40">
              <w:r>
                <w:rPr>
                  <w:rFonts w:ascii="Arial" w:cs="Arial" w:eastAsia="Arial" w:hAnsi="Arial"/>
                  <w:sz w:val="18"/>
                  <w:szCs w:val="18"/>
                  <w:color w:val="0000FF"/>
                  <w:w w:val="79"/>
                </w:rPr>
                <w:t>2.</w:t>
              </w:r>
              <w:r>
                <w:rPr>
                  <w:rFonts w:ascii="Arial" w:cs="Arial" w:eastAsia="Arial" w:hAnsi="Arial"/>
                  <w:sz w:val="18"/>
                  <w:szCs w:val="18"/>
                  <w:u w:val="single" w:color="auto"/>
                  <w:color w:val="0000FF"/>
                  <w:w w:val="79"/>
                </w:rPr>
                <w:t>3</w:t>
              </w:r>
            </w:hyperlink>
          </w:p>
        </w:tc>
        <w:tc>
          <w:tcPr>
            <w:tcW w:w="98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88"/>
              </w:rPr>
              <w:t>Second Amendment to Agreement and Plan of Merger, dated as of January 27, 2021, by and among Big Rock Partners Acquisition Corp.,</w:t>
            </w:r>
          </w:p>
        </w:tc>
      </w:tr>
      <w:tr>
        <w:trPr>
          <w:trHeight w:val="228"/>
        </w:trPr>
        <w:tc>
          <w:tcPr>
            <w:tcW w:w="220" w:type="dxa"/>
            <w:vAlign w:val="bottom"/>
            <w:tcBorders>
              <w:top w:val="single" w:sz="8" w:color="0000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3"/>
              </w:rPr>
              <w:t>NeuroRx, Inc., and Big Rock Merger Corp. (incorporated by reference to Exhibit 2.1 to the Company’s Form 8-K, filed on March 22,</w:t>
            </w:r>
          </w:p>
        </w:tc>
      </w:tr>
      <w:tr>
        <w:trPr>
          <w:trHeight w:val="224"/>
        </w:trPr>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2021).</w:t>
            </w:r>
          </w:p>
        </w:tc>
      </w:tr>
      <w:tr>
        <w:trPr>
          <w:trHeight w:val="175"/>
        </w:trPr>
        <w:tc>
          <w:tcPr>
            <w:tcW w:w="1360" w:type="dxa"/>
            <w:vAlign w:val="bottom"/>
            <w:gridSpan w:val="2"/>
          </w:tcPr>
          <w:p>
            <w:pPr>
              <w:jc w:val="right"/>
              <w:ind w:right="1052"/>
              <w:spacing w:after="0" w:line="176" w:lineRule="exact"/>
              <w:rPr>
                <w:rFonts w:ascii="Arial" w:cs="Arial" w:eastAsia="Arial" w:hAnsi="Arial"/>
                <w:sz w:val="18"/>
                <w:szCs w:val="18"/>
                <w:color w:val="0000FF"/>
                <w:w w:val="79"/>
              </w:rPr>
            </w:pPr>
            <w:hyperlink r:id="rId41">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988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5"/>
              </w:rPr>
              <w:t>Amended and Restated Certificate of Incorporation (incorporated by reference to Exhibit 3.1 to the Company’s Form 8-K, filed on</w:t>
            </w:r>
          </w:p>
        </w:tc>
      </w:tr>
      <w:tr>
        <w:trPr>
          <w:trHeight w:val="235"/>
        </w:trPr>
        <w:tc>
          <w:tcPr>
            <w:tcW w:w="220" w:type="dxa"/>
            <w:vAlign w:val="bottom"/>
            <w:tcBorders>
              <w:top w:val="single" w:sz="8" w:color="0000FF"/>
            </w:tcBorders>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120"/>
              <w:spacing w:after="0"/>
              <w:rPr>
                <w:sz w:val="20"/>
                <w:szCs w:val="20"/>
                <w:color w:val="auto"/>
              </w:rPr>
            </w:pPr>
            <w:r>
              <w:rPr>
                <w:rFonts w:ascii="Arial" w:cs="Arial" w:eastAsia="Arial" w:hAnsi="Arial"/>
                <w:sz w:val="18"/>
                <w:szCs w:val="18"/>
                <w:color w:val="auto"/>
              </w:rPr>
              <w:t>November 22, 2017).</w:t>
            </w:r>
          </w:p>
        </w:tc>
      </w:tr>
      <w:tr>
        <w:trPr>
          <w:trHeight w:val="177"/>
        </w:trPr>
        <w:tc>
          <w:tcPr>
            <w:tcW w:w="1360" w:type="dxa"/>
            <w:vAlign w:val="bottom"/>
            <w:gridSpan w:val="2"/>
            <w:shd w:val="clear" w:color="auto" w:fill="CCEEFF"/>
          </w:tcPr>
          <w:p>
            <w:pPr>
              <w:jc w:val="right"/>
              <w:ind w:right="1052"/>
              <w:spacing w:after="0" w:line="176" w:lineRule="exact"/>
              <w:rPr>
                <w:rFonts w:ascii="Arial" w:cs="Arial" w:eastAsia="Arial" w:hAnsi="Arial"/>
                <w:sz w:val="18"/>
                <w:szCs w:val="18"/>
                <w:color w:val="0000FF"/>
                <w:w w:val="79"/>
              </w:rPr>
            </w:pPr>
            <w:hyperlink r:id="rId42">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98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89"/>
              </w:rPr>
              <w:t>Amendment to Amended and Restated Certificate of Incorporation (incorporated by reference to Exhibit 3.1 to the Company’s Form 8-K,</w:t>
            </w:r>
          </w:p>
        </w:tc>
      </w:tr>
      <w:tr>
        <w:trPr>
          <w:trHeight w:val="236"/>
        </w:trPr>
        <w:tc>
          <w:tcPr>
            <w:tcW w:w="220" w:type="dxa"/>
            <w:vAlign w:val="bottom"/>
            <w:tcBorders>
              <w:top w:val="single" w:sz="8" w:color="0000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filed on May 22, 2019).</w:t>
            </w:r>
          </w:p>
        </w:tc>
      </w:tr>
      <w:tr>
        <w:trPr>
          <w:trHeight w:val="175"/>
        </w:trPr>
        <w:tc>
          <w:tcPr>
            <w:tcW w:w="1360" w:type="dxa"/>
            <w:vAlign w:val="bottom"/>
            <w:gridSpan w:val="2"/>
          </w:tcPr>
          <w:p>
            <w:pPr>
              <w:jc w:val="right"/>
              <w:ind w:right="1052"/>
              <w:spacing w:after="0" w:line="176" w:lineRule="exact"/>
              <w:rPr>
                <w:rFonts w:ascii="Arial" w:cs="Arial" w:eastAsia="Arial" w:hAnsi="Arial"/>
                <w:sz w:val="18"/>
                <w:szCs w:val="18"/>
                <w:color w:val="0000FF"/>
                <w:w w:val="79"/>
              </w:rPr>
            </w:pPr>
            <w:hyperlink r:id="rId43">
              <w:r>
                <w:rPr>
                  <w:rFonts w:ascii="Arial" w:cs="Arial" w:eastAsia="Arial" w:hAnsi="Arial"/>
                  <w:sz w:val="18"/>
                  <w:szCs w:val="18"/>
                  <w:color w:val="0000FF"/>
                  <w:w w:val="79"/>
                </w:rPr>
                <w:t>3.</w:t>
              </w:r>
              <w:r>
                <w:rPr>
                  <w:rFonts w:ascii="Arial" w:cs="Arial" w:eastAsia="Arial" w:hAnsi="Arial"/>
                  <w:sz w:val="18"/>
                  <w:szCs w:val="18"/>
                  <w:u w:val="single" w:color="auto"/>
                  <w:color w:val="0000FF"/>
                  <w:w w:val="79"/>
                </w:rPr>
                <w:t>3</w:t>
              </w:r>
            </w:hyperlink>
          </w:p>
        </w:tc>
        <w:tc>
          <w:tcPr>
            <w:tcW w:w="988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89"/>
              </w:rPr>
              <w:t>Amendment to Amended and Restated Certificate of Incorporation (incorporated by reference to Exhibit 3.1 to the Company’s Form 8-K,</w:t>
            </w:r>
          </w:p>
        </w:tc>
      </w:tr>
      <w:tr>
        <w:trPr>
          <w:trHeight w:val="236"/>
        </w:trPr>
        <w:tc>
          <w:tcPr>
            <w:tcW w:w="220" w:type="dxa"/>
            <w:vAlign w:val="bottom"/>
            <w:tcBorders>
              <w:top w:val="single" w:sz="8" w:color="0000FF"/>
            </w:tcBorders>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120"/>
              <w:spacing w:after="0"/>
              <w:rPr>
                <w:sz w:val="20"/>
                <w:szCs w:val="20"/>
                <w:color w:val="auto"/>
              </w:rPr>
            </w:pPr>
            <w:r>
              <w:rPr>
                <w:rFonts w:ascii="Arial" w:cs="Arial" w:eastAsia="Arial" w:hAnsi="Arial"/>
                <w:sz w:val="18"/>
                <w:szCs w:val="18"/>
                <w:color w:val="auto"/>
              </w:rPr>
              <w:t>filed on August 23, 2019).</w:t>
            </w:r>
          </w:p>
        </w:tc>
      </w:tr>
      <w:tr>
        <w:trPr>
          <w:trHeight w:val="176"/>
        </w:trPr>
        <w:tc>
          <w:tcPr>
            <w:tcW w:w="1360" w:type="dxa"/>
            <w:vAlign w:val="bottom"/>
            <w:gridSpan w:val="2"/>
            <w:shd w:val="clear" w:color="auto" w:fill="CCEEFF"/>
          </w:tcPr>
          <w:p>
            <w:pPr>
              <w:jc w:val="right"/>
              <w:ind w:right="1052"/>
              <w:spacing w:after="0" w:line="176" w:lineRule="exact"/>
              <w:rPr>
                <w:rFonts w:ascii="Arial" w:cs="Arial" w:eastAsia="Arial" w:hAnsi="Arial"/>
                <w:sz w:val="18"/>
                <w:szCs w:val="18"/>
                <w:color w:val="0000FF"/>
                <w:w w:val="79"/>
              </w:rPr>
            </w:pPr>
            <w:hyperlink r:id="rId41">
              <w:r>
                <w:rPr>
                  <w:rFonts w:ascii="Arial" w:cs="Arial" w:eastAsia="Arial" w:hAnsi="Arial"/>
                  <w:sz w:val="18"/>
                  <w:szCs w:val="18"/>
                  <w:color w:val="0000FF"/>
                  <w:w w:val="79"/>
                </w:rPr>
                <w:t>3.</w:t>
              </w:r>
              <w:r>
                <w:rPr>
                  <w:rFonts w:ascii="Arial" w:cs="Arial" w:eastAsia="Arial" w:hAnsi="Arial"/>
                  <w:sz w:val="18"/>
                  <w:szCs w:val="18"/>
                  <w:u w:val="single" w:color="auto"/>
                  <w:color w:val="0000FF"/>
                  <w:w w:val="79"/>
                </w:rPr>
                <w:t>4</w:t>
              </w:r>
            </w:hyperlink>
          </w:p>
        </w:tc>
        <w:tc>
          <w:tcPr>
            <w:tcW w:w="98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89"/>
              </w:rPr>
              <w:t>Amendment to Amended and Restated Certificate of Incorporation (incorporated by reference to Exhibit 3.1 to the Company’s Form 8-K,</w:t>
            </w:r>
          </w:p>
        </w:tc>
      </w:tr>
      <w:tr>
        <w:trPr>
          <w:trHeight w:val="237"/>
        </w:trPr>
        <w:tc>
          <w:tcPr>
            <w:tcW w:w="220" w:type="dxa"/>
            <w:vAlign w:val="bottom"/>
            <w:tcBorders>
              <w:top w:val="single" w:sz="8" w:color="0000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filed on November 22, 2019).</w:t>
            </w:r>
          </w:p>
        </w:tc>
      </w:tr>
      <w:tr>
        <w:trPr>
          <w:trHeight w:val="175"/>
        </w:trPr>
        <w:tc>
          <w:tcPr>
            <w:tcW w:w="1360" w:type="dxa"/>
            <w:vAlign w:val="bottom"/>
            <w:gridSpan w:val="2"/>
          </w:tcPr>
          <w:p>
            <w:pPr>
              <w:jc w:val="right"/>
              <w:ind w:right="1052"/>
              <w:spacing w:after="0" w:line="176" w:lineRule="exact"/>
              <w:rPr>
                <w:rFonts w:ascii="Arial" w:cs="Arial" w:eastAsia="Arial" w:hAnsi="Arial"/>
                <w:sz w:val="18"/>
                <w:szCs w:val="18"/>
                <w:color w:val="0000FF"/>
                <w:w w:val="79"/>
              </w:rPr>
            </w:pPr>
            <w:hyperlink r:id="rId44">
              <w:r>
                <w:rPr>
                  <w:rFonts w:ascii="Arial" w:cs="Arial" w:eastAsia="Arial" w:hAnsi="Arial"/>
                  <w:sz w:val="18"/>
                  <w:szCs w:val="18"/>
                  <w:color w:val="0000FF"/>
                  <w:w w:val="79"/>
                </w:rPr>
                <w:t>3.</w:t>
              </w:r>
              <w:r>
                <w:rPr>
                  <w:rFonts w:ascii="Arial" w:cs="Arial" w:eastAsia="Arial" w:hAnsi="Arial"/>
                  <w:sz w:val="18"/>
                  <w:szCs w:val="18"/>
                  <w:u w:val="single" w:color="auto"/>
                  <w:color w:val="0000FF"/>
                  <w:w w:val="79"/>
                </w:rPr>
                <w:t>5</w:t>
              </w:r>
            </w:hyperlink>
          </w:p>
        </w:tc>
        <w:tc>
          <w:tcPr>
            <w:tcW w:w="988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89"/>
              </w:rPr>
              <w:t>Amendment to Amended and Restated Certificate of Incorporation (incorporated by reference to Exhibit 3.1 to the Company’s Form 8-K,</w:t>
            </w:r>
          </w:p>
        </w:tc>
      </w:tr>
      <w:tr>
        <w:trPr>
          <w:trHeight w:val="235"/>
        </w:trPr>
        <w:tc>
          <w:tcPr>
            <w:tcW w:w="220" w:type="dxa"/>
            <w:vAlign w:val="bottom"/>
            <w:tcBorders>
              <w:top w:val="single" w:sz="8" w:color="0000FF"/>
            </w:tcBorders>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120"/>
              <w:spacing w:after="0"/>
              <w:rPr>
                <w:sz w:val="20"/>
                <w:szCs w:val="20"/>
                <w:color w:val="auto"/>
              </w:rPr>
            </w:pPr>
            <w:r>
              <w:rPr>
                <w:rFonts w:ascii="Arial" w:cs="Arial" w:eastAsia="Arial" w:hAnsi="Arial"/>
                <w:sz w:val="18"/>
                <w:szCs w:val="18"/>
                <w:color w:val="auto"/>
              </w:rPr>
              <w:t>filed on March 23, 2020).</w:t>
            </w:r>
          </w:p>
        </w:tc>
      </w:tr>
      <w:tr>
        <w:trPr>
          <w:trHeight w:val="176"/>
        </w:trPr>
        <w:tc>
          <w:tcPr>
            <w:tcW w:w="1360" w:type="dxa"/>
            <w:vAlign w:val="bottom"/>
            <w:gridSpan w:val="2"/>
            <w:shd w:val="clear" w:color="auto" w:fill="CCEEFF"/>
          </w:tcPr>
          <w:p>
            <w:pPr>
              <w:jc w:val="right"/>
              <w:ind w:right="1052"/>
              <w:spacing w:after="0" w:line="176" w:lineRule="exact"/>
              <w:rPr>
                <w:rFonts w:ascii="Arial" w:cs="Arial" w:eastAsia="Arial" w:hAnsi="Arial"/>
                <w:sz w:val="18"/>
                <w:szCs w:val="18"/>
                <w:color w:val="0000FF"/>
                <w:w w:val="79"/>
              </w:rPr>
            </w:pPr>
            <w:hyperlink r:id="rId45">
              <w:r>
                <w:rPr>
                  <w:rFonts w:ascii="Arial" w:cs="Arial" w:eastAsia="Arial" w:hAnsi="Arial"/>
                  <w:sz w:val="18"/>
                  <w:szCs w:val="18"/>
                  <w:color w:val="0000FF"/>
                  <w:w w:val="79"/>
                </w:rPr>
                <w:t>3.</w:t>
              </w:r>
              <w:r>
                <w:rPr>
                  <w:rFonts w:ascii="Arial" w:cs="Arial" w:eastAsia="Arial" w:hAnsi="Arial"/>
                  <w:sz w:val="18"/>
                  <w:szCs w:val="18"/>
                  <w:u w:val="single" w:color="auto"/>
                  <w:color w:val="0000FF"/>
                  <w:w w:val="79"/>
                </w:rPr>
                <w:t>6</w:t>
              </w:r>
            </w:hyperlink>
          </w:p>
        </w:tc>
        <w:tc>
          <w:tcPr>
            <w:tcW w:w="98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89"/>
              </w:rPr>
              <w:t>Amendment to Amended and Restated Certificate of Incorporation (incorporated by reference to Exhibit 3.1 to the Company’s Form 8-K,</w:t>
            </w:r>
          </w:p>
        </w:tc>
      </w:tr>
      <w:tr>
        <w:trPr>
          <w:trHeight w:val="237"/>
        </w:trPr>
        <w:tc>
          <w:tcPr>
            <w:tcW w:w="220" w:type="dxa"/>
            <w:vAlign w:val="bottom"/>
            <w:tcBorders>
              <w:top w:val="single" w:sz="8" w:color="0000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filed on July 23, 2020).</w:t>
            </w:r>
          </w:p>
        </w:tc>
      </w:tr>
      <w:tr>
        <w:trPr>
          <w:trHeight w:val="175"/>
        </w:trPr>
        <w:tc>
          <w:tcPr>
            <w:tcW w:w="1360" w:type="dxa"/>
            <w:vAlign w:val="bottom"/>
            <w:gridSpan w:val="2"/>
          </w:tcPr>
          <w:p>
            <w:pPr>
              <w:jc w:val="right"/>
              <w:ind w:right="1052"/>
              <w:spacing w:after="0" w:line="176" w:lineRule="exact"/>
              <w:rPr>
                <w:rFonts w:ascii="Arial" w:cs="Arial" w:eastAsia="Arial" w:hAnsi="Arial"/>
                <w:sz w:val="18"/>
                <w:szCs w:val="18"/>
                <w:color w:val="0000FF"/>
                <w:w w:val="79"/>
              </w:rPr>
            </w:pPr>
            <w:hyperlink r:id="rId46">
              <w:r>
                <w:rPr>
                  <w:rFonts w:ascii="Arial" w:cs="Arial" w:eastAsia="Arial" w:hAnsi="Arial"/>
                  <w:sz w:val="18"/>
                  <w:szCs w:val="18"/>
                  <w:color w:val="0000FF"/>
                  <w:w w:val="79"/>
                </w:rPr>
                <w:t>3.</w:t>
              </w:r>
              <w:r>
                <w:rPr>
                  <w:rFonts w:ascii="Arial" w:cs="Arial" w:eastAsia="Arial" w:hAnsi="Arial"/>
                  <w:sz w:val="18"/>
                  <w:szCs w:val="18"/>
                  <w:u w:val="single" w:color="auto"/>
                  <w:color w:val="0000FF"/>
                  <w:w w:val="79"/>
                </w:rPr>
                <w:t>7</w:t>
              </w:r>
            </w:hyperlink>
          </w:p>
        </w:tc>
        <w:tc>
          <w:tcPr>
            <w:tcW w:w="988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89"/>
              </w:rPr>
              <w:t>Amendment to Amended and Restated Certificate of Incorporation (incorporated by reference to Exhibit 3.1 to the Company’s Form 8-K,</w:t>
            </w:r>
          </w:p>
        </w:tc>
      </w:tr>
      <w:tr>
        <w:trPr>
          <w:trHeight w:val="235"/>
        </w:trPr>
        <w:tc>
          <w:tcPr>
            <w:tcW w:w="220" w:type="dxa"/>
            <w:vAlign w:val="bottom"/>
            <w:tcBorders>
              <w:top w:val="single" w:sz="8" w:color="0000FF"/>
            </w:tcBorders>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120"/>
              <w:spacing w:after="0"/>
              <w:rPr>
                <w:sz w:val="20"/>
                <w:szCs w:val="20"/>
                <w:color w:val="auto"/>
              </w:rPr>
            </w:pPr>
            <w:r>
              <w:rPr>
                <w:rFonts w:ascii="Arial" w:cs="Arial" w:eastAsia="Arial" w:hAnsi="Arial"/>
                <w:sz w:val="18"/>
                <w:szCs w:val="18"/>
                <w:color w:val="auto"/>
              </w:rPr>
              <w:t>filed on December 18, 2020).</w:t>
            </w:r>
          </w:p>
        </w:tc>
      </w:tr>
      <w:tr>
        <w:trPr>
          <w:trHeight w:val="177"/>
        </w:trPr>
        <w:tc>
          <w:tcPr>
            <w:tcW w:w="1360" w:type="dxa"/>
            <w:vAlign w:val="bottom"/>
            <w:gridSpan w:val="2"/>
            <w:shd w:val="clear" w:color="auto" w:fill="CCEEFF"/>
          </w:tcPr>
          <w:p>
            <w:pPr>
              <w:jc w:val="right"/>
              <w:ind w:right="1052"/>
              <w:spacing w:after="0" w:line="176" w:lineRule="exact"/>
              <w:rPr>
                <w:rFonts w:ascii="Arial" w:cs="Arial" w:eastAsia="Arial" w:hAnsi="Arial"/>
                <w:sz w:val="18"/>
                <w:szCs w:val="18"/>
                <w:color w:val="0000FF"/>
                <w:w w:val="79"/>
              </w:rPr>
            </w:pPr>
            <w:hyperlink r:id="rId47">
              <w:r>
                <w:rPr>
                  <w:rFonts w:ascii="Arial" w:cs="Arial" w:eastAsia="Arial" w:hAnsi="Arial"/>
                  <w:sz w:val="18"/>
                  <w:szCs w:val="18"/>
                  <w:color w:val="0000FF"/>
                  <w:w w:val="79"/>
                </w:rPr>
                <w:t>3.</w:t>
              </w:r>
              <w:r>
                <w:rPr>
                  <w:rFonts w:ascii="Arial" w:cs="Arial" w:eastAsia="Arial" w:hAnsi="Arial"/>
                  <w:sz w:val="18"/>
                  <w:szCs w:val="18"/>
                  <w:u w:val="single" w:color="auto"/>
                  <w:color w:val="0000FF"/>
                  <w:w w:val="79"/>
                </w:rPr>
                <w:t>8</w:t>
              </w:r>
            </w:hyperlink>
          </w:p>
        </w:tc>
        <w:tc>
          <w:tcPr>
            <w:tcW w:w="98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3"/>
              </w:rPr>
              <w:t>Amended and Restated Bylaws (incorporated by reference to Exhibit 3.2 to the Company’s Form 8-K, filed on November 22, 2017).</w:t>
            </w:r>
          </w:p>
        </w:tc>
      </w:tr>
      <w:tr>
        <w:trPr>
          <w:trHeight w:val="20"/>
        </w:trPr>
        <w:tc>
          <w:tcPr>
            <w:tcW w:w="2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7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2"/>
          </w:tcPr>
          <w:p>
            <w:pPr>
              <w:jc w:val="right"/>
              <w:ind w:right="1052"/>
              <w:spacing w:after="0" w:line="176" w:lineRule="exact"/>
              <w:rPr>
                <w:rFonts w:ascii="Arial" w:cs="Arial" w:eastAsia="Arial" w:hAnsi="Arial"/>
                <w:sz w:val="18"/>
                <w:szCs w:val="18"/>
                <w:color w:val="0000FF"/>
                <w:w w:val="79"/>
              </w:rPr>
            </w:pPr>
            <w:hyperlink r:id="rId48">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988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6"/>
              </w:rPr>
              <w:t>Specimen Unit Certificate (incorporated by reference to Exhibit 4.1 to the Company’s Form S-1/A, File No. 333 220947, filed on</w:t>
            </w:r>
          </w:p>
        </w:tc>
      </w:tr>
      <w:tr>
        <w:trPr>
          <w:trHeight w:val="236"/>
        </w:trPr>
        <w:tc>
          <w:tcPr>
            <w:tcW w:w="220" w:type="dxa"/>
            <w:vAlign w:val="bottom"/>
            <w:tcBorders>
              <w:top w:val="single" w:sz="8" w:color="0000FF"/>
            </w:tcBorders>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120"/>
              <w:spacing w:after="0"/>
              <w:rPr>
                <w:sz w:val="20"/>
                <w:szCs w:val="20"/>
                <w:color w:val="auto"/>
              </w:rPr>
            </w:pPr>
            <w:r>
              <w:rPr>
                <w:rFonts w:ascii="Arial" w:cs="Arial" w:eastAsia="Arial" w:hAnsi="Arial"/>
                <w:sz w:val="18"/>
                <w:szCs w:val="18"/>
                <w:color w:val="auto"/>
              </w:rPr>
              <w:t>November 14, 2017).</w:t>
            </w:r>
          </w:p>
        </w:tc>
      </w:tr>
      <w:tr>
        <w:trPr>
          <w:trHeight w:val="176"/>
        </w:trPr>
        <w:tc>
          <w:tcPr>
            <w:tcW w:w="1360" w:type="dxa"/>
            <w:vAlign w:val="bottom"/>
            <w:gridSpan w:val="2"/>
            <w:shd w:val="clear" w:color="auto" w:fill="CCEEFF"/>
          </w:tcPr>
          <w:p>
            <w:pPr>
              <w:jc w:val="right"/>
              <w:ind w:right="1052"/>
              <w:spacing w:after="0" w:line="176" w:lineRule="exact"/>
              <w:rPr>
                <w:rFonts w:ascii="Arial" w:cs="Arial" w:eastAsia="Arial" w:hAnsi="Arial"/>
                <w:sz w:val="18"/>
                <w:szCs w:val="18"/>
                <w:color w:val="0000FF"/>
                <w:w w:val="79"/>
              </w:rPr>
            </w:pPr>
            <w:hyperlink r:id="rId49">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98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0"/>
              </w:rPr>
              <w:t>Specimen Common Stock Certificate (incorporated by reference to Exhibit 4.2 to the Company’s Form S-1/A, File No. 333-220947, filed</w:t>
            </w:r>
          </w:p>
        </w:tc>
      </w:tr>
      <w:tr>
        <w:trPr>
          <w:trHeight w:val="236"/>
        </w:trPr>
        <w:tc>
          <w:tcPr>
            <w:tcW w:w="220" w:type="dxa"/>
            <w:vAlign w:val="bottom"/>
            <w:tcBorders>
              <w:top w:val="single" w:sz="8" w:color="0000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on November 14, 2017).</w:t>
            </w:r>
          </w:p>
        </w:tc>
      </w:tr>
      <w:tr>
        <w:trPr>
          <w:trHeight w:val="175"/>
        </w:trPr>
        <w:tc>
          <w:tcPr>
            <w:tcW w:w="1360" w:type="dxa"/>
            <w:vAlign w:val="bottom"/>
            <w:gridSpan w:val="2"/>
          </w:tcPr>
          <w:p>
            <w:pPr>
              <w:jc w:val="right"/>
              <w:ind w:right="1052"/>
              <w:spacing w:after="0" w:line="176" w:lineRule="exact"/>
              <w:rPr>
                <w:rFonts w:ascii="Arial" w:cs="Arial" w:eastAsia="Arial" w:hAnsi="Arial"/>
                <w:sz w:val="18"/>
                <w:szCs w:val="18"/>
                <w:color w:val="0000FF"/>
                <w:w w:val="79"/>
              </w:rPr>
            </w:pPr>
            <w:hyperlink r:id="rId50">
              <w:r>
                <w:rPr>
                  <w:rFonts w:ascii="Arial" w:cs="Arial" w:eastAsia="Arial" w:hAnsi="Arial"/>
                  <w:sz w:val="18"/>
                  <w:szCs w:val="18"/>
                  <w:color w:val="0000FF"/>
                  <w:w w:val="79"/>
                </w:rPr>
                <w:t>4.</w:t>
              </w:r>
              <w:r>
                <w:rPr>
                  <w:rFonts w:ascii="Arial" w:cs="Arial" w:eastAsia="Arial" w:hAnsi="Arial"/>
                  <w:sz w:val="18"/>
                  <w:szCs w:val="18"/>
                  <w:u w:val="single" w:color="auto"/>
                  <w:color w:val="0000FF"/>
                  <w:w w:val="79"/>
                </w:rPr>
                <w:t>3</w:t>
              </w:r>
            </w:hyperlink>
          </w:p>
        </w:tc>
        <w:tc>
          <w:tcPr>
            <w:tcW w:w="988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5"/>
              </w:rPr>
              <w:t>Specimen Right Certificate (incorporated by reference to Exhibit 4.3 to the Company’s Form S-1/A, File No. 333 220947, filed on</w:t>
            </w:r>
          </w:p>
        </w:tc>
      </w:tr>
      <w:tr>
        <w:trPr>
          <w:trHeight w:val="236"/>
        </w:trPr>
        <w:tc>
          <w:tcPr>
            <w:tcW w:w="220" w:type="dxa"/>
            <w:vAlign w:val="bottom"/>
            <w:tcBorders>
              <w:top w:val="single" w:sz="8" w:color="0000FF"/>
            </w:tcBorders>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120"/>
              <w:spacing w:after="0"/>
              <w:rPr>
                <w:sz w:val="20"/>
                <w:szCs w:val="20"/>
                <w:color w:val="auto"/>
              </w:rPr>
            </w:pPr>
            <w:r>
              <w:rPr>
                <w:rFonts w:ascii="Arial" w:cs="Arial" w:eastAsia="Arial" w:hAnsi="Arial"/>
                <w:sz w:val="18"/>
                <w:szCs w:val="18"/>
                <w:color w:val="auto"/>
              </w:rPr>
              <w:t>November 14, 2017).</w:t>
            </w:r>
          </w:p>
        </w:tc>
      </w:tr>
      <w:tr>
        <w:trPr>
          <w:trHeight w:val="176"/>
        </w:trPr>
        <w:tc>
          <w:tcPr>
            <w:tcW w:w="1360" w:type="dxa"/>
            <w:vAlign w:val="bottom"/>
            <w:gridSpan w:val="2"/>
            <w:shd w:val="clear" w:color="auto" w:fill="CCEEFF"/>
          </w:tcPr>
          <w:p>
            <w:pPr>
              <w:jc w:val="right"/>
              <w:ind w:right="1052"/>
              <w:spacing w:after="0" w:line="176" w:lineRule="exact"/>
              <w:rPr>
                <w:rFonts w:ascii="Arial" w:cs="Arial" w:eastAsia="Arial" w:hAnsi="Arial"/>
                <w:sz w:val="18"/>
                <w:szCs w:val="18"/>
                <w:color w:val="0000FF"/>
                <w:w w:val="79"/>
              </w:rPr>
            </w:pPr>
            <w:hyperlink r:id="rId51">
              <w:r>
                <w:rPr>
                  <w:rFonts w:ascii="Arial" w:cs="Arial" w:eastAsia="Arial" w:hAnsi="Arial"/>
                  <w:sz w:val="18"/>
                  <w:szCs w:val="18"/>
                  <w:color w:val="0000FF"/>
                  <w:w w:val="79"/>
                </w:rPr>
                <w:t>4.</w:t>
              </w:r>
              <w:r>
                <w:rPr>
                  <w:rFonts w:ascii="Arial" w:cs="Arial" w:eastAsia="Arial" w:hAnsi="Arial"/>
                  <w:sz w:val="18"/>
                  <w:szCs w:val="18"/>
                  <w:u w:val="single" w:color="auto"/>
                  <w:color w:val="0000FF"/>
                  <w:w w:val="79"/>
                </w:rPr>
                <w:t>4</w:t>
              </w:r>
            </w:hyperlink>
          </w:p>
        </w:tc>
        <w:tc>
          <w:tcPr>
            <w:tcW w:w="98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3"/>
              </w:rPr>
              <w:t>Specimen Warrant Certificate (incorporated by reference to Exhibit 4.4 to the Company’s Form S-1/A, File No. 333 220947, filed on</w:t>
            </w:r>
          </w:p>
        </w:tc>
      </w:tr>
      <w:tr>
        <w:trPr>
          <w:trHeight w:val="236"/>
        </w:trPr>
        <w:tc>
          <w:tcPr>
            <w:tcW w:w="220" w:type="dxa"/>
            <w:vAlign w:val="bottom"/>
            <w:tcBorders>
              <w:top w:val="single" w:sz="8" w:color="0000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November 14, 2017).</w:t>
            </w:r>
          </w:p>
        </w:tc>
      </w:tr>
      <w:tr>
        <w:trPr>
          <w:trHeight w:val="175"/>
        </w:trPr>
        <w:tc>
          <w:tcPr>
            <w:tcW w:w="1360" w:type="dxa"/>
            <w:vAlign w:val="bottom"/>
            <w:gridSpan w:val="2"/>
          </w:tcPr>
          <w:p>
            <w:pPr>
              <w:jc w:val="right"/>
              <w:ind w:right="1052"/>
              <w:spacing w:after="0" w:line="176" w:lineRule="exact"/>
              <w:rPr>
                <w:rFonts w:ascii="Arial" w:cs="Arial" w:eastAsia="Arial" w:hAnsi="Arial"/>
                <w:sz w:val="18"/>
                <w:szCs w:val="18"/>
                <w:color w:val="0000FF"/>
                <w:w w:val="79"/>
              </w:rPr>
            </w:pPr>
            <w:hyperlink r:id="rId52">
              <w:r>
                <w:rPr>
                  <w:rFonts w:ascii="Arial" w:cs="Arial" w:eastAsia="Arial" w:hAnsi="Arial"/>
                  <w:sz w:val="18"/>
                  <w:szCs w:val="18"/>
                  <w:color w:val="0000FF"/>
                  <w:w w:val="79"/>
                </w:rPr>
                <w:t>4.</w:t>
              </w:r>
              <w:r>
                <w:rPr>
                  <w:rFonts w:ascii="Arial" w:cs="Arial" w:eastAsia="Arial" w:hAnsi="Arial"/>
                  <w:sz w:val="18"/>
                  <w:szCs w:val="18"/>
                  <w:u w:val="single" w:color="auto"/>
                  <w:color w:val="0000FF"/>
                  <w:w w:val="79"/>
                </w:rPr>
                <w:t>5</w:t>
              </w:r>
            </w:hyperlink>
          </w:p>
        </w:tc>
        <w:tc>
          <w:tcPr>
            <w:tcW w:w="9880" w:type="dxa"/>
            <w:vAlign w:val="bottom"/>
            <w:gridSpan w:val="2"/>
          </w:tcPr>
          <w:p>
            <w:pPr>
              <w:ind w:left="120"/>
              <w:spacing w:after="0" w:line="176" w:lineRule="exact"/>
              <w:rPr>
                <w:sz w:val="20"/>
                <w:szCs w:val="20"/>
                <w:color w:val="auto"/>
              </w:rPr>
            </w:pPr>
            <w:r>
              <w:rPr>
                <w:rFonts w:ascii="Arial" w:cs="Arial" w:eastAsia="Arial" w:hAnsi="Arial"/>
                <w:sz w:val="18"/>
                <w:szCs w:val="18"/>
                <w:color w:val="auto"/>
                <w:w w:val="90"/>
              </w:rPr>
              <w:t>Right Agreement, dated November 20, 2017, between the Company and Continental Stock Transfer &amp; Trust Company (incorporated by</w:t>
            </w:r>
          </w:p>
        </w:tc>
      </w:tr>
      <w:tr>
        <w:trPr>
          <w:trHeight w:val="235"/>
        </w:trPr>
        <w:tc>
          <w:tcPr>
            <w:tcW w:w="220" w:type="dxa"/>
            <w:vAlign w:val="bottom"/>
            <w:tcBorders>
              <w:top w:val="single" w:sz="8" w:color="0000FF"/>
            </w:tcBorders>
          </w:tcPr>
          <w:p>
            <w:pPr>
              <w:spacing w:after="0"/>
              <w:rPr>
                <w:sz w:val="20"/>
                <w:szCs w:val="20"/>
                <w:color w:val="auto"/>
              </w:rPr>
            </w:pPr>
          </w:p>
        </w:tc>
        <w:tc>
          <w:tcPr>
            <w:tcW w:w="1140" w:type="dxa"/>
            <w:vAlign w:val="bottom"/>
          </w:tcPr>
          <w:p>
            <w:pPr>
              <w:spacing w:after="0"/>
              <w:rPr>
                <w:sz w:val="20"/>
                <w:szCs w:val="20"/>
                <w:color w:val="auto"/>
              </w:rPr>
            </w:pPr>
          </w:p>
        </w:tc>
        <w:tc>
          <w:tcPr>
            <w:tcW w:w="9880" w:type="dxa"/>
            <w:vAlign w:val="bottom"/>
            <w:gridSpan w:val="2"/>
          </w:tcPr>
          <w:p>
            <w:pPr>
              <w:ind w:left="120"/>
              <w:spacing w:after="0"/>
              <w:rPr>
                <w:sz w:val="20"/>
                <w:szCs w:val="20"/>
                <w:color w:val="auto"/>
              </w:rPr>
            </w:pPr>
            <w:r>
              <w:rPr>
                <w:rFonts w:ascii="Arial" w:cs="Arial" w:eastAsia="Arial" w:hAnsi="Arial"/>
                <w:sz w:val="18"/>
                <w:szCs w:val="18"/>
                <w:color w:val="auto"/>
              </w:rPr>
              <w:t>reference to Exhibit 4.1 to the Company’s Form 8-K, File No. 001-38302, filed on November 22, 2017).</w:t>
            </w:r>
          </w:p>
        </w:tc>
      </w:tr>
      <w:tr>
        <w:trPr>
          <w:trHeight w:val="177"/>
        </w:trPr>
        <w:tc>
          <w:tcPr>
            <w:tcW w:w="1360" w:type="dxa"/>
            <w:vAlign w:val="bottom"/>
            <w:gridSpan w:val="2"/>
            <w:shd w:val="clear" w:color="auto" w:fill="CCEEFF"/>
          </w:tcPr>
          <w:p>
            <w:pPr>
              <w:jc w:val="right"/>
              <w:ind w:right="1052"/>
              <w:spacing w:after="0" w:line="176" w:lineRule="exact"/>
              <w:rPr>
                <w:rFonts w:ascii="Arial" w:cs="Arial" w:eastAsia="Arial" w:hAnsi="Arial"/>
                <w:sz w:val="18"/>
                <w:szCs w:val="18"/>
                <w:color w:val="0000FF"/>
                <w:w w:val="79"/>
              </w:rPr>
            </w:pPr>
            <w:hyperlink r:id="rId5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6</w:t>
              </w:r>
            </w:hyperlink>
          </w:p>
        </w:tc>
        <w:tc>
          <w:tcPr>
            <w:tcW w:w="98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88"/>
              </w:rPr>
              <w:t>Warrant Agreement, dated November 20, 2017, between Continental Stock Transfer &amp; Trust Company and the Company (incorporated by</w:t>
            </w:r>
          </w:p>
        </w:tc>
      </w:tr>
      <w:tr>
        <w:trPr>
          <w:trHeight w:val="236"/>
        </w:trPr>
        <w:tc>
          <w:tcPr>
            <w:tcW w:w="220" w:type="dxa"/>
            <w:vAlign w:val="bottom"/>
            <w:tcBorders>
              <w:top w:val="single" w:sz="8" w:color="0000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reference to Exhibit 4.2 to the Company’s Form 8-K, filed on November 22, 2017).</w:t>
            </w:r>
          </w:p>
        </w:tc>
      </w:tr>
      <w:tr>
        <w:trPr>
          <w:trHeight w:val="647"/>
        </w:trPr>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gridSpan w:val="2"/>
          </w:tcPr>
          <w:p>
            <w:pPr>
              <w:ind w:left="418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240"/>
          </w:cols>
          <w:pgMar w:left="320" w:top="557"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gridSpan w:val="2"/>
            <w:shd w:val="clear" w:color="auto" w:fill="CCEEFF"/>
          </w:tcPr>
          <w:p>
            <w:pPr>
              <w:spacing w:after="0"/>
              <w:rPr>
                <w:rFonts w:ascii="Arial" w:cs="Arial" w:eastAsia="Arial" w:hAnsi="Arial"/>
                <w:sz w:val="18"/>
                <w:szCs w:val="18"/>
                <w:color w:val="0000FF"/>
              </w:rPr>
            </w:pPr>
            <w:hyperlink r:id="rId54">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Form of Unit Purchase Option, dated November 20, 2017, with EarlyBirdCapital, Inc. and its designees (incorporated by reference to</w:t>
            </w:r>
          </w:p>
        </w:tc>
      </w:tr>
      <w:tr>
        <w:trPr>
          <w:trHeight w:val="237"/>
        </w:trPr>
        <w:tc>
          <w:tcPr>
            <w:tcW w:w="2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Exhibit 4.3 to the Company’s Form 8-K, filed on November 22, 2017).</w:t>
            </w: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0000FF"/>
              </w:rPr>
              <w:t>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w w:val="94"/>
              </w:rPr>
              <w:t>Description of Registrant's Securities (incorporated by reference to Exhibit 4.8 to the Company’s Form 10-K filed on April 1, 2021).</w:t>
            </w:r>
          </w:p>
        </w:tc>
      </w:tr>
      <w:tr>
        <w:trPr>
          <w:trHeight w:val="175"/>
        </w:trPr>
        <w:tc>
          <w:tcPr>
            <w:tcW w:w="1080" w:type="dxa"/>
            <w:vAlign w:val="bottom"/>
            <w:gridSpan w:val="6"/>
            <w:shd w:val="clear" w:color="auto" w:fill="CCEEFF"/>
          </w:tcPr>
          <w:p>
            <w:pPr>
              <w:spacing w:after="0" w:line="176" w:lineRule="exact"/>
              <w:rPr>
                <w:rFonts w:ascii="Arial" w:cs="Arial" w:eastAsia="Arial" w:hAnsi="Arial"/>
                <w:sz w:val="18"/>
                <w:szCs w:val="18"/>
                <w:color w:val="0000FF"/>
              </w:rPr>
            </w:pPr>
            <w:hyperlink r:id="rId55">
              <w:r>
                <w:rPr>
                  <w:rFonts w:ascii="Arial" w:cs="Arial" w:eastAsia="Arial" w:hAnsi="Arial"/>
                  <w:sz w:val="18"/>
                  <w:szCs w:val="18"/>
                  <w:color w:val="0000FF"/>
                </w:rPr>
                <w:t>10.</w:t>
              </w:r>
              <w:r>
                <w:rPr>
                  <w:rFonts w:ascii="Arial" w:cs="Arial" w:eastAsia="Arial" w:hAnsi="Arial"/>
                  <w:sz w:val="18"/>
                  <w:szCs w:val="18"/>
                  <w:u w:val="single" w:color="auto"/>
                  <w:color w:val="0000FF"/>
                </w:rPr>
                <w:t>1(a)</w:t>
              </w:r>
            </w:hyperlink>
          </w:p>
        </w:tc>
        <w:tc>
          <w:tcPr>
            <w:tcW w:w="101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3"/>
              </w:rPr>
              <w:t>Letter Agreement, dated November 20, 2017, by and between the Company and Big Rock Partners Sponsor, LLC (incorporated by</w:t>
            </w:r>
          </w:p>
        </w:tc>
      </w:tr>
      <w:tr>
        <w:trPr>
          <w:trHeight w:val="237"/>
        </w:trPr>
        <w:tc>
          <w:tcPr>
            <w:tcW w:w="2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reference to Exhibit 10.4 to the Company’s Form 8-K, filed on November 22, 2017).</w:t>
            </w:r>
          </w:p>
        </w:tc>
      </w:tr>
      <w:tr>
        <w:trPr>
          <w:trHeight w:val="176"/>
        </w:trPr>
        <w:tc>
          <w:tcPr>
            <w:tcW w:w="1080" w:type="dxa"/>
            <w:vAlign w:val="bottom"/>
            <w:gridSpan w:val="6"/>
          </w:tcPr>
          <w:p>
            <w:pPr>
              <w:spacing w:after="0" w:line="176" w:lineRule="exact"/>
              <w:rPr>
                <w:rFonts w:ascii="Arial" w:cs="Arial" w:eastAsia="Arial" w:hAnsi="Arial"/>
                <w:sz w:val="18"/>
                <w:szCs w:val="18"/>
                <w:color w:val="0000FF"/>
              </w:rPr>
            </w:pPr>
            <w:hyperlink r:id="rId56">
              <w:r>
                <w:rPr>
                  <w:rFonts w:ascii="Arial" w:cs="Arial" w:eastAsia="Arial" w:hAnsi="Arial"/>
                  <w:sz w:val="18"/>
                  <w:szCs w:val="18"/>
                  <w:color w:val="0000FF"/>
                </w:rPr>
                <w:t>10.</w:t>
              </w:r>
              <w:r>
                <w:rPr>
                  <w:rFonts w:ascii="Arial" w:cs="Arial" w:eastAsia="Arial" w:hAnsi="Arial"/>
                  <w:sz w:val="18"/>
                  <w:szCs w:val="18"/>
                  <w:u w:val="single" w:color="auto"/>
                  <w:color w:val="0000FF"/>
                </w:rPr>
                <w:t>1(b)</w:t>
              </w:r>
            </w:hyperlink>
          </w:p>
        </w:tc>
        <w:tc>
          <w:tcPr>
            <w:tcW w:w="10160" w:type="dxa"/>
            <w:vAlign w:val="bottom"/>
          </w:tcPr>
          <w:p>
            <w:pPr>
              <w:ind w:left="400"/>
              <w:spacing w:after="0" w:line="176" w:lineRule="exact"/>
              <w:rPr>
                <w:sz w:val="20"/>
                <w:szCs w:val="20"/>
                <w:color w:val="auto"/>
              </w:rPr>
            </w:pPr>
            <w:r>
              <w:rPr>
                <w:rFonts w:ascii="Arial" w:cs="Arial" w:eastAsia="Arial" w:hAnsi="Arial"/>
                <w:sz w:val="18"/>
                <w:szCs w:val="18"/>
                <w:color w:val="auto"/>
                <w:w w:val="93"/>
              </w:rPr>
              <w:t>Form of Letter, dated November 20, 2017, Agreement by and between the Company and its officers and directors. (incorporated by</w:t>
            </w:r>
          </w:p>
        </w:tc>
      </w:tr>
      <w:tr>
        <w:trPr>
          <w:trHeight w:val="235"/>
        </w:trPr>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reference to Exhibit 10.6 to the Company’s Form 8-K, filed on November 22, 2017).</w:t>
            </w:r>
          </w:p>
        </w:tc>
      </w:tr>
      <w:tr>
        <w:trPr>
          <w:trHeight w:val="177"/>
        </w:trPr>
        <w:tc>
          <w:tcPr>
            <w:tcW w:w="1080" w:type="dxa"/>
            <w:vAlign w:val="bottom"/>
            <w:gridSpan w:val="6"/>
            <w:shd w:val="clear" w:color="auto" w:fill="CCEEFF"/>
          </w:tcPr>
          <w:p>
            <w:pPr>
              <w:spacing w:after="0" w:line="176" w:lineRule="exact"/>
              <w:rPr>
                <w:rFonts w:ascii="Arial" w:cs="Arial" w:eastAsia="Arial" w:hAnsi="Arial"/>
                <w:sz w:val="18"/>
                <w:szCs w:val="18"/>
                <w:color w:val="0000FF"/>
              </w:rPr>
            </w:pPr>
            <w:hyperlink r:id="rId57">
              <w:r>
                <w:rPr>
                  <w:rFonts w:ascii="Arial" w:cs="Arial" w:eastAsia="Arial" w:hAnsi="Arial"/>
                  <w:sz w:val="18"/>
                  <w:szCs w:val="18"/>
                  <w:color w:val="0000FF"/>
                </w:rPr>
                <w:t>10.</w:t>
              </w:r>
              <w:r>
                <w:rPr>
                  <w:rFonts w:ascii="Arial" w:cs="Arial" w:eastAsia="Arial" w:hAnsi="Arial"/>
                  <w:sz w:val="18"/>
                  <w:szCs w:val="18"/>
                  <w:u w:val="single" w:color="auto"/>
                  <w:color w:val="0000FF"/>
                </w:rPr>
                <w:t>1(c)</w:t>
              </w:r>
            </w:hyperlink>
          </w:p>
        </w:tc>
        <w:tc>
          <w:tcPr>
            <w:tcW w:w="101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88"/>
              </w:rPr>
              <w:t>Letter Agreement, dated November 20, 2017, by and between the Company and A/Z Property Partners, LLC (incorporated by reference to</w:t>
            </w:r>
          </w:p>
        </w:tc>
      </w:tr>
      <w:tr>
        <w:trPr>
          <w:trHeight w:val="237"/>
        </w:trPr>
        <w:tc>
          <w:tcPr>
            <w:tcW w:w="2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Exhibit 10.5 to the Company’s Form 8-K, filed on November 22, 2017).</w:t>
            </w:r>
          </w:p>
        </w:tc>
      </w:tr>
      <w:tr>
        <w:trPr>
          <w:trHeight w:val="176"/>
        </w:trPr>
        <w:tc>
          <w:tcPr>
            <w:tcW w:w="400" w:type="dxa"/>
            <w:vAlign w:val="bottom"/>
            <w:gridSpan w:val="3"/>
          </w:tcPr>
          <w:p>
            <w:pPr>
              <w:spacing w:after="0" w:line="176" w:lineRule="exact"/>
              <w:rPr>
                <w:rFonts w:ascii="Arial" w:cs="Arial" w:eastAsia="Arial" w:hAnsi="Arial"/>
                <w:sz w:val="18"/>
                <w:szCs w:val="18"/>
                <w:color w:val="0000FF"/>
              </w:rPr>
            </w:pPr>
            <w:hyperlink r:id="rId58">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160" w:type="dxa"/>
            <w:vAlign w:val="bottom"/>
          </w:tcPr>
          <w:p>
            <w:pPr>
              <w:ind w:left="400"/>
              <w:spacing w:after="0" w:line="176" w:lineRule="exact"/>
              <w:rPr>
                <w:sz w:val="20"/>
                <w:szCs w:val="20"/>
                <w:color w:val="auto"/>
              </w:rPr>
            </w:pPr>
            <w:r>
              <w:rPr>
                <w:rFonts w:ascii="Arial" w:cs="Arial" w:eastAsia="Arial" w:hAnsi="Arial"/>
                <w:sz w:val="18"/>
                <w:szCs w:val="18"/>
                <w:color w:val="auto"/>
                <w:w w:val="88"/>
              </w:rPr>
              <w:t>Investment Management Trust Account Agreement, dated November 20, 2017, between Continental Stock Transfer &amp; Trust Company and</w:t>
            </w:r>
          </w:p>
        </w:tc>
      </w:tr>
      <w:tr>
        <w:trPr>
          <w:trHeight w:val="235"/>
        </w:trPr>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the Company (incorporated by reference to Exhibit 10.1 to the Company’s Form 8-K, filed on November 22, 2017).</w:t>
            </w:r>
          </w:p>
        </w:tc>
      </w:tr>
      <w:tr>
        <w:trPr>
          <w:trHeight w:val="177"/>
        </w:trPr>
        <w:tc>
          <w:tcPr>
            <w:tcW w:w="400" w:type="dxa"/>
            <w:vAlign w:val="bottom"/>
            <w:gridSpan w:val="3"/>
            <w:shd w:val="clear" w:color="auto" w:fill="CCEEFF"/>
          </w:tcPr>
          <w:p>
            <w:pPr>
              <w:spacing w:after="0" w:line="176" w:lineRule="exact"/>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1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1"/>
              </w:rPr>
              <w:t>Stock Escrow Agreement, dated November 20, 2017, between the Company, Big Rock Partners Sponsor, LLC and Continental Stock</w:t>
            </w:r>
          </w:p>
        </w:tc>
      </w:tr>
      <w:tr>
        <w:trPr>
          <w:trHeight w:val="237"/>
        </w:trPr>
        <w:tc>
          <w:tcPr>
            <w:tcW w:w="2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6"/>
              </w:rPr>
              <w:t>Transfer &amp; Trust Company (incorporated by reference to Exhibit 10.2 to the Company’s Form 8-K, filed on November 22, 2017).</w:t>
            </w:r>
          </w:p>
        </w:tc>
      </w:tr>
      <w:tr>
        <w:trPr>
          <w:trHeight w:val="175"/>
        </w:trPr>
        <w:tc>
          <w:tcPr>
            <w:tcW w:w="400" w:type="dxa"/>
            <w:vAlign w:val="bottom"/>
            <w:gridSpan w:val="3"/>
          </w:tcPr>
          <w:p>
            <w:pPr>
              <w:spacing w:after="0" w:line="176" w:lineRule="exact"/>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160" w:type="dxa"/>
            <w:vAlign w:val="bottom"/>
          </w:tcPr>
          <w:p>
            <w:pPr>
              <w:ind w:left="400"/>
              <w:spacing w:after="0" w:line="176" w:lineRule="exact"/>
              <w:rPr>
                <w:sz w:val="20"/>
                <w:szCs w:val="20"/>
                <w:color w:val="auto"/>
              </w:rPr>
            </w:pPr>
            <w:r>
              <w:rPr>
                <w:rFonts w:ascii="Arial" w:cs="Arial" w:eastAsia="Arial" w:hAnsi="Arial"/>
                <w:sz w:val="18"/>
                <w:szCs w:val="18"/>
                <w:color w:val="auto"/>
                <w:w w:val="90"/>
              </w:rPr>
              <w:t>Registration Rights Agreement among the Company and Big Rock Partners Sponsor, LLC (incorporated by reference to Exhibit 10.3 to</w:t>
            </w:r>
          </w:p>
        </w:tc>
      </w:tr>
      <w:tr>
        <w:trPr>
          <w:trHeight w:val="236"/>
        </w:trPr>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the Company’s Form 8-K, filed on November 22, 2017).</w:t>
            </w:r>
          </w:p>
        </w:tc>
      </w:tr>
      <w:tr>
        <w:trPr>
          <w:trHeight w:val="177"/>
        </w:trPr>
        <w:tc>
          <w:tcPr>
            <w:tcW w:w="400" w:type="dxa"/>
            <w:vAlign w:val="bottom"/>
            <w:gridSpan w:val="3"/>
            <w:shd w:val="clear" w:color="auto" w:fill="CCEEFF"/>
          </w:tcPr>
          <w:p>
            <w:pPr>
              <w:spacing w:after="0" w:line="176" w:lineRule="exact"/>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1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88"/>
              </w:rPr>
              <w:t>Administrative Services Agreement, dated November 20, 2017, between the Company and Big Rock Partners Sponsor, LLC (incorporated</w:t>
            </w:r>
          </w:p>
        </w:tc>
      </w:tr>
      <w:tr>
        <w:trPr>
          <w:trHeight w:val="236"/>
        </w:trPr>
        <w:tc>
          <w:tcPr>
            <w:tcW w:w="2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by reference to Exhibit 10.7 to the Company’s Form 8-K, filed on November 22, 2017).</w:t>
            </w:r>
          </w:p>
        </w:tc>
      </w:tr>
      <w:tr>
        <w:trPr>
          <w:trHeight w:val="176"/>
        </w:trPr>
        <w:tc>
          <w:tcPr>
            <w:tcW w:w="1080" w:type="dxa"/>
            <w:vAlign w:val="bottom"/>
            <w:gridSpan w:val="6"/>
          </w:tcPr>
          <w:p>
            <w:pPr>
              <w:spacing w:after="0" w:line="176" w:lineRule="exact"/>
              <w:rPr>
                <w:rFonts w:ascii="Arial" w:cs="Arial" w:eastAsia="Arial" w:hAnsi="Arial"/>
                <w:sz w:val="18"/>
                <w:szCs w:val="18"/>
                <w:color w:val="0000FF"/>
              </w:rPr>
            </w:pPr>
            <w:hyperlink r:id="rId62">
              <w:r>
                <w:rPr>
                  <w:rFonts w:ascii="Arial" w:cs="Arial" w:eastAsia="Arial" w:hAnsi="Arial"/>
                  <w:sz w:val="18"/>
                  <w:szCs w:val="18"/>
                  <w:color w:val="0000FF"/>
                </w:rPr>
                <w:t>10.</w:t>
              </w:r>
              <w:r>
                <w:rPr>
                  <w:rFonts w:ascii="Arial" w:cs="Arial" w:eastAsia="Arial" w:hAnsi="Arial"/>
                  <w:sz w:val="18"/>
                  <w:szCs w:val="18"/>
                  <w:u w:val="single" w:color="auto"/>
                  <w:color w:val="0000FF"/>
                </w:rPr>
                <w:t>6(a)</w:t>
              </w:r>
            </w:hyperlink>
          </w:p>
        </w:tc>
        <w:tc>
          <w:tcPr>
            <w:tcW w:w="10160" w:type="dxa"/>
            <w:vAlign w:val="bottom"/>
          </w:tcPr>
          <w:p>
            <w:pPr>
              <w:ind w:left="400"/>
              <w:spacing w:after="0" w:line="176" w:lineRule="exact"/>
              <w:rPr>
                <w:sz w:val="20"/>
                <w:szCs w:val="20"/>
                <w:color w:val="auto"/>
              </w:rPr>
            </w:pPr>
            <w:r>
              <w:rPr>
                <w:rFonts w:ascii="Arial" w:cs="Arial" w:eastAsia="Arial" w:hAnsi="Arial"/>
                <w:sz w:val="18"/>
                <w:szCs w:val="18"/>
                <w:color w:val="auto"/>
                <w:w w:val="88"/>
              </w:rPr>
              <w:t>Securities Subscription Agreement, dated September 26, 2017, between the Registrant and Big Rock Partners Sponsor, LLC (incorporated</w:t>
            </w:r>
          </w:p>
        </w:tc>
      </w:tr>
      <w:tr>
        <w:trPr>
          <w:trHeight w:val="235"/>
        </w:trPr>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by reference to Exhibit 10.6 to the Company’s Form S-1/A, File No. 333-220947, filed on November 14, 2017).</w:t>
            </w:r>
          </w:p>
        </w:tc>
      </w:tr>
      <w:tr>
        <w:trPr>
          <w:trHeight w:val="177"/>
        </w:trPr>
        <w:tc>
          <w:tcPr>
            <w:tcW w:w="1080" w:type="dxa"/>
            <w:vAlign w:val="bottom"/>
            <w:gridSpan w:val="6"/>
            <w:shd w:val="clear" w:color="auto" w:fill="CCEEFF"/>
          </w:tcPr>
          <w:p>
            <w:pPr>
              <w:spacing w:after="0" w:line="176" w:lineRule="exact"/>
              <w:rPr>
                <w:rFonts w:ascii="Arial" w:cs="Arial" w:eastAsia="Arial" w:hAnsi="Arial"/>
                <w:sz w:val="18"/>
                <w:szCs w:val="18"/>
                <w:color w:val="0000FF"/>
              </w:rPr>
            </w:pPr>
            <w:hyperlink r:id="rId63">
              <w:r>
                <w:rPr>
                  <w:rFonts w:ascii="Arial" w:cs="Arial" w:eastAsia="Arial" w:hAnsi="Arial"/>
                  <w:sz w:val="18"/>
                  <w:szCs w:val="18"/>
                  <w:color w:val="0000FF"/>
                </w:rPr>
                <w:t>10.</w:t>
              </w:r>
              <w:r>
                <w:rPr>
                  <w:rFonts w:ascii="Arial" w:cs="Arial" w:eastAsia="Arial" w:hAnsi="Arial"/>
                  <w:sz w:val="18"/>
                  <w:szCs w:val="18"/>
                  <w:u w:val="single" w:color="auto"/>
                  <w:color w:val="0000FF"/>
                </w:rPr>
                <w:t>6(b)</w:t>
              </w:r>
            </w:hyperlink>
          </w:p>
        </w:tc>
        <w:tc>
          <w:tcPr>
            <w:tcW w:w="101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88"/>
              </w:rPr>
              <w:t>Securities Subscription Agreement, dated November 20, 2017, between the Company and Big Rock Partners Sponsor, LLC (incorporated</w:t>
            </w:r>
          </w:p>
        </w:tc>
      </w:tr>
      <w:tr>
        <w:trPr>
          <w:trHeight w:val="237"/>
        </w:trPr>
        <w:tc>
          <w:tcPr>
            <w:tcW w:w="2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by reference to Exhibit 10.9 to the Company’s Form 8-K, filed on November 22, 2017).</w:t>
            </w:r>
          </w:p>
        </w:tc>
      </w:tr>
      <w:tr>
        <w:trPr>
          <w:trHeight w:val="176"/>
        </w:trPr>
        <w:tc>
          <w:tcPr>
            <w:tcW w:w="400" w:type="dxa"/>
            <w:vAlign w:val="bottom"/>
            <w:gridSpan w:val="3"/>
          </w:tcPr>
          <w:p>
            <w:pPr>
              <w:spacing w:after="0" w:line="176" w:lineRule="exact"/>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160" w:type="dxa"/>
            <w:vAlign w:val="bottom"/>
          </w:tcPr>
          <w:p>
            <w:pPr>
              <w:ind w:left="400"/>
              <w:spacing w:after="0" w:line="176" w:lineRule="exact"/>
              <w:rPr>
                <w:sz w:val="20"/>
                <w:szCs w:val="20"/>
                <w:color w:val="auto"/>
              </w:rPr>
            </w:pPr>
            <w:r>
              <w:rPr>
                <w:rFonts w:ascii="Arial" w:cs="Arial" w:eastAsia="Arial" w:hAnsi="Arial"/>
                <w:sz w:val="18"/>
                <w:szCs w:val="18"/>
                <w:color w:val="auto"/>
                <w:w w:val="94"/>
              </w:rPr>
              <w:t>Promissory Note, dated as of September 26, 2017, in favor of Richard Ackerman (incorporated by reference to Exhibit 10.7 to the</w:t>
            </w:r>
          </w:p>
        </w:tc>
      </w:tr>
      <w:tr>
        <w:trPr>
          <w:trHeight w:val="235"/>
        </w:trPr>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Company’s Form S-1/A, File No. 333-220947, filed on November 14, 2017).</w:t>
            </w:r>
          </w:p>
        </w:tc>
      </w:tr>
      <w:tr>
        <w:trPr>
          <w:trHeight w:val="177"/>
        </w:trPr>
        <w:tc>
          <w:tcPr>
            <w:tcW w:w="400" w:type="dxa"/>
            <w:vAlign w:val="bottom"/>
            <w:gridSpan w:val="3"/>
            <w:shd w:val="clear" w:color="auto" w:fill="CCEEFF"/>
          </w:tcPr>
          <w:p>
            <w:pPr>
              <w:spacing w:after="0" w:line="176" w:lineRule="exact"/>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1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89"/>
              </w:rPr>
              <w:t>Promissory Note, dated as of September 26, 2017, in favor of Big Rock Partners Sponsor, LLC (incorporated by reference to Exhibit 10.8</w:t>
            </w:r>
          </w:p>
        </w:tc>
      </w:tr>
      <w:tr>
        <w:trPr>
          <w:trHeight w:val="237"/>
        </w:trPr>
        <w:tc>
          <w:tcPr>
            <w:tcW w:w="2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 the Company’s Form S-1/A, File No. 333-220947, filed on November 14, 2017).</w:t>
            </w:r>
          </w:p>
        </w:tc>
      </w:tr>
      <w:tr>
        <w:trPr>
          <w:trHeight w:val="175"/>
        </w:trPr>
        <w:tc>
          <w:tcPr>
            <w:tcW w:w="400" w:type="dxa"/>
            <w:vAlign w:val="bottom"/>
            <w:gridSpan w:val="3"/>
          </w:tcPr>
          <w:p>
            <w:pPr>
              <w:spacing w:after="0" w:line="176" w:lineRule="exact"/>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160" w:type="dxa"/>
            <w:vAlign w:val="bottom"/>
          </w:tcPr>
          <w:p>
            <w:pPr>
              <w:ind w:left="400"/>
              <w:spacing w:after="0" w:line="176" w:lineRule="exact"/>
              <w:rPr>
                <w:sz w:val="20"/>
                <w:szCs w:val="20"/>
                <w:color w:val="auto"/>
              </w:rPr>
            </w:pPr>
            <w:r>
              <w:rPr>
                <w:rFonts w:ascii="Arial" w:cs="Arial" w:eastAsia="Arial" w:hAnsi="Arial"/>
                <w:sz w:val="18"/>
                <w:szCs w:val="18"/>
                <w:color w:val="auto"/>
                <w:w w:val="90"/>
              </w:rPr>
              <w:t>Form of Indemnification Agreement, dated November 20, 2017, with the Company’s officers and directors (incorporated by reference to</w:t>
            </w:r>
          </w:p>
        </w:tc>
      </w:tr>
      <w:tr>
        <w:trPr>
          <w:trHeight w:val="236"/>
        </w:trPr>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Exhibit 10.8 to the Company’s Form 8-K, filed on November 22, 2017).</w:t>
            </w:r>
          </w:p>
        </w:tc>
      </w:tr>
      <w:tr>
        <w:trPr>
          <w:trHeight w:val="177"/>
        </w:trPr>
        <w:tc>
          <w:tcPr>
            <w:tcW w:w="400" w:type="dxa"/>
            <w:vAlign w:val="bottom"/>
            <w:tcBorders>
              <w:bottom w:val="single" w:sz="8" w:color="0000FF"/>
            </w:tcBorders>
            <w:gridSpan w:val="3"/>
            <w:shd w:val="clear" w:color="auto" w:fill="CCEEFF"/>
          </w:tcPr>
          <w:p>
            <w:pPr>
              <w:spacing w:after="0" w:line="176" w:lineRule="exact"/>
              <w:rPr>
                <w:rFonts w:ascii="Arial" w:cs="Arial" w:eastAsia="Arial" w:hAnsi="Arial"/>
                <w:sz w:val="18"/>
                <w:szCs w:val="18"/>
                <w:color w:val="0000FF"/>
                <w:w w:val="84"/>
              </w:rPr>
            </w:pPr>
            <w:hyperlink r:id="rId6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10</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160" w:type="dxa"/>
            <w:vAlign w:val="bottom"/>
            <w:tcBorders>
              <w:bottom w:val="single" w:sz="8" w:color="CCEEFF"/>
            </w:tcBorders>
            <w:shd w:val="clear" w:color="auto" w:fill="CCEEFF"/>
          </w:tcPr>
          <w:p>
            <w:pPr>
              <w:ind w:left="400"/>
              <w:spacing w:after="0" w:line="176" w:lineRule="exact"/>
              <w:rPr>
                <w:sz w:val="20"/>
                <w:szCs w:val="20"/>
                <w:color w:val="auto"/>
              </w:rPr>
            </w:pPr>
            <w:r>
              <w:rPr>
                <w:rFonts w:ascii="Arial" w:cs="Arial" w:eastAsia="Arial" w:hAnsi="Arial"/>
                <w:sz w:val="18"/>
                <w:szCs w:val="18"/>
                <w:color w:val="auto"/>
                <w:w w:val="96"/>
              </w:rPr>
              <w:t>Agreement, dated November 17, 2018, among the Company, Big Rock Partners Sponsor, LLC and BRAC Lending Group LLC</w:t>
            </w:r>
          </w:p>
        </w:tc>
      </w:tr>
      <w:tr>
        <w:trPr>
          <w:trHeight w:val="236"/>
        </w:trPr>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(incorporated by reference to Exhibit 10.1 to the Company’s Form 8-K, filed on November 20, 2018).</w:t>
            </w:r>
          </w:p>
        </w:tc>
      </w:tr>
      <w:tr>
        <w:trPr>
          <w:trHeight w:val="175"/>
        </w:trPr>
        <w:tc>
          <w:tcPr>
            <w:tcW w:w="400" w:type="dxa"/>
            <w:vAlign w:val="bottom"/>
            <w:tcBorders>
              <w:bottom w:val="single" w:sz="8" w:color="0000FF"/>
            </w:tcBorders>
            <w:gridSpan w:val="3"/>
          </w:tcPr>
          <w:p>
            <w:pPr>
              <w:spacing w:after="0" w:line="176" w:lineRule="exact"/>
              <w:rPr>
                <w:rFonts w:ascii="Arial" w:cs="Arial" w:eastAsia="Arial" w:hAnsi="Arial"/>
                <w:sz w:val="18"/>
                <w:szCs w:val="18"/>
                <w:color w:val="0000FF"/>
                <w:w w:val="84"/>
              </w:rPr>
            </w:pPr>
            <w:hyperlink r:id="rId6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160" w:type="dxa"/>
            <w:vAlign w:val="bottom"/>
          </w:tcPr>
          <w:p>
            <w:pPr>
              <w:ind w:left="400"/>
              <w:spacing w:after="0" w:line="176" w:lineRule="exact"/>
              <w:rPr>
                <w:sz w:val="20"/>
                <w:szCs w:val="20"/>
                <w:color w:val="auto"/>
              </w:rPr>
            </w:pPr>
            <w:r>
              <w:rPr>
                <w:rFonts w:ascii="Arial" w:cs="Arial" w:eastAsia="Arial" w:hAnsi="Arial"/>
                <w:sz w:val="18"/>
                <w:szCs w:val="18"/>
                <w:color w:val="auto"/>
                <w:w w:val="92"/>
              </w:rPr>
              <w:t>Stock Escrow Agent Letter, dated November 17, 2018 (incorporated by reference to Exhibit 10.2 to the Company’s Form 8-K, filed on</w:t>
            </w:r>
          </w:p>
        </w:tc>
      </w:tr>
      <w:tr>
        <w:trPr>
          <w:trHeight w:val="236"/>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November 20, 2018).</w:t>
            </w:r>
          </w:p>
        </w:tc>
      </w:tr>
      <w:tr>
        <w:trPr>
          <w:trHeight w:val="176"/>
        </w:trPr>
        <w:tc>
          <w:tcPr>
            <w:tcW w:w="400" w:type="dxa"/>
            <w:vAlign w:val="bottom"/>
            <w:tcBorders>
              <w:bottom w:val="single" w:sz="8" w:color="0000FF"/>
            </w:tcBorders>
            <w:gridSpan w:val="3"/>
            <w:shd w:val="clear" w:color="auto" w:fill="CCEEFF"/>
          </w:tcPr>
          <w:p>
            <w:pPr>
              <w:spacing w:after="0" w:line="176" w:lineRule="exact"/>
              <w:rPr>
                <w:rFonts w:ascii="Arial" w:cs="Arial" w:eastAsia="Arial" w:hAnsi="Arial"/>
                <w:sz w:val="18"/>
                <w:szCs w:val="18"/>
                <w:color w:val="0000FF"/>
                <w:w w:val="84"/>
              </w:rPr>
            </w:pPr>
            <w:hyperlink r:id="rId6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12</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160" w:type="dxa"/>
            <w:vAlign w:val="bottom"/>
            <w:tcBorders>
              <w:bottom w:val="single" w:sz="8" w:color="CCEEFF"/>
            </w:tcBorders>
            <w:shd w:val="clear" w:color="auto" w:fill="CCEEFF"/>
          </w:tcPr>
          <w:p>
            <w:pPr>
              <w:ind w:left="400"/>
              <w:spacing w:after="0" w:line="176" w:lineRule="exact"/>
              <w:rPr>
                <w:sz w:val="20"/>
                <w:szCs w:val="20"/>
                <w:color w:val="auto"/>
              </w:rPr>
            </w:pPr>
            <w:r>
              <w:rPr>
                <w:rFonts w:ascii="Arial" w:cs="Arial" w:eastAsia="Arial" w:hAnsi="Arial"/>
                <w:sz w:val="18"/>
                <w:szCs w:val="18"/>
                <w:color w:val="auto"/>
                <w:w w:val="89"/>
              </w:rPr>
              <w:t>Registration Rights Assignment Agreement, dated November 17, 2018 (incorporated by reference to Exhibit 10.3 to the Company’s Form</w:t>
            </w:r>
          </w:p>
        </w:tc>
      </w:tr>
      <w:tr>
        <w:trPr>
          <w:trHeight w:val="237"/>
        </w:trPr>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8-K, filed on November 20, 2018).</w:t>
            </w:r>
          </w:p>
        </w:tc>
      </w:tr>
      <w:tr>
        <w:trPr>
          <w:trHeight w:val="175"/>
        </w:trPr>
        <w:tc>
          <w:tcPr>
            <w:tcW w:w="400" w:type="dxa"/>
            <w:vAlign w:val="bottom"/>
            <w:tcBorders>
              <w:bottom w:val="single" w:sz="8" w:color="0000FF"/>
            </w:tcBorders>
            <w:gridSpan w:val="3"/>
          </w:tcPr>
          <w:p>
            <w:pPr>
              <w:spacing w:after="0" w:line="176" w:lineRule="exact"/>
              <w:rPr>
                <w:rFonts w:ascii="Arial" w:cs="Arial" w:eastAsia="Arial" w:hAnsi="Arial"/>
                <w:sz w:val="18"/>
                <w:szCs w:val="18"/>
                <w:color w:val="0000FF"/>
                <w:w w:val="84"/>
              </w:rPr>
            </w:pPr>
            <w:hyperlink r:id="rId7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13</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160" w:type="dxa"/>
            <w:vAlign w:val="bottom"/>
          </w:tcPr>
          <w:p>
            <w:pPr>
              <w:ind w:left="400"/>
              <w:spacing w:after="0" w:line="176" w:lineRule="exact"/>
              <w:rPr>
                <w:sz w:val="20"/>
                <w:szCs w:val="20"/>
                <w:color w:val="auto"/>
              </w:rPr>
            </w:pPr>
            <w:r>
              <w:rPr>
                <w:rFonts w:ascii="Arial" w:cs="Arial" w:eastAsia="Arial" w:hAnsi="Arial"/>
                <w:sz w:val="18"/>
                <w:szCs w:val="18"/>
                <w:color w:val="auto"/>
                <w:w w:val="91"/>
              </w:rPr>
              <w:t>Insider Letter, dated November 17, 2018 (incorporated by reference to Exhibit 10.4 to the Company’s Form 8-K, filed on November 20,</w:t>
            </w:r>
          </w:p>
        </w:tc>
      </w:tr>
      <w:tr>
        <w:trPr>
          <w:trHeight w:val="235"/>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2018).</w:t>
            </w:r>
          </w:p>
        </w:tc>
      </w:tr>
      <w:tr>
        <w:trPr>
          <w:trHeight w:val="176"/>
        </w:trPr>
        <w:tc>
          <w:tcPr>
            <w:tcW w:w="400" w:type="dxa"/>
            <w:vAlign w:val="bottom"/>
            <w:tcBorders>
              <w:bottom w:val="single" w:sz="8" w:color="0000FF"/>
            </w:tcBorders>
            <w:gridSpan w:val="3"/>
            <w:shd w:val="clear" w:color="auto" w:fill="CCEEFF"/>
          </w:tcPr>
          <w:p>
            <w:pPr>
              <w:spacing w:after="0" w:line="176" w:lineRule="exact"/>
              <w:rPr>
                <w:rFonts w:ascii="Arial" w:cs="Arial" w:eastAsia="Arial" w:hAnsi="Arial"/>
                <w:sz w:val="18"/>
                <w:szCs w:val="18"/>
                <w:color w:val="0000FF"/>
                <w:w w:val="84"/>
              </w:rPr>
            </w:pPr>
            <w:hyperlink r:id="rId7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14</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160" w:type="dxa"/>
            <w:vAlign w:val="bottom"/>
            <w:tcBorders>
              <w:bottom w:val="single" w:sz="8" w:color="CCEEFF"/>
            </w:tcBorders>
            <w:shd w:val="clear" w:color="auto" w:fill="CCEEFF"/>
          </w:tcPr>
          <w:p>
            <w:pPr>
              <w:ind w:left="400"/>
              <w:spacing w:after="0" w:line="176" w:lineRule="exact"/>
              <w:rPr>
                <w:sz w:val="20"/>
                <w:szCs w:val="20"/>
                <w:color w:val="auto"/>
              </w:rPr>
            </w:pPr>
            <w:r>
              <w:rPr>
                <w:rFonts w:ascii="Arial" w:cs="Arial" w:eastAsia="Arial" w:hAnsi="Arial"/>
                <w:sz w:val="18"/>
                <w:szCs w:val="18"/>
                <w:color w:val="auto"/>
                <w:w w:val="93"/>
              </w:rPr>
              <w:t>Promissory Note in favor of BRAC Lending Group LLC, dated November 20, 2018 (incorporated by reference to Exhibit 10.5 to the</w:t>
            </w:r>
          </w:p>
        </w:tc>
      </w:tr>
      <w:tr>
        <w:trPr>
          <w:trHeight w:val="237"/>
        </w:trPr>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Company’s Form 8-K, filed on November 20, 2018).</w:t>
            </w:r>
          </w:p>
        </w:tc>
      </w:tr>
      <w:tr>
        <w:trPr>
          <w:trHeight w:val="175"/>
        </w:trPr>
        <w:tc>
          <w:tcPr>
            <w:tcW w:w="400" w:type="dxa"/>
            <w:vAlign w:val="bottom"/>
            <w:tcBorders>
              <w:bottom w:val="single" w:sz="8" w:color="0000FF"/>
            </w:tcBorders>
            <w:gridSpan w:val="3"/>
          </w:tcPr>
          <w:p>
            <w:pPr>
              <w:spacing w:after="0" w:line="176" w:lineRule="exact"/>
              <w:rPr>
                <w:rFonts w:ascii="Arial" w:cs="Arial" w:eastAsia="Arial" w:hAnsi="Arial"/>
                <w:sz w:val="18"/>
                <w:szCs w:val="18"/>
                <w:color w:val="0000FF"/>
                <w:w w:val="84"/>
              </w:rPr>
            </w:pPr>
            <w:hyperlink r:id="rId7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15</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160" w:type="dxa"/>
            <w:vAlign w:val="bottom"/>
          </w:tcPr>
          <w:p>
            <w:pPr>
              <w:ind w:left="400"/>
              <w:spacing w:after="0" w:line="176" w:lineRule="exact"/>
              <w:rPr>
                <w:sz w:val="20"/>
                <w:szCs w:val="20"/>
                <w:color w:val="auto"/>
              </w:rPr>
            </w:pPr>
            <w:r>
              <w:rPr>
                <w:rFonts w:ascii="Arial" w:cs="Arial" w:eastAsia="Arial" w:hAnsi="Arial"/>
                <w:sz w:val="18"/>
                <w:szCs w:val="18"/>
                <w:color w:val="auto"/>
                <w:w w:val="94"/>
              </w:rPr>
              <w:t>Promissory Note in favor of BRAC Lending Group LLC , dated February 21, 2019 (incorporated by reference to Exhibit 10.1 to the</w:t>
            </w:r>
          </w:p>
        </w:tc>
      </w:tr>
      <w:tr>
        <w:trPr>
          <w:trHeight w:val="235"/>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Company’s Form 8-K, filed on February 22, 2019).</w:t>
            </w:r>
          </w:p>
        </w:tc>
      </w:tr>
      <w:tr>
        <w:trPr>
          <w:trHeight w:val="217"/>
        </w:trPr>
        <w:tc>
          <w:tcPr>
            <w:tcW w:w="400" w:type="dxa"/>
            <w:vAlign w:val="bottom"/>
            <w:gridSpan w:val="3"/>
            <w:shd w:val="clear" w:color="auto" w:fill="CCEEFF"/>
          </w:tcPr>
          <w:p>
            <w:pPr>
              <w:spacing w:after="0"/>
              <w:rPr>
                <w:sz w:val="20"/>
                <w:szCs w:val="20"/>
                <w:color w:val="auto"/>
              </w:rPr>
            </w:pPr>
            <w:r>
              <w:rPr>
                <w:rFonts w:ascii="Arial" w:cs="Arial" w:eastAsia="Arial" w:hAnsi="Arial"/>
                <w:sz w:val="18"/>
                <w:szCs w:val="18"/>
                <w:color w:val="0000FF"/>
                <w:w w:val="84"/>
              </w:rPr>
              <w:t>10.16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Promissory Note in favor of A/Z Property Partners, LLC, dated December 31, 2019.</w:t>
            </w:r>
          </w:p>
        </w:tc>
      </w:tr>
      <w:tr>
        <w:trPr>
          <w:trHeight w:val="175"/>
        </w:trPr>
        <w:tc>
          <w:tcPr>
            <w:tcW w:w="400" w:type="dxa"/>
            <w:vAlign w:val="bottom"/>
            <w:tcBorders>
              <w:bottom w:val="single" w:sz="8" w:color="0000FF"/>
            </w:tcBorders>
            <w:gridSpan w:val="3"/>
          </w:tcPr>
          <w:p>
            <w:pPr>
              <w:spacing w:after="0" w:line="176" w:lineRule="exact"/>
              <w:rPr>
                <w:rFonts w:ascii="Arial" w:cs="Arial" w:eastAsia="Arial" w:hAnsi="Arial"/>
                <w:sz w:val="18"/>
                <w:szCs w:val="18"/>
                <w:color w:val="0000FF"/>
                <w:w w:val="84"/>
              </w:rPr>
            </w:pPr>
            <w:hyperlink r:id="rId7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17</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160" w:type="dxa"/>
            <w:vAlign w:val="bottom"/>
          </w:tcPr>
          <w:p>
            <w:pPr>
              <w:ind w:left="400"/>
              <w:spacing w:after="0" w:line="176" w:lineRule="exact"/>
              <w:rPr>
                <w:sz w:val="20"/>
                <w:szCs w:val="20"/>
                <w:color w:val="auto"/>
              </w:rPr>
            </w:pPr>
            <w:r>
              <w:rPr>
                <w:rFonts w:ascii="Arial" w:cs="Arial" w:eastAsia="Arial" w:hAnsi="Arial"/>
                <w:sz w:val="18"/>
                <w:szCs w:val="18"/>
                <w:color w:val="auto"/>
                <w:w w:val="94"/>
              </w:rPr>
              <w:t>Form of Subscription Agreement (incorporated by reference to Exhibit 10.1 to the Company’s Form 8-K, filed on March 12, 2021).</w:t>
            </w: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r>
      <w:tr>
        <w:trPr>
          <w:trHeight w:val="201"/>
        </w:trPr>
        <w:tc>
          <w:tcPr>
            <w:tcW w:w="4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bottom w:val="single" w:sz="8" w:color="CCEEFF"/>
            </w:tcBorders>
            <w:shd w:val="clear" w:color="auto" w:fill="CCEEFF"/>
          </w:tcPr>
          <w:p>
            <w:pPr>
              <w:ind w:left="400"/>
              <w:spacing w:after="0" w:line="176" w:lineRule="exact"/>
              <w:rPr>
                <w:sz w:val="20"/>
                <w:szCs w:val="20"/>
                <w:color w:val="auto"/>
              </w:rPr>
            </w:pPr>
            <w:r>
              <w:rPr>
                <w:rFonts w:ascii="Arial" w:cs="Arial" w:eastAsia="Arial" w:hAnsi="Arial"/>
                <w:sz w:val="18"/>
                <w:szCs w:val="18"/>
                <w:color w:val="auto"/>
              </w:rPr>
              <w:t>Certification of the Chief Executive Officer required by Rule 13a-14(a) or Rule 15d-14(a).</w:t>
            </w:r>
          </w:p>
        </w:tc>
      </w:tr>
      <w:tr>
        <w:trPr>
          <w:trHeight w:val="175"/>
        </w:trPr>
        <w:tc>
          <w:tcPr>
            <w:tcW w:w="400" w:type="dxa"/>
            <w:vAlign w:val="bottom"/>
            <w:tcBorders>
              <w:top w:val="single" w:sz="8" w:color="CCEEFF"/>
              <w:bottom w:val="single" w:sz="8" w:color="0000EE"/>
            </w:tcBorders>
            <w:gridSpan w:val="3"/>
          </w:tcPr>
          <w:p>
            <w:pPr>
              <w:spacing w:after="0" w:line="17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2*</w:t>
              </w:r>
            </w:hyperlink>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160" w:type="dxa"/>
            <w:vAlign w:val="bottom"/>
            <w:tcBorders>
              <w:top w:val="single" w:sz="8" w:color="CCEEFF"/>
            </w:tcBorders>
          </w:tcPr>
          <w:p>
            <w:pPr>
              <w:ind w:left="400"/>
              <w:spacing w:after="0" w:line="176" w:lineRule="exact"/>
              <w:rPr>
                <w:sz w:val="20"/>
                <w:szCs w:val="20"/>
                <w:color w:val="auto"/>
              </w:rPr>
            </w:pPr>
            <w:r>
              <w:rPr>
                <w:rFonts w:ascii="Arial" w:cs="Arial" w:eastAsia="Arial" w:hAnsi="Arial"/>
                <w:sz w:val="18"/>
                <w:szCs w:val="18"/>
                <w:color w:val="auto"/>
              </w:rPr>
              <w:t>Certification of the Chief Financial Officer required by Rule 13a-14(a) or Rule 15d-14(a).</w:t>
            </w: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r>
      <w:tr>
        <w:trPr>
          <w:trHeight w:val="201"/>
        </w:trPr>
        <w:tc>
          <w:tcPr>
            <w:tcW w:w="5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1**</w:t>
              </w:r>
            </w:hyperlink>
          </w:p>
        </w:tc>
        <w:tc>
          <w:tcPr>
            <w:tcW w:w="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bottom w:val="single" w:sz="8" w:color="CCEEFF"/>
            </w:tcBorders>
            <w:shd w:val="clear" w:color="auto" w:fill="CCEEFF"/>
          </w:tcPr>
          <w:p>
            <w:pPr>
              <w:ind w:left="400"/>
              <w:spacing w:after="0" w:line="176" w:lineRule="exact"/>
              <w:rPr>
                <w:sz w:val="20"/>
                <w:szCs w:val="20"/>
                <w:color w:val="auto"/>
              </w:rPr>
            </w:pPr>
            <w:r>
              <w:rPr>
                <w:rFonts w:ascii="Arial" w:cs="Arial" w:eastAsia="Arial" w:hAnsi="Arial"/>
                <w:sz w:val="18"/>
                <w:szCs w:val="18"/>
                <w:color w:val="auto"/>
              </w:rPr>
              <w:t>Certification of the Chief Executive Officer required by Rule 13a-14(b) or Rule 15d-14(b) and 18 U.S.C. 1350.</w:t>
            </w:r>
          </w:p>
        </w:tc>
      </w:tr>
      <w:tr>
        <w:trPr>
          <w:trHeight w:val="175"/>
        </w:trPr>
        <w:tc>
          <w:tcPr>
            <w:tcW w:w="500" w:type="dxa"/>
            <w:vAlign w:val="bottom"/>
            <w:tcBorders>
              <w:top w:val="single" w:sz="8" w:color="CCEEFF"/>
              <w:bottom w:val="single" w:sz="8" w:color="0000EE"/>
            </w:tcBorders>
            <w:gridSpan w:val="4"/>
          </w:tcPr>
          <w:p>
            <w:pPr>
              <w:spacing w:after="0" w:line="176" w:lineRule="exact"/>
              <w:rPr>
                <w:rFonts w:ascii="Arial" w:cs="Arial" w:eastAsia="Arial" w:hAnsi="Arial"/>
                <w:sz w:val="18"/>
                <w:szCs w:val="18"/>
                <w:color w:val="0000EE"/>
                <w:w w:val="97"/>
              </w:rPr>
            </w:pPr>
            <w:hyperlink w:anchor="page59">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2**</w:t>
              </w:r>
            </w:hyperlink>
          </w:p>
        </w:tc>
        <w:tc>
          <w:tcPr>
            <w:tcW w:w="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0160" w:type="dxa"/>
            <w:vAlign w:val="bottom"/>
            <w:tcBorders>
              <w:top w:val="single" w:sz="8" w:color="CCEEFF"/>
            </w:tcBorders>
          </w:tcPr>
          <w:p>
            <w:pPr>
              <w:ind w:left="400"/>
              <w:spacing w:after="0" w:line="176" w:lineRule="exact"/>
              <w:rPr>
                <w:sz w:val="20"/>
                <w:szCs w:val="20"/>
                <w:color w:val="auto"/>
              </w:rPr>
            </w:pPr>
            <w:r>
              <w:rPr>
                <w:rFonts w:ascii="Arial" w:cs="Arial" w:eastAsia="Arial" w:hAnsi="Arial"/>
                <w:sz w:val="18"/>
                <w:szCs w:val="18"/>
                <w:color w:val="auto"/>
              </w:rPr>
              <w:t>Certification of the Chief Financial Officer required by Rule 13a-14(b) or Rule 15d-14(b) and 18 U.S.C. 1350.</w:t>
            </w: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r>
      <w:tr>
        <w:trPr>
          <w:trHeight w:val="216"/>
        </w:trPr>
        <w:tc>
          <w:tcPr>
            <w:tcW w:w="10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101.INS</w:t>
            </w: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XBRL Instance Document*.</w:t>
            </w:r>
          </w:p>
        </w:tc>
      </w:tr>
      <w:tr>
        <w:trPr>
          <w:trHeight w:val="216"/>
        </w:trPr>
        <w:tc>
          <w:tcPr>
            <w:tcW w:w="1080" w:type="dxa"/>
            <w:vAlign w:val="bottom"/>
            <w:gridSpan w:val="6"/>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4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101.CAL</w:t>
            </w: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80" w:type="dxa"/>
            <w:vAlign w:val="bottom"/>
            <w:gridSpan w:val="6"/>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4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101.LAB</w:t>
            </w: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080" w:type="dxa"/>
            <w:vAlign w:val="bottom"/>
            <w:gridSpan w:val="6"/>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4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Filed herewith</w:t>
            </w:r>
          </w:p>
        </w:tc>
      </w:tr>
      <w:tr>
        <w:trPr>
          <w:trHeight w:val="222"/>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Furnished herewith</w:t>
            </w:r>
          </w:p>
        </w:tc>
      </w:tr>
      <w:tr>
        <w:trPr>
          <w:trHeight w:val="641"/>
        </w:trPr>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ind w:left="446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240"/>
          </w:cols>
          <w:pgMar w:left="320" w:top="540"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BIG ROCK PARTNERS ACQUISITION CORP.</w:t>
      </w:r>
    </w:p>
    <w:p>
      <w:pPr>
        <w:spacing w:after="0" w:line="231" w:lineRule="exact"/>
        <w:rPr>
          <w:sz w:val="20"/>
          <w:szCs w:val="20"/>
          <w:color w:val="auto"/>
        </w:rPr>
      </w:pPr>
    </w:p>
    <w:p>
      <w:pPr>
        <w:spacing w:after="0"/>
        <w:tabs>
          <w:tab w:leader="none" w:pos="4480" w:val="left"/>
          <w:tab w:leader="none" w:pos="5280" w:val="left"/>
        </w:tabs>
        <w:rPr>
          <w:sz w:val="20"/>
          <w:szCs w:val="20"/>
          <w:color w:val="auto"/>
        </w:rPr>
      </w:pPr>
      <w:r>
        <w:rPr>
          <w:rFonts w:ascii="Arial" w:cs="Arial" w:eastAsia="Arial" w:hAnsi="Arial"/>
          <w:sz w:val="18"/>
          <w:szCs w:val="18"/>
          <w:color w:val="auto"/>
        </w:rPr>
        <w:t>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27940</wp:posOffset>
            </wp:positionV>
            <wp:extent cx="377190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4">
                      <a:extLst>
                        <a:ext uri="{28A0092B-C50C-407E-A947-70E740481C1C}"/>
                      </a:extLst>
                    </a:blip>
                    <a:srcRect/>
                    <a:stretch>
                      <a:fillRect/>
                    </a:stretch>
                  </pic:blipFill>
                  <pic:spPr bwMode="auto">
                    <a:xfrm>
                      <a:off x="0" y="0"/>
                      <a:ext cx="3771900" cy="17145"/>
                    </a:xfrm>
                    <a:prstGeom prst="rect">
                      <a:avLst/>
                    </a:prstGeom>
                    <a:noFill/>
                  </pic:spPr>
                </pic:pic>
              </a:graphicData>
            </a:graphic>
          </wp:anchor>
        </w:drawing>
      </w:r>
    </w:p>
    <w:p>
      <w:pPr>
        <w:spacing w:after="0" w:line="4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President and Chief Executive Officer</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c>
          <w:tcPr>
            <w:tcW w:w="800" w:type="dxa"/>
            <w:vAlign w:val="bottom"/>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w:t>
            </w:r>
          </w:p>
        </w:tc>
        <w:tc>
          <w:tcPr>
            <w:tcW w:w="74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24"/>
        </w:trPr>
        <w:tc>
          <w:tcPr>
            <w:tcW w:w="3040" w:type="dxa"/>
            <w:vAlign w:val="bottom"/>
            <w:vMerge w:val="restart"/>
          </w:tcPr>
          <w:p>
            <w:pPr>
              <w:spacing w:after="0"/>
              <w:rPr>
                <w:sz w:val="20"/>
                <w:szCs w:val="20"/>
                <w:color w:val="auto"/>
              </w:rPr>
            </w:pPr>
            <w:r>
              <w:rPr>
                <w:rFonts w:ascii="Arial" w:cs="Arial" w:eastAsia="Arial" w:hAnsi="Arial"/>
                <w:sz w:val="18"/>
                <w:szCs w:val="18"/>
                <w:color w:val="auto"/>
              </w:rPr>
              <w:t>/s/ Richard Ackerman</w:t>
            </w:r>
          </w:p>
        </w:tc>
        <w:tc>
          <w:tcPr>
            <w:tcW w:w="80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3"/>
              </w:rPr>
              <w:t>Chairman,  President  and  Chief  Executive  Officer</w:t>
            </w:r>
          </w:p>
        </w:tc>
        <w:tc>
          <w:tcPr>
            <w:tcW w:w="3540" w:type="dxa"/>
            <w:vAlign w:val="bottom"/>
            <w:gridSpan w:val="3"/>
          </w:tcPr>
          <w:p>
            <w:pPr>
              <w:ind w:left="40"/>
              <w:spacing w:after="0"/>
              <w:rPr>
                <w:sz w:val="20"/>
                <w:szCs w:val="20"/>
                <w:color w:val="auto"/>
              </w:rPr>
            </w:pPr>
            <w:r>
              <w:rPr>
                <w:rFonts w:ascii="Arial" w:cs="Arial" w:eastAsia="Arial" w:hAnsi="Arial"/>
                <w:sz w:val="18"/>
                <w:szCs w:val="18"/>
                <w:color w:val="auto"/>
              </w:rPr>
              <w:t>(Principal</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auto"/>
            </w:tcBorders>
            <w:vMerge w:val="continue"/>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tcPr>
          <w:p>
            <w:pPr>
              <w:spacing w:after="0" w:line="197" w:lineRule="exact"/>
              <w:rPr>
                <w:sz w:val="20"/>
                <w:szCs w:val="20"/>
                <w:color w:val="auto"/>
              </w:rPr>
            </w:pPr>
            <w:r>
              <w:rPr>
                <w:rFonts w:ascii="Arial" w:cs="Arial" w:eastAsia="Arial" w:hAnsi="Arial"/>
                <w:sz w:val="18"/>
                <w:szCs w:val="18"/>
                <w:color w:val="auto"/>
              </w:rPr>
              <w:t>Executive Officer)</w:t>
            </w:r>
          </w:p>
        </w:tc>
        <w:tc>
          <w:tcPr>
            <w:tcW w:w="740" w:type="dxa"/>
            <w:vAlign w:val="bottom"/>
          </w:tcPr>
          <w:p>
            <w:pPr>
              <w:spacing w:after="0"/>
              <w:rPr>
                <w:sz w:val="17"/>
                <w:szCs w:val="17"/>
                <w:color w:val="auto"/>
              </w:rPr>
            </w:pPr>
          </w:p>
        </w:tc>
        <w:tc>
          <w:tcPr>
            <w:tcW w:w="2800" w:type="dxa"/>
            <w:vAlign w:val="bottom"/>
            <w:gridSpan w:val="2"/>
          </w:tcPr>
          <w:p>
            <w:pPr>
              <w:ind w:left="780"/>
              <w:spacing w:after="0" w:line="197" w:lineRule="exact"/>
              <w:rPr>
                <w:sz w:val="20"/>
                <w:szCs w:val="20"/>
                <w:color w:val="auto"/>
              </w:rPr>
            </w:pPr>
            <w:r>
              <w:rPr>
                <w:rFonts w:ascii="Arial" w:cs="Arial" w:eastAsia="Arial" w:hAnsi="Arial"/>
                <w:sz w:val="18"/>
                <w:szCs w:val="18"/>
                <w:color w:val="auto"/>
              </w:rPr>
              <w:t>May 13, 2021</w:t>
            </w:r>
          </w:p>
        </w:tc>
        <w:tc>
          <w:tcPr>
            <w:tcW w:w="0" w:type="dxa"/>
            <w:vAlign w:val="bottom"/>
          </w:tcPr>
          <w:p>
            <w:pPr>
              <w:spacing w:after="0"/>
              <w:rPr>
                <w:sz w:val="1"/>
                <w:szCs w:val="1"/>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Richard Ackerman</w:t>
            </w:r>
          </w:p>
        </w:tc>
        <w:tc>
          <w:tcPr>
            <w:tcW w:w="8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3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0" w:type="dxa"/>
            <w:vAlign w:val="bottom"/>
            <w:gridSpan w:val="4"/>
          </w:tcPr>
          <w:p>
            <w:pPr>
              <w:spacing w:after="0"/>
              <w:rPr>
                <w:sz w:val="20"/>
                <w:szCs w:val="20"/>
                <w:color w:val="auto"/>
              </w:rPr>
            </w:pPr>
            <w:r>
              <w:rPr>
                <w:rFonts w:ascii="Arial" w:cs="Arial" w:eastAsia="Arial" w:hAnsi="Arial"/>
                <w:sz w:val="18"/>
                <w:szCs w:val="18"/>
                <w:color w:val="auto"/>
              </w:rPr>
              <w:t>Chief Financial Officer, Chief Investment Officer and Director</w:t>
            </w:r>
          </w:p>
        </w:tc>
        <w:tc>
          <w:tcPr>
            <w:tcW w:w="0" w:type="dxa"/>
            <w:vAlign w:val="bottom"/>
          </w:tcPr>
          <w:p>
            <w:pPr>
              <w:spacing w:after="0"/>
              <w:rPr>
                <w:sz w:val="1"/>
                <w:szCs w:val="1"/>
                <w:color w:val="auto"/>
              </w:rPr>
            </w:pPr>
          </w:p>
        </w:tc>
      </w:tr>
      <w:tr>
        <w:trPr>
          <w:trHeight w:val="231"/>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Bennett Kim</w:t>
            </w:r>
          </w:p>
        </w:tc>
        <w:tc>
          <w:tcPr>
            <w:tcW w:w="8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740" w:type="dxa"/>
            <w:vAlign w:val="bottom"/>
          </w:tcPr>
          <w:p>
            <w:pPr>
              <w:spacing w:after="0"/>
              <w:rPr>
                <w:sz w:val="20"/>
                <w:szCs w:val="20"/>
                <w:color w:val="auto"/>
              </w:rPr>
            </w:pPr>
          </w:p>
        </w:tc>
        <w:tc>
          <w:tcPr>
            <w:tcW w:w="2800" w:type="dxa"/>
            <w:vAlign w:val="bottom"/>
            <w:gridSpan w:val="2"/>
          </w:tcPr>
          <w:p>
            <w:pPr>
              <w:ind w:left="780"/>
              <w:spacing w:after="0"/>
              <w:rPr>
                <w:sz w:val="20"/>
                <w:szCs w:val="20"/>
                <w:color w:val="auto"/>
              </w:rPr>
            </w:pPr>
            <w:r>
              <w:rPr>
                <w:rFonts w:ascii="Arial" w:cs="Arial" w:eastAsia="Arial" w:hAnsi="Arial"/>
                <w:sz w:val="18"/>
                <w:szCs w:val="18"/>
                <w:color w:val="auto"/>
              </w:rPr>
              <w:t>May 13, 2021</w:t>
            </w:r>
          </w:p>
        </w:tc>
        <w:tc>
          <w:tcPr>
            <w:tcW w:w="0" w:type="dxa"/>
            <w:vAlign w:val="bottom"/>
          </w:tcPr>
          <w:p>
            <w:pPr>
              <w:spacing w:after="0"/>
              <w:rPr>
                <w:sz w:val="1"/>
                <w:szCs w:val="1"/>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Bennett Kim</w:t>
            </w:r>
          </w:p>
        </w:tc>
        <w:tc>
          <w:tcPr>
            <w:tcW w:w="8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0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Richard Birdoff</w:t>
            </w:r>
          </w:p>
        </w:tc>
        <w:tc>
          <w:tcPr>
            <w:tcW w:w="80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Director</w:t>
            </w:r>
          </w:p>
        </w:tc>
        <w:tc>
          <w:tcPr>
            <w:tcW w:w="740" w:type="dxa"/>
            <w:vAlign w:val="bottom"/>
          </w:tcPr>
          <w:p>
            <w:pPr>
              <w:spacing w:after="0"/>
              <w:rPr>
                <w:sz w:val="24"/>
                <w:szCs w:val="24"/>
                <w:color w:val="auto"/>
              </w:rPr>
            </w:pPr>
          </w:p>
        </w:tc>
        <w:tc>
          <w:tcPr>
            <w:tcW w:w="2800" w:type="dxa"/>
            <w:vAlign w:val="bottom"/>
            <w:gridSpan w:val="2"/>
          </w:tcPr>
          <w:p>
            <w:pPr>
              <w:ind w:left="780"/>
              <w:spacing w:after="0"/>
              <w:rPr>
                <w:sz w:val="20"/>
                <w:szCs w:val="20"/>
                <w:color w:val="auto"/>
              </w:rPr>
            </w:pPr>
            <w:r>
              <w:rPr>
                <w:rFonts w:ascii="Arial" w:cs="Arial" w:eastAsia="Arial" w:hAnsi="Arial"/>
                <w:sz w:val="18"/>
                <w:szCs w:val="18"/>
                <w:color w:val="auto"/>
              </w:rPr>
              <w:t>May 13, 2021</w:t>
            </w:r>
          </w:p>
        </w:tc>
        <w:tc>
          <w:tcPr>
            <w:tcW w:w="0" w:type="dxa"/>
            <w:vAlign w:val="bottom"/>
          </w:tcPr>
          <w:p>
            <w:pPr>
              <w:spacing w:after="0"/>
              <w:rPr>
                <w:sz w:val="1"/>
                <w:szCs w:val="1"/>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Richard Birdoff</w:t>
            </w:r>
          </w:p>
        </w:tc>
        <w:tc>
          <w:tcPr>
            <w:tcW w:w="8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0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Michael Fong</w:t>
            </w:r>
          </w:p>
        </w:tc>
        <w:tc>
          <w:tcPr>
            <w:tcW w:w="80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Director</w:t>
            </w:r>
          </w:p>
        </w:tc>
        <w:tc>
          <w:tcPr>
            <w:tcW w:w="740" w:type="dxa"/>
            <w:vAlign w:val="bottom"/>
          </w:tcPr>
          <w:p>
            <w:pPr>
              <w:spacing w:after="0"/>
              <w:rPr>
                <w:sz w:val="24"/>
                <w:szCs w:val="24"/>
                <w:color w:val="auto"/>
              </w:rPr>
            </w:pPr>
          </w:p>
        </w:tc>
        <w:tc>
          <w:tcPr>
            <w:tcW w:w="2800" w:type="dxa"/>
            <w:vAlign w:val="bottom"/>
            <w:gridSpan w:val="2"/>
          </w:tcPr>
          <w:p>
            <w:pPr>
              <w:ind w:left="780"/>
              <w:spacing w:after="0"/>
              <w:rPr>
                <w:sz w:val="20"/>
                <w:szCs w:val="20"/>
                <w:color w:val="auto"/>
              </w:rPr>
            </w:pPr>
            <w:r>
              <w:rPr>
                <w:rFonts w:ascii="Arial" w:cs="Arial" w:eastAsia="Arial" w:hAnsi="Arial"/>
                <w:sz w:val="18"/>
                <w:szCs w:val="18"/>
                <w:color w:val="auto"/>
              </w:rPr>
              <w:t>May 13, 2021</w:t>
            </w:r>
          </w:p>
        </w:tc>
        <w:tc>
          <w:tcPr>
            <w:tcW w:w="0" w:type="dxa"/>
            <w:vAlign w:val="bottom"/>
          </w:tcPr>
          <w:p>
            <w:pPr>
              <w:spacing w:after="0"/>
              <w:rPr>
                <w:sz w:val="1"/>
                <w:szCs w:val="1"/>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Michael Fong</w:t>
            </w:r>
          </w:p>
        </w:tc>
        <w:tc>
          <w:tcPr>
            <w:tcW w:w="8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F. Koenig</w:t>
            </w:r>
          </w:p>
        </w:tc>
        <w:tc>
          <w:tcPr>
            <w:tcW w:w="80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Director</w:t>
            </w:r>
          </w:p>
        </w:tc>
        <w:tc>
          <w:tcPr>
            <w:tcW w:w="740" w:type="dxa"/>
            <w:vAlign w:val="bottom"/>
          </w:tcPr>
          <w:p>
            <w:pPr>
              <w:spacing w:after="0"/>
              <w:rPr>
                <w:sz w:val="24"/>
                <w:szCs w:val="24"/>
                <w:color w:val="auto"/>
              </w:rPr>
            </w:pPr>
          </w:p>
        </w:tc>
        <w:tc>
          <w:tcPr>
            <w:tcW w:w="2800" w:type="dxa"/>
            <w:vAlign w:val="bottom"/>
            <w:gridSpan w:val="2"/>
          </w:tcPr>
          <w:p>
            <w:pPr>
              <w:ind w:left="780"/>
              <w:spacing w:after="0"/>
              <w:rPr>
                <w:sz w:val="20"/>
                <w:szCs w:val="20"/>
                <w:color w:val="auto"/>
              </w:rPr>
            </w:pPr>
            <w:r>
              <w:rPr>
                <w:rFonts w:ascii="Arial" w:cs="Arial" w:eastAsia="Arial" w:hAnsi="Arial"/>
                <w:sz w:val="18"/>
                <w:szCs w:val="18"/>
                <w:color w:val="auto"/>
              </w:rPr>
              <w:t>May 13, 2021</w:t>
            </w:r>
          </w:p>
        </w:tc>
        <w:tc>
          <w:tcPr>
            <w:tcW w:w="0" w:type="dxa"/>
            <w:vAlign w:val="bottom"/>
          </w:tcPr>
          <w:p>
            <w:pPr>
              <w:spacing w:after="0"/>
              <w:rPr>
                <w:sz w:val="1"/>
                <w:szCs w:val="1"/>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Stuart F. Koenig</w:t>
            </w:r>
          </w:p>
        </w:tc>
        <w:tc>
          <w:tcPr>
            <w:tcW w:w="8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G. Rex</w:t>
            </w:r>
          </w:p>
        </w:tc>
        <w:tc>
          <w:tcPr>
            <w:tcW w:w="80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Director</w:t>
            </w:r>
          </w:p>
        </w:tc>
        <w:tc>
          <w:tcPr>
            <w:tcW w:w="740" w:type="dxa"/>
            <w:vAlign w:val="bottom"/>
          </w:tcPr>
          <w:p>
            <w:pPr>
              <w:spacing w:after="0"/>
              <w:rPr>
                <w:sz w:val="24"/>
                <w:szCs w:val="24"/>
                <w:color w:val="auto"/>
              </w:rPr>
            </w:pPr>
          </w:p>
        </w:tc>
        <w:tc>
          <w:tcPr>
            <w:tcW w:w="2800" w:type="dxa"/>
            <w:vAlign w:val="bottom"/>
            <w:gridSpan w:val="2"/>
          </w:tcPr>
          <w:p>
            <w:pPr>
              <w:ind w:left="780"/>
              <w:spacing w:after="0"/>
              <w:rPr>
                <w:sz w:val="20"/>
                <w:szCs w:val="20"/>
                <w:color w:val="auto"/>
              </w:rPr>
            </w:pPr>
            <w:r>
              <w:rPr>
                <w:rFonts w:ascii="Arial" w:cs="Arial" w:eastAsia="Arial" w:hAnsi="Arial"/>
                <w:sz w:val="18"/>
                <w:szCs w:val="18"/>
                <w:color w:val="auto"/>
              </w:rPr>
              <w:t>May 13, 2021</w:t>
            </w:r>
          </w:p>
        </w:tc>
        <w:tc>
          <w:tcPr>
            <w:tcW w:w="0" w:type="dxa"/>
            <w:vAlign w:val="bottom"/>
          </w:tcPr>
          <w:p>
            <w:pPr>
              <w:spacing w:after="0"/>
              <w:rPr>
                <w:sz w:val="1"/>
                <w:szCs w:val="1"/>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Albert G. Rex</w:t>
            </w:r>
          </w:p>
        </w:tc>
        <w:tc>
          <w:tcPr>
            <w:tcW w:w="8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Troy Taylor</w:t>
            </w:r>
          </w:p>
        </w:tc>
        <w:tc>
          <w:tcPr>
            <w:tcW w:w="80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Director</w:t>
            </w:r>
          </w:p>
        </w:tc>
        <w:tc>
          <w:tcPr>
            <w:tcW w:w="740" w:type="dxa"/>
            <w:vAlign w:val="bottom"/>
          </w:tcPr>
          <w:p>
            <w:pPr>
              <w:spacing w:after="0"/>
              <w:rPr>
                <w:sz w:val="24"/>
                <w:szCs w:val="24"/>
                <w:color w:val="auto"/>
              </w:rPr>
            </w:pPr>
          </w:p>
        </w:tc>
        <w:tc>
          <w:tcPr>
            <w:tcW w:w="2800" w:type="dxa"/>
            <w:vAlign w:val="bottom"/>
            <w:gridSpan w:val="2"/>
          </w:tcPr>
          <w:p>
            <w:pPr>
              <w:ind w:left="780"/>
              <w:spacing w:after="0"/>
              <w:rPr>
                <w:sz w:val="20"/>
                <w:szCs w:val="20"/>
                <w:color w:val="auto"/>
              </w:rPr>
            </w:pPr>
            <w:r>
              <w:rPr>
                <w:rFonts w:ascii="Arial" w:cs="Arial" w:eastAsia="Arial" w:hAnsi="Arial"/>
                <w:sz w:val="18"/>
                <w:szCs w:val="18"/>
                <w:color w:val="auto"/>
              </w:rPr>
              <w:t>May 13, 2021</w:t>
            </w:r>
          </w:p>
        </w:tc>
        <w:tc>
          <w:tcPr>
            <w:tcW w:w="0" w:type="dxa"/>
            <w:vAlign w:val="bottom"/>
          </w:tcPr>
          <w:p>
            <w:pPr>
              <w:spacing w:after="0"/>
              <w:rPr>
                <w:sz w:val="1"/>
                <w:szCs w:val="1"/>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Troy T. Taylor</w:t>
            </w:r>
          </w:p>
        </w:tc>
        <w:tc>
          <w:tcPr>
            <w:tcW w:w="8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7"/>
        </w:trPr>
        <w:tc>
          <w:tcPr>
            <w:tcW w:w="30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2"/>
          </w:tcPr>
          <w:p>
            <w:pPr>
              <w:jc w:val="right"/>
              <w:ind w:right="1892"/>
              <w:spacing w:after="0"/>
              <w:rPr>
                <w:sz w:val="20"/>
                <w:szCs w:val="20"/>
                <w:color w:val="auto"/>
              </w:rPr>
            </w:pPr>
            <w:r>
              <w:rPr>
                <w:rFonts w:ascii="Arial" w:cs="Arial" w:eastAsia="Arial" w:hAnsi="Arial"/>
                <w:sz w:val="18"/>
                <w:szCs w:val="18"/>
                <w:color w:val="auto"/>
              </w:rPr>
              <w:t>29</w:t>
            </w:r>
          </w:p>
        </w:tc>
        <w:tc>
          <w:tcPr>
            <w:tcW w:w="7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00" w:type="dxa"/>
            <w:vAlign w:val="bottom"/>
            <w:gridSpan w:val="6"/>
            <w:shd w:val="clear" w:color="auto" w:fill="CCEEFF"/>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Report of Independent Registered Public Accounting Firm</w:t>
              </w:r>
            </w:hyperlink>
          </w:p>
        </w:tc>
        <w:tc>
          <w:tcPr>
            <w:tcW w:w="5200" w:type="dxa"/>
            <w:vAlign w:val="bottom"/>
            <w:shd w:val="clear" w:color="auto" w:fill="CCEEFF"/>
          </w:tcPr>
          <w:p>
            <w:pPr>
              <w:spacing w:after="0"/>
              <w:rPr>
                <w:sz w:val="19"/>
                <w:szCs w:val="19"/>
                <w:color w:val="auto"/>
              </w:rPr>
            </w:pPr>
          </w:p>
        </w:tc>
        <w:tc>
          <w:tcPr>
            <w:tcW w:w="1740" w:type="dxa"/>
            <w:vAlign w:val="bottom"/>
            <w:gridSpan w:val="4"/>
            <w:shd w:val="clear" w:color="auto" w:fill="CCEEFF"/>
          </w:tcPr>
          <w:p>
            <w:pPr>
              <w:jc w:val="center"/>
              <w:ind w:right="940"/>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F-2</w:t>
              </w:r>
            </w:hyperlink>
          </w:p>
        </w:tc>
      </w:tr>
      <w:tr>
        <w:trPr>
          <w:trHeight w:val="216"/>
        </w:trPr>
        <w:tc>
          <w:tcPr>
            <w:tcW w:w="41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Financial Statements:</w:t>
            </w:r>
          </w:p>
        </w:tc>
        <w:tc>
          <w:tcPr>
            <w:tcW w:w="18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6"/>
        </w:trPr>
        <w:tc>
          <w:tcPr>
            <w:tcW w:w="4300" w:type="dxa"/>
            <w:vAlign w:val="bottom"/>
            <w:gridSpan w:val="6"/>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Consolidated Balance Sheets</w:t>
              </w:r>
            </w:hyperlink>
          </w:p>
        </w:tc>
        <w:tc>
          <w:tcPr>
            <w:tcW w:w="5200" w:type="dxa"/>
            <w:vAlign w:val="bottom"/>
            <w:shd w:val="clear" w:color="auto" w:fill="CCEEFF"/>
          </w:tcPr>
          <w:p>
            <w:pPr>
              <w:spacing w:after="0"/>
              <w:rPr>
                <w:sz w:val="15"/>
                <w:szCs w:val="15"/>
                <w:color w:val="auto"/>
              </w:rPr>
            </w:pPr>
          </w:p>
        </w:tc>
        <w:tc>
          <w:tcPr>
            <w:tcW w:w="1740" w:type="dxa"/>
            <w:vAlign w:val="bottom"/>
            <w:gridSpan w:val="4"/>
            <w:shd w:val="clear" w:color="auto" w:fill="CCEEFF"/>
          </w:tcPr>
          <w:p>
            <w:pPr>
              <w:jc w:val="center"/>
              <w:ind w:right="940"/>
              <w:spacing w:after="0" w:line="17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F-3</w:t>
              </w:r>
            </w:hyperlink>
          </w:p>
        </w:tc>
      </w:tr>
      <w:tr>
        <w:trPr>
          <w:trHeight w:val="20"/>
        </w:trPr>
        <w:tc>
          <w:tcPr>
            <w:tcW w:w="20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300" w:type="dxa"/>
            <w:vAlign w:val="bottom"/>
            <w:gridSpan w:val="6"/>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Consolidated Statements of Operations</w:t>
              </w:r>
            </w:hyperlink>
          </w:p>
        </w:tc>
        <w:tc>
          <w:tcPr>
            <w:tcW w:w="5200" w:type="dxa"/>
            <w:vAlign w:val="bottom"/>
          </w:tcPr>
          <w:p>
            <w:pPr>
              <w:spacing w:after="0"/>
              <w:rPr>
                <w:sz w:val="15"/>
                <w:szCs w:val="15"/>
                <w:color w:val="auto"/>
              </w:rPr>
            </w:pPr>
          </w:p>
        </w:tc>
        <w:tc>
          <w:tcPr>
            <w:tcW w:w="1740" w:type="dxa"/>
            <w:vAlign w:val="bottom"/>
            <w:gridSpan w:val="4"/>
          </w:tcPr>
          <w:p>
            <w:pPr>
              <w:jc w:val="center"/>
              <w:ind w:right="940"/>
              <w:spacing w:after="0" w:line="17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F-4</w:t>
              </w:r>
            </w:hyperlink>
          </w:p>
        </w:tc>
      </w:tr>
      <w:tr>
        <w:trPr>
          <w:trHeight w:val="21"/>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5"/>
        </w:trPr>
        <w:tc>
          <w:tcPr>
            <w:tcW w:w="4300" w:type="dxa"/>
            <w:vAlign w:val="bottom"/>
            <w:gridSpan w:val="6"/>
            <w:shd w:val="clear" w:color="auto" w:fill="CCEEFF"/>
          </w:tcPr>
          <w:p>
            <w:pPr>
              <w:spacing w:after="0" w:line="17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Consolidated Statements of Changes in Stockholders’ Equity</w:t>
              </w:r>
            </w:hyperlink>
          </w:p>
        </w:tc>
        <w:tc>
          <w:tcPr>
            <w:tcW w:w="5200" w:type="dxa"/>
            <w:vAlign w:val="bottom"/>
            <w:shd w:val="clear" w:color="auto" w:fill="CCEEFF"/>
          </w:tcPr>
          <w:p>
            <w:pPr>
              <w:spacing w:after="0"/>
              <w:rPr>
                <w:sz w:val="15"/>
                <w:szCs w:val="15"/>
                <w:color w:val="auto"/>
              </w:rPr>
            </w:pPr>
          </w:p>
        </w:tc>
        <w:tc>
          <w:tcPr>
            <w:tcW w:w="1740" w:type="dxa"/>
            <w:vAlign w:val="bottom"/>
            <w:gridSpan w:val="4"/>
            <w:shd w:val="clear" w:color="auto" w:fill="CCEEFF"/>
          </w:tcPr>
          <w:p>
            <w:pPr>
              <w:jc w:val="center"/>
              <w:ind w:right="940"/>
              <w:spacing w:after="0" w:line="17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F-5</w:t>
              </w:r>
            </w:hyperlink>
          </w:p>
        </w:tc>
      </w:tr>
      <w:tr>
        <w:trPr>
          <w:trHeight w:val="21"/>
        </w:trPr>
        <w:tc>
          <w:tcPr>
            <w:tcW w:w="20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300" w:type="dxa"/>
            <w:vAlign w:val="bottom"/>
            <w:gridSpan w:val="6"/>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Consolidated Statements of Cash Flows</w:t>
              </w:r>
            </w:hyperlink>
          </w:p>
        </w:tc>
        <w:tc>
          <w:tcPr>
            <w:tcW w:w="5200" w:type="dxa"/>
            <w:vAlign w:val="bottom"/>
          </w:tcPr>
          <w:p>
            <w:pPr>
              <w:spacing w:after="0"/>
              <w:rPr>
                <w:sz w:val="15"/>
                <w:szCs w:val="15"/>
                <w:color w:val="auto"/>
              </w:rPr>
            </w:pPr>
          </w:p>
        </w:tc>
        <w:tc>
          <w:tcPr>
            <w:tcW w:w="1740" w:type="dxa"/>
            <w:vAlign w:val="bottom"/>
            <w:gridSpan w:val="4"/>
          </w:tcPr>
          <w:p>
            <w:pPr>
              <w:jc w:val="center"/>
              <w:ind w:right="940"/>
              <w:spacing w:after="0" w:line="17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F-6</w:t>
              </w:r>
            </w:hyperlink>
          </w:p>
        </w:tc>
      </w:tr>
      <w:tr>
        <w:trPr>
          <w:trHeight w:val="21"/>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4300" w:type="dxa"/>
            <w:vAlign w:val="bottom"/>
            <w:gridSpan w:val="6"/>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Notes to Consolidated Financial Statements</w:t>
              </w:r>
            </w:hyperlink>
          </w:p>
        </w:tc>
        <w:tc>
          <w:tcPr>
            <w:tcW w:w="6940" w:type="dxa"/>
            <w:vAlign w:val="bottom"/>
            <w:gridSpan w:val="5"/>
            <w:shd w:val="clear" w:color="auto" w:fill="CCEEFF"/>
          </w:tcPr>
          <w:p>
            <w:pPr>
              <w:jc w:val="center"/>
              <w:ind w:left="4172"/>
              <w:spacing w:after="0" w:line="17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F-7 to F-25</w:t>
              </w:r>
            </w:hyperlink>
          </w:p>
        </w:tc>
      </w:tr>
      <w:tr>
        <w:trPr>
          <w:trHeight w:val="459"/>
        </w:trPr>
        <w:tc>
          <w:tcPr>
            <w:tcW w:w="20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52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31" w:name="page32"/>
    <w:bookmarkEnd w:id="31"/>
    <w:p>
      <w:pPr>
        <w:ind w:left="26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Big Rock Partners Acquisition Corp.</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the accompanying consolidated balance sheets of Big Rock Partners Acquisition Corp. (the “Company”) as of December 31, 2020 and 2019, the related consolidated statements of operations, changes in stockholders’ equity and cash flows for each of the years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years ended December 31, 2020,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the 2020 Financial Statements</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discussed in Note 2 to the consolidated financial statements, the accompanying consolidated financial statements as of December 31, 2020 and for the year ended December 31, 2020, have been restated.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r>
        <w:rPr>
          <w:rFonts w:ascii="Arial" w:cs="Arial" w:eastAsia="Arial" w:hAnsi="Arial"/>
          <w:sz w:val="18"/>
          <w:szCs w:val="18"/>
          <w:b w:val="1"/>
          <w:bCs w:val="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 2021, except for the effects of the restatements discussed for warrants in Note 2, for which the date is May 11, 2021.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ind w:left="3760"/>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BALANCE SHEETS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80" w:type="dxa"/>
            <w:vAlign w:val="bottom"/>
            <w:gridSpan w:val="7"/>
          </w:tcPr>
          <w:p>
            <w:pPr>
              <w:jc w:val="right"/>
              <w:ind w:right="92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49"/>
        </w:trPr>
        <w:tc>
          <w:tcPr>
            <w:tcW w:w="8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center"/>
              <w:ind w:right="260"/>
              <w:spacing w:after="0" w:line="149" w:lineRule="exact"/>
              <w:rPr>
                <w:sz w:val="20"/>
                <w:szCs w:val="20"/>
                <w:color w:val="auto"/>
              </w:rPr>
            </w:pPr>
            <w:r>
              <w:rPr>
                <w:rFonts w:ascii="Arial" w:cs="Arial" w:eastAsia="Arial" w:hAnsi="Arial"/>
                <w:sz w:val="15"/>
                <w:szCs w:val="15"/>
                <w:b w:val="1"/>
                <w:bCs w:val="1"/>
                <w:color w:val="auto"/>
                <w:w w:val="90"/>
              </w:rPr>
              <w:t>2020 (As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7"/>
              </w:rPr>
              <w:t>Restated)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3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85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30,350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69,483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taxes</w:t>
            </w:r>
          </w:p>
        </w:tc>
        <w:tc>
          <w:tcPr>
            <w:tcW w:w="1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51,642</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82,458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69,489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5,967,947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32,005,205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spacing w:after="0"/>
              <w:rPr>
                <w:sz w:val="22"/>
                <w:szCs w:val="22"/>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6,050,405</w:t>
            </w:r>
          </w:p>
        </w:tc>
        <w:tc>
          <w:tcPr>
            <w:tcW w:w="120" w:type="dxa"/>
            <w:vAlign w:val="bottom"/>
            <w:tcBorders>
              <w:lef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32,074,694</w:t>
            </w:r>
          </w:p>
        </w:tc>
        <w:tc>
          <w:tcPr>
            <w:tcW w:w="14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Current liabilities - accounts payable and accrued expenses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609,509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622,441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655,098</w:t>
            </w: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5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Promissory note – related party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862,148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416,141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notes payable</w:t>
            </w:r>
          </w:p>
        </w:tc>
        <w:tc>
          <w:tcPr>
            <w:tcW w:w="1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1,809,889</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1,535,623</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3,936,644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2,574,205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40" w:type="dxa"/>
            <w:vAlign w:val="bottom"/>
          </w:tcPr>
          <w:p>
            <w:pPr>
              <w:spacing w:after="0"/>
              <w:rPr>
                <w:sz w:val="20"/>
                <w:szCs w:val="20"/>
                <w:color w:val="auto"/>
              </w:rPr>
            </w:pPr>
            <w:r>
              <w:rPr>
                <w:rFonts w:ascii="Arial" w:cs="Arial" w:eastAsia="Arial" w:hAnsi="Arial"/>
                <w:sz w:val="18"/>
                <w:szCs w:val="18"/>
                <w:color w:val="auto"/>
                <w:w w:val="88"/>
              </w:rPr>
              <w:t>Common stock subject to possible redemption, -0- and 2,305,335 shares at redemption value at December 31, 2020 and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2019, respectively</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24,500,488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1,000,000 shares authorized; none issued and outstanding</w:t>
            </w:r>
          </w:p>
        </w:tc>
        <w:tc>
          <w:tcPr>
            <w:tcW w:w="1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540" w:type="dxa"/>
            <w:vAlign w:val="bottom"/>
          </w:tcPr>
          <w:p>
            <w:pPr>
              <w:spacing w:after="0"/>
              <w:rPr>
                <w:sz w:val="20"/>
                <w:szCs w:val="20"/>
                <w:color w:val="auto"/>
              </w:rPr>
            </w:pPr>
            <w:r>
              <w:rPr>
                <w:rFonts w:ascii="Arial" w:cs="Arial" w:eastAsia="Arial" w:hAnsi="Arial"/>
                <w:sz w:val="18"/>
                <w:szCs w:val="18"/>
                <w:color w:val="auto"/>
                <w:w w:val="86"/>
              </w:rPr>
              <w:t>Common stock, $0.001 par value; 100,000,000 shares authorized; 2,688,242 and 2,844,414 shares issued and outstanding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w w:val="93"/>
              </w:rPr>
              <w:t>(excluding -0- and 2,305,335 shares subject to possible redemption) at December 31, 2020 and 2019, respectively</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2,831,088</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4,627,662</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(720,015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40" w:type="dxa"/>
            <w:vAlign w:val="bottom"/>
          </w:tcPr>
          <w:p>
            <w:pPr>
              <w:ind w:left="60"/>
              <w:spacing w:after="0"/>
              <w:rPr>
                <w:sz w:val="20"/>
                <w:szCs w:val="20"/>
                <w:color w:val="auto"/>
              </w:rPr>
            </w:pPr>
            <w:r>
              <w:rPr>
                <w:rFonts w:ascii="Arial" w:cs="Arial" w:eastAsia="Arial" w:hAnsi="Arial"/>
                <w:sz w:val="18"/>
                <w:szCs w:val="18"/>
                <w:color w:val="auto"/>
              </w:rPr>
              <w:t>(Accumulated deficit)/retained earnings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369,495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2,113,761</w:t>
            </w: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5,000,001</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6,050,405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32,074,694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80" w:type="dxa"/>
            <w:vAlign w:val="bottom"/>
            <w:gridSpan w:val="6"/>
          </w:tcPr>
          <w:p>
            <w:pPr>
              <w:jc w:val="right"/>
              <w:ind w:right="520"/>
              <w:spacing w:after="0"/>
              <w:rPr>
                <w:sz w:val="20"/>
                <w:szCs w:val="20"/>
                <w:color w:val="auto"/>
              </w:rPr>
            </w:pPr>
            <w:r>
              <w:rPr>
                <w:rFonts w:ascii="Arial" w:cs="Arial" w:eastAsia="Arial" w:hAnsi="Arial"/>
                <w:sz w:val="15"/>
                <w:szCs w:val="15"/>
                <w:b w:val="1"/>
                <w:bCs w:val="1"/>
                <w:color w:val="auto"/>
                <w:w w:val="99"/>
              </w:rPr>
              <w:t>Year Ended December 31,</w:t>
            </w:r>
          </w:p>
        </w:tc>
        <w:tc>
          <w:tcPr>
            <w:tcW w:w="0" w:type="dxa"/>
            <w:vAlign w:val="bottom"/>
          </w:tcPr>
          <w:p>
            <w:pPr>
              <w:spacing w:after="0"/>
              <w:rPr>
                <w:sz w:val="1"/>
                <w:szCs w:val="1"/>
                <w:color w:val="auto"/>
              </w:rPr>
            </w:pPr>
          </w:p>
        </w:tc>
      </w:tr>
      <w:tr>
        <w:trPr>
          <w:trHeight w:val="149"/>
        </w:trPr>
        <w:tc>
          <w:tcPr>
            <w:tcW w:w="7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60"/>
              <w:spacing w:after="0" w:line="149" w:lineRule="exact"/>
              <w:rPr>
                <w:sz w:val="20"/>
                <w:szCs w:val="20"/>
                <w:color w:val="auto"/>
              </w:rPr>
            </w:pPr>
            <w:r>
              <w:rPr>
                <w:rFonts w:ascii="Arial" w:cs="Arial" w:eastAsia="Arial" w:hAnsi="Arial"/>
                <w:sz w:val="15"/>
                <w:szCs w:val="15"/>
                <w:b w:val="1"/>
                <w:bCs w:val="1"/>
                <w:color w:val="auto"/>
                <w:w w:val="90"/>
              </w:rPr>
              <w:t>2020 (As</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7"/>
              </w:rPr>
              <w:t>Restated)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293"/>
              <w:spacing w:after="0"/>
              <w:rPr>
                <w:sz w:val="20"/>
                <w:szCs w:val="20"/>
                <w:color w:val="auto"/>
              </w:rPr>
            </w:pPr>
            <w:r>
              <w:rPr>
                <w:rFonts w:ascii="Arial" w:cs="Arial" w:eastAsia="Arial" w:hAnsi="Arial"/>
                <w:sz w:val="15"/>
                <w:szCs w:val="15"/>
                <w:b w:val="1"/>
                <w:bCs w:val="1"/>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2"/>
        </w:trPr>
        <w:tc>
          <w:tcPr>
            <w:tcW w:w="7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Operating and formation costs</w:t>
            </w:r>
          </w:p>
        </w:tc>
        <w:tc>
          <w:tcPr>
            <w:tcW w:w="8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907,406</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713,187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(907,406)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(713,187)</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Other income: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Forgiveness of debt</w:t>
            </w:r>
          </w:p>
        </w:tc>
        <w:tc>
          <w:tcPr>
            <w:tcW w:w="8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352,071</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138,764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1,205,820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(655,098</w:t>
            </w:r>
          </w:p>
        </w:tc>
        <w:tc>
          <w:tcPr>
            <w:tcW w:w="1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left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8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b w:val="1"/>
                <w:bCs w:val="1"/>
                <w:color w:val="auto"/>
              </w:rPr>
              <w:t>(164,263</w:t>
            </w: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60"/>
              <w:spacing w:after="0"/>
              <w:rPr>
                <w:sz w:val="20"/>
                <w:szCs w:val="20"/>
                <w:color w:val="auto"/>
              </w:rPr>
            </w:pPr>
            <w:r>
              <w:rPr>
                <w:rFonts w:ascii="Arial" w:cs="Arial" w:eastAsia="Arial" w:hAnsi="Arial"/>
                <w:sz w:val="18"/>
                <w:szCs w:val="18"/>
                <w:b w:val="1"/>
                <w:bCs w:val="1"/>
                <w:color w:val="auto"/>
              </w:rPr>
              <w:t>Other income, net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1,205,820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(Loss) income before provision for income taxes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(1,071,669)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492,633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(17,841)</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(84,206)</w:t>
            </w:r>
          </w:p>
        </w:tc>
        <w:tc>
          <w:tcPr>
            <w:tcW w:w="0" w:type="dxa"/>
            <w:vAlign w:val="bottom"/>
          </w:tcPr>
          <w:p>
            <w:pPr>
              <w:spacing w:after="0"/>
              <w:rPr>
                <w:sz w:val="1"/>
                <w:szCs w:val="1"/>
                <w:color w:val="auto"/>
              </w:rPr>
            </w:pPr>
          </w:p>
        </w:tc>
      </w:tr>
      <w:tr>
        <w:trPr>
          <w:trHeight w:val="27"/>
        </w:trPr>
        <w:tc>
          <w:tcPr>
            <w:tcW w:w="7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(1,089,510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Net (loss) income</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408,427</w:t>
            </w: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78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7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w w:val="95"/>
              </w:rPr>
              <w:t>Basic and diluted weighted average shares outstanding, Common stock subject to possible redemption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546,586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4,555,229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Common stock subject to possible redemption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8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Non-redeemable common stock</w:t>
            </w:r>
          </w:p>
        </w:tc>
        <w:tc>
          <w:tcPr>
            <w:tcW w:w="800" w:type="dxa"/>
            <w:vAlign w:val="bottom"/>
            <w:shd w:val="clear" w:color="auto" w:fill="CCEEFF"/>
          </w:tcPr>
          <w:p>
            <w:pPr>
              <w:spacing w:after="0"/>
              <w:rPr>
                <w:sz w:val="22"/>
                <w:szCs w:val="22"/>
                <w:color w:val="auto"/>
              </w:rPr>
            </w:pPr>
          </w:p>
        </w:tc>
        <w:tc>
          <w:tcPr>
            <w:tcW w:w="120" w:type="dxa"/>
            <w:vAlign w:val="bottom"/>
            <w:tcBorders>
              <w:left w:val="single" w:sz="8" w:color="CCEEFF"/>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2,736,258</w:t>
            </w:r>
          </w:p>
        </w:tc>
        <w:tc>
          <w:tcPr>
            <w:tcW w:w="8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2,783,021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88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(0.40</w:t>
            </w:r>
          </w:p>
        </w:tc>
        <w:tc>
          <w:tcPr>
            <w:tcW w:w="8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Non-redeemable common stock</w:t>
            </w: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left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right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(0.11)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8"/>
              </w:rPr>
              <w:t>Retained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w w:val="92"/>
              </w:rPr>
              <w:t>Additional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4"/>
          </w:tcPr>
          <w:p>
            <w:pPr>
              <w:jc w:val="center"/>
              <w:ind w:right="180"/>
              <w:spacing w:after="0" w:line="162" w:lineRule="exact"/>
              <w:rPr>
                <w:sz w:val="20"/>
                <w:szCs w:val="20"/>
                <w:color w:val="auto"/>
              </w:rPr>
            </w:pPr>
            <w:r>
              <w:rPr>
                <w:rFonts w:ascii="Arial" w:cs="Arial" w:eastAsia="Arial" w:hAnsi="Arial"/>
                <w:sz w:val="15"/>
                <w:szCs w:val="15"/>
                <w:b w:val="1"/>
                <w:bCs w:val="1"/>
                <w:color w:val="auto"/>
                <w:w w:val="90"/>
              </w:rPr>
              <w:t>Earnings/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260"/>
              <w:spacing w:after="0" w:line="162" w:lineRule="exact"/>
              <w:rPr>
                <w:sz w:val="20"/>
                <w:szCs w:val="20"/>
                <w:color w:val="auto"/>
              </w:rPr>
            </w:pPr>
            <w:r>
              <w:rPr>
                <w:rFonts w:ascii="Arial" w:cs="Arial" w:eastAsia="Arial" w:hAnsi="Arial"/>
                <w:sz w:val="15"/>
                <w:szCs w:val="15"/>
                <w:b w:val="1"/>
                <w:bCs w:val="1"/>
                <w:color w:val="auto"/>
                <w:w w:val="89"/>
              </w:rPr>
              <w:t>Total</w:t>
            </w:r>
          </w:p>
        </w:tc>
      </w:tr>
      <w:tr>
        <w:trPr>
          <w:trHeight w:val="182"/>
        </w:trPr>
        <w:tc>
          <w:tcPr>
            <w:tcW w:w="5740" w:type="dxa"/>
            <w:vAlign w:val="bottom"/>
          </w:tcPr>
          <w:p>
            <w:pPr>
              <w:spacing w:after="0"/>
              <w:rPr>
                <w:sz w:val="15"/>
                <w:szCs w:val="15"/>
                <w:color w:val="auto"/>
              </w:rPr>
            </w:pPr>
          </w:p>
        </w:tc>
        <w:tc>
          <w:tcPr>
            <w:tcW w:w="20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5"/>
                <w:szCs w:val="15"/>
                <w:b w:val="1"/>
                <w:bCs w:val="1"/>
                <w:color w:val="auto"/>
              </w:rPr>
              <w:t>Common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Paid-in</w:t>
            </w:r>
          </w:p>
        </w:tc>
        <w:tc>
          <w:tcPr>
            <w:tcW w:w="120" w:type="dxa"/>
            <w:vAlign w:val="bottom"/>
          </w:tcPr>
          <w:p>
            <w:pPr>
              <w:spacing w:after="0"/>
              <w:rPr>
                <w:sz w:val="15"/>
                <w:szCs w:val="15"/>
                <w:color w:val="auto"/>
              </w:rPr>
            </w:pPr>
          </w:p>
        </w:tc>
        <w:tc>
          <w:tcPr>
            <w:tcW w:w="1020" w:type="dxa"/>
            <w:vAlign w:val="bottom"/>
            <w:gridSpan w:val="5"/>
          </w:tcPr>
          <w:p>
            <w:pPr>
              <w:jc w:val="center"/>
              <w:ind w:right="100"/>
              <w:spacing w:after="0"/>
              <w:rPr>
                <w:sz w:val="20"/>
                <w:szCs w:val="20"/>
                <w:color w:val="auto"/>
              </w:rPr>
            </w:pPr>
            <w:r>
              <w:rPr>
                <w:rFonts w:ascii="Arial" w:cs="Arial" w:eastAsia="Arial" w:hAnsi="Arial"/>
                <w:sz w:val="15"/>
                <w:szCs w:val="15"/>
                <w:b w:val="1"/>
                <w:bCs w:val="1"/>
                <w:color w:val="auto"/>
                <w:w w:val="88"/>
              </w:rPr>
              <w:t>(Accumulated</w:t>
            </w:r>
          </w:p>
        </w:tc>
        <w:tc>
          <w:tcPr>
            <w:tcW w:w="100" w:type="dxa"/>
            <w:vAlign w:val="bottom"/>
          </w:tcPr>
          <w:p>
            <w:pPr>
              <w:spacing w:after="0"/>
              <w:rPr>
                <w:sz w:val="15"/>
                <w:szCs w:val="15"/>
                <w:color w:val="auto"/>
              </w:rPr>
            </w:pPr>
          </w:p>
        </w:tc>
        <w:tc>
          <w:tcPr>
            <w:tcW w:w="1020" w:type="dxa"/>
            <w:vAlign w:val="bottom"/>
            <w:gridSpan w:val="5"/>
          </w:tcPr>
          <w:p>
            <w:pPr>
              <w:jc w:val="center"/>
              <w:ind w:right="100"/>
              <w:spacing w:after="0"/>
              <w:rPr>
                <w:sz w:val="20"/>
                <w:szCs w:val="20"/>
                <w:color w:val="auto"/>
              </w:rPr>
            </w:pPr>
            <w:r>
              <w:rPr>
                <w:rFonts w:ascii="Arial" w:cs="Arial" w:eastAsia="Arial" w:hAnsi="Arial"/>
                <w:sz w:val="15"/>
                <w:szCs w:val="15"/>
                <w:b w:val="1"/>
                <w:bCs w:val="1"/>
                <w:color w:val="auto"/>
                <w:w w:val="88"/>
              </w:rPr>
              <w:t>Stockholders’</w:t>
            </w:r>
          </w:p>
        </w:tc>
      </w:tr>
      <w:tr>
        <w:trPr>
          <w:trHeight w:val="250"/>
        </w:trPr>
        <w:tc>
          <w:tcPr>
            <w:tcW w:w="5740" w:type="dxa"/>
            <w:vAlign w:val="bottom"/>
          </w:tcPr>
          <w:p>
            <w:pPr>
              <w:spacing w:after="0"/>
              <w:rPr>
                <w:sz w:val="21"/>
                <w:szCs w:val="21"/>
                <w:color w:val="auto"/>
              </w:rPr>
            </w:pPr>
          </w:p>
        </w:tc>
        <w:tc>
          <w:tcPr>
            <w:tcW w:w="900" w:type="dxa"/>
            <w:vAlign w:val="bottom"/>
            <w:tcBorders>
              <w:bottom w:val="single" w:sz="8" w:color="auto"/>
            </w:tcBorders>
          </w:tcPr>
          <w:p>
            <w:pPr>
              <w:jc w:val="right"/>
              <w:ind w:right="135"/>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5"/>
                <w:szCs w:val="15"/>
                <w:b w:val="1"/>
                <w:bCs w:val="1"/>
                <w:color w:val="auto"/>
                <w:w w:val="98"/>
              </w:rPr>
              <w:t>Amount</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Capital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75"/>
              <w:spacing w:after="0"/>
              <w:rPr>
                <w:sz w:val="20"/>
                <w:szCs w:val="20"/>
                <w:color w:val="auto"/>
              </w:rPr>
            </w:pPr>
            <w:r>
              <w:rPr>
                <w:rFonts w:ascii="Arial" w:cs="Arial" w:eastAsia="Arial" w:hAnsi="Arial"/>
                <w:sz w:val="15"/>
                <w:szCs w:val="15"/>
                <w:b w:val="1"/>
                <w:bCs w:val="1"/>
                <w:color w:val="auto"/>
                <w:w w:val="94"/>
              </w:rPr>
              <w:t>Deficit)</w:t>
            </w:r>
          </w:p>
        </w:tc>
        <w:tc>
          <w:tcPr>
            <w:tcW w:w="1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75"/>
              <w:spacing w:after="0"/>
              <w:rPr>
                <w:sz w:val="20"/>
                <w:szCs w:val="20"/>
                <w:color w:val="auto"/>
              </w:rPr>
            </w:pPr>
            <w:r>
              <w:rPr>
                <w:rFonts w:ascii="Arial" w:cs="Arial" w:eastAsia="Arial" w:hAnsi="Arial"/>
                <w:sz w:val="15"/>
                <w:szCs w:val="15"/>
                <w:b w:val="1"/>
                <w:bCs w:val="1"/>
                <w:color w:val="auto"/>
                <w:w w:val="95"/>
              </w:rPr>
              <w:t>Equity</w:t>
            </w:r>
          </w:p>
        </w:tc>
        <w:tc>
          <w:tcPr>
            <w:tcW w:w="100" w:type="dxa"/>
            <w:vAlign w:val="bottom"/>
            <w:gridSpan w:val="2"/>
          </w:tcPr>
          <w:p>
            <w:pPr>
              <w:spacing w:after="0"/>
              <w:rPr>
                <w:sz w:val="21"/>
                <w:szCs w:val="2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2,725,039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5,036,213</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(38,932)</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5,000,006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(688,551)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(688,432)</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1"/>
              </w:rPr>
              <w:t>Capital contribution to Trust Account to extend the date by which the Company</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is required to consummate a Business Combination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2,844,414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4,627,662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369,495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5,000,001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(128,386)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(1,497,349)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(1,497,477)</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Redemption of share related to extension proxy vote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(299,225)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(299,253)</w:t>
            </w: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7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(1,089,510</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w w:val="85"/>
              </w:rPr>
              <w:t>(1,089,510</w:t>
            </w:r>
          </w:p>
        </w:tc>
      </w:tr>
      <w:tr>
        <w:trPr>
          <w:trHeight w:val="22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57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57"/>
        </w:trPr>
        <w:tc>
          <w:tcPr>
            <w:tcW w:w="57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(720,015</w:t>
            </w:r>
          </w:p>
        </w:tc>
        <w:tc>
          <w:tcPr>
            <w:tcW w:w="6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84"/>
              </w:rPr>
              <w:t>2,113,761</w:t>
            </w:r>
          </w:p>
        </w:tc>
        <w:tc>
          <w:tcPr>
            <w:tcW w:w="60" w:type="dxa"/>
            <w:vAlign w:val="bottom"/>
            <w:shd w:val="clear" w:color="auto" w:fill="CCEEFF"/>
          </w:tcPr>
          <w:p>
            <w:pPr>
              <w:spacing w:after="0"/>
              <w:rPr>
                <w:sz w:val="22"/>
                <w:szCs w:val="22"/>
                <w:color w:val="auto"/>
              </w:rPr>
            </w:pPr>
          </w:p>
        </w:tc>
      </w:tr>
      <w:tr>
        <w:trPr>
          <w:trHeight w:val="250"/>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 (As Restated)</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2,688,242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2,831,088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-650875</wp:posOffset>
            </wp:positionV>
            <wp:extent cx="342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-650875</wp:posOffset>
            </wp:positionV>
            <wp:extent cx="342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9">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6"/>
          </w:tcPr>
          <w:p>
            <w:pPr>
              <w:jc w:val="right"/>
              <w:ind w:right="520"/>
              <w:spacing w:after="0"/>
              <w:rPr>
                <w:sz w:val="20"/>
                <w:szCs w:val="20"/>
                <w:color w:val="auto"/>
              </w:rPr>
            </w:pPr>
            <w:r>
              <w:rPr>
                <w:rFonts w:ascii="Arial" w:cs="Arial" w:eastAsia="Arial" w:hAnsi="Arial"/>
                <w:sz w:val="15"/>
                <w:szCs w:val="15"/>
                <w:b w:val="1"/>
                <w:bCs w:val="1"/>
                <w:color w:val="auto"/>
              </w:rPr>
              <w:t>Year Ended December 31,</w:t>
            </w:r>
          </w:p>
        </w:tc>
      </w:tr>
      <w:tr>
        <w:trPr>
          <w:trHeight w:val="149"/>
        </w:trPr>
        <w:tc>
          <w:tcPr>
            <w:tcW w:w="7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440"/>
              <w:spacing w:after="0" w:line="149" w:lineRule="exact"/>
              <w:rPr>
                <w:sz w:val="20"/>
                <w:szCs w:val="20"/>
                <w:color w:val="auto"/>
              </w:rPr>
            </w:pPr>
            <w:r>
              <w:rPr>
                <w:rFonts w:ascii="Arial" w:cs="Arial" w:eastAsia="Arial" w:hAnsi="Arial"/>
                <w:sz w:val="15"/>
                <w:szCs w:val="15"/>
                <w:b w:val="1"/>
                <w:bCs w:val="1"/>
                <w:color w:val="auto"/>
              </w:rPr>
              <w:t>2020 (As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82"/>
        </w:trPr>
        <w:tc>
          <w:tcPr>
            <w:tcW w:w="7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w w:val="96"/>
              </w:rPr>
              <w:t>Restated)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29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r>
      <w:tr>
        <w:trPr>
          <w:trHeight w:val="242"/>
        </w:trPr>
        <w:tc>
          <w:tcPr>
            <w:tcW w:w="72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(1,089,510)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408,427</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(138,764)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(1,205,820)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655,098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Forgiveness of debt</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(352,071)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19,114</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Prepaid incomes taxes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(69,483)</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71,342</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Income taxes payable</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(16,311)</w:t>
            </w:r>
          </w:p>
        </w:tc>
      </w:tr>
      <w:tr>
        <w:trPr>
          <w:trHeight w:val="27"/>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(598,617)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(792,731)</w:t>
            </w:r>
          </w:p>
        </w:tc>
      </w:tr>
      <w:tr>
        <w:trPr>
          <w:trHeight w:val="216"/>
        </w:trPr>
        <w:tc>
          <w:tcPr>
            <w:tcW w:w="7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Investment of cash in Trust Account</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(282,626)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(993,099)</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withdrawn from Trust Account to pay redeeming stockholders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26,297,218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40,726,687</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Cash withdrawn from Trust Account to pay franchise and income taxes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161,430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512,993</w:t>
            </w:r>
          </w:p>
        </w:tc>
      </w:tr>
      <w:tr>
        <w:trPr>
          <w:trHeight w:val="27"/>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26,176,022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40,246,581</w:t>
            </w:r>
          </w:p>
        </w:tc>
      </w:tr>
      <w:tr>
        <w:trPr>
          <w:trHeight w:val="216"/>
        </w:trPr>
        <w:tc>
          <w:tcPr>
            <w:tcW w:w="7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Proceeds from promissory notes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274,266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845,623</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481,141</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(65,000)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common stock</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(26,297,218)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(40,726,687)</w:t>
            </w:r>
          </w:p>
        </w:tc>
      </w:tr>
      <w:tr>
        <w:trPr>
          <w:trHeight w:val="27"/>
        </w:trPr>
        <w:tc>
          <w:tcPr>
            <w:tcW w:w="7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(25,576,945)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2"/>
              </w:rPr>
              <w:t>(39,464,923)</w:t>
            </w:r>
          </w:p>
        </w:tc>
      </w:tr>
      <w:tr>
        <w:trPr>
          <w:trHeight w:val="21"/>
        </w:trPr>
        <w:tc>
          <w:tcPr>
            <w:tcW w:w="7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(11,073)</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11,079</w:t>
            </w:r>
          </w:p>
        </w:tc>
      </w:tr>
      <w:tr>
        <w:trPr>
          <w:trHeight w:val="27"/>
        </w:trPr>
        <w:tc>
          <w:tcPr>
            <w:tcW w:w="7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Cash – End of period</w:t>
            </w:r>
          </w:p>
        </w:tc>
        <w:tc>
          <w:tcPr>
            <w:tcW w:w="1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466</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w:t>
            </w:r>
          </w:p>
        </w:tc>
      </w:tr>
      <w:tr>
        <w:trPr>
          <w:trHeight w:val="21"/>
        </w:trPr>
        <w:tc>
          <w:tcPr>
            <w:tcW w:w="7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170,000</w:t>
            </w:r>
          </w:p>
        </w:tc>
      </w:tr>
      <w:tr>
        <w:trPr>
          <w:trHeight w:val="210"/>
        </w:trPr>
        <w:tc>
          <w:tcPr>
            <w:tcW w:w="7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1,497,477</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688,432</w:t>
            </w:r>
          </w:p>
        </w:tc>
      </w:tr>
      <w:tr>
        <w:trPr>
          <w:trHeight w:val="20"/>
        </w:trPr>
        <w:tc>
          <w:tcPr>
            <w:tcW w:w="7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to Trust Account</w:t>
            </w: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280,000</w:t>
            </w:r>
          </w:p>
        </w:tc>
      </w:tr>
      <w:tr>
        <w:trPr>
          <w:trHeight w:val="20"/>
        </w:trPr>
        <w:tc>
          <w:tcPr>
            <w:tcW w:w="72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Big Rock Partners Acquisition Corp. (the “Company”) is a blank check company incorporated in Delaware on September 18, 2017. The Company was formed for the purpose of acquiring, through a merger, share exchange, asset acquisition, stock purchase, reorganization, recapitalization, or other similar business transaction, one or more operating businesses or entities (a “Business Combination”). The Company is not limited to a particular industry or geographic region for purposes of consummating a Business Combination.</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one subsidiary, Big Rock Merger Corp., a wholly-owned subsidiary of the Company incorporated in Delaware on January 22, 2019 (“Merger Sub”).</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activity through December 31, 2020 relates to the Company’s formation, its initial public offering (“Initial Public Offering”), which is described below, identifying a target company for a Business Combination, and activities in connection with the proposed acquisition of NeuroRx, Inc., a Delaware corporation (“</w:t>
      </w:r>
      <w:r>
        <w:rPr>
          <w:rFonts w:ascii="Arial" w:cs="Arial" w:eastAsia="Arial" w:hAnsi="Arial"/>
          <w:sz w:val="18"/>
          <w:szCs w:val="18"/>
          <w:u w:val="single" w:color="auto"/>
          <w:color w:val="auto"/>
        </w:rPr>
        <w:t>NeuroRx</w:t>
      </w:r>
      <w:r>
        <w:rPr>
          <w:rFonts w:ascii="Arial" w:cs="Arial" w:eastAsia="Arial" w:hAnsi="Arial"/>
          <w:sz w:val="18"/>
          <w:szCs w:val="18"/>
          <w:color w:val="auto"/>
        </w:rPr>
        <w:t>”) (see Note 8).</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registration statement for the Company’s Initial Public Offering was declared effective on November 20, 2017. On November 22, 2017, the Company consummated the Initial Public Offering of 6,000,000 units (the “Units” and, with respect to the common stock included in the Units being offered, the “Public Shares”), generating gross proceeds of $60,000,000, which is described in Note 4. Each Unit consists of one share of common stock, one right (“Public Right”) and one-half of one warrant (“Public Warrant”). Each Public Right will convert into one-tenth (1/10) of one share of common stock upon consummation of a Business Combination. Each whole Public Warrant entitles the holder to purchase one share of common stock at an exercise price of $11.50 per whole share.</w:t>
      </w:r>
    </w:p>
    <w:p>
      <w:pPr>
        <w:spacing w:after="0" w:line="169"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Simultaneously with the Initial Public Offering, the Company consummated the sale of 250,000 units (the “Private Placement Units”) at a price of $10.00 per Unit in a private placement to Big Rock Partners Sponsor, LLC (the “Sponsor”), generating gross proceeds of $2,500,000, which is described in Note 5.</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closing of the Initial Public Offering, $60,000,000 ($10.00 per Unit) from the net proceeds of the sale of the Units in the Initial Public Offering and the Private Placement Units was placed in a trust account (the “Trust Account”) which may be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or (ii) the distribution of the Trust Account, as described below.</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November 29, 2017, in connection with the underwriters’ exercise of their over-allotment option in full, the Company consummated the sale of an additional 900,000 Units, and the sale of an additional 22,500 Private Placement Units at $10.00 per unit, generating total gross proceeds of $9,225,000. A total of $9,000,000 of the net proceeds were deposited in the Trust Account, bringing the aggregate proceeds held in the Trust Account to $69,000,000.</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closing of the Initial Public Offering, the Company issued EarlyBirdCapital, Inc. ("EarlyBirdCapital") and its designees 120,000 shares of common stock (the “Representative Shares”). On November 29, 2017, the Company issued an additional 18,000 Representative Shares for no consideration (see Note 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 amounted to $2,172,419, consisting of $1,725,000 of underwriting fees and $447,419 of Initial Public Offering costs.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(excluding taxes payable on income earned on the Trust Account)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jc w:val="both"/>
        <w:spacing w:after="0" w:line="253" w:lineRule="auto"/>
        <w:rPr>
          <w:sz w:val="20"/>
          <w:szCs w:val="20"/>
          <w:color w:val="auto"/>
        </w:rPr>
      </w:pPr>
      <w:r>
        <w:rPr>
          <w:rFonts w:ascii="Arial" w:cs="Arial" w:eastAsia="Arial" w:hAnsi="Arial"/>
          <w:sz w:val="18"/>
          <w:szCs w:val="18"/>
          <w:color w:val="auto"/>
        </w:rPr>
        <w:t>The Company will provide its stockholders with the opportunity to redeem all or a portion of their shares included in the Units sold in the Initial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($10.00 per share, plus any pro rata interest earned on the funds held in the Trust Account and not previously released to the Company to pay its franchise and income tax obligations). There will be no redemption rights upon the completion of a Business Combination with respect to the Company’s warrants.</w:t>
      </w:r>
    </w:p>
    <w:p>
      <w:pPr>
        <w:spacing w:after="0" w:line="20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(the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Company’s Sponsor, officers and directors (the “Initial Stockholders”) have agreed (a) to vote their Founder’s Shares (as defined in Note 6), Placement Shares (as defined in Note 5) and any Public Shares held by them in favor of approving a Business Combination and</w:t>
      </w:r>
    </w:p>
    <w:p>
      <w:pPr>
        <w:spacing w:after="0" w:line="3" w:lineRule="exact"/>
        <w:rPr>
          <w:sz w:val="20"/>
          <w:szCs w:val="20"/>
          <w:color w:val="auto"/>
        </w:rPr>
      </w:pPr>
    </w:p>
    <w:p>
      <w:pPr>
        <w:jc w:val="both"/>
        <w:ind w:firstLine="8"/>
        <w:spacing w:after="0" w:line="302"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 to convert any Founder’s Shares, Placement Shares and any Public Shares held by them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initially had until November 22, 2018 to complete a Business Combination. However, if the Company anticipated that it would not be able to consummate a Business Combination by November 22, 2018, the Company could extend the period of time to consummate a Business Combination up to two times, each by an additional three months. Pursuant to the terms of the Company's Amended and Restated Certificate of Incorporation and the trust agreement entered into between the Company and Continental Stock Transfer &amp; Trust Company on November 20, 2017, in order to extend the time available for the Company to consummate a Business Combination, the Sponsor or its affiliates or designees must deposit into the Trust Account $690,000 ($0.10 per share) for each three month extension, up to an aggregate of $1,380,000, or $0.20 per share, if the Company extends for the full six months, on or prior to the date of the applicable deadline.</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20, 2018, the period of time for the Company to consummate a Business Combination was extended for an additional three-month period ending on February 22, 2019, and, accordingly, $690,000 was deposited into the Trust Account. On February 21, 2019, the Company further extended the time required to consummate a Business Combination to May 22, 2019 and deposited an additional $690,000 into the Trust Account. The deposits were funded by non-interest bearing unsecured promissory notes from BRAC Lending Group LLC, an affiliate of the underwriter (“BRAC”) (see Note 7). The notes are repayable upon the consummation of a Business Combination (see Note 7).</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21, 2019, the Company’s stockholders approved an amendment to its Amended and Restated Certificate of Incorporation to extend the period of time for which the Company was required to consummate a Business Combination to August 22, 2019. The number of shares of common stock presented for redemption in connection with the extension was 2,119,772. The Company paid cash in the aggregate amount of $22,099,233, or approximately $10.43 per share, to redeeming stockholders. The Company agreed to deposit, or cause to be deposited on its behalf, into the Trust Account $0.02 for each public share outstanding for each 30-day extension period utilized through August 22, 2019. In connection with this extension, the Company deposited an aggregate of $286,814 into the Trust Account, of which $280,000 was contributed to the Trust Account by a third party and is not required to be repaid by the Company. Accordingly, the Company has recorded this amount as a credit to additional paid in capital in the accompanying statements of stockholders’ equity. In order to pay for part of the third extension payment, the Company issued an unsecured promissory note (the “Second Note”) in favor of BRAC, in the original principal amount of $6,814 (see Note 7).</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21, 2019, the Company stockholders approved an amendment to the Company’s Amended and Restated Certificate of Incorporation to extend the period of time for which the Company is required to consummate a Business Combination (the “Extension”) from August 22, 2019 to November 22, 2019. The number of shares of common stock presented for redemption in connection with the Extension was 846,888. The Company paid cash in the aggregate amount of $8,891,378, or approximately $10.50 per share, to redeeming stockholders. The Company agreed to deposit, or cause to be deposited on its behalf, into the Trust Account $0.02 for each public share outstanding for each 30-day extension period utilized through the Extension. In connection with this extension, the Company deposited an aggregate of $236,000 into the Trust Account to fund this extension payment, which amount was loaned to the Company by AZ Property Partners, LLC (“AZ Property Partners”), an entity majority owned and controlled by Richard Ackerman, the Company's Chairman, President and Chief Executive Officer, and BRAC (see Note 7).</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8" w:name="page39"/>
    <w:bookmarkEnd w:id="38"/>
    <w:p>
      <w:pPr>
        <w:jc w:val="both"/>
        <w:spacing w:after="0" w:line="288" w:lineRule="auto"/>
        <w:rPr>
          <w:sz w:val="20"/>
          <w:szCs w:val="20"/>
          <w:color w:val="auto"/>
        </w:rPr>
      </w:pPr>
      <w:r>
        <w:rPr>
          <w:rFonts w:ascii="Arial" w:cs="Arial" w:eastAsia="Arial" w:hAnsi="Arial"/>
          <w:sz w:val="16"/>
          <w:szCs w:val="16"/>
          <w:color w:val="auto"/>
        </w:rPr>
        <w:t>On November 21, 2019, the Company's stockholders approved an amendment to the Company's Amended and Restated Certificate of Incorporation to extend the period of time for which the Company is required to consummate a Business Combination (the “Second Extension”) from November 22, 2019 to March 23, 2020. The number of shares of common stock presented for redemption in connection with the Second Extension was 919,091. The Company paid cash in the aggregate amount of $9,736,077, or approximately $10.59 per share, to redeeming stockholders. The Company agreed to deposit, or cause to be deposited on its behalf, into the Trust Account $0.02 for each public share outstanding for each 30-day extension period utilized through the Second Extension. In connection with this extension, the Company deposited an aggregate of $60,285 into the Trust Account to fund the first thirty-day extension through December 22, 2019, which amount was loaned to the Company by AZ Property Partners and BRAC (see Note 7). In January and February 2020, AZ Property Partners and BRAC loaned the Company an additional aggregate amount of $90,427 each to pay for the extension through March 23, 2020, which was deposited into the Trust Account.</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23, 2020, the Company's stockholders approved an amendment to the Amended and Restated Certificate of Incorporation to extend the period of time for which the Company is required to consummate a Business Combination (the “Third Extension”) from March 23, 2020 to July 23, 2020. The number of shares of common stock presented for redemption in connection with the Third Extension was 2,433,721. The Company paid cash in the aggregate amount of $25,997,965, or approximately $10.68 per share, to redeeming stockholders. The Company agreed to deposit, or cause to be deposited on its behalf, into the Trust Account $0.02 for each public share outstanding for each 30-day extension period utilized through the Third Extension. Notwithstanding the foregoing, if the volume weighted average price of the Company's common stock during the 10-day trading period ending on the 3rd day prior to the end of any applicable monthly period was equal to or greater than $11.00 and the trading volume during the 10-day trading period exceeded 100,000 shares, the obligation to make any particular deposit would terminate with respect to the immediately following monthly period (but not with respect to any other future monthly period). In connection with this extension, the Company deposited an aggregate of $34,858 into the Trust Account to fund the extension through July 23, 2020, of which $17,429 was loaned to the Company by each of AZ Property Partners and BRAC.</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23, 2020, the Company's stockholders approved an amendment to the Amended and Restated Certificate of Incorporation to extend the period of time for which the Company is required to consummate a Business Combination (the “Fourth Extension”) from July 23, 2020 to December 23, 2020. The number of shares of common stock presented for redemption in connection with the Fourth Extension was 27,786. The Company paid cash in amount of $299,253, or approximately $10.77 per share, to redeeming stockholders. The Company agreed to deposit, or cause to be deposited on its behalf, into the Trust Account $0.02 for each public share outstanding for each 30-day extension period utilized through the Fourth Extension. In connection with this extension, as of November 13, 2020, the Company deposited an aggregate of $44,219 into the Trust Account, of which $22,110 was deposited as of September 30, 2020, to fund the extension through November 23, 2020, which amounts were loaned to the Company by AZ Property Partners and BRAC. Notwithstanding the foregoing, if the volume weighted average price of the Company's common stock during the 10-day trading period ending on the 3rd day prior to the end of any applicable monthly period is equal to or greater than $11.00 and the trading volume during the 10-day trading period exceeds 100,000 shares, the obligation to make any particular deposit would terminate with respect to the immediately following monthly period (but not with respect to any other future monthly period).</w:t>
      </w:r>
    </w:p>
    <w:p>
      <w:pPr>
        <w:spacing w:after="0" w:line="3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18, 2020, the Company held a special meeting pursuant to which the Company’s stockholders approved an amendment to the Amended and Restated Certificate of Incorporation to extend the period of time for which the Company is required to consummate a Business Combination (the “Fifth Extension”) from December 23, 2020 to April 23, 2021 (the “Extended Date”). In connection with this extension, no stockholders elected to redeem their shares of common stock.</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the Company is unable to complete a Business Combination by the Extended Date, the Company will (i) cease all operations except for the purpose of winding up, (ii) as promptly as reasonably possible but no more than ten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In the event of such distribution, it is possible that the per share value of the assets remaining available for distribution (including Trust Account assets) will be less than the $10.00 per Unit in the Initial Public Offering.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9" w:name="page40"/>
    <w:bookmarkEnd w:id="39"/>
    <w:p>
      <w:pPr>
        <w:jc w:val="both"/>
        <w:spacing w:after="0" w:line="288" w:lineRule="auto"/>
        <w:rPr>
          <w:sz w:val="20"/>
          <w:szCs w:val="20"/>
          <w:color w:val="auto"/>
        </w:rPr>
      </w:pPr>
      <w:r>
        <w:rPr>
          <w:rFonts w:ascii="Arial" w:cs="Arial" w:eastAsia="Arial" w:hAnsi="Arial"/>
          <w:sz w:val="16"/>
          <w:szCs w:val="16"/>
          <w:color w:val="auto"/>
        </w:rPr>
        <w:t>The Initial Stockholders have agreed to (i) waive their redemption rights with respect to Founder Shares, Placement Shares and any Public Shares they may acquire during or after the Initial Public Offering in connection with the consummation of a Business Combination, (ii) to waive their rights to liquidating distributions from the Trust Account with respect to their Founder’s Shares and Placement Shares if the Company fails to consummate a Business Combination by the Extended Date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 However, the Initial Stockholders will be entitled to liquidating distributions with respect to any Public Shares acquired if the Company fails to consummate a Business Combination or liquidates by Extended Date.</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protect the amounts held in the Trust Account, A/Z Property Partners,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Additionally, the agreement entered into by AZ Property Partners specifically provides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against certain liabilities, including liabilities under the Securities Act of 1933, as amended (the “Securities Act”). The Company will seek to reduce the possibility that AZ Property Partners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Notifications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7, 2019, the Company received a notice from the staff of the Listing Qualifications Department of Nasdaq (the “Staff”) stating that the Company was no longer in compliance with Nasdaq Listing Rule 5620(a) for continued listing due to its failure to hold an annual meeting of stockholders within twelve months of the end of the Company’s fiscal year ended December 31, 2017. The Company submitted a plan of compliance with Nasdaq and Nasdaq granted the Company an extension until May 22, 2019 to regain compliance with the rule by holding an annual meeting of stockholders. The Company held its annual meeting of stockholders on May 21, 2019 and, accordingly, the Staff determined that the Company was in compliance with Nasdaq Listing Rule 5620(a) for continued listing and the matter was closed.</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9, 2019, the Company received a notice from the Staff stating that the Company was no longer in compliance with Nasdaq Listing Rule 5550(a)(3) for continued listing due to its failure to maintain a minimum of 300 public holders (the “Rule”). The Company had until September 23, 2019 to provide Nasdaq with a specific plan to achieve and sustain compliance with the listing requirement. The notice is a notification of deficiency, not of imminent delisting, and had no current effect on the listing or trading of the Company's securities on Nasdaq.</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23, 2019 and October 28, 2019, the Company submitted a plan to regain compliance with Nasdaq and requested an extension through February 5, 2020. On October 28, 2019, Nasdaq requested additional information regarding the Company's compliance plan, to which the Company responded on November 8, 2019. On February 11, 2020, the Company received a notice from the Staff stating that, based upon the Company’s non-compliance with the Rule, the Staff had determined to delist the Company’s common stock from Nasdaq unless the Company timely requests a hearing before the Nasdaq Hearings Panel (the “Panel“). The Company was also notified that as a result of Nasdaq’s determination to delist the Company’s common stock, the Company’s warrants and rights no longer comply with Nasdaq Listing Rule 5560(a), which requires the underlying securities of such exercisable securities to remain listed on Nasdaq, and the Company’s Units no longer comply with Nasdaq Listing Rule 5225(b)(1)(A), which requires all component parts of units to meet the requirements for initial and continued listing, and the Company’s units, warrants and rights are now subject to delisting. The Company requested a hearing, which request automatically stayed any further action by the Staff pending the ultimate conclusion of the hearing process.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March 25, 2020, the Company received formal notice from Nasdaq indicating that the Staff had granted the Company’s request for continued listing on Nasdaq. The decision followed the Company’s hearing before the Panel, which took place on March 19, 2020. The Company’s continued listing is subject to the Company’s satisfaction of a number of conditions, including, ultimately, completion of a Business Combination with an operating company by no later than August 10, 2020, and the combined entity’s compliance with all applicable criteria for initial listing on Nasdaq at the time of the merger. The Company failed to meet certain of the conditions contained in the extension grant and has submitted a modified extension request to the Staff.</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0" w:name="page41"/>
    <w:bookmarkEnd w:id="40"/>
    <w:p>
      <w:pPr>
        <w:jc w:val="both"/>
        <w:spacing w:after="0" w:line="294" w:lineRule="auto"/>
        <w:rPr>
          <w:sz w:val="20"/>
          <w:szCs w:val="20"/>
          <w:color w:val="auto"/>
        </w:rPr>
      </w:pPr>
      <w:r>
        <w:rPr>
          <w:rFonts w:ascii="Arial" w:cs="Arial" w:eastAsia="Arial" w:hAnsi="Arial"/>
          <w:sz w:val="16"/>
          <w:szCs w:val="16"/>
          <w:color w:val="auto"/>
        </w:rPr>
        <w:t>On August 10, 2020, the Company submitted a letter to Nasdaq indicating that it was in compliance with the Rule as of July 31, 2020 and, as a result, satisfies the minimum 300 public holder requirement and all other applicable criteria for continued listing on Nasdaq. Accordingly, the Company requested that the Staff render a formal determination to continue the listing of the Company’s securities. On August 11, 2020, the Company received a formal notice from Nasdaq notifying the Company that it regained compliance with the minimum 300 public holder requirements under Nasdaq rules and that the Panel had determined to continue the listing of the Company's securities on Nasdaq and close the matter.</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23, 2020, the Company received a notice from Nasdaq stating that, as of November 20, 2020, the Company was not in compliance with Listing Rule IM-5101-2 (the “Rule”), which requires that a special purpose acquisition company complete one or more business combinations within 36 months of the effectiveness of the registration statement filed in connection with its initial public offering. Since the Company’s registration statement became effective on November 20, 2017, it was required to complete an initial business combination by no later than November 20, 2020. The Rule also provides that failure to comply with this requirement will result in the Listing Qualifications Department issuing a Staff Delisting Determination under Rule 5810 to delist the Company’s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2020, the Company had $466 in its operating bank account, $5,967,947 in cash and marketable securities held in the Trust Account to be used for a Business Combination or to repurchase or convert stock in connection therewith and an adjusted working capital deficit of $609,509, which excludes prepaid income taxes of $51,642 and prepaid franchise taxes of $30,350, which have been paid from amounts in the Trust Account. As of December 31, 2020, approximately $138,764 of the amount on deposit in the Trust Account represented interest income, which is available to pay the Company’s tax obligations. To date, the Company has withdrawn $716,788 of interest from the Trust Account in order to pay the Company’s franchise and income taxes, of which $161,430 was withdrawn during the year ended December 31, 2020.</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17, 2018, the Company entered into an agreement (the “Agreement”) with the Sponsor and BRAC, pursuant to which the Sponsor agreed to be responsible for all liabilities of the Company as of November 17, 2018 and to loan the Company the funds necessary to pay the expenses of the Company other than Business Combination expenses through the closing of a Business Combination when and as needed. If a Business Combination is not consummated, all outstanding loans made by the Sponsor will be forgiven (see Note 7). In addition, BRAC agreed to loan the Company all funds necessary to pay expenses incurred in connection with and in order to consummate a business combination (the “Business Combination Expenses”) and such loans will be added to the Initial Notes (as defined in Note 6). If the Company does not consummate a Business Combination, all outstanding loans under the Notes will be forgiven, except to the extent of any funds held outside of the Trust Account after paying all other fees and expenses of the Company incurred prior to the date of such failure to consummate a Business Combination (see Note 7).</w:t>
      </w:r>
    </w:p>
    <w:p>
      <w:pPr>
        <w:spacing w:after="0" w:line="1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may raise additional capital through loans or additional investments from the Sponsor or its stockholders, officers, directors, or third parties. Other than as described above, the Company’s officers and directors and the Sponsor may, but are not obligated to, loan the Company funds, from time to time, in whatever amount they deem reasonable in their sole discretion, to meet the Company’s working capital needs.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does not believe it will need to raise additional funds in order to meet expenditures required for operating its business. Neither the Sponsor, nor any of the stockholders, officers or directors, or third parties are under any obligation to advance funds to, or invest in, the Company, except as discussed above. Accordingly, the Company may not be able to obtain additional financing. If the Company is unable to raise additional capital, it may be required to take additional measures to conserve liquidity, which could include, but not necessarily be limited to suspending the pursuit of a potential transaction. The Company cannot provide any assurance that new financing will be available to it on commercially acceptable terms, if at all. Even if the Company can obtain sufficient financing or raise additional capital, it only has until April 23, 2021 (or as may be extended) to consummate a Business Combination. There is no assurance that the Company will be able to do so prior to April 23, 2021, or as may be extended by shareholder vote.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financial statements do not include any adjustments that might result from the outcome of this uncertainty.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NOTE 2 — RESTATEMENT OF PREVIOUSLY ISSUED FINANCIAL STATEMENTS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previously accounted for its outstanding Public Warrants and Private Placement Warrants issued in connection with its Initial Public Offering as components of equity instead of as derivative liabilities.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audit of the Company’s financial statements for the period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Private Placement Warrants are not indexed to the Company’s common shares in the manner contemplated by ASC Section 815-40-15 because the holder of the instrument is not an input into the pricing of a fixed-for-fixed option on equity shares.</w:t>
      </w:r>
    </w:p>
    <w:p>
      <w:pPr>
        <w:spacing w:after="0" w:line="17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a result of the above, the Company should have classified the Private Placement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 (See Notes 3 and 10).</w:t>
      </w:r>
    </w:p>
    <w:p>
      <w:pPr>
        <w:spacing w:after="0" w:line="1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accounting for the Private Placement Warrants as components of equity instead of as derivative liabilities did not have any effect on the Company’s previously reported operating expenses, cash flows or cash.</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6"/>
              </w:rPr>
              <w:t>As Previously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Reported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2"/>
              </w:rPr>
              <w:t>Adjustment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87"/>
              </w:rPr>
              <w:t>As Restated</w:t>
            </w:r>
          </w:p>
        </w:tc>
      </w:tr>
      <w:tr>
        <w:trPr>
          <w:trHeight w:val="243"/>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as of December 31, 2020 (audited)</w:t>
            </w:r>
          </w:p>
        </w:tc>
        <w:tc>
          <w:tcPr>
            <w:tcW w:w="1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Warrant liability</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655,098</w:t>
            </w:r>
          </w:p>
        </w:tc>
        <w:tc>
          <w:tcPr>
            <w:tcW w:w="1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655,098</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3,281,546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3,936,644</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(Accumulated deficit)/retained earnings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(64,917)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(655,098)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(720,015)</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2,768,859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(655,098)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2,113,761</w:t>
            </w:r>
          </w:p>
        </w:tc>
      </w:tr>
      <w:tr>
        <w:trPr>
          <w:trHeight w:val="242"/>
        </w:trPr>
        <w:tc>
          <w:tcPr>
            <w:tcW w:w="7240" w:type="dxa"/>
            <w:vAlign w:val="bottom"/>
          </w:tcPr>
          <w:p>
            <w:pPr>
              <w:spacing w:after="0"/>
              <w:rPr>
                <w:sz w:val="20"/>
                <w:szCs w:val="20"/>
                <w:color w:val="auto"/>
              </w:rPr>
            </w:pPr>
            <w:r>
              <w:rPr>
                <w:rFonts w:ascii="Arial" w:cs="Arial" w:eastAsia="Arial" w:hAnsi="Arial"/>
                <w:sz w:val="18"/>
                <w:szCs w:val="18"/>
                <w:b w:val="1"/>
                <w:bCs w:val="1"/>
                <w:color w:val="auto"/>
              </w:rPr>
              <w:t>Statement of Operations for the Year Ended December 31, 2020 (audited)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(655,098)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(655,098)</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490,835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(655,098)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(164,263)</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provision for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(416,571)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(655,098)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(1,071,669)</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(434,412)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(655,098)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(1,089,510)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 Non-redeemable common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(0. 24)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(0. 40)</w:t>
            </w:r>
          </w:p>
        </w:tc>
      </w:tr>
      <w:tr>
        <w:trPr>
          <w:trHeight w:val="242"/>
        </w:trPr>
        <w:tc>
          <w:tcPr>
            <w:tcW w:w="7240" w:type="dxa"/>
            <w:vAlign w:val="bottom"/>
          </w:tcPr>
          <w:p>
            <w:pPr>
              <w:spacing w:after="0"/>
              <w:rPr>
                <w:sz w:val="20"/>
                <w:szCs w:val="20"/>
                <w:color w:val="auto"/>
              </w:rPr>
            </w:pPr>
            <w:r>
              <w:rPr>
                <w:rFonts w:ascii="Arial" w:cs="Arial" w:eastAsia="Arial" w:hAnsi="Arial"/>
                <w:sz w:val="18"/>
                <w:szCs w:val="18"/>
                <w:b w:val="1"/>
                <w:bCs w:val="1"/>
                <w:color w:val="auto"/>
              </w:rPr>
              <w:t>Statement of Cash Flows for the Year Ended December 31, 2020 (audited)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(434,412)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(655,098)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(1,089,510)</w:t>
            </w:r>
          </w:p>
        </w:tc>
      </w:tr>
      <w:tr>
        <w:trPr>
          <w:trHeight w:val="243"/>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and used in operating activities:</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655,098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655,098</w:t>
            </w:r>
          </w:p>
        </w:tc>
      </w:tr>
      <w:tr>
        <w:trPr>
          <w:trHeight w:val="208"/>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0"/>
              </w:rPr>
              <w:t>Initial measurement of warrants issued in connection with the Initial Public Offering accounted for as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655,098</w:t>
            </w:r>
          </w:p>
        </w:tc>
      </w:tr>
      <w:tr>
        <w:trPr>
          <w:trHeight w:val="647"/>
        </w:trPr>
        <w:tc>
          <w:tcPr>
            <w:tcW w:w="724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F-12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consolidated financial statements are presented in conformity with accounting principles generally accepted in the United States of America (“GAAP”) and pursuant to the rules and regulations of the SEC.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 owned subsidiary where the Company has the ability to exercise control.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will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the Company’s estimates.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 and 2019.</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Cash and Marketable Securities Held in Trust Account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2020 and 2019, the assets held in the Trust Account were held in money market funds, which are invested in U.S. Treasury securities. Through December 31, 2020, the Company has withdrawn $716,788 of interest from the Trust Account in order to pay its franchise and income taxes, of which $161,430 was withdrawn during the year ended December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Private Placement Warrants was estimated using a Black-Scholes valuation approach (see Note 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Company applies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which establishes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7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valuation hierarchy is composed of three levels. The classification within the valuation hierarchy is based on the lowest level of input that is significant to the fair value measurement. The levels within the valuation hierarchy are described below:</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86"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Level 3 - Inputs to the fair value measurement are unobservable inputs, such as estimates, assumptions, and valuation techniques when little or no market data exists for the assets or liabilities.</w:t>
      </w:r>
    </w:p>
    <w:p>
      <w:pPr>
        <w:spacing w:after="0" w:line="186"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consolidated balance sheets, primarily due to their short-term nature.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See Note 12 for additional information on assets and liabilities measured at fair value.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common stock subject to possible redemption is presented at redemption value as temporary equity, outside of the stockholders’ equity section of the Company’s balance sheets. At December 31, 2020, there are no shares of common stock subject to possible redemption.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As of December 31, 2020 and 2019,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6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27, 2020, the CARES Act was enacted in response to COVID-19 pandemic. Under ASC 740, the effects of changes in tax rates and laws are recognized in the period which the new legislation is enacted. The CARES Act made various tax law changes including among other things (i) increasing the limitation under Section 163(j) of the Internal Revenue Code of 1986, as amended (the “IRC”) for 2019 and 2020 to permit additional expensing of interest (ii) enacting a technical correction so that qualified improvement property can be immediately expensed under IRC Section 168(k), (iii) making modifications to the federal net operating loss rules including permitting federal net operating losses incurred in 2018, 2019, and 2020 to be carried back to the five preceding taxable years in order to generate a refund of previously paid income taxes and (iv) enhancing the recoverability of alternative minimum tax credits. Given the Company’s full valuation allowance position, the CARES Act did not have an impact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income (loss) per share is computed by dividing net income by the weighted-average number of shares of common stock outstanding during the period, excluding shares of common stock subject to forfeiture. The Company has not considered the effect of (1) warrants sold in the Initial Public Offering and private placement to purchase 3,586,250 shares of common stock, (2) rights sold in the Initial Public Offering and private placement that convert into 717,250 shares of common stock and (3) 600,000 shares of common stock, warrants to purchase 300,000 shares of common stock and rights that convert into 60,000 shares of common stock in the unit purchase option sold to the underwriter, in the calculation of diluted (loss) income per share, since the exercise of the warrants are contingent upon the occurrence of future events and the inclusion of such warrants would be anti-dilutive.</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Company’s consolidated statements of operations include a presentation of income (loss) per share for common shares subject to possible redemption in a manner similar to the two-class method of income (loss) per share. Net income (loss) per common share, basic and diluted, for Common stock subject to possible redemption is calculated by dividing the proportionate share of income or loss on marketable securities held by the Trust Account, net of applicable franchise and income taxes, by the weighted average number of shares of Common stock subject to possible redemption outstanding since original issuance.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(loss) per share, basic and diluted, for non-redeemable common stock is calculated by dividing the net income (loss), adjusted for income or loss on marketable securities attributable to Common stock subject to possible redemption, by the weighted average number of non-redeemable common stock outstanding for the period.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Non-redeemable common stock includes Founder Shares and non-redeemable shares of common stock as these shares do not have any redemption features.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Non-redeemable common stock participates in the income or loss on marketable securities based on non-redeemable shares’ proportionate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calculation of basic and diluted net income (loss) per common share (in dollars, except per share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6"/>
          </w:tcPr>
          <w:p>
            <w:pPr>
              <w:jc w:val="right"/>
              <w:ind w:right="520"/>
              <w:spacing w:after="0"/>
              <w:rPr>
                <w:sz w:val="20"/>
                <w:szCs w:val="20"/>
                <w:color w:val="auto"/>
              </w:rPr>
            </w:pPr>
            <w:r>
              <w:rPr>
                <w:rFonts w:ascii="Arial" w:cs="Arial" w:eastAsia="Arial" w:hAnsi="Arial"/>
                <w:sz w:val="15"/>
                <w:szCs w:val="15"/>
                <w:b w:val="1"/>
                <w:bCs w:val="1"/>
                <w:color w:val="auto"/>
                <w:w w:val="95"/>
              </w:rPr>
              <w:t>Year Ended December 31,</w:t>
            </w:r>
          </w:p>
        </w:tc>
        <w:tc>
          <w:tcPr>
            <w:tcW w:w="0" w:type="dxa"/>
            <w:vAlign w:val="bottom"/>
          </w:tcPr>
          <w:p>
            <w:pPr>
              <w:spacing w:after="0"/>
              <w:rPr>
                <w:sz w:val="1"/>
                <w:szCs w:val="1"/>
                <w:color w:val="auto"/>
              </w:rPr>
            </w:pPr>
          </w:p>
        </w:tc>
      </w:tr>
      <w:tr>
        <w:trPr>
          <w:trHeight w:val="223"/>
        </w:trPr>
        <w:tc>
          <w:tcPr>
            <w:tcW w:w="7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Common stock subject to possible redemption</w:t>
            </w:r>
          </w:p>
        </w:tc>
        <w:tc>
          <w:tcPr>
            <w:tcW w:w="800" w:type="dxa"/>
            <w:vAlign w:val="bottom"/>
            <w:shd w:val="clear" w:color="auto" w:fill="CCEEFF"/>
          </w:tcPr>
          <w:p>
            <w:pPr>
              <w:spacing w:after="0"/>
              <w:rPr>
                <w:sz w:val="21"/>
                <w:szCs w:val="21"/>
                <w:color w:val="auto"/>
              </w:rPr>
            </w:pPr>
          </w:p>
        </w:tc>
        <w:tc>
          <w:tcPr>
            <w:tcW w:w="260" w:type="dxa"/>
            <w:vAlign w:val="bottom"/>
            <w:tcBorders>
              <w:left w:val="single" w:sz="8" w:color="CCEEFF"/>
            </w:tcBorders>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880" w:type="dxa"/>
            <w:vAlign w:val="bottom"/>
          </w:tcPr>
          <w:p>
            <w:pPr>
              <w:spacing w:after="0"/>
              <w:rPr>
                <w:sz w:val="20"/>
                <w:szCs w:val="20"/>
                <w:color w:val="auto"/>
              </w:rPr>
            </w:pPr>
            <w:r>
              <w:rPr>
                <w:rFonts w:ascii="Arial" w:cs="Arial" w:eastAsia="Arial" w:hAnsi="Arial"/>
                <w:sz w:val="18"/>
                <w:szCs w:val="18"/>
                <w:color w:val="auto"/>
              </w:rPr>
              <w:t>Numerator: Earnings allocable to Common stock subject to possible redemption</w:t>
            </w: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10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922,211</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Less: interest available to be withdrawn for payment of taxes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(218,317)</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w:t>
            </w:r>
          </w:p>
        </w:tc>
        <w:tc>
          <w:tcPr>
            <w:tcW w:w="800" w:type="dxa"/>
            <w:vAlign w:val="bottom"/>
            <w:shd w:val="clear" w:color="auto" w:fill="CCEEFF"/>
          </w:tcPr>
          <w:p>
            <w:pPr>
              <w:spacing w:after="0"/>
              <w:rPr>
                <w:sz w:val="22"/>
                <w:szCs w:val="22"/>
                <w:color w:val="auto"/>
              </w:rPr>
            </w:pPr>
          </w:p>
        </w:tc>
        <w:tc>
          <w:tcPr>
            <w:tcW w:w="260" w:type="dxa"/>
            <w:vAlign w:val="bottom"/>
            <w:tcBorders>
              <w:lef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703,894</w:t>
            </w:r>
          </w:p>
        </w:tc>
        <w:tc>
          <w:tcPr>
            <w:tcW w:w="14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 Weighted Average Common stock subject to possible redemption</w:t>
            </w: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 and diluted weighted average shares outstanding, Common stock subject to possible redemption</w:t>
            </w:r>
          </w:p>
        </w:tc>
        <w:tc>
          <w:tcPr>
            <w:tcW w:w="800" w:type="dxa"/>
            <w:vAlign w:val="bottom"/>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546,586</w:t>
            </w:r>
          </w:p>
        </w:tc>
        <w:tc>
          <w:tcPr>
            <w:tcW w:w="160" w:type="dxa"/>
            <w:vAlign w:val="bottom"/>
            <w:tcBorders>
              <w:lef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4,555,229</w:t>
            </w:r>
          </w:p>
        </w:tc>
        <w:tc>
          <w:tcPr>
            <w:tcW w:w="1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80" w:type="dxa"/>
            <w:vAlign w:val="bottom"/>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8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i w:val="1"/>
                <w:iCs w:val="1"/>
                <w:color w:val="auto"/>
              </w:rPr>
              <w:t>Non-Redeemable Common Stock</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Numerator: Net Loss minus Net Earnings</w:t>
            </w:r>
          </w:p>
        </w:tc>
        <w:tc>
          <w:tcPr>
            <w:tcW w:w="8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80" w:type="dxa"/>
            <w:vAlign w:val="bottom"/>
          </w:tcPr>
          <w:p>
            <w:pPr>
              <w:spacing w:after="0"/>
              <w:rPr>
                <w:sz w:val="20"/>
                <w:szCs w:val="20"/>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(1,089,510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allocable to Common stock subject to possible redemption</w:t>
            </w:r>
          </w:p>
        </w:tc>
        <w:tc>
          <w:tcPr>
            <w:tcW w:w="8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(1,089,510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Non-Redeemable Net Loss</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(1,594)</w:t>
            </w:r>
          </w:p>
        </w:tc>
        <w:tc>
          <w:tcPr>
            <w:tcW w:w="0" w:type="dxa"/>
            <w:vAlign w:val="bottom"/>
          </w:tcPr>
          <w:p>
            <w:pPr>
              <w:spacing w:after="0"/>
              <w:rPr>
                <w:sz w:val="1"/>
                <w:szCs w:val="1"/>
                <w:color w:val="auto"/>
              </w:rPr>
            </w:pPr>
          </w:p>
        </w:tc>
      </w:tr>
      <w:tr>
        <w:trPr>
          <w:trHeight w:val="209"/>
        </w:trPr>
        <w:tc>
          <w:tcPr>
            <w:tcW w:w="78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 Average Non-redeemable common stock</w:t>
            </w:r>
          </w:p>
        </w:tc>
        <w:tc>
          <w:tcPr>
            <w:tcW w:w="8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Non-redeemable common stock</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2,736,258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2,783,021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8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(0.40</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 Non-redeemable common stock</w:t>
            </w: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left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left w:val="single" w:sz="8" w:color="CCEEFF"/>
            </w:tcBorders>
            <w:shd w:val="clear" w:color="auto" w:fill="CCEEFF"/>
          </w:tcPr>
          <w:p>
            <w:pPr>
              <w:spacing w:after="0"/>
              <w:rPr>
                <w:sz w:val="20"/>
                <w:szCs w:val="20"/>
                <w:color w:val="auto"/>
              </w:rPr>
            </w:pPr>
          </w:p>
        </w:tc>
        <w:tc>
          <w:tcPr>
            <w:tcW w:w="34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(0.11)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limit of $250,000. The Company has not experienced losses on this account and management believes the Company is not exposed to significant risks on such account.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INITIAL PUBLIC OFFERING</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Pursuant to the Initial Public Offering, the Company sold 6,900,000 Units at a purchase price of $10.00 per Unit, which includes the full exercise by the underwriters of their over-allotment option of 900,000 Units at $10.00 per Unit. Each Unit consists of one share of common stock, one Public Right and one Public Warrant. Each Public Right will convert into one-tenth (1/10) of one share of common stock upon consummation of a Business Combination (see Note 9). Each whole Public Warrant entitles the holder to purchase one share of common stock at an exercise price of $11.50 per whole share (see Note 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PRIVATE PLACEMENT</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Simultaneously with the Initial Public Offering, the Sponsor purchased 250,000 Private Placement Units, at $10.00 per Private Placement Unit, for an aggregate purchase price of $2,500,000. On November 29, 2017, the Company consummated the sale of an additional 22,500 Private Placement Units at a price of $10.00 per unit, which were purchased by the Sponsor, generating gross proceeds of $225,000. Each Private Placement Unit consists of one share of common stock (“Placement Share”), one right (“Placement Right”) and one-half of one warrant (each, a “Placement Warrant”), each whole Placement Warrant exercisable to purchase one share of common stock at an exercise price of $11.50.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Placement Rights and the Placement Warrants will expire worthless.</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Private Placement Units are identical to the Units sold in the Initial Public Offering except that the Placement Warrants (i) are not redeemable by the Company and (ii) may be exercised for cash or on a cashless basis, so long as they are held by the initial purchaser or any of its permitted transferees. In addition, the Private Placement Units and their component securities may not be transferable, assignable or salable until after the consummation of a Business Combination, subject to certain limited exceptions.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September 2017, the Company issued an aggregate of 1,437,500 shares of common stock to the Sponsor (the “Founder Shares”) for an aggregate purchase price of $25,000. On November 20, 2017, the Company effectuated a 1.2-for-1 stock dividend of its common stock resulting in an aggregate of 1,725,000 Founder Shares outstanding. The Founder Shares included an aggregate of up to 225,000 shares subject to forfeiture by the Sponsor to the extent that the underwriters’ over-allotment was not exercised in full or in part, so that the Initial Stockholders would own 20% of the Company’s issued and outstanding shares after the Initial Public Offering (excluding the Private Placement Units and the Representative Shares (as defined in Note 9)). As a result of the underwriters’ election to fully exercise their over-allotment option, 225,000 Founder Shares are no longer subject to forfeiture.</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Initial Stockholders have agreed not to transfer, assign or sell any of the Founder’s Shares until the earlier of (i) one year after the date of the consummation of a Business Combination, or (ii) with respect to 50% of the Founder Shares, the date on which the closing price of the Company’s common stock equals or exceeds $12.50 per share (as adjusted for stock splits, stock dividends, reorganizations and recapitalizations) for any 20 trading days within any 30-trading day period commencing after a Business Combination, or earlier, in each case, if </w:t>
      </w:r>
      <w:r>
        <w:rPr>
          <w:rFonts w:ascii="Arial" w:cs="Arial" w:eastAsia="Arial" w:hAnsi="Arial"/>
          <w:sz w:val="16"/>
          <w:szCs w:val="16"/>
          <w:color w:val="231F20"/>
        </w:rPr>
        <w:t>subsequent to a Business Combination, the Company consummates</w:t>
      </w:r>
      <w:r>
        <w:rPr>
          <w:rFonts w:ascii="Arial" w:cs="Arial" w:eastAsia="Arial" w:hAnsi="Arial"/>
          <w:sz w:val="16"/>
          <w:szCs w:val="16"/>
          <w:color w:val="auto"/>
        </w:rPr>
        <w:t xml:space="preserve"> </w:t>
      </w:r>
      <w:r>
        <w:rPr>
          <w:rFonts w:ascii="Arial" w:cs="Arial" w:eastAsia="Arial" w:hAnsi="Arial"/>
          <w:sz w:val="16"/>
          <w:szCs w:val="16"/>
          <w:color w:val="231F20"/>
        </w:rPr>
        <w:t>a subsequent liquidation, merger, stock exchange, reorganization or other similar transaction which results in all of the Company’s stockholders having the right to exchange their common stock for cash, securities or other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from time to time or at any time, as may be required (“Working Capital Loans”). Each Working Capital Loan would be evidenced by a promissory note. The Working Capital Loans would either be paid upon consummation of a Business Combination, without interest, or, at the holder’s discretion, up to $1,500,000 of the Working Capital Loans may be converted into units at a price of $10.00 per unit. The units would be identical to the Private Placement Units. In the event that a Business Combination does not close, the loans will be forgiven. There were no outstanding Working Capital Loans at December 31, 2020 and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EXTENSION FUNDING AGREEMENT AND PROMISSORY NOTES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17, 2018, the Company entered into an Extension Funding Agreement with the Sponsor and BRAC. Pursuant to the Extension Funding Agreement, the Sponsor transferred an aggregate of 1,500,000 Founders Shares to BRAC in exchange for the agreements set forth below and aggregate cash consideration of $1.00.</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Extension Funding Agreement, the Sponsor agreed to extend the period of time the Company has to consummate a Business Combination up to two times for an aggregate of up to six months and BRAC agreed to loan the Company the funds necessary to obtain the extensions (the “Extensions”). On November 20, 2018 and February 21, 2019, the Company issued unsecured promissory notes (the “Initial Notes”) in favor of BRAC, in the original principal amount of $690,000 each (or an aggregate of $1,380,000), to provide the Company the funds necessary to obtain an aggregate of six-months of Extensions. Pursuant to the Extension Funding Agreement, BRAC has also agreed to loan the Company all funds necessary to pay expenses incurred in connection with and in order to consummate a Business Combination (the “Business Combination Expenses”) and such loans will be added to the Initial Notes.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stockholders’ approval of the extended date of August 22, 2019, the Company issued another unsecured promissory note (the “Second Note”) in favor of BRAC in order to pay for part of the third extension payment in the original principal amount of $6,814.</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31, 2019, the Company issued an unsecured promissory note, as amended on March 31, 2020, June 30,2020 and September 30, 2020, (the “Third Note” and, together with the Initial Notes and the Second Note, the “Extension Notes”) in favor of BRAC in the aggregate principal amount of $317,547 in order to pay for part of the extension payments. Through December 31, 2020, BRAC loaned the Company an aggregate of $423,075, of which $141,299 was loaned during the year ended December 31, 2020 to pay for part of the extension payments through December 23, 2020 and $32,967 was loaned during the year ended December 31, 2020 to pay for extension related costs and $100,000 was loaned during the year ended December 31, 2020 for working capital purposes.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color w:val="auto"/>
        </w:rPr>
        <w:t>If the Company does not consummate a Business Combination, all outstanding loans under the Extension Notes will be forgiven, except to the extent of any funds held outside of the Trust Account after paying all other fees and expenses of the Company incurred prior to the date of such failure to consummate a Business Combination.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outstanding balance under the Extension Notes amounted to an aggregate of approximately $1,809,889.</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Sponsor has agreed to be responsible for all liabilities of the Company effective November 17, 2018, except for liabilities associated with the possible redemption of shares by the Company’s shareholders, as described in the Company’s Amended and Restated Certificate of Incorporation. The Sponsor has also agreed to loan the Company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the Company to the Sponsor provided that the Company has funds available to it sufficient to repay such expenses (the “Cap”) as well as to pay for all stockholder redemptions, all Business Combination Expenses, repayment of the Extension Notes, and any funds necessary for the working capital requirements of the Company following closing of the Business Combination. Any remaining amounts in excess of the Cap will be forgiven. On December 31, 2019, the Company issued an unsecured promissory note to the Sponsor, as amended on March 31, 2020, June 30, 2020 and September 30, 2020, in the principal amount of approximately $862,148 to pay for Non-Business Combination Related Expenses incurred through December 31, 2020 and expenses incurred thereafter. If the Company does not consummate a Business Combination, all outstanding loans made by the Sponsor to cover the Non-Business Combination Related Expenses will be forgiven, except as set forth above. The Company repaid $35,000 of such loans during the year ended December 31, 2020.</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December 31, 2020, AZ Property Partners loaned the Company an aggregate of $862,148, of which $141,299 was loaned during the year ended December 31, 2020 to pay for part of the extension payments through December 23, 2020 and $339,708 was loaned during the year ended December 31, 2020 to pay for Non-Business Combination Related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outstanding balance under promissory note with AZ Property Partners amounted to $862,148.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Forgiveness of Debt</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During the year ended December 31, 2020, one of the Company’s service providers forgave certain amounts due to them in connection with previously provided services. As a result, the Company recorded a forgiveness of debt in the amount of $352,071.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a registration rights agreement entered into on November 20, 2017, the holders of the Company’s common stock prior to the Initial Public Offering (the “Founder Shares”), Private Placement Units (and their underlying securities), the shares issued to EarlyBirdCapital at the closing of the Initial Public Offering (the “Representative Shares”) and any Units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Units issued to the Sponsor, officers, directors or their affiliates in payment of working capital loans made to the Company (in each case, including the underlying securities) can elect to exercise these registration rights at any time after the Company consummates a Business Combination.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of 1933, as amended (the “Securities Act”). Notwithstanding anything to the contrary, EarlyBirdCapital and its designees may participate in a “piggy-back” registration during the seven-year period beginning on the effective date of the registration statement. However, the registration rights agreement will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engaged EarlyBirdCapital as an advisor in connection with a Business Combination to assist the Company in holding meetings with its stockholders to discuss a potential Business Combination and the target business’ attributes, introduce the Company to potential investors that are interested in purchasing securities, assist the Company in obtaining stockholder approval for the Business Combination and assist the Company with its press releases and public filings in connection with a Business Combination. The Company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13, 2020, the Company, NeuroRx and Merger Sub, entered into an Agreement and Plan of Merger (“Merger Agreement”). Pursuant to the Merger Agreement, Merger Sub will merge with and into NeuroRx, with NeuroRx surviving the merger (“Merger”). As a result of the Merger, and upon consummation of the Merger and the other transactions contemplated by the Merger Agreement (“Transactions”), NeuroRx will become a wholly-owned subsidiary of the Company, with the stockholders of NeuroRx becoming stockholders of the Company.</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the Merger Agreement, the aggregate consideration payable to the stockholders of NeuroRx at the effective time of the Merger (the “Effective Time”) will equal 50,000,000 shares (“Closing Consideration”) of the Company’s common stock, par value $0.001 per share (“Company Common Stock”), plus the additional contingent right to receive the Earnout Shares and Earnout Cash (each as defined below). At the Effective Time, each outstanding share of NeuroRx common stock (including shares of NeuroRx common stock resulting from the conversion of NeuroRx preferred stock immediately prior to the Effective Time) will be converted into the right to receive a pro rata portion of the Closing Consideration and the contingent right to receive a pro rata portion of the Earnout Shares and Earnout Cash. Each option and warrant of NeuroRx that is outstanding and unexercised immediately prior to the Effective Time will be assumed by the Company and will represent the right to acquire an adjusted number of shares of the Company Common Stock at an adjusted exercise price, in each case, pursuant to the terms of the Merger Agreement.</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part of the aggregate consideration payable to NeuroRx’s securityholders pursuant to the terms of the Merger Agreement, NeuroRx’s securityholders (including option holders and warrant holders) who own NeuroRx securities immediately prior to the closing of the Transactions will have the contingent right to receive their pro rata portion of (i) an aggregate of 25,000,000 shares of the Company Common Stock (“Earnout Shares”) if, prior to December 31, 2022, the NeuroRx COVID-19 Drug receives emergency use authorization by the Food and Drug Administration (“FDA”) and NeuroRx submits and the FDA files for review a new drug application for the NeuroRx COVID-19 Drug (the occurrence of the foregoing, the “Earnout Shares Milestone”), and (ii) an aggregate of $100,000,000 in cash (“Earnout Cash”) upon the earlier to occur of (x) FDA approval of the NeuroRx COVID-19 Drug and the listing of the NeuroRx COVID-19 Drug in the FDA’s “Orange Book” and (y) FDA approval of the NeuroRx Antidepressant Drug Regimen and the listing of the NeuroRx Antidepressant Drug Regimen in the FDA’s “Orange Book,” in each case prior to December 31, 2022 (the occurrence of either of clauses (x) or (y), the “Earnout Cash Milestone”).</w:t>
      </w:r>
    </w:p>
    <w:p>
      <w:pPr>
        <w:spacing w:after="0" w:line="3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$0.001 per share with such designation,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preferences as may be determined from time to time by the Company’s Board of Directors. At December 31, 2020 and 2019, there were no shares of preferred stock issued or outstanding.</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100,000,000 shares of common stock with a par value of $0.001 per share. Holders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are entitled to one vote for each share. At December 31, 2020 and 2019, there were 2,688,242 and 2,844,414 shares of common stock issued and outstanding, respectively (excluding -0- and 2,305,335 shares of common stock subject to possible redemption, respectively).</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Each holder of a right will receive one-tenth (1/10) of one share of common stock upon consummation of a Business Combination, even if the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such right redeemed all shares held by it in connection with a Business Combination. No fractional shares will be issued upon conversion of the rights. No additional consideration will be required to be paid by a holder of rights in order to receive its additional shares upon consummation of a Business Combination, as the consideration related thereto has been included in the Unit purchase price paid for by investors in the Initial Public Offering. If the Company enters into a definitive agreement for a Business Combination in which the Company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its rights in order to receive 1/10 share underlying each right (without paying additional consideration). The shares issuable upon conversion of the rights will be freely tradable (except to the extent held by affiliates of the Company).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0" w:name="page51"/>
    <w:bookmarkEnd w:id="50"/>
    <w:p>
      <w:pPr>
        <w:jc w:val="both"/>
        <w:spacing w:after="0" w:line="294" w:lineRule="auto"/>
        <w:rPr>
          <w:sz w:val="20"/>
          <w:szCs w:val="20"/>
          <w:color w:val="auto"/>
        </w:rPr>
      </w:pPr>
      <w:r>
        <w:rPr>
          <w:rFonts w:ascii="Arial" w:cs="Arial" w:eastAsia="Arial" w:hAnsi="Arial"/>
          <w:sz w:val="16"/>
          <w:szCs w:val="16"/>
          <w:color w:val="auto"/>
        </w:rPr>
        <w:t>If the Company is unable to complete a Business Combination within the Combination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Further, there are no contractual penalties for failure to deliver securities to the holders of the rights upon consummation of a Business Combination. Additionally, in no event will the Company be required to net cash settle the rights. Accordingly, holders of the rights might not receive the shares of common stock underlying the rights.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Representative Shares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the closing of the Initial Public Offering, the Company issued EarlyBirdCapital and its designees 120,000 Representative Shares. On November 29, 2017, the Company issued an additional 18,000 Representative Shares for no consideration. The Company accounted for the Representative Shares as an expense of the Initial Public Offering resulting in a charge directly to stockholders’ equity. The Company determined the fair value of Representative Shares to be $1,380,000 based upon the offering price of the Units of $10.00 per Unit. The underwriter has agreed not to transfer, assign or sell any such shares until the completion of a Business Combination. In addition, the underwriter and its designees have agreed (i) to waive their redemption rights with respect to such shares in connection with the completion of a Business Combination and (ii) to waive their rights to liquidating distributions from the Trust Account with respect to such shares if the Company fails to complete a Business Combination within the Combination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Purchase Option</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November 22, 2017, the Company sold to EarlyBirdCapital, for $100, an option to purchase up to 600,000 Units exercisable at $10.00 per Unit (or an aggregate exercise price of $6,000,000) commencing on the later of November 20, 2018 or the consummation of a Business Combination. The unit purchase option may be exercised for cash or on a cashless basis, at the holder’s option, and expires five years from November 20, 2017. The Units issuable upon exercise of this option are identical to those offered in the Initial Public Offering. The Company accounted for the unit purchase option, inclusive of the receipt of $100 cash payment, as an expense of the Initial Public Offering resulting in a charge directly to stockholders’ equity. The Company estimated the fair value of this unit purchase option to be $2,042,889 (or $3.40 per Unit) using the Black-Scholes option-pricing model. The fair value of the unit purchase option granted to the underwriters was estimated as of the date of grant using the following assumptions: (1) expected volatility of 35%, (2) risk-free interest rate of 2.05% and (3) expected life of five years. The option and such units purchased pursuant to the option, as well as the common stock underlying such units, the rights included in such units, the common stock that is issuable for the rights included in such units, the warrants included in such units, and the shares underlying such warrants, have been deemed compensation by FINRA and are therefore subject to a 180-day lock-up pursuant to Rule 5110(g)(1) of FINRA’s NASDAQ Conduct Rules. Additionally, the option may not be sold, transferred, assigned, pledged or hypothecated for a one-year period (including the foregoing 180-day period) following the date of Initial Public Offering except to any underwriter and selected dealer participating in the Initial Public Offering and their bona fide officers or partners. The option grants to holders demand and “piggy back” rights for periods of five and seven years, respectively, from the effective date of the registration statement with respect to the registration under the Securities Act of the securities directly and indirectly issuable upon exercise of the option. The Company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the Company’s recapitalization, reorganization, merger or consolidation. However, the option will not be adjusted for issuances of common stock at a price below its exercise price.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 LIABILITY</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shares will be issued upon exercise of the Public Warrants.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Public Warrants will become exercisable on the later of the completion of a Business Combination and November 22, 2018; provided in that the Company has an effective registration statement under the Securities Act covering the shares of common stock issuable upon exercise of the Public Warrants and a current prospectus relating to them is available. The Company has agreed that as soon as practicable, the Company will use its best efforts to file with the SEC a registration statement for the registration, under the Securities Act, of the shares of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foregoing, if a registration statement covering the shares of common stock issuable upon exercise of the Public Warrants is not effective 90 days following the consummation of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600" w:hanging="53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 w:lineRule="exact"/>
        <w:rPr>
          <w:rFonts w:ascii="Arial" w:cs="Arial" w:eastAsia="Arial" w:hAnsi="Arial"/>
          <w:sz w:val="18"/>
          <w:szCs w:val="18"/>
          <w:color w:val="auto"/>
        </w:rPr>
      </w:pPr>
    </w:p>
    <w:p>
      <w:pPr>
        <w:ind w:left="600" w:hanging="53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600" w:hanging="53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9" w:lineRule="exact"/>
        <w:rPr>
          <w:rFonts w:ascii="Arial" w:cs="Arial" w:eastAsia="Arial" w:hAnsi="Arial"/>
          <w:sz w:val="18"/>
          <w:szCs w:val="18"/>
          <w:color w:val="auto"/>
        </w:rPr>
      </w:pPr>
    </w:p>
    <w:p>
      <w:pPr>
        <w:ind w:left="600" w:hanging="53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9" w:lineRule="exact"/>
        <w:rPr>
          <w:rFonts w:ascii="Arial" w:cs="Arial" w:eastAsia="Arial" w:hAnsi="Arial"/>
          <w:sz w:val="18"/>
          <w:szCs w:val="18"/>
          <w:color w:val="auto"/>
        </w:rPr>
      </w:pPr>
    </w:p>
    <w:p>
      <w:pPr>
        <w:ind w:left="600" w:hanging="538"/>
        <w:spacing w:after="0" w:line="281"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w:t>
      </w:r>
    </w:p>
    <w:p>
      <w:pPr>
        <w:spacing w:after="0" w:line="1" w:lineRule="exact"/>
        <w:rPr>
          <w:rFonts w:ascii="Arial" w:cs="Arial" w:eastAsia="Arial" w:hAnsi="Arial"/>
          <w:sz w:val="16"/>
          <w:szCs w:val="16"/>
          <w:color w:val="auto"/>
        </w:rPr>
      </w:pPr>
    </w:p>
    <w:p>
      <w:pPr>
        <w:ind w:left="600" w:hanging="53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deferred tax assets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5"/>
                <w:szCs w:val="15"/>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412"/>
        </w:trPr>
        <w:tc>
          <w:tcPr>
            <w:tcW w:w="45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2020</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5"/>
                <w:szCs w:val="15"/>
                <w:b w:val="1"/>
                <w:bCs w:val="1"/>
                <w:color w:val="auto"/>
              </w:rPr>
              <w:t>2019</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4540" w:type="dxa"/>
            <w:vAlign w:val="bottom"/>
          </w:tcPr>
          <w:p>
            <w:pPr>
              <w:spacing w:after="0"/>
              <w:rPr>
                <w:sz w:val="20"/>
                <w:szCs w:val="20"/>
                <w:color w:val="auto"/>
              </w:rPr>
            </w:pPr>
            <w:r>
              <w:rPr>
                <w:rFonts w:ascii="Arial" w:cs="Arial" w:eastAsia="Arial" w:hAnsi="Arial"/>
                <w:sz w:val="18"/>
                <w:szCs w:val="18"/>
                <w:color w:val="auto"/>
              </w:rPr>
              <w:t>Deferred tax assets</w:t>
            </w: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43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Unrealized gain on marketable securities</w:t>
            </w: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40" w:type="dxa"/>
            <w:vAlign w:val="bottom"/>
            <w:tcBorders>
              <w:left w:val="single" w:sz="8" w:color="auto"/>
            </w:tcBorders>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1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Valuation Allowance</w:t>
            </w: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(105,559)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40" w:type="dxa"/>
            <w:vAlign w:val="bottom"/>
            <w:tcBorders>
              <w:left w:val="single" w:sz="8" w:color="auto"/>
            </w:tcBorders>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7"/>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 valuation allowance</w:t>
            </w:r>
          </w:p>
        </w:tc>
        <w:tc>
          <w:tcPr>
            <w:tcW w:w="4140" w:type="dxa"/>
            <w:vAlign w:val="bottom"/>
            <w:shd w:val="clear" w:color="auto" w:fill="CCEEFF"/>
          </w:tcPr>
          <w:p>
            <w:pPr>
              <w:spacing w:after="0"/>
              <w:rPr>
                <w:sz w:val="22"/>
                <w:szCs w:val="22"/>
                <w:color w:val="auto"/>
              </w:rPr>
            </w:pPr>
          </w:p>
        </w:tc>
        <w:tc>
          <w:tcPr>
            <w:tcW w:w="240" w:type="dxa"/>
            <w:vAlign w:val="bottom"/>
            <w:tcBorders>
              <w:lef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423"/>
        </w:trPr>
        <w:tc>
          <w:tcPr>
            <w:tcW w:w="4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income tax provision consists of the following:</w:t>
            </w:r>
          </w:p>
        </w:tc>
        <w:tc>
          <w:tcPr>
            <w:tcW w:w="41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41"/>
        </w:trPr>
        <w:tc>
          <w:tcPr>
            <w:tcW w:w="45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8"/>
          </w:tcPr>
          <w:p>
            <w:pPr>
              <w:jc w:val="right"/>
              <w:ind w:right="720"/>
              <w:spacing w:after="0"/>
              <w:rPr>
                <w:sz w:val="20"/>
                <w:szCs w:val="20"/>
                <w:color w:val="auto"/>
              </w:rPr>
            </w:pPr>
            <w:r>
              <w:rPr>
                <w:rFonts w:ascii="Arial" w:cs="Arial" w:eastAsia="Arial" w:hAnsi="Arial"/>
                <w:sz w:val="15"/>
                <w:szCs w:val="15"/>
                <w:b w:val="1"/>
                <w:bCs w:val="1"/>
                <w:color w:val="auto"/>
              </w:rPr>
              <w:t>As of December 31,</w:t>
            </w:r>
          </w:p>
        </w:tc>
      </w:tr>
      <w:tr>
        <w:trPr>
          <w:trHeight w:val="223"/>
        </w:trPr>
        <w:tc>
          <w:tcPr>
            <w:tcW w:w="45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2020</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w w:val="89"/>
              </w:rPr>
              <w:t>2019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4540" w:type="dxa"/>
            <w:vAlign w:val="bottom"/>
          </w:tcPr>
          <w:p>
            <w:pPr>
              <w:spacing w:after="0"/>
              <w:rPr>
                <w:sz w:val="20"/>
                <w:szCs w:val="20"/>
                <w:color w:val="auto"/>
              </w:rPr>
            </w:pPr>
            <w:r>
              <w:rPr>
                <w:rFonts w:ascii="Arial" w:cs="Arial" w:eastAsia="Arial" w:hAnsi="Arial"/>
                <w:sz w:val="18"/>
                <w:szCs w:val="18"/>
                <w:color w:val="auto"/>
              </w:rPr>
              <w:t>Federal</w:t>
            </w:r>
          </w:p>
        </w:tc>
        <w:tc>
          <w:tcPr>
            <w:tcW w:w="4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3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102,332</w:t>
            </w:r>
          </w:p>
        </w:tc>
        <w:tc>
          <w:tcPr>
            <w:tcW w:w="8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Deferred</w:t>
            </w: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(87,480)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2,936</w:t>
            </w:r>
          </w:p>
        </w:tc>
        <w:tc>
          <w:tcPr>
            <w:tcW w:w="8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State and Local</w:t>
            </w: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1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Deferred</w:t>
            </w: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(18,079)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4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105,559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(21,062)</w:t>
            </w:r>
          </w:p>
        </w:tc>
      </w:tr>
      <w:tr>
        <w:trPr>
          <w:trHeight w:val="216"/>
        </w:trPr>
        <w:tc>
          <w:tcPr>
            <w:tcW w:w="45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40" w:type="dxa"/>
            <w:vAlign w:val="bottom"/>
            <w:tcBorders>
              <w:top w:val="single" w:sz="8" w:color="auto"/>
              <w:lef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Income tax provision</w:t>
            </w:r>
          </w:p>
        </w:tc>
        <w:tc>
          <w:tcPr>
            <w:tcW w:w="414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84,206</w:t>
            </w:r>
          </w:p>
        </w:tc>
        <w:tc>
          <w:tcPr>
            <w:tcW w:w="8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40"/>
        </w:trPr>
        <w:tc>
          <w:tcPr>
            <w:tcW w:w="45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jc w:val="right"/>
              <w:ind w:right="3052"/>
              <w:spacing w:after="0"/>
              <w:rPr>
                <w:sz w:val="20"/>
                <w:szCs w:val="20"/>
                <w:color w:val="auto"/>
              </w:rPr>
            </w:pPr>
            <w:r>
              <w:rPr>
                <w:rFonts w:ascii="Arial" w:cs="Arial" w:eastAsia="Arial" w:hAnsi="Arial"/>
                <w:sz w:val="18"/>
                <w:szCs w:val="18"/>
                <w:color w:val="auto"/>
              </w:rPr>
              <w:t>F-22</w:t>
            </w: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3" w:right="339" w:bottom="1440" w:gutter="0" w:footer="0" w:header="0"/>
        </w:sectPr>
      </w:pPr>
    </w:p>
    <w:bookmarkStart w:id="52" w:name="page53"/>
    <w:bookmarkEnd w:id="52"/>
    <w:p>
      <w:pPr>
        <w:jc w:val="both"/>
        <w:ind w:right="80"/>
        <w:spacing w:after="0" w:line="268" w:lineRule="auto"/>
        <w:rPr>
          <w:sz w:val="20"/>
          <w:szCs w:val="20"/>
          <w:color w:val="auto"/>
        </w:rPr>
      </w:pPr>
      <w:r>
        <w:rPr>
          <w:rFonts w:ascii="Arial" w:cs="Arial" w:eastAsia="Arial" w:hAnsi="Arial"/>
          <w:sz w:val="18"/>
          <w:szCs w:val="18"/>
          <w:color w:val="auto"/>
        </w:rPr>
        <w:t>As of December 31, 2020 and 2019, the Company had $416,571 and $-0- of U.S. federal and state net operating loss carryovers available to offset future taxable income, respectively, which carryforward indefinitely.</w:t>
      </w:r>
    </w:p>
    <w:p>
      <w:pPr>
        <w:spacing w:after="0" w:line="186"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 xml:space="preserve">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w:t>
      </w:r>
      <w:r>
        <w:rPr>
          <w:rFonts w:ascii="Arial" w:cs="Arial" w:eastAsia="Arial" w:hAnsi="Arial"/>
          <w:sz w:val="16"/>
          <w:szCs w:val="16"/>
          <w:color w:val="231F20"/>
        </w:rPr>
        <w:t>After consideration of all of the information available, management</w:t>
      </w:r>
      <w:r>
        <w:rPr>
          <w:rFonts w:ascii="Arial" w:cs="Arial" w:eastAsia="Arial" w:hAnsi="Arial"/>
          <w:sz w:val="16"/>
          <w:szCs w:val="16"/>
          <w:color w:val="auto"/>
        </w:rPr>
        <w:t xml:space="preserve"> </w:t>
      </w:r>
      <w:r>
        <w:rPr>
          <w:rFonts w:ascii="Arial" w:cs="Arial" w:eastAsia="Arial" w:hAnsi="Arial"/>
          <w:sz w:val="16"/>
          <w:szCs w:val="16"/>
          <w:color w:val="231F20"/>
        </w:rPr>
        <w:t>believes that significant uncertainty exists with respect to future realization of the deferred tax assets and has therefore established a full valuation allowance. For the year ended December 31, 2020 and 2019, the change in the valuation allowance was $105,559 and $21,062.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December</w:t>
            </w:r>
          </w:p>
        </w:tc>
        <w:tc>
          <w:tcPr>
            <w:tcW w:w="128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88"/>
              </w:rPr>
              <w:t>December</w:t>
            </w:r>
          </w:p>
        </w:tc>
        <w:tc>
          <w:tcPr>
            <w:tcW w:w="0" w:type="dxa"/>
            <w:vAlign w:val="bottom"/>
          </w:tcPr>
          <w:p>
            <w:pPr>
              <w:spacing w:after="0"/>
              <w:rPr>
                <w:sz w:val="1"/>
                <w:szCs w:val="1"/>
                <w:color w:val="auto"/>
              </w:rPr>
            </w:pPr>
          </w:p>
        </w:tc>
      </w:tr>
      <w:tr>
        <w:trPr>
          <w:trHeight w:val="182"/>
        </w:trPr>
        <w:tc>
          <w:tcPr>
            <w:tcW w:w="8680" w:type="dxa"/>
            <w:vAlign w:val="bottom"/>
          </w:tcPr>
          <w:p>
            <w:pPr>
              <w:spacing w:after="0"/>
              <w:rPr>
                <w:sz w:val="15"/>
                <w:szCs w:val="15"/>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5"/>
                <w:szCs w:val="15"/>
                <w:b w:val="1"/>
                <w:bCs w:val="1"/>
                <w:color w:val="auto"/>
              </w:rPr>
              <w:t>31, 2020</w:t>
            </w:r>
          </w:p>
        </w:tc>
        <w:tc>
          <w:tcPr>
            <w:tcW w:w="280" w:type="dxa"/>
            <w:vAlign w:val="bottom"/>
          </w:tcPr>
          <w:p>
            <w:pPr>
              <w:spacing w:after="0"/>
              <w:rPr>
                <w:sz w:val="15"/>
                <w:szCs w:val="15"/>
                <w:color w:val="auto"/>
              </w:rPr>
            </w:pP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5"/>
                <w:szCs w:val="15"/>
                <w:b w:val="1"/>
                <w:bCs w:val="1"/>
                <w:color w:val="auto"/>
              </w:rPr>
              <w:t>31, 2019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True-ups</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 in FV of warrant liabilities</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Income tax provision</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files income tax returns in the U.S. federal jurisdiction and is subject to examination by the various taxing authorities. The Company's tax returns since inception remain open to examination by the taxing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320"/>
          </w:cols>
          <w:pgMar w:left="320" w:top="563" w:right="259" w:bottom="1440" w:gutter="0" w:footer="0" w:header="0"/>
        </w:sectPr>
      </w:pPr>
    </w:p>
    <w:bookmarkStart w:id="53" w:name="page54"/>
    <w:bookmarkEnd w:id="53"/>
    <w:p>
      <w:pPr>
        <w:ind w:right="220"/>
        <w:spacing w:after="0" w:line="331" w:lineRule="auto"/>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at December 31, 2020 and 2019, and indicates the fair value hierarchy of the valuation inputs the Company utilized to determine such fair value: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39"/>
              <w:spacing w:after="0"/>
              <w:rPr>
                <w:sz w:val="20"/>
                <w:szCs w:val="20"/>
                <w:color w:val="auto"/>
              </w:rPr>
            </w:pPr>
            <w:r>
              <w:rPr>
                <w:rFonts w:ascii="Arial" w:cs="Arial" w:eastAsia="Arial" w:hAnsi="Arial"/>
                <w:sz w:val="15"/>
                <w:szCs w:val="15"/>
                <w:b w:val="1"/>
                <w:bCs w:val="1"/>
                <w:color w:val="auto"/>
                <w:w w:val="93"/>
              </w:rPr>
              <w:t>December</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December</w:t>
            </w:r>
          </w:p>
        </w:tc>
      </w:tr>
      <w:tr>
        <w:trPr>
          <w:trHeight w:val="182"/>
        </w:trPr>
        <w:tc>
          <w:tcPr>
            <w:tcW w:w="7340" w:type="dxa"/>
            <w:vAlign w:val="bottom"/>
          </w:tcPr>
          <w:p>
            <w:pPr>
              <w:spacing w:after="0"/>
              <w:rPr>
                <w:sz w:val="20"/>
                <w:szCs w:val="20"/>
                <w:color w:val="auto"/>
              </w:rPr>
            </w:pPr>
            <w:r>
              <w:rPr>
                <w:rFonts w:ascii="Arial" w:cs="Arial" w:eastAsia="Arial" w:hAnsi="Arial"/>
                <w:sz w:val="15"/>
                <w:szCs w:val="15"/>
                <w:b w:val="1"/>
                <w:bCs w:val="1"/>
                <w:color w:val="auto"/>
              </w:rPr>
              <w:t>Description</w:t>
            </w:r>
          </w:p>
        </w:tc>
        <w:tc>
          <w:tcPr>
            <w:tcW w:w="1080" w:type="dxa"/>
            <w:vAlign w:val="bottom"/>
            <w:tcBorders>
              <w:bottom w:val="single" w:sz="8" w:color="auto"/>
            </w:tcBorders>
          </w:tcPr>
          <w:p>
            <w:pPr>
              <w:jc w:val="right"/>
              <w:ind w:right="277"/>
              <w:spacing w:after="0"/>
              <w:rPr>
                <w:sz w:val="20"/>
                <w:szCs w:val="20"/>
                <w:color w:val="auto"/>
              </w:rPr>
            </w:pPr>
            <w:r>
              <w:rPr>
                <w:rFonts w:ascii="Arial" w:cs="Arial" w:eastAsia="Arial" w:hAnsi="Arial"/>
                <w:sz w:val="15"/>
                <w:szCs w:val="15"/>
                <w:b w:val="1"/>
                <w:bCs w:val="1"/>
                <w:color w:val="auto"/>
              </w:rPr>
              <w:t>Level</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5"/>
                <w:szCs w:val="15"/>
                <w:b w:val="1"/>
                <w:bCs w:val="1"/>
                <w:color w:val="auto"/>
              </w:rPr>
              <w:t>31, 2020</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5"/>
                <w:szCs w:val="15"/>
                <w:b w:val="1"/>
                <w:bCs w:val="1"/>
                <w:color w:val="auto"/>
              </w:rPr>
              <w:t>31, 2019</w:t>
            </w:r>
          </w:p>
        </w:tc>
        <w:tc>
          <w:tcPr>
            <w:tcW w:w="140" w:type="dxa"/>
            <w:vAlign w:val="bottom"/>
          </w:tcPr>
          <w:p>
            <w:pPr>
              <w:spacing w:after="0"/>
              <w:rPr>
                <w:sz w:val="15"/>
                <w:szCs w:val="15"/>
                <w:color w:val="auto"/>
              </w:rPr>
            </w:pPr>
          </w:p>
        </w:tc>
      </w:tr>
      <w:tr>
        <w:trPr>
          <w:trHeight w:val="242"/>
        </w:trPr>
        <w:tc>
          <w:tcPr>
            <w:tcW w:w="7340" w:type="dxa"/>
            <w:vAlign w:val="bottom"/>
          </w:tcPr>
          <w:p>
            <w:pPr>
              <w:spacing w:after="0"/>
              <w:rPr>
                <w:sz w:val="20"/>
                <w:szCs w:val="20"/>
                <w:color w:val="auto"/>
              </w:rPr>
            </w:pPr>
            <w:r>
              <w:rPr>
                <w:rFonts w:ascii="Arial" w:cs="Arial" w:eastAsia="Arial" w:hAnsi="Arial"/>
                <w:sz w:val="18"/>
                <w:szCs w:val="18"/>
                <w:color w:val="auto"/>
              </w:rPr>
              <w:t>Assets: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8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5,967,947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32,005,205</w:t>
            </w:r>
          </w:p>
        </w:tc>
      </w:tr>
      <w:tr>
        <w:trPr>
          <w:trHeight w:val="216"/>
        </w:trPr>
        <w:tc>
          <w:tcPr>
            <w:tcW w:w="7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Warrant Liability – Private Placement Warrants</w:t>
            </w:r>
          </w:p>
        </w:tc>
        <w:tc>
          <w:tcPr>
            <w:tcW w:w="1080" w:type="dxa"/>
            <w:vAlign w:val="bottom"/>
          </w:tcPr>
          <w:p>
            <w:pPr>
              <w:jc w:val="right"/>
              <w:ind w:right="377"/>
              <w:spacing w:after="0"/>
              <w:rPr>
                <w:sz w:val="20"/>
                <w:szCs w:val="20"/>
                <w:color w:val="auto"/>
              </w:rPr>
            </w:pPr>
            <w:r>
              <w:rPr>
                <w:rFonts w:ascii="Arial" w:cs="Arial" w:eastAsia="Arial" w:hAnsi="Arial"/>
                <w:sz w:val="18"/>
                <w:szCs w:val="18"/>
                <w:color w:val="auto"/>
              </w:rPr>
              <w:t>3</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655,098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Company utilizes a Black-Scholes model approach to value the Placement Warrants at each reporting period, with changes in fair value recognized in the Statements of Operations. The estimated fair value of the warrant liability is determined using Level 3 inputs. Inherent in a binomial options pricing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7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significant unobservable inputs used in the Black-Scholes model to measure the warrant liabilities that are categorized within Level 3 of the fair value hierarchy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90"/>
              </w:rPr>
              <w:t>As of</w:t>
            </w:r>
          </w:p>
        </w:tc>
      </w:tr>
      <w:tr>
        <w:trPr>
          <w:trHeight w:val="162"/>
        </w:trPr>
        <w:tc>
          <w:tcPr>
            <w:tcW w:w="6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60"/>
              <w:spacing w:after="0" w:line="162" w:lineRule="exact"/>
              <w:rPr>
                <w:sz w:val="20"/>
                <w:szCs w:val="20"/>
                <w:color w:val="auto"/>
              </w:rPr>
            </w:pPr>
            <w:r>
              <w:rPr>
                <w:rFonts w:ascii="Arial" w:cs="Arial" w:eastAsia="Arial" w:hAnsi="Arial"/>
                <w:sz w:val="15"/>
                <w:szCs w:val="15"/>
                <w:b w:val="1"/>
                <w:bCs w:val="1"/>
                <w:color w:val="auto"/>
                <w:w w:val="88"/>
              </w:rPr>
              <w:t>December 31,</w:t>
            </w:r>
          </w:p>
        </w:tc>
      </w:tr>
      <w:tr>
        <w:trPr>
          <w:trHeight w:val="182"/>
        </w:trPr>
        <w:tc>
          <w:tcPr>
            <w:tcW w:w="60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89"/>
              </w:rPr>
              <w:t>2020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4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24.50</w:t>
            </w:r>
          </w:p>
        </w:tc>
        <w:tc>
          <w:tcPr>
            <w:tcW w:w="20" w:type="dxa"/>
            <w:vAlign w:val="bottom"/>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Strike price</w:t>
            </w:r>
          </w:p>
        </w:tc>
        <w:tc>
          <w:tcPr>
            <w:tcW w:w="4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11.50</w:t>
            </w:r>
          </w:p>
        </w:tc>
        <w:tc>
          <w:tcPr>
            <w:tcW w:w="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Term (in years)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Volatility</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Dividend yield</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private warrants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r>
    </w:tbl>
    <w:p>
      <w:pPr>
        <w:spacing w:after="0" w:line="20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following table provides a summary of the changes in fair value of the Company’s Level 3 financial instruments that are measured at fair value on a recurring basis: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Warrant</w:t>
            </w:r>
          </w:p>
        </w:tc>
      </w:tr>
      <w:tr>
        <w:trPr>
          <w:trHeight w:val="182"/>
        </w:trPr>
        <w:tc>
          <w:tcPr>
            <w:tcW w:w="8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b w:val="1"/>
                <w:bCs w:val="1"/>
                <w:color w:val="auto"/>
              </w:rPr>
              <w:t>Liability</w:t>
            </w:r>
          </w:p>
        </w:tc>
        <w:tc>
          <w:tcPr>
            <w:tcW w:w="140" w:type="dxa"/>
            <w:vAlign w:val="bottom"/>
          </w:tcPr>
          <w:p>
            <w:pPr>
              <w:spacing w:after="0"/>
              <w:rPr>
                <w:sz w:val="15"/>
                <w:szCs w:val="15"/>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2019</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Change in valuation inputs or other assumptions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655,098</w:t>
            </w:r>
          </w:p>
        </w:tc>
      </w:tr>
      <w:tr>
        <w:trPr>
          <w:trHeight w:val="27"/>
        </w:trPr>
        <w:tc>
          <w:tcPr>
            <w:tcW w:w="8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655,098</w:t>
            </w:r>
          </w:p>
        </w:tc>
      </w:tr>
      <w:tr>
        <w:trPr>
          <w:trHeight w:val="423"/>
        </w:trPr>
        <w:tc>
          <w:tcPr>
            <w:tcW w:w="8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There were no transfers between Levels 1, 2 or 3 during the year ended December 31, 2020.</w:t>
            </w:r>
          </w:p>
        </w:tc>
        <w:tc>
          <w:tcPr>
            <w:tcW w:w="17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622"/>
        </w:trPr>
        <w:tc>
          <w:tcPr>
            <w:tcW w:w="826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F-24</w:t>
            </w:r>
          </w:p>
        </w:tc>
        <w:tc>
          <w:tcPr>
            <w:tcW w:w="1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90" w:right="3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13. SUBSEQUENT EVENTS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subsequent events and transactions that occur after the consolidated balance sheet date up to the date that the financial statements were issued. Based upon this review, other than as described below and in Note 2, the Company did not identify any subsequent events that would have required adjustment or disclosure in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Compliance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15, 2021, the Company received notice from the Nasdaq that a Nasdaq Hearings Panel (“Panel”) had granted the Company’s request to continue its listing on Nasdaq through May 24, 2021 (“Extended Date”).</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4, 2021, the Company received a notice from the Staff stating that the Company’s failure to hold an annual stockholder meeting for the fiscal year ended December 31, 2019 by December 31, 2020, as required by Nasdaq Listing Rule 5820, could serve as an additional basis for delisting the Company’s securities from Nasdaq. The Company requested a hearing before the Panel to appeal the Staff’s determination with respect to both notices and the hearing was held on January 14, 2021. The Panel’s decision is subject to certain conditions, including that the Company will have completed its proposed business combination (the “Business Combination”) with NeuroRx on or before the Extended Date and that the combined company will have demonstrated compliance with all requirements for initial listing on Nasdaq. While the Company expects to complete the Business Combination by the Extended Date, the Company cannot assure you that it will be able to do so.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12, 2021, the Company entered into subscription agreements (“Subscription Agreements”) with certain qualified institutional buyers and institutional accredited investors (collectively, the “PIPE Investors”), pursuant to which the Company will, substantially concurrently with, and contingent upon, the consummation of the Merger, issue an aggregate of 1,000,000 shares of the Company Common Stock, par value $0.001 per share, to the PIPE Investors at a price of $10.00 per share, for aggregate gross proceeds to the Company of $10,000,000 (the “PIPE”). The closing of the PIPE is conditioned upon, among other things, (i) the substantially concurrent consummation of the Merger, (ii) the accuracy of all representations and warranties of the Company and the PIPE Investors in the Subscription Agreements, and the performance of all covenants of the Company and the PIPE Investors under the Subscription Agreements, (iii) the shares of the Company Common Stock shall have been approved for listing on the Nasdaq Capital Market, subject to official notice of issuance, and (iv) the Merger Agreement shall not have been terminated or rescinded, and no amendment, waiver or modification shall have occurred thereunder that would materially adversely affect the economic benefits that the PIPE Investor would reasonably expect to receive under the Subscription Agreement without having received the PIPE Investor’s prior written consent (not to be unreasonably withheld, conditioned, or delayed).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the Merger Agreement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March 19, 2021, the Company entered into a second amendment (“Amendment”) to the Merger Agreement with NeuroRx and Merger Sub. The Amendment extends the outside date by which the parties must consummate the Merger from April 23, 2021 to May 24,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proposed Merger with NeuroRx, a purported stockholder of the Company has filed a lawsuit and other purported stockholders have threatened to file lawsuits alleging breaches of fiduciary duty and violations of the disclosure requirements of the Exchange Act. The Company intends to defend the matters vigorously. These matters are in the early stages and the Company is currently unable to reasonably determine the outcome or estimate any potential losses, and, as such, has not recorded a loss contingency.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Richard Ackerman,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10-K/A of Big Rock Partners Acquisition Corp.;</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18"/>
          <w:szCs w:val="18"/>
          <w:color w:val="auto"/>
        </w:rPr>
      </w:pPr>
    </w:p>
    <w:p>
      <w:pPr>
        <w:ind w:left="660" w:hanging="328"/>
        <w:spacing w:after="0" w:line="33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18"/>
          <w:szCs w:val="18"/>
          <w:color w:val="auto"/>
        </w:rPr>
      </w:pPr>
    </w:p>
    <w:p>
      <w:pPr>
        <w:jc w:val="both"/>
        <w:ind w:left="1300" w:right="20" w:hanging="320"/>
        <w:spacing w:after="0" w:line="259"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left="1300" w:hanging="320"/>
        <w:spacing w:after="0" w:line="331"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left="1300" w:hanging="320"/>
        <w:spacing w:after="0" w:line="259"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8"/>
          <w:szCs w:val="18"/>
          <w:color w:val="auto"/>
        </w:rPr>
      </w:pPr>
    </w:p>
    <w:p>
      <w:pPr>
        <w:ind w:left="660" w:hanging="328"/>
        <w:spacing w:after="0" w:line="33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6"/>
          <w:szCs w:val="16"/>
          <w:color w:val="auto"/>
        </w:rPr>
      </w:pPr>
    </w:p>
    <w:p>
      <w:pPr>
        <w:ind w:left="1300" w:right="20" w:hanging="320"/>
        <w:spacing w:after="0" w:line="331"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6"/>
          <w:szCs w:val="16"/>
          <w:color w:val="auto"/>
        </w:rPr>
      </w:pPr>
    </w:p>
    <w:p>
      <w:pPr>
        <w:ind w:left="1300" w:hanging="320"/>
        <w:spacing w:after="0" w:line="268"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160" w:val="left"/>
          <w:tab w:leader="none" w:pos="5940" w:val="left"/>
        </w:tabs>
        <w:rPr>
          <w:sz w:val="20"/>
          <w:szCs w:val="20"/>
          <w:color w:val="auto"/>
        </w:rPr>
      </w:pPr>
      <w:r>
        <w:rPr>
          <w:rFonts w:ascii="Arial" w:cs="Arial" w:eastAsia="Arial" w:hAnsi="Arial"/>
          <w:sz w:val="18"/>
          <w:szCs w:val="18"/>
          <w:color w:val="auto"/>
        </w:rPr>
        <w:t>Dated: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Bennett Kim,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10-K/A of Big Rock Partners Acquisition Corp.;</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18"/>
          <w:szCs w:val="18"/>
          <w:color w:val="auto"/>
        </w:rPr>
      </w:pPr>
    </w:p>
    <w:p>
      <w:pPr>
        <w:ind w:left="660" w:hanging="328"/>
        <w:spacing w:after="0" w:line="33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18"/>
          <w:szCs w:val="18"/>
          <w:color w:val="auto"/>
        </w:rPr>
      </w:pPr>
    </w:p>
    <w:p>
      <w:pPr>
        <w:jc w:val="both"/>
        <w:ind w:left="1300" w:right="20" w:hanging="320"/>
        <w:spacing w:after="0" w:line="259"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left="1300" w:hanging="320"/>
        <w:spacing w:after="0" w:line="331"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left="1300" w:hanging="320"/>
        <w:spacing w:after="0" w:line="259"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8"/>
          <w:szCs w:val="18"/>
          <w:color w:val="auto"/>
        </w:rPr>
      </w:pPr>
    </w:p>
    <w:p>
      <w:pPr>
        <w:ind w:left="660" w:hanging="328"/>
        <w:spacing w:after="0" w:line="33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6"/>
          <w:szCs w:val="16"/>
          <w:color w:val="auto"/>
        </w:rPr>
      </w:pPr>
    </w:p>
    <w:p>
      <w:pPr>
        <w:ind w:left="1300" w:right="20" w:hanging="320"/>
        <w:spacing w:after="0" w:line="331"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6"/>
          <w:szCs w:val="16"/>
          <w:color w:val="auto"/>
        </w:rPr>
      </w:pPr>
    </w:p>
    <w:p>
      <w:pPr>
        <w:ind w:left="1300" w:hanging="320"/>
        <w:spacing w:after="0" w:line="268"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160" w:val="left"/>
          <w:tab w:leader="none" w:pos="5940" w:val="left"/>
        </w:tabs>
        <w:rPr>
          <w:sz w:val="20"/>
          <w:szCs w:val="20"/>
          <w:color w:val="auto"/>
        </w:rPr>
      </w:pPr>
      <w:r>
        <w:rPr>
          <w:rFonts w:ascii="Arial" w:cs="Arial" w:eastAsia="Arial" w:hAnsi="Arial"/>
          <w:sz w:val="18"/>
          <w:szCs w:val="18"/>
          <w:color w:val="auto"/>
        </w:rPr>
        <w:t>Dated: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Bennett Kim</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Chief Financial Officer, Chief Investment Officer, and Director (Principal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accompanying Amendment No. 1 to the Annual Report on Form 10-K/A of Big Rock Partners Acquisition Corp. (the “Company”) for the year ended December 31, 2020, as filed with the Securities and Exchange Commission (the “Report”), the undersigned hereby certifies pursuant to 18 U.S.C. Section 1350, as adopted pursuant to Section 906 of the Sarbanes-Oxley Act of 2002, to my knowledge and belief, that:</w:t>
      </w:r>
    </w:p>
    <w:p>
      <w:pPr>
        <w:spacing w:after="0" w:line="160"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3800" w:val="left"/>
          <w:tab w:leader="none" w:pos="4720" w:val="left"/>
        </w:tabs>
        <w:rPr>
          <w:sz w:val="20"/>
          <w:szCs w:val="20"/>
          <w:color w:val="auto"/>
        </w:rPr>
      </w:pPr>
      <w:r>
        <w:rPr>
          <w:rFonts w:ascii="Arial" w:cs="Arial" w:eastAsia="Arial" w:hAnsi="Arial"/>
          <w:sz w:val="18"/>
          <w:szCs w:val="18"/>
          <w:color w:val="auto"/>
        </w:rPr>
        <w:t>Dated: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10795</wp:posOffset>
            </wp:positionV>
            <wp:extent cx="41319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extLst>
                    </a:blip>
                    <a:srcRect/>
                    <a:stretch>
                      <a:fillRect/>
                    </a:stretch>
                  </pic:blipFill>
                  <pic:spPr bwMode="auto">
                    <a:xfrm>
                      <a:off x="0" y="0"/>
                      <a:ext cx="4131945" cy="17145"/>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accompanying Amendment No. 1 to the Annual Report on Form 10-K/A of Big Rock Partners Acquisition Corp. (the “Company”) for the year ended December 31, 2020, as filed with the Securities and Exchange Commission (the “Report”), the undersigned hereby certifies pursuant to 18 U.S.C. Section 1350, as adopted pursuant to Section 906 of the Sarbanes-Oxley Act of 2002, to my knowledge and belief, that:</w:t>
      </w:r>
    </w:p>
    <w:p>
      <w:pPr>
        <w:spacing w:after="0" w:line="160"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160" w:val="left"/>
          <w:tab w:leader="none" w:pos="5940" w:val="left"/>
        </w:tabs>
        <w:rPr>
          <w:sz w:val="20"/>
          <w:szCs w:val="20"/>
          <w:color w:val="auto"/>
        </w:rPr>
      </w:pPr>
      <w:r>
        <w:rPr>
          <w:rFonts w:ascii="Arial" w:cs="Arial" w:eastAsia="Arial" w:hAnsi="Arial"/>
          <w:sz w:val="18"/>
          <w:szCs w:val="18"/>
          <w:color w:val="auto"/>
        </w:rPr>
        <w:t>Dated: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Bennett Kim</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Chief Financial Officer, Chief Investment Officer, and Director (Principal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74" Type="http://schemas.openxmlformats.org/officeDocument/2006/relationships/image" Target="media/image32.png"/><Relationship Id="rId75" Type="http://schemas.openxmlformats.org/officeDocument/2006/relationships/image" Target="media/image33.png"/><Relationship Id="rId76" Type="http://schemas.openxmlformats.org/officeDocument/2006/relationships/image" Target="media/image34.png"/><Relationship Id="rId77" Type="http://schemas.openxmlformats.org/officeDocument/2006/relationships/image" Target="media/image35.png"/><Relationship Id="rId78" Type="http://schemas.openxmlformats.org/officeDocument/2006/relationships/image" Target="media/image36.png"/><Relationship Id="rId79" Type="http://schemas.openxmlformats.org/officeDocument/2006/relationships/image" Target="media/image37.png"/><Relationship Id="rId80" Type="http://schemas.openxmlformats.org/officeDocument/2006/relationships/image" Target="media/image38.png"/><Relationship Id="rId81" Type="http://schemas.openxmlformats.org/officeDocument/2006/relationships/image" Target="media/image39.png"/><Relationship Id="rId82" Type="http://schemas.openxmlformats.org/officeDocument/2006/relationships/image" Target="media/image40.png"/><Relationship Id="rId83" Type="http://schemas.openxmlformats.org/officeDocument/2006/relationships/image" Target="media/image41.png"/><Relationship Id="rId84" Type="http://schemas.openxmlformats.org/officeDocument/2006/relationships/image" Target="media/image42.png"/><Relationship Id="rId85" Type="http://schemas.openxmlformats.org/officeDocument/2006/relationships/image" Target="media/image43.png"/><Relationship Id="rId86" Type="http://schemas.openxmlformats.org/officeDocument/2006/relationships/image" Target="media/image44.png"/><Relationship Id="rId87" Type="http://schemas.openxmlformats.org/officeDocument/2006/relationships/image" Target="media/image45.png"/><Relationship Id="rId88" Type="http://schemas.openxmlformats.org/officeDocument/2006/relationships/image" Target="media/image46.png"/><Relationship Id="rId89" Type="http://schemas.openxmlformats.org/officeDocument/2006/relationships/image" Target="media/image47.png"/><Relationship Id="rId90" Type="http://schemas.openxmlformats.org/officeDocument/2006/relationships/image" Target="media/image48.png"/><Relationship Id="rId91" Type="http://schemas.openxmlformats.org/officeDocument/2006/relationships/image" Target="media/image49.png"/><Relationship Id="rId92" Type="http://schemas.openxmlformats.org/officeDocument/2006/relationships/image" Target="media/image50.png"/><Relationship Id="rId93" Type="http://schemas.openxmlformats.org/officeDocument/2006/relationships/image" Target="media/image51.png"/><Relationship Id="rId94" Type="http://schemas.openxmlformats.org/officeDocument/2006/relationships/image" Target="media/image52.png"/><Relationship Id="rId95" Type="http://schemas.openxmlformats.org/officeDocument/2006/relationships/image" Target="media/image53.png"/><Relationship Id="rId96" Type="http://schemas.openxmlformats.org/officeDocument/2006/relationships/image" Target="media/image54.png"/><Relationship Id="rId97" Type="http://schemas.openxmlformats.org/officeDocument/2006/relationships/image" Target="media/image55.png"/><Relationship Id="rId98" Type="http://schemas.openxmlformats.org/officeDocument/2006/relationships/image" Target="media/image56.png"/><Relationship Id="rId99" Type="http://schemas.openxmlformats.org/officeDocument/2006/relationships/image" Target="media/image57.png"/><Relationship Id="rId100" Type="http://schemas.openxmlformats.org/officeDocument/2006/relationships/image" Target="media/image58.png"/><Relationship Id="rId101"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39" Type="http://schemas.openxmlformats.org/officeDocument/2006/relationships/hyperlink" Target="http://www.sec.gov/Archives/edgar/data/1719406/000165495420013699/brpa_ex2-1.htm" TargetMode="External"/><Relationship Id="rId40" Type="http://schemas.openxmlformats.org/officeDocument/2006/relationships/hyperlink" Target="http://www.sec.gov/Archives/edgar/data/1719406/000165495421003036/brpa_ex21.htm" TargetMode="External"/><Relationship Id="rId41" Type="http://schemas.openxmlformats.org/officeDocument/2006/relationships/hyperlink" Target="http://www.sec.gov/Archives/edgar/data/1719406/000165495417011010/brpa_ex3-1.htm" TargetMode="External"/><Relationship Id="rId42" Type="http://schemas.openxmlformats.org/officeDocument/2006/relationships/hyperlink" Target="http://www.sec.gov/Archives/edgar/data/1719406/000165495419006479/brpa_ex3-1.htm" TargetMode="External"/><Relationship Id="rId43" Type="http://schemas.openxmlformats.org/officeDocument/2006/relationships/hyperlink" Target="http://www.sec.gov/Archives/edgar/data/1719406/000165495419009963/brpa_ex31.htm" TargetMode="External"/><Relationship Id="rId44" Type="http://schemas.openxmlformats.org/officeDocument/2006/relationships/hyperlink" Target="http://www.sec.gov/Archives/edgar/data/1719406/000165495420003037/brpa_ex31.htm" TargetMode="External"/><Relationship Id="rId45" Type="http://schemas.openxmlformats.org/officeDocument/2006/relationships/hyperlink" Target="http://www.sec.gov/Archives/edgar/data/1719406/000165495420008001/brpa_ex31.htm" TargetMode="External"/><Relationship Id="rId46" Type="http://schemas.openxmlformats.org/officeDocument/2006/relationships/hyperlink" Target="http://www.sec.gov/Archives/edgar/data/1719406/000165495420013751/brpa_ex31.htm" TargetMode="External"/><Relationship Id="rId47" Type="http://schemas.openxmlformats.org/officeDocument/2006/relationships/hyperlink" Target="http://www.sec.gov/Archives/edgar/data/1719406/000165495417011010/brpa_ex3-2.htm" TargetMode="External"/><Relationship Id="rId48" Type="http://schemas.openxmlformats.org/officeDocument/2006/relationships/hyperlink" Target="http://www.sec.gov/Archives/edgar/data/1719406/000165495417010676/brpa_ex41.htm" TargetMode="External"/><Relationship Id="rId49" Type="http://schemas.openxmlformats.org/officeDocument/2006/relationships/hyperlink" Target="http://www.sec.gov/Archives/edgar/data/1719406/000165495417010676/brpa_ex42.htm" TargetMode="External"/><Relationship Id="rId50" Type="http://schemas.openxmlformats.org/officeDocument/2006/relationships/hyperlink" Target="http://www.sec.gov/Archives/edgar/data/1719406/000165495417010676/brpa_ex43.htm" TargetMode="External"/><Relationship Id="rId51" Type="http://schemas.openxmlformats.org/officeDocument/2006/relationships/hyperlink" Target="http://www.sec.gov/Archives/edgar/data/1719406/000165495417010676/brpa_ex44.htm" TargetMode="External"/><Relationship Id="rId52" Type="http://schemas.openxmlformats.org/officeDocument/2006/relationships/hyperlink" Target="http://www.sec.gov/Archives/edgar/data/1719406/000165495417011010/brpa_ex41.htm" TargetMode="External"/><Relationship Id="rId53" Type="http://schemas.openxmlformats.org/officeDocument/2006/relationships/hyperlink" Target="http://www.sec.gov/Archives/edgar/data/1719406/000165495417011010/brpa_ex4-2.htm" TargetMode="External"/><Relationship Id="rId54" Type="http://schemas.openxmlformats.org/officeDocument/2006/relationships/hyperlink" Target="http://www.sec.gov/Archives/edgar/data/1719406/000165495417011010/brpa_ex4-3.htm" TargetMode="External"/><Relationship Id="rId55" Type="http://schemas.openxmlformats.org/officeDocument/2006/relationships/hyperlink" Target="http://www.sec.gov/Archives/edgar/data/1719406/000165495417011010/brpa_ex10-4.htm" TargetMode="External"/><Relationship Id="rId56" Type="http://schemas.openxmlformats.org/officeDocument/2006/relationships/hyperlink" Target="http://www.sec.gov/Archives/edgar/data/1719406/000165495417011010/brpa_ex10-6.htm" TargetMode="External"/><Relationship Id="rId57" Type="http://schemas.openxmlformats.org/officeDocument/2006/relationships/hyperlink" Target="http://www.sec.gov/Archives/edgar/data/1719406/000165495417011010/brpa_ex10-5.htm" TargetMode="External"/><Relationship Id="rId58" Type="http://schemas.openxmlformats.org/officeDocument/2006/relationships/hyperlink" Target="http://www.sec.gov/Archives/edgar/data/1719406/000165495417011010/brpa_ex10-1.htm" TargetMode="External"/><Relationship Id="rId59" Type="http://schemas.openxmlformats.org/officeDocument/2006/relationships/hyperlink" Target="http://www.sec.gov/Archives/edgar/data/1719406/000165495417011010/brpa_ex10-2.htm" TargetMode="External"/><Relationship Id="rId60" Type="http://schemas.openxmlformats.org/officeDocument/2006/relationships/hyperlink" Target="http://www.sec.gov/Archives/edgar/data/1719406/000165495417011010/brpa_ex10-3.htm" TargetMode="External"/><Relationship Id="rId61" Type="http://schemas.openxmlformats.org/officeDocument/2006/relationships/hyperlink" Target="http://www.sec.gov/Archives/edgar/data/1719406/000165495417011010/brpa_ex10-7.htm" TargetMode="External"/><Relationship Id="rId62" Type="http://schemas.openxmlformats.org/officeDocument/2006/relationships/hyperlink" Target="http://www.sec.gov/Archives/edgar/data/1719406/000165495417010676/brpa_ex106.htm" TargetMode="External"/><Relationship Id="rId63" Type="http://schemas.openxmlformats.org/officeDocument/2006/relationships/hyperlink" Target="http://www.sec.gov/Archives/edgar/data/1719406/000165495417011010/brpa_ex10-9.htm" TargetMode="External"/><Relationship Id="rId64" Type="http://schemas.openxmlformats.org/officeDocument/2006/relationships/hyperlink" Target="http://www.sec.gov/Archives/edgar/data/1719406/000165495417010676/brpa_ex107.htm" TargetMode="External"/><Relationship Id="rId65" Type="http://schemas.openxmlformats.org/officeDocument/2006/relationships/hyperlink" Target="http://www.sec.gov/Archives/edgar/data/1719406/000165495417010676/brpa_ex108.htm" TargetMode="External"/><Relationship Id="rId66" Type="http://schemas.openxmlformats.org/officeDocument/2006/relationships/hyperlink" Target="http://www.sec.gov/Archives/edgar/data/1719406/000165495417011010/brpa_ex10-8.htm" TargetMode="External"/><Relationship Id="rId67" Type="http://schemas.openxmlformats.org/officeDocument/2006/relationships/hyperlink" Target="http://www.sec.gov/Archives/edgar/data/1719406/000165495418013053/brpa_ex101.htm" TargetMode="External"/><Relationship Id="rId68" Type="http://schemas.openxmlformats.org/officeDocument/2006/relationships/hyperlink" Target="http://www.sec.gov/Archives/edgar/data/1719406/000165495418013053/brpa_ex102.htm" TargetMode="External"/><Relationship Id="rId69" Type="http://schemas.openxmlformats.org/officeDocument/2006/relationships/hyperlink" Target="http://www.sec.gov/Archives/edgar/data/1719406/000165495418013053/brpa_ex103.htm" TargetMode="External"/><Relationship Id="rId70" Type="http://schemas.openxmlformats.org/officeDocument/2006/relationships/hyperlink" Target="http://www.sec.gov/Archives/edgar/data/1719406/000165495418013053/brpa_ex104.htm" TargetMode="External"/><Relationship Id="rId71" Type="http://schemas.openxmlformats.org/officeDocument/2006/relationships/hyperlink" Target="http://www.sec.gov/Archives/edgar/data/1719406/000165495418013053/brpa_ex105.htm" TargetMode="External"/><Relationship Id="rId72" Type="http://schemas.openxmlformats.org/officeDocument/2006/relationships/hyperlink" Target="http://www.sec.gov/Archives/edgar/data/1719406/000165495419001899/brpa_ex101.htm" TargetMode="External"/><Relationship Id="rId73" Type="http://schemas.openxmlformats.org/officeDocument/2006/relationships/hyperlink" Target="http://www.sec.gov/Archives/edgar/data/1719406/000165495421002748/brpa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2021-05-14T11:32:20Z</dcterms:created>
  <dcterms:modified xsi:type="dcterms:W3CDTF">2021-05-14T11:32:20Z</dcterms:modified>
</cp:coreProperties>
</file>