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nrxp-20230331x10q.htm"/>
        <w:bookmarkStart w:id="1" w:name="ksnrxp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d182bfc7_e8d3_409b_9f23_caed50662a65"/>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March 31, 2023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001-38302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NRX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OoRTAHWdEWH9AVJYSnBbw_3_2"/>
      <w:bookmarkStart w:id="4" w:name="Tc__XIdLACt5Em_DNrz3Orl9g_3_0"/>
      <w:bookmarkStart w:id="5" w:name="Tc_d9Or0T7LvkSlQcPNn3xx1g_2_2"/>
      <w:bookmarkStart w:id="6" w:name="Tc_vRw_JFJ2FkuljnkinCqPww_2_0"/>
      <w:bookmarkStart w:id="7" w:name="_fc28bce3_e2cd_40eb_8324_cc79ee054828"/>
      <w:bookmarkStart w:id="8" w:name="Tc_dOoRTAHWdEWH9AVJYSnBbw_3_2"/>
      <w:bookmarkStart w:id="9" w:name="Tc__XIdLACt5Em_DNrz3Orl9g_3_0"/>
      <w:bookmarkStart w:id="10" w:name="Tc_d9Or0T7LvkSlQcPNn3xx1g_2_2"/>
      <w:bookmarkStart w:id="11" w:name="Tc_vRw_JFJ2FkuljnkinCqPww_2_0"/>
      <w:bookmarkStart w:id="12" w:name="_fc28bce3_e2cd_40eb_8324_cc79ee054828"/>
      <w:bookmarkEnd w:id="8"/>
      <w:bookmarkEnd w:id="9"/>
      <w:bookmarkEnd w:id="10"/>
      <w:bookmarkEnd w:id="11"/>
      <w:bookmarkEnd w:id="12"/>
    </w:p>
    <w:tbl>
      <w:tblPr>
        <w:tblW w:w="4176" w:type="dxa"/>
        <w:jc w:val="left"/>
        <w:tblInd w:w="0" w:type="dxa"/>
        <w:tblLayout w:type="fixed"/>
        <w:tblCellMar>
          <w:top w:w="0" w:type="dxa"/>
          <w:left w:w="0" w:type="dxa"/>
          <w:bottom w:w="0" w:type="dxa"/>
          <w:right w:w="0" w:type="dxa"/>
        </w:tblCellMar>
      </w:tblPr>
      <w:tblGrid>
        <w:gridCol w:w="2581"/>
        <w:gridCol w:w="109"/>
        <w:gridCol w:w="1486"/>
      </w:tblGrid>
      <w:tr>
        <w:trPr/>
        <w:tc>
          <w:tcPr>
            <w:tcW w:w="2581"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lineRule="atLeast" w:line="220" w:before="0" w:after="0"/>
              <w:ind w:left="0" w:right="0" w:hanging="0"/>
              <w:jc w:val="left"/>
              <w:rPr/>
            </w:pPr>
            <w:r>
              <w:rPr/>
              <w:t>​</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82-2844431</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43610" cy="293370"/>
                      <wp:effectExtent l="0" t="0" r="0" b="0"/>
                      <wp:wrapNone/>
                      <wp:docPr id="5" name="Frame5"/>
                      <a:graphic xmlns:a="http://schemas.openxmlformats.org/drawingml/2006/main">
                        <a:graphicData uri="http://schemas.microsoft.com/office/word/2010/wordprocessingShape">
                          <wps:wsp>
                            <wps:cNvSpPr txBox="1"/>
                            <wps:spPr>
                              <a:xfrm>
                                <a:off x="0" y="0"/>
                                <a:ext cx="943610" cy="293370"/>
                              </a:xfrm>
                              <a:prstGeom prst="rect"/>
                              <a:solidFill>
                                <a:srgbClr val="FFFFFF"/>
                              </a:solidFill>
                            </wps:spPr>
                            <wps:txbx>
                              <w:txbxContent>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xbxContent>
                      </v:textbox>
                      <w10:wrap type="none"/>
                    </v:rect>
                  </w:pict>
                </mc:Fallback>
              </mc:AlternateConten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1201 Orange Street, Suite 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Wilmington, DE</w:t>
      </w:r>
      <w:r>
        <w:rPr>
          <w:rFonts w:ascii="Times New Roman;Times;serif" w:hAnsi="Times New Roman;Times;serif"/>
          <w:sz w:val="20"/>
        </w:rPr>
        <w:t xml:space="preserve"> </w:t>
      </w:r>
      <w:r>
        <w:rPr>
          <w:rFonts w:ascii="Times New Roman;Times;serif" w:hAnsi="Times New Roman;Times;serif"/>
          <w:b/>
          <w:sz w:val="20"/>
        </w:rPr>
        <w:t>19801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(484) 254-6134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pdwHpJHpSUq_ZGsSa346Lg_1_4"/>
      <w:bookmarkStart w:id="14" w:name="Tc_gQ3BuKtq9EGVY9VklShCdw_1_2"/>
      <w:bookmarkStart w:id="15" w:name="Tc_lkIVcnjOGEaU6TukRXp81Q_1_0"/>
      <w:bookmarkStart w:id="16" w:name="_46711230_955e_45a7_b3c1_e49dd62ab28b"/>
      <w:bookmarkStart w:id="17" w:name="Tc_pdwHpJHpSUq_ZGsSa346Lg_1_4"/>
      <w:bookmarkStart w:id="18" w:name="Tc_gQ3BuKtq9EGVY9VklShCdw_1_2"/>
      <w:bookmarkStart w:id="19" w:name="Tc_lkIVcnjOGEaU6TukRXp81Q_1_0"/>
      <w:bookmarkStart w:id="20" w:name="_46711230_955e_45a7_b3c1_e49dd62ab28b"/>
      <w:bookmarkEnd w:id="17"/>
      <w:bookmarkEnd w:id="18"/>
      <w:bookmarkEnd w:id="19"/>
      <w:bookmarkEnd w:id="20"/>
    </w:p>
    <w:tbl>
      <w:tblPr>
        <w:tblW w:w="9941" w:type="dxa"/>
        <w:jc w:val="left"/>
        <w:tblInd w:w="0" w:type="dxa"/>
        <w:tblLayout w:type="fixed"/>
        <w:tblCellMar>
          <w:top w:w="0" w:type="dxa"/>
          <w:left w:w="0" w:type="dxa"/>
          <w:bottom w:w="0" w:type="dxa"/>
          <w:right w:w="0" w:type="dxa"/>
        </w:tblCellMar>
      </w:tblPr>
      <w:tblGrid>
        <w:gridCol w:w="4141"/>
        <w:gridCol w:w="109"/>
        <w:gridCol w:w="1696"/>
        <w:gridCol w:w="109"/>
        <w:gridCol w:w="3886"/>
      </w:tblGrid>
      <w:tr>
        <w:trPr/>
        <w:tc>
          <w:tcPr>
            <w:tcW w:w="414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vAlign w:val="center"/>
          </w:tcPr>
          <w:p>
            <w:pPr>
              <w:pStyle w:val="TableContents"/>
              <w:bidi w:val="0"/>
              <w:spacing w:lineRule="atLeast" w:line="180" w:before="0" w:after="0"/>
              <w:ind w:left="0" w:right="0" w:hanging="0"/>
              <w:jc w:val="center"/>
              <w:rPr/>
            </w:pPr>
            <w:r>
              <w:rPr/>
              <w:t>​</w:t>
            </w:r>
          </w:p>
        </w:tc>
      </w:tr>
      <w:tr>
        <w:trPr/>
        <w:tc>
          <w:tcPr>
            <w:tcW w:w="4141"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41"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NRXP</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414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Warrants to purchase one share of Common Stock</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NRXPW</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Securities registered pursuant to Section 12(g) of the Act: None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333" w:type="dxa"/>
        <w:jc w:val="left"/>
        <w:tblInd w:w="0" w:type="dxa"/>
        <w:tblLayout w:type="fixed"/>
        <w:tblCellMar>
          <w:top w:w="0" w:type="dxa"/>
          <w:left w:w="0" w:type="dxa"/>
          <w:bottom w:w="0" w:type="dxa"/>
          <w:right w:w="0" w:type="dxa"/>
        </w:tblCellMar>
      </w:tblPr>
      <w:tblGrid>
        <w:gridCol w:w="1876"/>
        <w:gridCol w:w="146"/>
        <w:gridCol w:w="2311"/>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r>
              <w:rPr>
                <w:rFonts w:ascii="Segoe UI Symbol" w:hAnsi="Segoe UI Symbol"/>
                <w:sz w:val="18"/>
              </w:rPr>
              <w:br/>
            </w: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20"/>
        </w:rPr>
        <w:t>As of May 12, 2023, the registrant had 70,309,655</w:t>
      </w:r>
      <w:r>
        <w:rPr>
          <w:rFonts w:ascii="Times New Roman;Times;serif" w:hAnsi="Times New Roman;Times;serif"/>
          <w:sz w:val="14"/>
        </w:rPr>
        <w:t xml:space="preserve"> </w:t>
      </w:r>
      <w:r>
        <w:rPr>
          <w:rFonts w:ascii="Times New Roman;Times;serif" w:hAnsi="Times New Roman;Times;serif"/>
          <w:sz w:val="20"/>
        </w:rPr>
        <w:t>shares of common stock outstandin</w:t>
      </w:r>
      <w:r>
        <w:rPr>
          <w:rFonts w:ascii="Times New Roman;Times;serif" w:hAnsi="Times New Roman;Times;serif"/>
          <w:sz w:val="14"/>
        </w:rPr>
        <w:t>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
        <w:ind w:left="0" w:right="0" w:firstLine="72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shd w:fill="FFFFFF" w:val="clear"/>
        </w:rPr>
      </w:pPr>
      <w:bookmarkStart w:id="21" w:name="TOC"/>
      <w:bookmarkStart w:id="22" w:name="_14688fd1_2340_484a_aa01_34003f6bca0e"/>
      <w:bookmarkEnd w:id="21"/>
      <w:bookmarkEnd w:id="22"/>
      <w:r>
        <w:rPr>
          <w:shd w:fill="FFFFFF" w:val="clear"/>
        </w:rPr>
        <w:t>   </w:t>
      </w:r>
    </w:p>
    <w:tbl>
      <w:tblPr>
        <w:tblW w:w="10205" w:type="dxa"/>
        <w:jc w:val="left"/>
        <w:tblInd w:w="0" w:type="dxa"/>
        <w:tblLayout w:type="fixed"/>
        <w:tblCellMar>
          <w:top w:w="0" w:type="dxa"/>
          <w:left w:w="0" w:type="dxa"/>
          <w:bottom w:w="0" w:type="dxa"/>
          <w:right w:w="0" w:type="dxa"/>
        </w:tblCellMar>
      </w:tblPr>
      <w:tblGrid>
        <w:gridCol w:w="881"/>
        <w:gridCol w:w="8962"/>
        <w:gridCol w:w="362"/>
      </w:tblGrid>
      <w:tr>
        <w:trPr/>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59435" cy="175260"/>
                      <wp:effectExtent l="0" t="0" r="0" b="0"/>
                      <wp:wrapNone/>
                      <wp:docPr id="6" name="Frame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90870" cy="175260"/>
                      <wp:effectExtent l="0" t="0" r="0" b="0"/>
                      <wp:wrapNone/>
                      <wp:docPr id="7" name="Frame7"/>
                      <a:graphic xmlns:a="http://schemas.openxmlformats.org/drawingml/2006/main">
                        <a:graphicData uri="http://schemas.microsoft.com/office/word/2010/wordprocessingShape">
                          <wps:wsp>
                            <wps:cNvSpPr txBox="1"/>
                            <wps:spPr>
                              <a:xfrm>
                                <a:off x="0" y="0"/>
                                <a:ext cx="569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870" cy="175260"/>
                      <wp:effectExtent l="0" t="0" r="0" b="0"/>
                      <wp:wrapNone/>
                      <wp:docPr id="8" name="Frame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250305" cy="175260"/>
                      <wp:effectExtent l="0" t="0" r="0" b="0"/>
                      <wp:wrapNone/>
                      <wp:docPr id="9" name="Frame9"/>
                      <a:graphic xmlns:a="http://schemas.openxmlformats.org/drawingml/2006/main">
                        <a:graphicData uri="http://schemas.microsoft.com/office/word/2010/wordprocessingShape">
                          <wps:wsp>
                            <wps:cNvSpPr txBox="1"/>
                            <wps:spPr>
                              <a:xfrm>
                                <a:off x="0" y="0"/>
                                <a:ext cx="6250305" cy="175260"/>
                              </a:xfrm>
                              <a:prstGeom prst="rect"/>
                              <a:solidFill>
                                <a:srgbClr val="FFFFFF"/>
                              </a:solidFill>
                            </wps:spPr>
                            <wps:txbx>
                              <w:txbxContent>
                                <w:p>
                                  <w:pPr>
                                    <w:pStyle w:val="TableContents"/>
                                    <w:pBdr/>
                                    <w:bidi w:val="0"/>
                                    <w:spacing w:before="0" w:after="30"/>
                                    <w:ind w:left="0" w:right="0" w:hanging="144"/>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center"/>
                              <w:rPr/>
                            </w:pPr>
                            <w:r>
                              <w:rPr/>
                              <w:t> </w:t>
                            </w:r>
                          </w:p>
                        </w:txbxContent>
                      </v:textbox>
                      <w10:wrap type="none"/>
                    </v:rect>
                  </w:pict>
                </mc:Fallback>
              </mc:AlternateContent>
            </w:r>
          </w:p>
        </w:tc>
        <w:tc>
          <w:tcPr>
            <w:tcW w:w="362"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870" cy="321310"/>
                      <wp:effectExtent l="0" t="0" r="0" b="0"/>
                      <wp:wrapNone/>
                      <wp:docPr id="10" name="Frame10"/>
                      <a:graphic xmlns:a="http://schemas.openxmlformats.org/drawingml/2006/main">
                        <a:graphicData uri="http://schemas.microsoft.com/office/word/2010/wordprocessingShape">
                          <wps:wsp>
                            <wps:cNvSpPr txBox="1"/>
                            <wps:spPr>
                              <a:xfrm>
                                <a:off x="0" y="0"/>
                                <a:ext cx="229870" cy="32131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50305" cy="146685"/>
                      <wp:effectExtent l="0" t="0" r="0" b="0"/>
                      <wp:wrapNone/>
                      <wp:docPr id="11" name="Frame11"/>
                      <a:graphic xmlns:a="http://schemas.openxmlformats.org/drawingml/2006/main">
                        <a:graphicData uri="http://schemas.microsoft.com/office/word/2010/wordprocessingShape">
                          <wps:wsp>
                            <wps:cNvSpPr txBox="1"/>
                            <wps:spPr>
                              <a:xfrm>
                                <a:off x="0" y="0"/>
                                <a:ext cx="6250305" cy="146685"/>
                              </a:xfrm>
                              <a:prstGeom prst="rect"/>
                              <a:solidFill>
                                <a:srgbClr val="FFFFFF"/>
                              </a:solidFill>
                            </wps:spPr>
                            <wps:txbx>
                              <w:txbxContent>
                                <w:p>
                                  <w:pPr>
                                    <w:pStyle w:val="TableContents"/>
                                    <w:pBdr/>
                                    <w:bidi w:val="0"/>
                                    <w:spacing w:before="0" w:after="30"/>
                                    <w:ind w:left="0" w:right="0" w:hanging="144"/>
                                    <w:jc w:val="left"/>
                                    <w:rPr/>
                                  </w:pPr>
                                  <w:hyperlink w:anchor="PARTI">
                                    <w:r>
                                      <w:rPr>
                                        <w:rStyle w:val="InternetLink"/>
                                        <w:rFonts w:ascii="Times New Roman;Times;serif" w:hAnsi="Times New Roman;Times;serif"/>
                                        <w:b/>
                                        <w:i w:val="false"/>
                                        <w:caps w:val="false"/>
                                        <w:smallCaps w:val="false"/>
                                        <w:sz w:val="20"/>
                                      </w:rPr>
                                      <w:t>PART I - 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PARTI">
                              <w:r>
                                <w:rPr>
                                  <w:rStyle w:val="InternetLink"/>
                                  <w:rFonts w:ascii="Times New Roman;Times;serif" w:hAnsi="Times New Roman;Times;serif"/>
                                  <w:b/>
                                  <w:i w:val="false"/>
                                  <w:caps w:val="false"/>
                                  <w:smallCaps w:val="false"/>
                                  <w:sz w:val="20"/>
                                </w:rPr>
                                <w:t>PART I - FINANCIAL INFORMATION</w:t>
                              </w:r>
                            </w:hyperlink>
                          </w:p>
                        </w:txbxContent>
                      </v:textbox>
                      <w10:wrap type="none"/>
                    </v:rect>
                  </w:pict>
                </mc:Fallback>
              </mc:AlternateContent>
            </w:r>
          </w:p>
        </w:tc>
        <w:tc>
          <w:tcPr>
            <w:tcW w:w="36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9870" cy="175260"/>
                      <wp:effectExtent l="0" t="0" r="0" b="0"/>
                      <wp:wrapNone/>
                      <wp:docPr id="12" name="Frame1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w:t>
                            </w:r>
                          </w:p>
                        </w:txbxContent>
                      </v:textbox>
                      <w10:wrap type="none"/>
                    </v:rect>
                  </w:pict>
                </mc:Fallback>
              </mc:AlternateContent>
            </w:r>
          </w:p>
        </w:tc>
      </w:tr>
      <w:tr>
        <w:trPr/>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59435" cy="146685"/>
                      <wp:effectExtent l="0" t="0" r="0" b="0"/>
                      <wp:wrapNone/>
                      <wp:docPr id="13" name="Frame13"/>
                      <a:graphic xmlns:a="http://schemas.openxmlformats.org/drawingml/2006/main">
                        <a:graphicData uri="http://schemas.microsoft.com/office/word/2010/wordprocessingShape">
                          <wps:wsp>
                            <wps:cNvSpPr txBox="1"/>
                            <wps:spPr>
                              <a:xfrm>
                                <a:off x="0" y="0"/>
                                <a:ext cx="559435" cy="146685"/>
                              </a:xfrm>
                              <a:prstGeom prst="rect"/>
                              <a:solidFill>
                                <a:srgbClr val="FFFFFF"/>
                              </a:solidFill>
                            </wps:spPr>
                            <wps:txbx>
                              <w:txbxContent>
                                <w:p>
                                  <w:pPr>
                                    <w:pStyle w:val="TableContents"/>
                                    <w:pBdr/>
                                    <w:bidi w:val="0"/>
                                    <w:spacing w:before="0" w:after="30"/>
                                    <w:ind w:left="0" w:right="0" w:hanging="144"/>
                                    <w:jc w:val="left"/>
                                    <w:rPr/>
                                  </w:pPr>
                                  <w:hyperlink w:anchor="ITEM1FinancialStatements">
                                    <w:r>
                                      <w:rPr>
                                        <w:rStyle w:val="InternetLink"/>
                                        <w:rFonts w:ascii="Times New Roman;Times;serif" w:hAnsi="Times New Roman;Times;serif"/>
                                        <w:b/>
                                        <w:i w:val="false"/>
                                        <w:caps w:val="false"/>
                                        <w:smallCaps w:val="false"/>
                                        <w:sz w:val="20"/>
                                      </w:rPr>
                                      <w:t>ITEM 1.</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ITEM1FinancialStatements">
                              <w:r>
                                <w:rPr>
                                  <w:rStyle w:val="InternetLink"/>
                                  <w:rFonts w:ascii="Times New Roman;Times;serif" w:hAnsi="Times New Roman;Times;serif"/>
                                  <w:b/>
                                  <w:i w:val="false"/>
                                  <w:caps w:val="false"/>
                                  <w:smallCaps w:val="false"/>
                                  <w:sz w:val="20"/>
                                </w:rPr>
                                <w:t>ITEM 1.</w:t>
                              </w:r>
                            </w:hyperlink>
                          </w:p>
                        </w:txbxContent>
                      </v:textbox>
                      <w10:wrap type="none"/>
                    </v:rect>
                  </w:pict>
                </mc:Fallback>
              </mc:AlternateContent>
            </w:r>
          </w:p>
        </w:tc>
        <w:tc>
          <w:tcPr>
            <w:tcW w:w="8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690870" cy="146685"/>
                      <wp:effectExtent l="0" t="0" r="0" b="0"/>
                      <wp:wrapNone/>
                      <wp:docPr id="14" name="Frame14"/>
                      <a:graphic xmlns:a="http://schemas.openxmlformats.org/drawingml/2006/main">
                        <a:graphicData uri="http://schemas.microsoft.com/office/word/2010/wordprocessingShape">
                          <wps:wsp>
                            <wps:cNvSpPr txBox="1"/>
                            <wps:spPr>
                              <a:xfrm>
                                <a:off x="0" y="0"/>
                                <a:ext cx="5690870" cy="146685"/>
                              </a:xfrm>
                              <a:prstGeom prst="rect"/>
                              <a:solidFill>
                                <a:srgbClr val="FFFFFF"/>
                              </a:solidFill>
                            </wps:spPr>
                            <wps:txbx>
                              <w:txbxContent>
                                <w:p>
                                  <w:pPr>
                                    <w:pStyle w:val="TableContents"/>
                                    <w:bidi w:val="0"/>
                                    <w:spacing w:before="0" w:after="3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w:t>
                              </w:r>
                            </w:hyperlink>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9870" cy="175260"/>
                      <wp:effectExtent l="0" t="0" r="0" b="0"/>
                      <wp:wrapNone/>
                      <wp:docPr id="15"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881" w:type="dxa"/>
            <w:tcBorders/>
            <w:vAlign w:val="center"/>
          </w:tcPr>
          <w:p>
            <w:pPr>
              <w:pStyle w:val="TableContents"/>
              <w:bidi w:val="0"/>
              <w:spacing w:before="0" w:after="30"/>
              <w:ind w:left="0" w:right="0" w:hanging="0"/>
              <w:jc w:val="left"/>
              <w:rPr/>
            </w:pPr>
            <w:r>
              <w:rPr/>
              <w:t>​</w:t>
            </w:r>
          </w:p>
        </w:tc>
        <w:tc>
          <w:tcPr>
            <w:tcW w:w="8962" w:type="dxa"/>
            <w:tcBorders/>
            <w:vAlign w:val="center"/>
          </w:tcPr>
          <w:p>
            <w:pPr>
              <w:pStyle w:val="TableContents"/>
              <w:bidi w:val="0"/>
              <w:spacing w:before="0" w:after="30"/>
              <w:ind w:left="0" w:right="0" w:hanging="0"/>
              <w:jc w:val="left"/>
              <w:rPr/>
            </w:pPr>
            <w:hyperlink w:anchor="CONDENSEDCONSOLIDATEDBALANCESHEETS_39844">
              <w:r>
                <w:rPr>
                  <w:rStyle w:val="InternetLink"/>
                  <w:rFonts w:ascii="Times New Roman;Times;serif" w:hAnsi="Times New Roman;Times;serif"/>
                  <w:b w:val="false"/>
                  <w:i w:val="false"/>
                  <w:caps w:val="false"/>
                  <w:smallCaps w:val="false"/>
                  <w:sz w:val="20"/>
                </w:rPr>
                <w:t>Condensed Consolidated Balance Sheets as of March 31, 2023 (Unaudited) and December 31, 2022</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81" w:type="dxa"/>
            <w:tcBorders/>
            <w:vAlign w:val="center"/>
          </w:tcPr>
          <w:p>
            <w:pPr>
              <w:pStyle w:val="TableContents"/>
              <w:bidi w:val="0"/>
              <w:spacing w:before="0" w:after="30"/>
              <w:ind w:left="0" w:right="0" w:hanging="0"/>
              <w:jc w:val="left"/>
              <w:rPr/>
            </w:pPr>
            <w:r>
              <w:rPr/>
              <w:t>​</w:t>
            </w:r>
          </w:p>
        </w:tc>
        <w:tc>
          <w:tcPr>
            <w:tcW w:w="8962" w:type="dxa"/>
            <w:tcBorders/>
            <w:vAlign w:val="center"/>
          </w:tcPr>
          <w:p>
            <w:pPr>
              <w:pStyle w:val="TableContents"/>
              <w:bidi w:val="0"/>
              <w:spacing w:before="0" w:after="30"/>
              <w:ind w:left="0" w:right="0" w:hanging="0"/>
              <w:jc w:val="left"/>
              <w:rPr/>
            </w:pPr>
            <w:hyperlink w:anchor="CONDENSEDCONSOLIDATEDSTATEMENTOFOPERATIO">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2023 and 2022</w:t>
              </w:r>
            </w:hyperlink>
            <w:r>
              <w:rPr>
                <w:rFonts w:ascii="Times New Roman;Times;serif" w:hAnsi="Times New Roman;Times;serif"/>
                <w:sz w:val="20"/>
              </w:rPr>
              <w:t xml:space="preserve"> </w:t>
            </w:r>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1" w:type="dxa"/>
            <w:tcBorders/>
            <w:vAlign w:val="center"/>
          </w:tcPr>
          <w:p>
            <w:pPr>
              <w:pStyle w:val="TableContents"/>
              <w:bidi w:val="0"/>
              <w:spacing w:before="0" w:after="30"/>
              <w:ind w:left="0" w:right="0" w:hanging="0"/>
              <w:jc w:val="left"/>
              <w:rPr/>
            </w:pPr>
            <w:r>
              <w:rPr/>
              <w:t>​</w:t>
            </w:r>
          </w:p>
        </w:tc>
        <w:tc>
          <w:tcPr>
            <w:tcW w:w="8962" w:type="dxa"/>
            <w:tcBorders/>
            <w:vAlign w:val="center"/>
          </w:tcPr>
          <w:p>
            <w:pPr>
              <w:pStyle w:val="TableContents"/>
              <w:bidi w:val="0"/>
              <w:spacing w:before="0" w:after="30"/>
              <w:ind w:left="0" w:right="0" w:hanging="0"/>
              <w:jc w:val="left"/>
              <w:rPr/>
            </w:pPr>
            <w:hyperlink w:anchor="STOCKHOLDERSEQUITYDEFICIT_256664">
              <w:r>
                <w:rPr>
                  <w:rStyle w:val="InternetLink"/>
                  <w:rFonts w:ascii="Times New Roman;Times;serif" w:hAnsi="Times New Roman;Times;serif"/>
                  <w:b w:val="false"/>
                  <w:i w:val="false"/>
                  <w:caps w:val="false"/>
                  <w:smallCaps w:val="false"/>
                  <w:sz w:val="20"/>
                </w:rPr>
                <w:t>Unaudited Condensed Consolidated Statements of Changes in Stockholders' (Deficit) Equity for the three months ended March 31, 2023 and 2022</w:t>
              </w:r>
            </w:hyperlink>
            <w:r>
              <w:rPr>
                <w:rFonts w:ascii="Times New Roman;Times;serif" w:hAnsi="Times New Roman;Times;serif"/>
                <w:sz w:val="20"/>
              </w:rPr>
              <w:t xml:space="preserve"> </w:t>
            </w:r>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81" w:type="dxa"/>
            <w:tcBorders/>
            <w:vAlign w:val="center"/>
          </w:tcPr>
          <w:p>
            <w:pPr>
              <w:pStyle w:val="TableContents"/>
              <w:bidi w:val="0"/>
              <w:spacing w:before="0" w:after="30"/>
              <w:ind w:left="0" w:right="0" w:hanging="0"/>
              <w:jc w:val="left"/>
              <w:rPr/>
            </w:pPr>
            <w:r>
              <w:rPr/>
              <w:t>​</w:t>
            </w:r>
          </w:p>
        </w:tc>
        <w:tc>
          <w:tcPr>
            <w:tcW w:w="8962" w:type="dxa"/>
            <w:tcBorders/>
            <w:vAlign w:val="center"/>
          </w:tcPr>
          <w:p>
            <w:pPr>
              <w:pStyle w:val="TableContents"/>
              <w:bidi w:val="0"/>
              <w:spacing w:before="0" w:after="30"/>
              <w:ind w:left="0" w:right="0" w:hanging="0"/>
              <w:jc w:val="left"/>
              <w:rPr/>
            </w:pPr>
            <w:hyperlink w:anchor="CASHFLOWS_9910">
              <w:r>
                <w:rPr>
                  <w:rStyle w:val="InternetLink"/>
                  <w:rFonts w:ascii="Times New Roman;Times;serif" w:hAnsi="Times New Roman;Times;serif"/>
                  <w:b w:val="false"/>
                  <w:i w:val="false"/>
                  <w:caps w:val="false"/>
                  <w:smallCaps w:val="false"/>
                  <w:sz w:val="20"/>
                </w:rPr>
                <w:t xml:space="preserve">Unaudited Condensed Consolidated Statements of Cash Flows for the three months ended March 31, 2023 and 2022 </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81" w:type="dxa"/>
            <w:tcBorders/>
            <w:vAlign w:val="center"/>
          </w:tcPr>
          <w:p>
            <w:pPr>
              <w:pStyle w:val="TableContents"/>
              <w:bidi w:val="0"/>
              <w:spacing w:before="0" w:after="30"/>
              <w:ind w:left="0" w:right="0" w:hanging="0"/>
              <w:jc w:val="left"/>
              <w:rPr/>
            </w:pPr>
            <w:r>
              <w:rPr/>
              <w:t>​</w:t>
            </w:r>
          </w:p>
        </w:tc>
        <w:tc>
          <w:tcPr>
            <w:tcW w:w="8962" w:type="dxa"/>
            <w:tcBorders/>
            <w:vAlign w:val="center"/>
          </w:tcPr>
          <w:p>
            <w:pPr>
              <w:pStyle w:val="TableContents"/>
              <w:bidi w:val="0"/>
              <w:spacing w:before="0" w:after="30"/>
              <w:ind w:left="0" w:right="0" w:hanging="0"/>
              <w:jc w:val="left"/>
              <w:rPr/>
            </w:pPr>
            <w:hyperlink w:anchor="a1Organization_922140">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81" w:type="dxa"/>
            <w:tcBorders/>
            <w:vAlign w:val="center"/>
          </w:tcPr>
          <w:p>
            <w:pPr>
              <w:pStyle w:val="TableContents"/>
              <w:pBdr/>
              <w:bidi w:val="0"/>
              <w:spacing w:before="0" w:after="30"/>
              <w:ind w:left="0" w:right="0" w:hanging="0"/>
              <w:jc w:val="left"/>
              <w:rPr/>
            </w:pPr>
            <w:hyperlink w:anchor="Item7ManagementsDiscussionandAnalysisofF">
              <w:r>
                <w:rPr>
                  <w:rStyle w:val="InternetLink"/>
                  <w:rFonts w:ascii="Times New Roman;Times;serif" w:hAnsi="Times New Roman;Times;serif"/>
                  <w:b/>
                  <w:i w:val="false"/>
                  <w:caps w:val="false"/>
                  <w:smallCaps w:val="false"/>
                  <w:sz w:val="20"/>
                </w:rPr>
                <w:t>ITEM 2.</w:t>
              </w:r>
            </w:hyperlink>
          </w:p>
        </w:tc>
        <w:tc>
          <w:tcPr>
            <w:tcW w:w="8962" w:type="dxa"/>
            <w:tcBorders/>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81" w:type="dxa"/>
            <w:tcBorders/>
            <w:vAlign w:val="center"/>
          </w:tcPr>
          <w:p>
            <w:pPr>
              <w:pStyle w:val="TableContents"/>
              <w:pBdr/>
              <w:bidi w:val="0"/>
              <w:spacing w:before="0" w:after="3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8962"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81" w:type="dxa"/>
            <w:tcBorders/>
            <w:vAlign w:val="center"/>
          </w:tcPr>
          <w:p>
            <w:pPr>
              <w:pStyle w:val="TableContents"/>
              <w:pBdr/>
              <w:bidi w:val="0"/>
              <w:spacing w:before="0" w:after="30"/>
              <w:ind w:left="0" w:right="0" w:hanging="0"/>
              <w:jc w:val="left"/>
              <w:rPr/>
            </w:pPr>
            <w:hyperlink w:anchor="Item4ControlsandProcedures">
              <w:r>
                <w:rPr>
                  <w:rStyle w:val="InternetLink"/>
                  <w:rFonts w:ascii="Times New Roman;Times;serif" w:hAnsi="Times New Roman;Times;serif"/>
                  <w:b/>
                  <w:i w:val="false"/>
                  <w:caps w:val="false"/>
                  <w:smallCaps w:val="false"/>
                  <w:sz w:val="20"/>
                </w:rPr>
                <w:t>ITEM 4.</w:t>
              </w:r>
            </w:hyperlink>
          </w:p>
        </w:tc>
        <w:tc>
          <w:tcPr>
            <w:tcW w:w="8962" w:type="dxa"/>
            <w:tcBorders/>
            <w:vAlign w:val="center"/>
          </w:tcPr>
          <w:p>
            <w:pPr>
              <w:pStyle w:val="TableContents"/>
              <w:bidi w:val="0"/>
              <w:spacing w:before="0" w:after="3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59435" cy="175260"/>
                      <wp:effectExtent l="0" t="0" r="0" b="0"/>
                      <wp:wrapNone/>
                      <wp:docPr id="16" name="Frame1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690870" cy="175260"/>
                      <wp:effectExtent l="0" t="0" r="0" b="0"/>
                      <wp:wrapNone/>
                      <wp:docPr id="17" name="Frame17"/>
                      <a:graphic xmlns:a="http://schemas.openxmlformats.org/drawingml/2006/main">
                        <a:graphicData uri="http://schemas.microsoft.com/office/word/2010/wordprocessingShape">
                          <wps:wsp>
                            <wps:cNvSpPr txBox="1"/>
                            <wps:spPr>
                              <a:xfrm>
                                <a:off x="0" y="0"/>
                                <a:ext cx="569087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9870" cy="175260"/>
                      <wp:effectExtent l="0" t="0" r="0" b="0"/>
                      <wp:wrapNone/>
                      <wp:docPr id="18" name="Frame1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250305" cy="146685"/>
                      <wp:effectExtent l="0" t="0" r="0" b="0"/>
                      <wp:wrapNone/>
                      <wp:docPr id="19" name="Frame19"/>
                      <a:graphic xmlns:a="http://schemas.openxmlformats.org/drawingml/2006/main">
                        <a:graphicData uri="http://schemas.microsoft.com/office/word/2010/wordprocessingShape">
                          <wps:wsp>
                            <wps:cNvSpPr txBox="1"/>
                            <wps:spPr>
                              <a:xfrm>
                                <a:off x="0" y="0"/>
                                <a:ext cx="6250305" cy="146685"/>
                              </a:xfrm>
                              <a:prstGeom prst="rect"/>
                              <a:solidFill>
                                <a:srgbClr val="FFFFFF"/>
                              </a:solidFill>
                            </wps:spPr>
                            <wps:txbx>
                              <w:txbxContent>
                                <w:p>
                                  <w:pPr>
                                    <w:pStyle w:val="TableContents"/>
                                    <w:pBdr/>
                                    <w:bidi w:val="0"/>
                                    <w:spacing w:before="0" w:after="30"/>
                                    <w:ind w:left="0" w:right="0" w:hanging="144"/>
                                    <w:jc w:val="left"/>
                                    <w:rPr/>
                                  </w:pPr>
                                  <w:hyperlink w:anchor="PARTII">
                                    <w:r>
                                      <w:rPr>
                                        <w:rStyle w:val="InternetLink"/>
                                        <w:rFonts w:ascii="Times New Roman;Times;serif" w:hAnsi="Times New Roman;Times;serif"/>
                                        <w:b/>
                                        <w:i w:val="false"/>
                                        <w:caps w:val="false"/>
                                        <w:smallCaps w:val="false"/>
                                        <w:sz w:val="20"/>
                                      </w:rPr>
                                      <w:t>PART II -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PARTII">
                              <w:r>
                                <w:rPr>
                                  <w:rStyle w:val="InternetLink"/>
                                  <w:rFonts w:ascii="Times New Roman;Times;serif" w:hAnsi="Times New Roman;Times;serif"/>
                                  <w:b/>
                                  <w:i w:val="false"/>
                                  <w:caps w:val="false"/>
                                  <w:smallCaps w:val="false"/>
                                  <w:sz w:val="20"/>
                                </w:rPr>
                                <w:t>PART II - OTHER INFORMATION</w:t>
                              </w:r>
                            </w:hyperlink>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9870" cy="175260"/>
                      <wp:effectExtent l="0" t="0" r="0" b="0"/>
                      <wp:wrapNone/>
                      <wp:docPr id="20" name="Frame2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9435" cy="175260"/>
                      <wp:effectExtent l="0" t="0" r="0" b="0"/>
                      <wp:wrapNone/>
                      <wp:docPr id="21" name="Frame2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690870" cy="175260"/>
                      <wp:effectExtent l="0" t="0" r="0" b="0"/>
                      <wp:wrapNone/>
                      <wp:docPr id="22" name="Frame22"/>
                      <a:graphic xmlns:a="http://schemas.openxmlformats.org/drawingml/2006/main">
                        <a:graphicData uri="http://schemas.microsoft.com/office/word/2010/wordprocessingShape">
                          <wps:wsp>
                            <wps:cNvSpPr txBox="1"/>
                            <wps:spPr>
                              <a:xfrm>
                                <a:off x="0" y="0"/>
                                <a:ext cx="569087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9870" cy="175260"/>
                      <wp:effectExtent l="0" t="0" r="0" b="0"/>
                      <wp:wrapNone/>
                      <wp:docPr id="23" name="Frame2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881" w:type="dxa"/>
            <w:tcBorders/>
            <w:vAlign w:val="center"/>
          </w:tcPr>
          <w:p>
            <w:pPr>
              <w:pStyle w:val="TableContents"/>
              <w:pBdr/>
              <w:bidi w:val="0"/>
              <w:spacing w:before="0" w:after="30"/>
              <w:ind w:left="0" w:right="0" w:hanging="0"/>
              <w:jc w:val="left"/>
              <w:rPr/>
            </w:pPr>
            <w:hyperlink w:anchor="Item3LegalProceedings_886745">
              <w:r>
                <w:rPr>
                  <w:rStyle w:val="InternetLink"/>
                  <w:rFonts w:ascii="Times New Roman;Times;serif" w:hAnsi="Times New Roman;Times;serif"/>
                  <w:b/>
                  <w:i w:val="false"/>
                  <w:caps w:val="false"/>
                  <w:smallCaps w:val="false"/>
                  <w:sz w:val="20"/>
                </w:rPr>
                <w:t>ITEM 1.</w:t>
              </w:r>
            </w:hyperlink>
          </w:p>
        </w:tc>
        <w:tc>
          <w:tcPr>
            <w:tcW w:w="8962" w:type="dxa"/>
            <w:tcBorders/>
            <w:vAlign w:val="center"/>
          </w:tcPr>
          <w:p>
            <w:pPr>
              <w:pStyle w:val="TableContents"/>
              <w:bidi w:val="0"/>
              <w:spacing w:before="0" w:after="30"/>
              <w:ind w:left="0" w:right="0" w:hanging="0"/>
              <w:jc w:val="left"/>
              <w:rPr/>
            </w:pPr>
            <w:hyperlink w:anchor="Item3LegalProceedings_886745">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81" w:type="dxa"/>
            <w:tcBorders/>
            <w:vAlign w:val="center"/>
          </w:tcPr>
          <w:p>
            <w:pPr>
              <w:pStyle w:val="TableContents"/>
              <w:pBdr/>
              <w:bidi w:val="0"/>
              <w:spacing w:before="0" w:after="30"/>
              <w:ind w:left="0" w:right="0" w:hanging="0"/>
              <w:jc w:val="left"/>
              <w:rPr/>
            </w:pPr>
            <w:hyperlink w:anchor="Item1A_RiskFactors">
              <w:r>
                <w:rPr>
                  <w:rStyle w:val="InternetLink"/>
                  <w:rFonts w:ascii="Times New Roman;Times;serif" w:hAnsi="Times New Roman;Times;serif"/>
                  <w:b/>
                  <w:i w:val="false"/>
                  <w:caps w:val="false"/>
                  <w:smallCaps w:val="false"/>
                  <w:sz w:val="20"/>
                </w:rPr>
                <w:t>ITEM 1A.</w:t>
              </w:r>
            </w:hyperlink>
          </w:p>
        </w:tc>
        <w:tc>
          <w:tcPr>
            <w:tcW w:w="8962" w:type="dxa"/>
            <w:tcBorders/>
            <w:vAlign w:val="center"/>
          </w:tcPr>
          <w:p>
            <w:pPr>
              <w:pStyle w:val="TableContents"/>
              <w:bidi w:val="0"/>
              <w:spacing w:before="0" w:after="30"/>
              <w:ind w:left="0" w:right="0" w:hanging="0"/>
              <w:jc w:val="left"/>
              <w:rPr/>
            </w:pPr>
            <w:hyperlink w:anchor="Item1A_RiskFactors">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81" w:type="dxa"/>
            <w:tcBorders/>
            <w:vAlign w:val="center"/>
          </w:tcPr>
          <w:p>
            <w:pPr>
              <w:pStyle w:val="TableContents"/>
              <w:pBdr/>
              <w:bidi w:val="0"/>
              <w:spacing w:before="0" w:after="3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8962"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81" w:type="dxa"/>
            <w:tcBorders/>
            <w:vAlign w:val="center"/>
          </w:tcPr>
          <w:p>
            <w:pPr>
              <w:pStyle w:val="TableContents"/>
              <w:pBdr/>
              <w:bidi w:val="0"/>
              <w:spacing w:before="0" w:after="3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w:t>
              </w:r>
            </w:hyperlink>
          </w:p>
        </w:tc>
        <w:tc>
          <w:tcPr>
            <w:tcW w:w="8962" w:type="dxa"/>
            <w:tcBorders/>
            <w:vAlign w:val="center"/>
          </w:tcPr>
          <w:p>
            <w:pPr>
              <w:pStyle w:val="TableContents"/>
              <w:bidi w:val="0"/>
              <w:spacing w:before="0" w:after="3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81" w:type="dxa"/>
            <w:tcBorders/>
            <w:vAlign w:val="center"/>
          </w:tcPr>
          <w:p>
            <w:pPr>
              <w:pStyle w:val="TableContents"/>
              <w:pBdr/>
              <w:bidi w:val="0"/>
              <w:spacing w:before="0" w:after="30"/>
              <w:ind w:left="0" w:right="0" w:hanging="0"/>
              <w:jc w:val="left"/>
              <w:rPr/>
            </w:pPr>
            <w:hyperlink w:anchor="Item4_MineSafetyDisclosures">
              <w:r>
                <w:rPr>
                  <w:rStyle w:val="InternetLink"/>
                  <w:rFonts w:ascii="Times New Roman;Times;serif" w:hAnsi="Times New Roman;Times;serif"/>
                  <w:b/>
                  <w:i w:val="false"/>
                  <w:caps w:val="false"/>
                  <w:smallCaps w:val="false"/>
                  <w:sz w:val="20"/>
                </w:rPr>
                <w:t>ITEM 4.</w:t>
              </w:r>
            </w:hyperlink>
          </w:p>
        </w:tc>
        <w:tc>
          <w:tcPr>
            <w:tcW w:w="8962" w:type="dxa"/>
            <w:tcBorders/>
            <w:vAlign w:val="center"/>
          </w:tcPr>
          <w:p>
            <w:pPr>
              <w:pStyle w:val="TableContents"/>
              <w:bidi w:val="0"/>
              <w:spacing w:before="0" w:after="30"/>
              <w:ind w:left="0" w:right="0" w:hanging="0"/>
              <w:jc w:val="left"/>
              <w:rPr/>
            </w:pPr>
            <w:hyperlink w:anchor="Item4_MineSafetyDisclosures">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81" w:type="dxa"/>
            <w:tcBorders/>
            <w:vAlign w:val="center"/>
          </w:tcPr>
          <w:p>
            <w:pPr>
              <w:pStyle w:val="TableContents"/>
              <w:pBdr/>
              <w:bidi w:val="0"/>
              <w:spacing w:before="0" w:after="30"/>
              <w:ind w:left="0" w:right="0" w:hanging="0"/>
              <w:jc w:val="left"/>
              <w:rPr/>
            </w:pPr>
            <w:hyperlink w:anchor="Item9BOtherInformation_623343">
              <w:r>
                <w:rPr>
                  <w:rStyle w:val="InternetLink"/>
                  <w:rFonts w:ascii="Times New Roman;Times;serif" w:hAnsi="Times New Roman;Times;serif"/>
                  <w:b/>
                  <w:i w:val="false"/>
                  <w:caps w:val="false"/>
                  <w:smallCaps w:val="false"/>
                  <w:sz w:val="20"/>
                </w:rPr>
                <w:t>ITEM 5.</w:t>
              </w:r>
            </w:hyperlink>
          </w:p>
        </w:tc>
        <w:tc>
          <w:tcPr>
            <w:tcW w:w="8962" w:type="dxa"/>
            <w:tcBorders/>
            <w:vAlign w:val="center"/>
          </w:tcPr>
          <w:p>
            <w:pPr>
              <w:pStyle w:val="TableContents"/>
              <w:bidi w:val="0"/>
              <w:spacing w:before="0" w:after="30"/>
              <w:ind w:left="0" w:right="0" w:hanging="0"/>
              <w:jc w:val="left"/>
              <w:rPr/>
            </w:pPr>
            <w:hyperlink w:anchor="Item9BOtherInformation_623343">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81" w:type="dxa"/>
            <w:tcBorders/>
            <w:vAlign w:val="center"/>
          </w:tcPr>
          <w:p>
            <w:pPr>
              <w:pStyle w:val="TableContents"/>
              <w:pBdr/>
              <w:bidi w:val="0"/>
              <w:spacing w:before="0" w:after="30"/>
              <w:ind w:left="0" w:right="0" w:hanging="0"/>
              <w:jc w:val="left"/>
              <w:rPr/>
            </w:pPr>
            <w:hyperlink w:anchor="Item15Exhibits_Financial_Statement">
              <w:r>
                <w:rPr>
                  <w:rStyle w:val="InternetLink"/>
                  <w:rFonts w:ascii="Times New Roman;Times;serif" w:hAnsi="Times New Roman;Times;serif"/>
                  <w:b/>
                  <w:i w:val="false"/>
                  <w:caps w:val="false"/>
                  <w:smallCaps w:val="false"/>
                  <w:sz w:val="20"/>
                </w:rPr>
                <w:t>ITEM 6.</w:t>
              </w:r>
            </w:hyperlink>
          </w:p>
        </w:tc>
        <w:tc>
          <w:tcPr>
            <w:tcW w:w="8962" w:type="dxa"/>
            <w:tcBorders/>
            <w:vAlign w:val="center"/>
          </w:tcPr>
          <w:p>
            <w:pPr>
              <w:pStyle w:val="TableContents"/>
              <w:bidi w:val="0"/>
              <w:spacing w:before="0" w:after="30"/>
              <w:ind w:left="0" w:right="0" w:hanging="0"/>
              <w:jc w:val="left"/>
              <w:rPr/>
            </w:pPr>
            <w:hyperlink w:anchor="Item15Exhibits_Financial_Statement">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843" w:type="dxa"/>
            <w:gridSpan w:val="2"/>
            <w:tcBorders/>
            <w:vAlign w:val="center"/>
          </w:tcPr>
          <w:p>
            <w:pPr>
              <w:pStyle w:val="TableContents"/>
              <w:pBdr/>
              <w:bidi w:val="0"/>
              <w:spacing w:before="0" w:after="30"/>
              <w:ind w:left="0" w:right="0" w:hanging="0"/>
              <w:jc w:val="left"/>
              <w:rPr/>
            </w:pPr>
            <w:hyperlink w:anchor="SIGNATURES_790307">
              <w:r>
                <w:rPr>
                  <w:rStyle w:val="InternetLink"/>
                  <w:rFonts w:ascii="Times New Roman;Times;serif" w:hAnsi="Times New Roman;Times;serif"/>
                  <w:b/>
                  <w:i w:val="false"/>
                  <w:caps w:val="false"/>
                  <w:smallCaps w:val="false"/>
                  <w:sz w:val="20"/>
                </w:rPr>
                <w:t>SIGNATURES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
      <w:bookmarkStart w:id="24" w:name="_17bc00d0_b217_4aa0_a7a1_6a6d74a0b4ed"/>
      <w:bookmarkEnd w:id="23"/>
      <w:bookmarkEnd w:id="2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25" w:name="ITEM1FinancialStatements"/>
      <w:bookmarkEnd w:id="25"/>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39844"/>
      <w:bookmarkEnd w:id="26"/>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 w:name="Tc_IcmdI_7wEUi9A19LISMrng_28_5"/>
      <w:bookmarkStart w:id="28" w:name="Tc_riqcIUousk6ZRYQJZ8OCRA_28_2"/>
      <w:bookmarkStart w:id="29" w:name="Tc_bDaW7Y1_xk-ackimn8Qh2w_28_0"/>
      <w:bookmarkStart w:id="30" w:name="Tc_P9yjmubKDEm8USsRGZUXww_27_0"/>
      <w:bookmarkStart w:id="31" w:name="Tc_e7pXj2e3AkOr4QR-JW5FHQ_26_0"/>
      <w:bookmarkStart w:id="32" w:name="Tc_Z8uApBgZeESpkvSEiF9GHQ_25_6"/>
      <w:bookmarkStart w:id="33" w:name="Tc_0dAr1wKVDkqMiT1Y3f8QuA_25_0"/>
      <w:bookmarkStart w:id="34" w:name="Tc_sJeuboetTk2Zau_Rd_HDXw_24_0"/>
      <w:bookmarkStart w:id="35" w:name="Tc_cQXIvynP8kuhfbcWV0hnvg_23_0"/>
      <w:bookmarkStart w:id="36" w:name="_364d65d1_4cdc_48b7_a0a2_9efa80ed79ac_3"/>
      <w:bookmarkStart w:id="37" w:name="_364d65d1_4cdc_48b7_a0a2_9efa80ed79ac_2"/>
      <w:bookmarkStart w:id="38" w:name="_364d65d1_4cdc_48b7_a0a2_9efa80ed79ac"/>
      <w:bookmarkStart w:id="39" w:name="Tc_9w0rVet5EUOnpmpTeglt-Q_22_0"/>
      <w:bookmarkStart w:id="40" w:name="Tc_UJrtRz-OtEeW37jH_crjSw_20_5"/>
      <w:bookmarkStart w:id="41" w:name="Tc_96nSlbmiXESC7WkLF800dA_20_2"/>
      <w:bookmarkStart w:id="42" w:name="Tc_YKdVw_h6F0u6-QPUJ1xRKA_20_0"/>
      <w:bookmarkStart w:id="43" w:name="Tc_X8wbYzteJUKX4cVYE9tRZA_19_3"/>
      <w:bookmarkStart w:id="44" w:name="Tc_9GpQd1pzoEq3iVi0_vruYw_19_0"/>
      <w:bookmarkStart w:id="45" w:name="Tc_SLBbUHMDR0y1_e0LOEMA2g_18_0"/>
      <w:bookmarkStart w:id="46" w:name="Tc_EBElWbjC6kuKWtb1b3Lf8w_17_0"/>
      <w:bookmarkStart w:id="47" w:name="Tc_t4Rvlii_qEGGOEBFZJ5X7Q_16_0"/>
      <w:bookmarkStart w:id="48" w:name="Tc_paDCvjGiH02hJ97IAAocOA_15_0"/>
      <w:bookmarkStart w:id="49" w:name="Tc_5AFRc-slUU-glpgu6v8e2w_14_0"/>
      <w:bookmarkStart w:id="50" w:name="Tc_kV2eyCTQ4kWLSFKpqwmrEA_13_5"/>
      <w:bookmarkStart w:id="51" w:name="Tc_6DdYzOM0J0Wd7acEKjRi2A_13_2"/>
      <w:bookmarkStart w:id="52" w:name="Tc_cKgbfgTv20aiqKHhD74Yuw_13_0"/>
      <w:bookmarkStart w:id="53" w:name="Tc_rRRC5aFf5k-ydUFJqYmhUg_12_0"/>
      <w:bookmarkStart w:id="54" w:name="Tc_DLS3Vcdsl0G9VbRm-OZcRg_11_0"/>
      <w:bookmarkStart w:id="55" w:name="Tc_DIQ0ti2EikmgOvsd2kUmOA_10_5"/>
      <w:bookmarkStart w:id="56" w:name="Tc_DI9pseEF7EKhm1oIZ81XGA_10_2"/>
      <w:bookmarkStart w:id="57" w:name="Tc_F7blJzy1VkKUORML_9gQew_10_0"/>
      <w:bookmarkStart w:id="58" w:name="Tc_wF5XWbQFC0OvwfjXm2G_Bw_9_0"/>
      <w:bookmarkStart w:id="59" w:name="Tc_fW8mHnNqikuZCyeVo1hAig_8_0"/>
      <w:bookmarkStart w:id="60" w:name="Tc_CzsCICsZT0SY_uXOm8i2Iw_7_0"/>
      <w:bookmarkStart w:id="61" w:name="Tc_4scYqq3Zb0q_vwzRf20psw_6_5"/>
      <w:bookmarkStart w:id="62" w:name="Tc_nv6fpsfSXECXlAf-Mu_RaA_6_2"/>
      <w:bookmarkStart w:id="63" w:name="Tc_Xhw9RkpV80-CbRykn_oyHA_6_0"/>
      <w:bookmarkStart w:id="64" w:name="Tc_gQ4S9waoz0qXjSqgz4KV6g_5_0"/>
      <w:bookmarkStart w:id="65" w:name="Tc_cKVF0Q6kXEa_3TqWVqSkSg_4_0"/>
      <w:bookmarkStart w:id="66" w:name="Tc_vgik1VbqLEy2eTNINBzOPQ_3_2"/>
      <w:bookmarkStart w:id="67" w:name="Tc_zOpFWNZzukypySCe7PusSA_2_5"/>
      <w:bookmarkStart w:id="68" w:name="Tc_3VhBAQZfTE6-MS20ySoCWg_2_2"/>
      <w:bookmarkStart w:id="69" w:name="_b99fb568_34d5_4999_b543_f683d28174b3"/>
      <w:bookmarkStart w:id="70" w:name="Tc_IcmdI_7wEUi9A19LISMrng_28_5"/>
      <w:bookmarkStart w:id="71" w:name="Tc_riqcIUousk6ZRYQJZ8OCRA_28_2"/>
      <w:bookmarkStart w:id="72" w:name="Tc_bDaW7Y1_xk-ackimn8Qh2w_28_0"/>
      <w:bookmarkStart w:id="73" w:name="Tc_P9yjmubKDEm8USsRGZUXww_27_0"/>
      <w:bookmarkStart w:id="74" w:name="Tc_e7pXj2e3AkOr4QR-JW5FHQ_26_0"/>
      <w:bookmarkStart w:id="75" w:name="Tc_Z8uApBgZeESpkvSEiF9GHQ_25_6"/>
      <w:bookmarkStart w:id="76" w:name="Tc_0dAr1wKVDkqMiT1Y3f8QuA_25_0"/>
      <w:bookmarkStart w:id="77" w:name="Tc_sJeuboetTk2Zau_Rd_HDXw_24_0"/>
      <w:bookmarkStart w:id="78" w:name="Tc_cQXIvynP8kuhfbcWV0hnvg_23_0"/>
      <w:bookmarkStart w:id="79" w:name="_364d65d1_4cdc_48b7_a0a2_9efa80ed79ac_3"/>
      <w:bookmarkStart w:id="80" w:name="_364d65d1_4cdc_48b7_a0a2_9efa80ed79ac_2"/>
      <w:bookmarkStart w:id="81" w:name="_364d65d1_4cdc_48b7_a0a2_9efa80ed79ac"/>
      <w:bookmarkStart w:id="82" w:name="Tc_9w0rVet5EUOnpmpTeglt-Q_22_0"/>
      <w:bookmarkStart w:id="83" w:name="Tc_UJrtRz-OtEeW37jH_crjSw_20_5"/>
      <w:bookmarkStart w:id="84" w:name="Tc_96nSlbmiXESC7WkLF800dA_20_2"/>
      <w:bookmarkStart w:id="85" w:name="Tc_YKdVw_h6F0u6-QPUJ1xRKA_20_0"/>
      <w:bookmarkStart w:id="86" w:name="Tc_X8wbYzteJUKX4cVYE9tRZA_19_3"/>
      <w:bookmarkStart w:id="87" w:name="Tc_9GpQd1pzoEq3iVi0_vruYw_19_0"/>
      <w:bookmarkStart w:id="88" w:name="Tc_SLBbUHMDR0y1_e0LOEMA2g_18_0"/>
      <w:bookmarkStart w:id="89" w:name="Tc_EBElWbjC6kuKWtb1b3Lf8w_17_0"/>
      <w:bookmarkStart w:id="90" w:name="Tc_t4Rvlii_qEGGOEBFZJ5X7Q_16_0"/>
      <w:bookmarkStart w:id="91" w:name="Tc_paDCvjGiH02hJ97IAAocOA_15_0"/>
      <w:bookmarkStart w:id="92" w:name="Tc_5AFRc-slUU-glpgu6v8e2w_14_0"/>
      <w:bookmarkStart w:id="93" w:name="Tc_kV2eyCTQ4kWLSFKpqwmrEA_13_5"/>
      <w:bookmarkStart w:id="94" w:name="Tc_6DdYzOM0J0Wd7acEKjRi2A_13_2"/>
      <w:bookmarkStart w:id="95" w:name="Tc_cKgbfgTv20aiqKHhD74Yuw_13_0"/>
      <w:bookmarkStart w:id="96" w:name="Tc_rRRC5aFf5k-ydUFJqYmhUg_12_0"/>
      <w:bookmarkStart w:id="97" w:name="Tc_DLS3Vcdsl0G9VbRm-OZcRg_11_0"/>
      <w:bookmarkStart w:id="98" w:name="Tc_DIQ0ti2EikmgOvsd2kUmOA_10_5"/>
      <w:bookmarkStart w:id="99" w:name="Tc_DI9pseEF7EKhm1oIZ81XGA_10_2"/>
      <w:bookmarkStart w:id="100" w:name="Tc_F7blJzy1VkKUORML_9gQew_10_0"/>
      <w:bookmarkStart w:id="101" w:name="Tc_wF5XWbQFC0OvwfjXm2G_Bw_9_0"/>
      <w:bookmarkStart w:id="102" w:name="Tc_fW8mHnNqikuZCyeVo1hAig_8_0"/>
      <w:bookmarkStart w:id="103" w:name="Tc_CzsCICsZT0SY_uXOm8i2Iw_7_0"/>
      <w:bookmarkStart w:id="104" w:name="Tc_4scYqq3Zb0q_vwzRf20psw_6_5"/>
      <w:bookmarkStart w:id="105" w:name="Tc_nv6fpsfSXECXlAf-Mu_RaA_6_2"/>
      <w:bookmarkStart w:id="106" w:name="Tc_Xhw9RkpV80-CbRykn_oyHA_6_0"/>
      <w:bookmarkStart w:id="107" w:name="Tc_gQ4S9waoz0qXjSqgz4KV6g_5_0"/>
      <w:bookmarkStart w:id="108" w:name="Tc_cKVF0Q6kXEa_3TqWVqSkSg_4_0"/>
      <w:bookmarkStart w:id="109" w:name="Tc_vgik1VbqLEy2eTNINBzOPQ_3_2"/>
      <w:bookmarkStart w:id="110" w:name="Tc_zOpFWNZzukypySCe7PusSA_2_5"/>
      <w:bookmarkStart w:id="111" w:name="Tc_3VhBAQZfTE6-MS20ySoCWg_2_2"/>
      <w:bookmarkStart w:id="112" w:name="_b99fb568_34d5_4999_b543_f683d28174b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tbl>
      <w:tblPr>
        <w:tblW w:w="10205" w:type="dxa"/>
        <w:jc w:val="left"/>
        <w:tblInd w:w="0" w:type="dxa"/>
        <w:tblLayout w:type="fixed"/>
        <w:tblCellMar>
          <w:top w:w="0" w:type="dxa"/>
          <w:left w:w="0" w:type="dxa"/>
          <w:bottom w:w="0" w:type="dxa"/>
          <w:right w:w="0" w:type="dxa"/>
        </w:tblCellMar>
      </w:tblPr>
      <w:tblGrid>
        <w:gridCol w:w="7305"/>
        <w:gridCol w:w="326"/>
        <w:gridCol w:w="222"/>
        <w:gridCol w:w="917"/>
        <w:gridCol w:w="146"/>
        <w:gridCol w:w="240"/>
        <w:gridCol w:w="1049"/>
      </w:tblGrid>
      <w:tr>
        <w:trPr/>
        <w:tc>
          <w:tcPr>
            <w:tcW w:w="7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638675" cy="175260"/>
                      <wp:effectExtent l="0" t="0" r="0" b="0"/>
                      <wp:wrapNone/>
                      <wp:docPr id="24" name="Frame24"/>
                      <a:graphic xmlns:a="http://schemas.openxmlformats.org/drawingml/2006/main">
                        <a:graphicData uri="http://schemas.microsoft.com/office/word/2010/wordprocessingShape">
                          <wps:wsp>
                            <wps:cNvSpPr txBox="1"/>
                            <wps:spPr>
                              <a:xfrm>
                                <a:off x="0" y="0"/>
                                <a:ext cx="463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0970" cy="175260"/>
                      <wp:effectExtent l="0" t="0" r="0" b="0"/>
                      <wp:wrapNone/>
                      <wp:docPr id="26" name="Frame2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82295" cy="175260"/>
                      <wp:effectExtent l="0" t="0" r="0" b="0"/>
                      <wp:wrapNone/>
                      <wp:docPr id="27" name="Frame2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710" cy="175260"/>
                      <wp:effectExtent l="0" t="0" r="0" b="0"/>
                      <wp:wrapNone/>
                      <wp:docPr id="28" name="Frame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2400" cy="175260"/>
                      <wp:effectExtent l="0" t="0" r="0" b="0"/>
                      <wp:wrapNone/>
                      <wp:docPr id="29" name="Frame2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6115" cy="175260"/>
                      <wp:effectExtent l="0" t="0" r="0" b="0"/>
                      <wp:wrapNone/>
                      <wp:docPr id="30" name="Frame30"/>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4" w:type="dxa"/>
            <w:gridSpan w:val="5"/>
            <w:tcBorders/>
            <w:vAlign w:val="center"/>
          </w:tcPr>
          <w:p>
            <w:pPr>
              <w:pStyle w:val="TableContents"/>
              <w:bidi w:val="0"/>
              <w:spacing w:before="0" w:after="1"/>
              <w:ind w:left="0" w:right="0" w:hanging="0"/>
              <w:jc w:val="center"/>
              <w:rPr/>
            </w:pPr>
            <w:r>
              <w:rPr/>
              <w:t>​</w: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46" w:type="dxa"/>
            <w:tcBorders/>
            <w:vAlign w:val="center"/>
          </w:tcPr>
          <w:p>
            <w:pPr>
              <w:pStyle w:val="TableContents"/>
              <w:bidi w:val="0"/>
              <w:spacing w:before="0" w:after="1"/>
              <w:ind w:left="0" w:right="0" w:hanging="0"/>
              <w:jc w:val="center"/>
              <w:rPr/>
            </w:pPr>
            <w:r>
              <w:rPr/>
              <w:t>​</w:t>
            </w:r>
          </w:p>
        </w:tc>
        <w:tc>
          <w:tcPr>
            <w:tcW w:w="12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3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1049" w:type="dxa"/>
            <w:tcBorders/>
            <w:vAlign w:val="center"/>
          </w:tcPr>
          <w:p>
            <w:pPr>
              <w:pStyle w:val="TableContents"/>
              <w:bidi w:val="0"/>
              <w:spacing w:before="0" w:after="1"/>
              <w:ind w:left="0" w:right="0" w:hanging="0"/>
              <w:jc w:val="center"/>
              <w:rPr/>
            </w:pPr>
            <w:r>
              <w:rPr/>
              <w:t>​</w:t>
            </w:r>
          </w:p>
        </w:tc>
      </w:tr>
      <w:tr>
        <w:trPr/>
        <w:tc>
          <w:tcPr>
            <w:tcW w:w="7305"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pPr>
            <w:r>
              <w:rPr/>
              <w:t>  </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40"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  </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16,506</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20,054</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w:t>
            </w:r>
          </w:p>
        </w:tc>
        <w:tc>
          <w:tcPr>
            <w:tcW w:w="1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5,741</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21,756</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25,795</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21,780</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25,816</w:t>
            </w:r>
          </w:p>
        </w:tc>
      </w:tr>
      <w:tr>
        <w:trPr/>
        <w:tc>
          <w:tcPr>
            <w:tcW w:w="7305"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(DEFICIT) EQUITY</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  </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5,054</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clinical site costs</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and accrued interest - short term</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22,064</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15,585</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and accrued interest - long term</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22,064</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18,407</w: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50,000,000 shares authorized; 0 shares issued and outstanding at March 31,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500,000,000 shares authorized; 70,309,655 and 66,442,989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233,576</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230,339</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(234,036)</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(222,997)</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1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 equity</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21,780</w:t>
            </w:r>
          </w:p>
        </w:tc>
        <w:tc>
          <w:tcPr>
            <w:tcW w:w="1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25,816</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113" w:name="_78887591_234c_4e7c_ad61_c4af9a80e632"/>
      <w:bookmarkEnd w:id="113"/>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sz w:val="20"/>
        </w:rPr>
      </w:pPr>
      <w:bookmarkStart w:id="114" w:name="CONDENSEDCONSOLIDATEDSTATEMENTOFOPERATIO"/>
      <w:bookmarkEnd w:id="114"/>
      <w:r>
        <w:rPr>
          <w:rFonts w:ascii="Times New Roman;Times;serif" w:hAnsi="Times New Roman;Times;serif"/>
          <w:b/>
          <w:sz w:val="20"/>
        </w:rPr>
        <w:t>CONDENSED CONSOLIDATED STATEMENTS OF OPERATIONS</w:t>
      </w:r>
      <w:r>
        <w:rPr>
          <w:rFonts w:ascii="Times New Roman;Times;serif" w:hAnsi="Times New Roman;Times;serif"/>
          <w:sz w:val="20"/>
        </w:rPr>
        <w:t xml:space="preserve"> </w:t>
      </w:r>
      <w:r>
        <w:rPr>
          <w:rFonts w:ascii="Times New Roman;Times;serif" w:hAnsi="Times New Roman;Times;serif"/>
          <w:b/>
          <w:sz w:val="20"/>
        </w:rPr>
        <w:t>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15" w:name="Tc_YA9lqJOnsEKfHoQoecWPLw_23_0"/>
      <w:bookmarkStart w:id="116" w:name="Tc_gwO2elWN00qDn2dTgtc2CQ_22_0"/>
      <w:bookmarkStart w:id="117" w:name="Tc_f2L6h9dlokmyHyUjjSiT5Q_21_0"/>
      <w:bookmarkStart w:id="118" w:name="Tc_Ylwn6B90D0CMFolekry6Ow_20_0"/>
      <w:bookmarkStart w:id="119" w:name="Tc_B9yNXeJFJU237i_Us1TZJw_19_6"/>
      <w:bookmarkStart w:id="120" w:name="Tc_E1js0FpYGES1eF8cKsmRsA_19_3"/>
      <w:bookmarkStart w:id="121" w:name="Tc_pQ_g5zq3_E-OD838HrtA3g_19_0"/>
      <w:bookmarkStart w:id="122" w:name="Tc_q_UeeRZbA0WSak8Ihq7tRw_18_7"/>
      <w:bookmarkStart w:id="123" w:name="Tc_XDLZObvZsESngeSPBV0rLA_18_0"/>
      <w:bookmarkStart w:id="124" w:name="Tc_MGYBiJ65VUGOv0Y7srAFcQ_17_7"/>
      <w:bookmarkStart w:id="125" w:name="Tc_hw2TgMnFnEWVq-3I9X4Rgg_17_0"/>
      <w:bookmarkStart w:id="126" w:name="Tc_X-yy7uK1NEK27SXRA6bZWw_16_6"/>
      <w:bookmarkStart w:id="127" w:name="Tc_obF2KtKAR0C-lrBXfSu-dg_16_3"/>
      <w:bookmarkStart w:id="128" w:name="Tc_J1Q6IdXd2Ei5sAF3zz1o8Q_16_0"/>
      <w:bookmarkStart w:id="129" w:name="Tc_8wH5b4J53Uig0GnlOCfjbA_15_0"/>
      <w:bookmarkStart w:id="130" w:name="Tc_m8YLzZQVgk2Ee8v3uq-tHg_14_4"/>
      <w:bookmarkStart w:id="131" w:name="Tc_1oVGcxcauk6IExpxuiRO_w_14_0"/>
      <w:bookmarkStart w:id="132" w:name="Tc_UQZg7N7Bp0WBvDqShwUBXA_13_0"/>
      <w:bookmarkStart w:id="133" w:name="Tc_J9JcPwdrtUe7WJmi3y03MA_12_7"/>
      <w:bookmarkStart w:id="134" w:name="Tc_5fcupPQHdUi9a6O9Jlzxfw_12_0"/>
      <w:bookmarkStart w:id="135" w:name="Tc_GnJwK7WPjkisFsNjeQmj7Q_11_4"/>
      <w:bookmarkStart w:id="136" w:name="Tc_6VtaSYH4GE2Iupao-yfZbQ_11_0"/>
      <w:bookmarkStart w:id="137" w:name="Tc_eSJRGU7x9EyATUCXT5a6oQ_10_7"/>
      <w:bookmarkStart w:id="138" w:name="Tc_t935ub0YrkGfJhxOmjqhIA_10_0"/>
      <w:bookmarkStart w:id="139" w:name="Tc_njna5YB0bkqc50B54d3f6Q_9_0"/>
      <w:bookmarkStart w:id="140" w:name="Tc_z5A_gpNESk-QTBNWizO8LA_8_0"/>
      <w:bookmarkStart w:id="141" w:name="Tc_ogftwRiy8USzhbz_5cJItg_7_0"/>
      <w:bookmarkStart w:id="142" w:name="Tc_jwLga_TRQE6dB8CgzsHG9Q_6_0"/>
      <w:bookmarkStart w:id="143" w:name="Tc_ma2q_6d9HUCISOEblMjVOA_5_6"/>
      <w:bookmarkStart w:id="144" w:name="Tc_vC0auqK5VU-gdX1hciyhcA_5_3"/>
      <w:bookmarkStart w:id="145" w:name="Tc_qXKex9kJlkOCoRNE-0ZHYg_5_0"/>
      <w:bookmarkStart w:id="146" w:name="Tc_NbWWHU-4EU-I4g0S2gB2yg_4_0"/>
      <w:bookmarkStart w:id="147" w:name="Tc_2nNEFT6nvk-CqmwgqDFgxQ_3_6"/>
      <w:bookmarkStart w:id="148" w:name="Tc_BLcKrsjtdEK6JUnU9Pk-WQ_3_3"/>
      <w:bookmarkStart w:id="149" w:name="Tc_9XJBsulBsUC4QHTtr8voAA_2_3"/>
      <w:bookmarkStart w:id="150" w:name="Tc_zheh4G1OoEu0PosqaNZKlQ_1_3"/>
      <w:bookmarkStart w:id="151" w:name="_2febb93b_8b3c_490d_bd9a_aaed984714a7"/>
      <w:bookmarkStart w:id="152" w:name="Tc_YA9lqJOnsEKfHoQoecWPLw_23_0"/>
      <w:bookmarkStart w:id="153" w:name="Tc_gwO2elWN00qDn2dTgtc2CQ_22_0"/>
      <w:bookmarkStart w:id="154" w:name="Tc_f2L6h9dlokmyHyUjjSiT5Q_21_0"/>
      <w:bookmarkStart w:id="155" w:name="Tc_Ylwn6B90D0CMFolekry6Ow_20_0"/>
      <w:bookmarkStart w:id="156" w:name="Tc_B9yNXeJFJU237i_Us1TZJw_19_6"/>
      <w:bookmarkStart w:id="157" w:name="Tc_E1js0FpYGES1eF8cKsmRsA_19_3"/>
      <w:bookmarkStart w:id="158" w:name="Tc_pQ_g5zq3_E-OD838HrtA3g_19_0"/>
      <w:bookmarkStart w:id="159" w:name="Tc_q_UeeRZbA0WSak8Ihq7tRw_18_7"/>
      <w:bookmarkStart w:id="160" w:name="Tc_XDLZObvZsESngeSPBV0rLA_18_0"/>
      <w:bookmarkStart w:id="161" w:name="Tc_MGYBiJ65VUGOv0Y7srAFcQ_17_7"/>
      <w:bookmarkStart w:id="162" w:name="Tc_hw2TgMnFnEWVq-3I9X4Rgg_17_0"/>
      <w:bookmarkStart w:id="163" w:name="Tc_X-yy7uK1NEK27SXRA6bZWw_16_6"/>
      <w:bookmarkStart w:id="164" w:name="Tc_obF2KtKAR0C-lrBXfSu-dg_16_3"/>
      <w:bookmarkStart w:id="165" w:name="Tc_J1Q6IdXd2Ei5sAF3zz1o8Q_16_0"/>
      <w:bookmarkStart w:id="166" w:name="Tc_8wH5b4J53Uig0GnlOCfjbA_15_0"/>
      <w:bookmarkStart w:id="167" w:name="Tc_m8YLzZQVgk2Ee8v3uq-tHg_14_4"/>
      <w:bookmarkStart w:id="168" w:name="Tc_1oVGcxcauk6IExpxuiRO_w_14_0"/>
      <w:bookmarkStart w:id="169" w:name="Tc_UQZg7N7Bp0WBvDqShwUBXA_13_0"/>
      <w:bookmarkStart w:id="170" w:name="Tc_J9JcPwdrtUe7WJmi3y03MA_12_7"/>
      <w:bookmarkStart w:id="171" w:name="Tc_5fcupPQHdUi9a6O9Jlzxfw_12_0"/>
      <w:bookmarkStart w:id="172" w:name="Tc_GnJwK7WPjkisFsNjeQmj7Q_11_4"/>
      <w:bookmarkStart w:id="173" w:name="Tc_6VtaSYH4GE2Iupao-yfZbQ_11_0"/>
      <w:bookmarkStart w:id="174" w:name="Tc_eSJRGU7x9EyATUCXT5a6oQ_10_7"/>
      <w:bookmarkStart w:id="175" w:name="Tc_t935ub0YrkGfJhxOmjqhIA_10_0"/>
      <w:bookmarkStart w:id="176" w:name="Tc_njna5YB0bkqc50B54d3f6Q_9_0"/>
      <w:bookmarkStart w:id="177" w:name="Tc_z5A_gpNESk-QTBNWizO8LA_8_0"/>
      <w:bookmarkStart w:id="178" w:name="Tc_ogftwRiy8USzhbz_5cJItg_7_0"/>
      <w:bookmarkStart w:id="179" w:name="Tc_jwLga_TRQE6dB8CgzsHG9Q_6_0"/>
      <w:bookmarkStart w:id="180" w:name="Tc_ma2q_6d9HUCISOEblMjVOA_5_6"/>
      <w:bookmarkStart w:id="181" w:name="Tc_vC0auqK5VU-gdX1hciyhcA_5_3"/>
      <w:bookmarkStart w:id="182" w:name="Tc_qXKex9kJlkOCoRNE-0ZHYg_5_0"/>
      <w:bookmarkStart w:id="183" w:name="Tc_NbWWHU-4EU-I4g0S2gB2yg_4_0"/>
      <w:bookmarkStart w:id="184" w:name="Tc_2nNEFT6nvk-CqmwgqDFgxQ_3_6"/>
      <w:bookmarkStart w:id="185" w:name="Tc_BLcKrsjtdEK6JUnU9Pk-WQ_3_3"/>
      <w:bookmarkStart w:id="186" w:name="Tc_9XJBsulBsUC4QHTtr8voAA_2_3"/>
      <w:bookmarkStart w:id="187" w:name="Tc_zheh4G1OoEu0PosqaNZKlQ_1_3"/>
      <w:bookmarkStart w:id="188" w:name="_2febb93b_8b3c_490d_bd9a_aaed984714a7"/>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tbl>
      <w:tblPr>
        <w:tblW w:w="8853" w:type="dxa"/>
        <w:jc w:val="left"/>
        <w:tblInd w:w="0" w:type="dxa"/>
        <w:tblLayout w:type="fixed"/>
        <w:tblCellMar>
          <w:top w:w="0" w:type="dxa"/>
          <w:left w:w="0" w:type="dxa"/>
          <w:bottom w:w="0" w:type="dxa"/>
          <w:right w:w="0" w:type="dxa"/>
        </w:tblCellMar>
      </w:tblPr>
      <w:tblGrid>
        <w:gridCol w:w="5266"/>
        <w:gridCol w:w="326"/>
        <w:gridCol w:w="326"/>
        <w:gridCol w:w="211"/>
        <w:gridCol w:w="1036"/>
        <w:gridCol w:w="326"/>
        <w:gridCol w:w="211"/>
        <w:gridCol w:w="115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343910" cy="175260"/>
                      <wp:effectExtent l="0" t="0" r="0" b="0"/>
                      <wp:wrapNone/>
                      <wp:docPr id="31" name="Frame31"/>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57860" cy="175260"/>
                      <wp:effectExtent l="0" t="0" r="0" b="0"/>
                      <wp:wrapNone/>
                      <wp:docPr id="35" name="Frame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30885" cy="175260"/>
                      <wp:effectExtent l="0" t="0" r="0" b="0"/>
                      <wp:wrapNone/>
                      <wp:docPr id="38" name="Frame38"/>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93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9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5,483</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10,222</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15,705</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(15,705)</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(13,448)</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attributed to credit risk</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(13,448)</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67,453,897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63,667,468</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9" w:name="_Hlk131039955"/>
      <w:bookmarkStart w:id="190" w:name="_164e2070_9bd4_4a2a_8900_416061a26e03"/>
      <w:bookmarkEnd w:id="189"/>
      <w:bookmarkEnd w:id="190"/>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b/>
          <w:sz w:val="20"/>
        </w:rPr>
      </w:pPr>
      <w:bookmarkStart w:id="191" w:name="STOCKHOLDERSEQUITYDEFICIT_256664"/>
      <w:bookmarkEnd w:id="191"/>
      <w:r>
        <w:rPr>
          <w:rFonts w:ascii="Times New Roman;Times;serif" w:hAnsi="Times New Roman;Times;serif"/>
          <w:b/>
          <w:sz w:val="20"/>
        </w:rPr>
        <w:t>CONDENSED CONSOLIDATED STATEMENTS OF STOCKHOLDERS’ (DEFICIT)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92" w:name="Tc_VIixwGzVgUW0BMbMKRIE5w_11_16"/>
      <w:bookmarkStart w:id="193" w:name="Tc_KX6D6twCl0m0xtt05sLAOw_11_13"/>
      <w:bookmarkStart w:id="194" w:name="Tc_ILDrwWEZH0GvjAy4dNS0Lg_11_10"/>
      <w:bookmarkStart w:id="195" w:name="Tc_RQgqkQmO_ECO5vaNeGQ51Q_11_7"/>
      <w:bookmarkStart w:id="196" w:name="Tc_bHIHaBldUUWZgwOxeO2tKw_11_4"/>
      <w:bookmarkStart w:id="197" w:name="Tc_2HEtwLwCI0WkrekKzuWDdA_11_0"/>
      <w:bookmarkStart w:id="198" w:name="Tc_9rBdeLpQCka3-68zfONdCw_10_14"/>
      <w:bookmarkStart w:id="199" w:name="Tc_5wo_d17dUUSwHzwemlzsVg_10_8"/>
      <w:bookmarkStart w:id="200" w:name="Tc_Eb9aLJZ44ES-azIxw8Thog_10_5"/>
      <w:bookmarkStart w:id="201" w:name="Tc_FKOZvbqOWEC7-E8gZVDATA_10_2"/>
      <w:bookmarkStart w:id="202" w:name="Tc_TPI-YuPWwUGZvalOJW2PVw_10_0"/>
      <w:bookmarkStart w:id="203" w:name="Tc_ThMiDQuSuEWkCwviGwsebQ_9_14"/>
      <w:bookmarkStart w:id="204" w:name="Tc_24L0exUqfk6XDI-D3_pA6g_9_11"/>
      <w:bookmarkStart w:id="205" w:name="Tc_CQHdjPfs9kGfHjTyshw3kg_9_5"/>
      <w:bookmarkStart w:id="206" w:name="Tc_6LkNBllLjkmqoP-UWKdYTQ_9_2"/>
      <w:bookmarkStart w:id="207" w:name="Tc_7CEpFUprG0yTVHRFKx5NlQ_9_0"/>
      <w:bookmarkStart w:id="208" w:name="Tc_sJP1MliOyU6j7F8Vqbc1nA_8_11"/>
      <w:bookmarkStart w:id="209" w:name="Tc_rrzJNlrOOEm58Fzzn_-PuQ_8_8"/>
      <w:bookmarkStart w:id="210" w:name="Tc_FWNfMBOoNkCvS35di-heaw_8_5"/>
      <w:bookmarkStart w:id="211" w:name="Tc_ZTumiThcj0inok3G-kwHFQ_8_2"/>
      <w:bookmarkStart w:id="212" w:name="Tc_bMTZWXcnwkaJuieBm1Zo4A_8_0"/>
      <w:bookmarkStart w:id="213" w:name="Tc_cCBfbIIdQ065GgVjcb0LJg_7_14"/>
      <w:bookmarkStart w:id="214" w:name="Tc_XIw_3c4YukKZsZZZV0maXg_7_11"/>
      <w:bookmarkStart w:id="215" w:name="Tc_xDX4VSF-p0iw2AMDmu7ZPQ_7_0"/>
      <w:bookmarkStart w:id="216" w:name="Tc_IfJsyNfTDUGEZPgM5BXmjA_6_16"/>
      <w:bookmarkStart w:id="217" w:name="Tc_zVxaxRLQekupPeiEy-wzzg_6_14"/>
      <w:bookmarkStart w:id="218" w:name="Tc__O_HUtU-6EeOMYsp-KqF7g_6_13"/>
      <w:bookmarkStart w:id="219" w:name="Tc_epvEuuy1OEGGN534a3m_cg_6_10"/>
      <w:bookmarkStart w:id="220" w:name="Tc_Cj4pVLlaX0Kh1SFCFhQZ5w_6_7"/>
      <w:bookmarkStart w:id="221" w:name="Tc_6WLQ_dZ6306nekB2kfv3dA_6_4"/>
      <w:bookmarkStart w:id="222" w:name="Tc_Xq0-ja6Z_kuwA2Gd1P7mEQ_6_0"/>
      <w:bookmarkStart w:id="223" w:name="Tc_Fz9zaoOXJkSIJ_CyQHtezw_5_16"/>
      <w:bookmarkStart w:id="224" w:name="Tc_NwwjW02KLU6upPZYXZc_kQ_5_14"/>
      <w:bookmarkStart w:id="225" w:name="Tc_K6KpxMNrv06zoX99ftMZWw_5_10"/>
      <w:bookmarkStart w:id="226" w:name="Tc_0FRjMZAsD0auJ5f9oqQdPw_5_7"/>
      <w:bookmarkStart w:id="227" w:name="Tc_2xnZu_da4EGC2mhtS50BgA_5_4"/>
      <w:bookmarkStart w:id="228" w:name="Tc_QpdFow85pEu4Kg-bpVrHjQ_5_2"/>
      <w:bookmarkStart w:id="229" w:name="Tc_6V-Ic0HHBEONP8_zVJuzzQ_4_16"/>
      <w:bookmarkStart w:id="230" w:name="Tc_0P2vBpnPZkqSqKQutzXJiA_4_14"/>
      <w:bookmarkStart w:id="231" w:name="Tc_veEE1tCN1E2J06OQ-4nccw_4_10"/>
      <w:bookmarkStart w:id="232" w:name="Tc_Q5AwgnQR5Ean3FJNEF8WkA_4_7"/>
      <w:bookmarkStart w:id="233" w:name="Tc_LdzkOPAK7kuT1AoVwudaJA_4_2"/>
      <w:bookmarkStart w:id="234" w:name="Tc_6m08Vusqk0ie8hgnMbLYFg_3_16"/>
      <w:bookmarkStart w:id="235" w:name="Tc__bPtL5ZD4U2b3nCz5ng4wQ_3_14"/>
      <w:bookmarkStart w:id="236" w:name="Tc_jELzQ64S6kmTuHNmv3v5tw_3_7"/>
      <w:bookmarkStart w:id="237" w:name="_1fcfedaa_5fe9_472b_8bb4_862373321bb5"/>
      <w:bookmarkStart w:id="238" w:name="Tc_VIixwGzVgUW0BMbMKRIE5w_11_16"/>
      <w:bookmarkStart w:id="239" w:name="Tc_KX6D6twCl0m0xtt05sLAOw_11_13"/>
      <w:bookmarkStart w:id="240" w:name="Tc_ILDrwWEZH0GvjAy4dNS0Lg_11_10"/>
      <w:bookmarkStart w:id="241" w:name="Tc_RQgqkQmO_ECO5vaNeGQ51Q_11_7"/>
      <w:bookmarkStart w:id="242" w:name="Tc_bHIHaBldUUWZgwOxeO2tKw_11_4"/>
      <w:bookmarkStart w:id="243" w:name="Tc_2HEtwLwCI0WkrekKzuWDdA_11_0"/>
      <w:bookmarkStart w:id="244" w:name="Tc_9rBdeLpQCka3-68zfONdCw_10_14"/>
      <w:bookmarkStart w:id="245" w:name="Tc_5wo_d17dUUSwHzwemlzsVg_10_8"/>
      <w:bookmarkStart w:id="246" w:name="Tc_Eb9aLJZ44ES-azIxw8Thog_10_5"/>
      <w:bookmarkStart w:id="247" w:name="Tc_FKOZvbqOWEC7-E8gZVDATA_10_2"/>
      <w:bookmarkStart w:id="248" w:name="Tc_TPI-YuPWwUGZvalOJW2PVw_10_0"/>
      <w:bookmarkStart w:id="249" w:name="Tc_ThMiDQuSuEWkCwviGwsebQ_9_14"/>
      <w:bookmarkStart w:id="250" w:name="Tc_24L0exUqfk6XDI-D3_pA6g_9_11"/>
      <w:bookmarkStart w:id="251" w:name="Tc_CQHdjPfs9kGfHjTyshw3kg_9_5"/>
      <w:bookmarkStart w:id="252" w:name="Tc_6LkNBllLjkmqoP-UWKdYTQ_9_2"/>
      <w:bookmarkStart w:id="253" w:name="Tc_7CEpFUprG0yTVHRFKx5NlQ_9_0"/>
      <w:bookmarkStart w:id="254" w:name="Tc_sJP1MliOyU6j7F8Vqbc1nA_8_11"/>
      <w:bookmarkStart w:id="255" w:name="Tc_rrzJNlrOOEm58Fzzn_-PuQ_8_8"/>
      <w:bookmarkStart w:id="256" w:name="Tc_FWNfMBOoNkCvS35di-heaw_8_5"/>
      <w:bookmarkStart w:id="257" w:name="Tc_ZTumiThcj0inok3G-kwHFQ_8_2"/>
      <w:bookmarkStart w:id="258" w:name="Tc_bMTZWXcnwkaJuieBm1Zo4A_8_0"/>
      <w:bookmarkStart w:id="259" w:name="Tc_cCBfbIIdQ065GgVjcb0LJg_7_14"/>
      <w:bookmarkStart w:id="260" w:name="Tc_XIw_3c4YukKZsZZZV0maXg_7_11"/>
      <w:bookmarkStart w:id="261" w:name="Tc_xDX4VSF-p0iw2AMDmu7ZPQ_7_0"/>
      <w:bookmarkStart w:id="262" w:name="Tc_IfJsyNfTDUGEZPgM5BXmjA_6_16"/>
      <w:bookmarkStart w:id="263" w:name="Tc_zVxaxRLQekupPeiEy-wzzg_6_14"/>
      <w:bookmarkStart w:id="264" w:name="Tc__O_HUtU-6EeOMYsp-KqF7g_6_13"/>
      <w:bookmarkStart w:id="265" w:name="Tc_epvEuuy1OEGGN534a3m_cg_6_10"/>
      <w:bookmarkStart w:id="266" w:name="Tc_Cj4pVLlaX0Kh1SFCFhQZ5w_6_7"/>
      <w:bookmarkStart w:id="267" w:name="Tc_6WLQ_dZ6306nekB2kfv3dA_6_4"/>
      <w:bookmarkStart w:id="268" w:name="Tc_Xq0-ja6Z_kuwA2Gd1P7mEQ_6_0"/>
      <w:bookmarkStart w:id="269" w:name="Tc_Fz9zaoOXJkSIJ_CyQHtezw_5_16"/>
      <w:bookmarkStart w:id="270" w:name="Tc_NwwjW02KLU6upPZYXZc_kQ_5_14"/>
      <w:bookmarkStart w:id="271" w:name="Tc_K6KpxMNrv06zoX99ftMZWw_5_10"/>
      <w:bookmarkStart w:id="272" w:name="Tc_0FRjMZAsD0auJ5f9oqQdPw_5_7"/>
      <w:bookmarkStart w:id="273" w:name="Tc_2xnZu_da4EGC2mhtS50BgA_5_4"/>
      <w:bookmarkStart w:id="274" w:name="Tc_QpdFow85pEu4Kg-bpVrHjQ_5_2"/>
      <w:bookmarkStart w:id="275" w:name="Tc_6V-Ic0HHBEONP8_zVJuzzQ_4_16"/>
      <w:bookmarkStart w:id="276" w:name="Tc_0P2vBpnPZkqSqKQutzXJiA_4_14"/>
      <w:bookmarkStart w:id="277" w:name="Tc_veEE1tCN1E2J06OQ-4nccw_4_10"/>
      <w:bookmarkStart w:id="278" w:name="Tc_Q5AwgnQR5Ean3FJNEF8WkA_4_7"/>
      <w:bookmarkStart w:id="279" w:name="Tc_LdzkOPAK7kuT1AoVwudaJA_4_2"/>
      <w:bookmarkStart w:id="280" w:name="Tc_6m08Vusqk0ie8hgnMbLYFg_3_16"/>
      <w:bookmarkStart w:id="281" w:name="Tc__bPtL5ZD4U2b3nCz5ng4wQ_3_14"/>
      <w:bookmarkStart w:id="282" w:name="Tc_jELzQ64S6kmTuHNmv3v5tw_3_7"/>
      <w:bookmarkStart w:id="283" w:name="_1fcfedaa_5fe9_472b_8bb4_862373321bb5"/>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10205" w:type="dxa"/>
        <w:jc w:val="left"/>
        <w:tblInd w:w="0" w:type="dxa"/>
        <w:tblLayout w:type="fixed"/>
        <w:tblCellMar>
          <w:top w:w="0" w:type="dxa"/>
          <w:left w:w="0" w:type="dxa"/>
          <w:bottom w:w="0" w:type="dxa"/>
          <w:right w:w="0" w:type="dxa"/>
        </w:tblCellMar>
      </w:tblPr>
      <w:tblGrid>
        <w:gridCol w:w="3199"/>
        <w:gridCol w:w="109"/>
        <w:gridCol w:w="916"/>
        <w:gridCol w:w="109"/>
        <w:gridCol w:w="249"/>
        <w:gridCol w:w="442"/>
        <w:gridCol w:w="109"/>
        <w:gridCol w:w="196"/>
        <w:gridCol w:w="691"/>
        <w:gridCol w:w="109"/>
        <w:gridCol w:w="217"/>
        <w:gridCol w:w="834"/>
        <w:gridCol w:w="109"/>
        <w:gridCol w:w="196"/>
        <w:gridCol w:w="1410"/>
        <w:gridCol w:w="109"/>
        <w:gridCol w:w="259"/>
        <w:gridCol w:w="942"/>
      </w:tblGrid>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81660" cy="175260"/>
                      <wp:effectExtent l="0" t="0" r="0" b="0"/>
                      <wp:wrapNone/>
                      <wp:docPr id="40" name="Frame4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8115" cy="175260"/>
                      <wp:effectExtent l="0" t="0" r="0" b="0"/>
                      <wp:wrapNone/>
                      <wp:docPr id="42" name="Frame4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0670" cy="175260"/>
                      <wp:effectExtent l="0" t="0" r="0" b="0"/>
                      <wp:wrapNone/>
                      <wp:docPr id="43" name="Frame4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6"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7795" cy="175260"/>
                      <wp:effectExtent l="0" t="0" r="0" b="0"/>
                      <wp:wrapNone/>
                      <wp:docPr id="48" name="Frame4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9590" cy="175260"/>
                      <wp:effectExtent l="0" t="0" r="0" b="0"/>
                      <wp:wrapNone/>
                      <wp:docPr id="49" name="Frame4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95350" cy="175260"/>
                      <wp:effectExtent l="0" t="0" r="0" b="0"/>
                      <wp:wrapNone/>
                      <wp:docPr id="52" name="Frame52"/>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64465" cy="175260"/>
                      <wp:effectExtent l="0" t="0" r="0" b="0"/>
                      <wp:wrapNone/>
                      <wp:docPr id="54" name="Frame54"/>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8170" cy="175260"/>
                      <wp:effectExtent l="0" t="0" r="0" b="0"/>
                      <wp:wrapNone/>
                      <wp:docPr id="55" name="Frame55"/>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4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r>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4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109"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4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109"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 Equity</w:t>
            </w:r>
          </w:p>
        </w:tc>
      </w:tr>
      <w:tr>
        <w:trPr/>
        <w:tc>
          <w:tcPr>
            <w:tcW w:w="3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66,442,989</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230,339</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(222,997)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4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7,409</w:t>
            </w:r>
          </w:p>
        </w:tc>
      </w:tr>
      <w:tr>
        <w:trPr/>
        <w:tc>
          <w:tcPr>
            <w:tcW w:w="3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and warrants issued, net of issuance costs $351</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3,866,666</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2,542</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4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2,545</w:t>
            </w:r>
          </w:p>
        </w:tc>
      </w:tr>
      <w:tr>
        <w:trPr/>
        <w:tc>
          <w:tcPr>
            <w:tcW w:w="3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convertible note attributed to credit risk</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4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3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4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r>
      <w:tr>
        <w:trPr/>
        <w:tc>
          <w:tcPr>
            <w:tcW w:w="3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r>
      <w:tr>
        <w:trPr/>
        <w:tc>
          <w:tcPr>
            <w:tcW w:w="319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 March 31, 2023</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70,309,655</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233,576</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(234,036)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41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(284)</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84" w:name="Tc_N2oEetkTr02tm_Vq72PBBg_10_13"/>
      <w:bookmarkStart w:id="285" w:name="Tc_jXmvlqyd0kqcK_gvrY-ByA_10_10"/>
      <w:bookmarkStart w:id="286" w:name="Tc_RM2kRFh-G0ubwYKP4FSIaw_10_7"/>
      <w:bookmarkStart w:id="287" w:name="Tc_O3B2ZYf4jkqRMVDi7rnfDg_10_4"/>
      <w:bookmarkStart w:id="288" w:name="Tc_Ecz5kl-OaEGP9Hlro888xA_10_0"/>
      <w:bookmarkStart w:id="289" w:name="Tc_bUN7kwkq0Ey9faGYZLvu4Q_9_8"/>
      <w:bookmarkStart w:id="290" w:name="Tc_mOWCiGSAaEKuylbb1bCLQA_9_5"/>
      <w:bookmarkStart w:id="291" w:name="Tc_WNDc0e2V2kO65GE9ajI7Fw_9_2"/>
      <w:bookmarkStart w:id="292" w:name="Tc_xC9Jp1_zXU63tFi6LJhSYw_9_0"/>
      <w:bookmarkStart w:id="293" w:name="Tc_3TQtFRWZ5kGFGkgJ0xBM0A_8_11"/>
      <w:bookmarkStart w:id="294" w:name="Tc_P6igHGJz7kOcWYkzMEIyqw_8_5"/>
      <w:bookmarkStart w:id="295" w:name="Tc_bvpGVeES7k6FXeQtCwW1Ng_8_2"/>
      <w:bookmarkStart w:id="296" w:name="Tc_43DPhm04e02YLIc_59uV4A_8_0"/>
      <w:bookmarkStart w:id="297" w:name="Tc_gPcjHmoNckKQ4OvETASC_g_7_11"/>
      <w:bookmarkStart w:id="298" w:name="Tc_qL426L_RPEeikC6AGRCTtw_7_5"/>
      <w:bookmarkStart w:id="299" w:name="Tc_Kndn6wDRtkyeUAsJb1kARg_7_0"/>
      <w:bookmarkStart w:id="300" w:name="Tc_MLcSnuuwwkO7Fecfhp0j_g_6_11"/>
      <w:bookmarkStart w:id="301" w:name="Tc_5h7iWpKWJk6qYsBx-3BD1w_6_0"/>
      <w:bookmarkStart w:id="302" w:name="Tc_eRrZI1vkVkeGEN2Mf9Tp7Q_5_13"/>
      <w:bookmarkStart w:id="303" w:name="Tc_Cs5DlsGYIEKmhfzz7hN6aQ_5_10"/>
      <w:bookmarkStart w:id="304" w:name="Tc_SYl6p-jKsUWK4Simu2U7MA_5_7"/>
      <w:bookmarkStart w:id="305" w:name="Tc_Bpix0tgQ0EaxhwR44dY5sg_5_4"/>
      <w:bookmarkStart w:id="306" w:name="Tc_KXWJeGcyO0yfB9ZQI3fkQQ_5_0"/>
      <w:bookmarkStart w:id="307" w:name="Tc_9_drMznqzUCt6JpIS0sexg_4_13"/>
      <w:bookmarkStart w:id="308" w:name="Tc_Ai4Wt2JjMUSsTpqKFJclLg_4_10"/>
      <w:bookmarkStart w:id="309" w:name="Tc_aNXED3s_tEWod4-4AcO7qg_4_7"/>
      <w:bookmarkStart w:id="310" w:name="Tc_trYaPCUa8U-L5C0C3V_Vdw_4_4"/>
      <w:bookmarkStart w:id="311" w:name="Tc_YAK64f2IgkaJs6X8sx_n2w_4_2"/>
      <w:bookmarkStart w:id="312" w:name="Tc_4U4DFUFDjUWXhql4CQygsg_3_13"/>
      <w:bookmarkStart w:id="313" w:name="Tc_1aJ-I7WoQ0CqVpsWja5N2g_3_10"/>
      <w:bookmarkStart w:id="314" w:name="Tc_SvPROlum9USSHnIhbuHmlA_3_7"/>
      <w:bookmarkStart w:id="315" w:name="Tc_mkQb0_8xUUiMcE6XF4fgZQ_3_2"/>
      <w:bookmarkStart w:id="316" w:name="Tc_M8SEp1RDIUup3cwyPvzbHQ_2_13"/>
      <w:bookmarkStart w:id="317" w:name="Tc_pBeIIVdnS0i4ZA2fQdnJaQ_2_7"/>
      <w:bookmarkStart w:id="318" w:name="_a000cb75_e4a7_424a_878d_fb7c18ff6009"/>
      <w:bookmarkStart w:id="319" w:name="Tc_N2oEetkTr02tm_Vq72PBBg_10_13"/>
      <w:bookmarkStart w:id="320" w:name="Tc_jXmvlqyd0kqcK_gvrY-ByA_10_10"/>
      <w:bookmarkStart w:id="321" w:name="Tc_RM2kRFh-G0ubwYKP4FSIaw_10_7"/>
      <w:bookmarkStart w:id="322" w:name="Tc_O3B2ZYf4jkqRMVDi7rnfDg_10_4"/>
      <w:bookmarkStart w:id="323" w:name="Tc_Ecz5kl-OaEGP9Hlro888xA_10_0"/>
      <w:bookmarkStart w:id="324" w:name="Tc_bUN7kwkq0Ey9faGYZLvu4Q_9_8"/>
      <w:bookmarkStart w:id="325" w:name="Tc_mOWCiGSAaEKuylbb1bCLQA_9_5"/>
      <w:bookmarkStart w:id="326" w:name="Tc_WNDc0e2V2kO65GE9ajI7Fw_9_2"/>
      <w:bookmarkStart w:id="327" w:name="Tc_xC9Jp1_zXU63tFi6LJhSYw_9_0"/>
      <w:bookmarkStart w:id="328" w:name="Tc_3TQtFRWZ5kGFGkgJ0xBM0A_8_11"/>
      <w:bookmarkStart w:id="329" w:name="Tc_P6igHGJz7kOcWYkzMEIyqw_8_5"/>
      <w:bookmarkStart w:id="330" w:name="Tc_bvpGVeES7k6FXeQtCwW1Ng_8_2"/>
      <w:bookmarkStart w:id="331" w:name="Tc_43DPhm04e02YLIc_59uV4A_8_0"/>
      <w:bookmarkStart w:id="332" w:name="Tc_gPcjHmoNckKQ4OvETASC_g_7_11"/>
      <w:bookmarkStart w:id="333" w:name="Tc_qL426L_RPEeikC6AGRCTtw_7_5"/>
      <w:bookmarkStart w:id="334" w:name="Tc_Kndn6wDRtkyeUAsJb1kARg_7_0"/>
      <w:bookmarkStart w:id="335" w:name="Tc_MLcSnuuwwkO7Fecfhp0j_g_6_11"/>
      <w:bookmarkStart w:id="336" w:name="Tc_5h7iWpKWJk6qYsBx-3BD1w_6_0"/>
      <w:bookmarkStart w:id="337" w:name="Tc_eRrZI1vkVkeGEN2Mf9Tp7Q_5_13"/>
      <w:bookmarkStart w:id="338" w:name="Tc_Cs5DlsGYIEKmhfzz7hN6aQ_5_10"/>
      <w:bookmarkStart w:id="339" w:name="Tc_SYl6p-jKsUWK4Simu2U7MA_5_7"/>
      <w:bookmarkStart w:id="340" w:name="Tc_Bpix0tgQ0EaxhwR44dY5sg_5_4"/>
      <w:bookmarkStart w:id="341" w:name="Tc_KXWJeGcyO0yfB9ZQI3fkQQ_5_0"/>
      <w:bookmarkStart w:id="342" w:name="Tc_9_drMznqzUCt6JpIS0sexg_4_13"/>
      <w:bookmarkStart w:id="343" w:name="Tc_Ai4Wt2JjMUSsTpqKFJclLg_4_10"/>
      <w:bookmarkStart w:id="344" w:name="Tc_aNXED3s_tEWod4-4AcO7qg_4_7"/>
      <w:bookmarkStart w:id="345" w:name="Tc_trYaPCUa8U-L5C0C3V_Vdw_4_4"/>
      <w:bookmarkStart w:id="346" w:name="Tc_YAK64f2IgkaJs6X8sx_n2w_4_2"/>
      <w:bookmarkStart w:id="347" w:name="Tc_4U4DFUFDjUWXhql4CQygsg_3_13"/>
      <w:bookmarkStart w:id="348" w:name="Tc_1aJ-I7WoQ0CqVpsWja5N2g_3_10"/>
      <w:bookmarkStart w:id="349" w:name="Tc_SvPROlum9USSHnIhbuHmlA_3_7"/>
      <w:bookmarkStart w:id="350" w:name="Tc_mkQb0_8xUUiMcE6XF4fgZQ_3_2"/>
      <w:bookmarkStart w:id="351" w:name="Tc_M8SEp1RDIUup3cwyPvzbHQ_2_13"/>
      <w:bookmarkStart w:id="352" w:name="Tc_pBeIIVdnS0i4ZA2fQdnJaQ_2_7"/>
      <w:bookmarkStart w:id="353" w:name="_a000cb75_e4a7_424a_878d_fb7c18ff6009"/>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tbl>
      <w:tblPr>
        <w:tblW w:w="10205" w:type="dxa"/>
        <w:jc w:val="left"/>
        <w:tblInd w:w="0" w:type="dxa"/>
        <w:tblLayout w:type="fixed"/>
        <w:tblCellMar>
          <w:top w:w="0" w:type="dxa"/>
          <w:left w:w="0" w:type="dxa"/>
          <w:bottom w:w="0" w:type="dxa"/>
          <w:right w:w="0" w:type="dxa"/>
        </w:tblCellMar>
      </w:tblPr>
      <w:tblGrid>
        <w:gridCol w:w="4133"/>
        <w:gridCol w:w="326"/>
        <w:gridCol w:w="916"/>
        <w:gridCol w:w="326"/>
        <w:gridCol w:w="249"/>
        <w:gridCol w:w="442"/>
        <w:gridCol w:w="326"/>
        <w:gridCol w:w="196"/>
        <w:gridCol w:w="691"/>
        <w:gridCol w:w="326"/>
        <w:gridCol w:w="217"/>
        <w:gridCol w:w="834"/>
        <w:gridCol w:w="109"/>
        <w:gridCol w:w="240"/>
        <w:gridCol w:w="874"/>
      </w:tblGrid>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1660" cy="175260"/>
                      <wp:effectExtent l="0" t="0" r="0" b="0"/>
                      <wp:wrapNone/>
                      <wp:docPr id="57" name="Frame5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59" name="Frame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0670" cy="175260"/>
                      <wp:effectExtent l="0" t="0" r="0" b="0"/>
                      <wp:wrapNone/>
                      <wp:docPr id="60" name="Frame6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785" cy="175260"/>
                      <wp:effectExtent l="0" t="0" r="0" b="0"/>
                      <wp:wrapNone/>
                      <wp:docPr id="63" name="Frame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7795" cy="175260"/>
                      <wp:effectExtent l="0" t="0" r="0" b="0"/>
                      <wp:wrapNone/>
                      <wp:docPr id="65" name="Frame6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29590" cy="175260"/>
                      <wp:effectExtent l="0" t="0" r="0" b="0"/>
                      <wp:wrapNone/>
                      <wp:docPr id="66" name="Frame66"/>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2400" cy="175260"/>
                      <wp:effectExtent l="0" t="0" r="0" b="0"/>
                      <wp:wrapNone/>
                      <wp:docPr id="68" name="Frame6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54990" cy="175260"/>
                      <wp:effectExtent l="0" t="0" r="0" b="0"/>
                      <wp:wrapNone/>
                      <wp:docPr id="69" name="Frame6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58,810,550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203,990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(183,243)</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20,806</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and warrants issued in private placement, net of issuance costs of $2,020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7,824,727</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22,972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for consulting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(13,448)</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(13,448)</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March 31, 2022</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66,641,314</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228,313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(196,691)</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4" w:type="dxa"/>
            <w:tcBorders/>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31,689</w:t>
            </w:r>
          </w:p>
        </w:tc>
      </w:tr>
    </w:tbl>
    <w:p>
      <w:pPr>
        <w:pStyle w:val="TextBody"/>
        <w:bidi w:val="0"/>
        <w:spacing w:before="0" w:after="24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4"/>
        </w:rPr>
      </w:pPr>
      <w:bookmarkStart w:id="354" w:name="_35571e11_dee6_4b8b_b34e_694a1b652918"/>
      <w:bookmarkEnd w:id="354"/>
      <w:r>
        <w:rPr>
          <w:rFonts w:ascii="Times New Roman;Times;serif" w:hAnsi="Times New Roman;Times;serif"/>
          <w:b/>
          <w:sz w:val="14"/>
        </w:rPr>
        <w:t>NRX PHARMACEUTICALS, INC.</w:t>
      </w:r>
    </w:p>
    <w:p>
      <w:pPr>
        <w:pStyle w:val="TextBody"/>
        <w:bidi w:val="0"/>
        <w:spacing w:before="0" w:after="0"/>
        <w:ind w:left="0" w:right="0" w:hanging="0"/>
        <w:jc w:val="center"/>
        <w:rPr>
          <w:rFonts w:ascii="Times New Roman;Times;serif" w:hAnsi="Times New Roman;Times;serif"/>
          <w:b/>
          <w:sz w:val="14"/>
        </w:rPr>
      </w:pPr>
      <w:bookmarkStart w:id="355" w:name="CASHFLOWS_9910"/>
      <w:bookmarkEnd w:id="355"/>
      <w:r>
        <w:rPr>
          <w:rFonts w:ascii="Times New Roman;Times;serif" w:hAnsi="Times New Roman;Times;serif"/>
          <w:b/>
          <w:sz w:val="14"/>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56" w:name="Tc_vXjTbVDCzUiqNq5FUI0LFA_30_5"/>
      <w:bookmarkStart w:id="357" w:name="Tc_NH2EeH970UKsAWBZ3WqFFQ_30_3"/>
      <w:bookmarkStart w:id="358" w:name="Tc_jO_yJcR97UOMZLzgz-lyOA_30_2"/>
      <w:bookmarkStart w:id="359" w:name="Tc_rfg40OhcBkOtHkAkLARm1A_30_0"/>
      <w:bookmarkStart w:id="360" w:name="Tc_u-86R-q0X0Gsqu_MGquMEA_29_5"/>
      <w:bookmarkStart w:id="361" w:name="Tc__YgOp7FQWE6SpHihTIgoeA_29_3"/>
      <w:bookmarkStart w:id="362" w:name="Tc_nK7YPR8QLEKB-Shs7U3CdA_29_2"/>
      <w:bookmarkStart w:id="363" w:name="Tc_XGuQCiEbkEG6MtqXmojcHg_29_0"/>
      <w:bookmarkStart w:id="364" w:name="Tc_dFA1ic-XdUuIcIiURfpa2A_28_0"/>
      <w:bookmarkStart w:id="365" w:name="Tc_lETrjd5m8k6cQS0ZdsgvLw_27_0"/>
      <w:bookmarkStart w:id="366" w:name="Tc_Fv_Gu5MHrUG1Z3B4aWUY4A_26_5"/>
      <w:bookmarkStart w:id="367" w:name="Tc_BJMSkqGQ4Uan43uCVmvO0A_26_2"/>
      <w:bookmarkStart w:id="368" w:name="Tc_GBd55VCCT0mWG5GVq5IsDA_26_0"/>
      <w:bookmarkStart w:id="369" w:name="Tc_WAlsnNQc0E2hWgPm0kgwCA_25_0"/>
      <w:bookmarkStart w:id="370" w:name="Tc_viZXh29gZkuETVOJSUUm1g_24_0"/>
      <w:bookmarkStart w:id="371" w:name="Tc_MpRgd-V860u50hIu9pBV6A_22_0"/>
      <w:bookmarkStart w:id="372" w:name="Tc_DvMIfl9Bm0-Hsct_oLbh2A_21_0"/>
      <w:bookmarkStart w:id="373" w:name="Tc_ji7j3ry2xEintiS0YwEQcg_20_0"/>
      <w:bookmarkStart w:id="374" w:name="Tc_kiNfndJQJ0KVIe6UebBlQw_19_0"/>
      <w:bookmarkStart w:id="375" w:name="Tc_3z6nyoxa8kekF3lU9l-mYA_18_0"/>
      <w:bookmarkStart w:id="376" w:name="Tc_TkHXoSfN706lhofjyXG_qg_17_0"/>
      <w:bookmarkStart w:id="377" w:name="Tc_6eQKHB3l40KrVv8k69-mMw_16_0"/>
      <w:bookmarkStart w:id="378" w:name="Tc_GnVzv9EKV06RptE2SXqYqQ_15_0"/>
      <w:bookmarkStart w:id="379" w:name="Tc_U_2lI0_XdUCwzaADK3MhmQ_14_0"/>
      <w:bookmarkStart w:id="380" w:name="Tc_xu4CwLTnpke7jvwLMVftXg_13_0"/>
      <w:bookmarkStart w:id="381" w:name="Tc_zzbqv7qUKEuMqJW-tN5lKA_12_0"/>
      <w:bookmarkStart w:id="382" w:name="Tc_F8JgoP92uEmg4vCyj3AFWg_11_3"/>
      <w:bookmarkStart w:id="383" w:name="Tc_h5-4WENet0ijONAOovf_Hg_11_0"/>
      <w:bookmarkStart w:id="384" w:name="Tc_9daCxQYsJUqqQZ1HlVwLKQ_10_6"/>
      <w:bookmarkStart w:id="385" w:name="Tc_reOaPb285kyVa_ZhVaWYPQ_10_0"/>
      <w:bookmarkStart w:id="386" w:name="Tc_lMMJ2kJG_UOJrgmylx_0Ig_9_3"/>
      <w:bookmarkStart w:id="387" w:name="Tc__5OpzroXJ0GQsPqcqO7LUg_9_0"/>
      <w:bookmarkStart w:id="388" w:name="Tc_ym4NdABNXk2QDJ7MmnJzfg_8_0"/>
      <w:bookmarkStart w:id="389" w:name="Tc_iUfPquAvuUCXxQqoBKvZ4A_7_0"/>
      <w:bookmarkStart w:id="390" w:name="Tc_MvlHIh84L0Wc5eCXoxBs_w_6_0"/>
      <w:bookmarkStart w:id="391" w:name="Tc_cm-m1ulAQEyhcbSGTOQRVA_5_0"/>
      <w:bookmarkStart w:id="392" w:name="Tc_uZGZdMwjbkCfplIiM3QWFQ_4_5"/>
      <w:bookmarkStart w:id="393" w:name="Tc_cnj0NslAXUepj8G9lYGfYQ_4_2"/>
      <w:bookmarkStart w:id="394" w:name="Tc_FFn4OY1FAUmNd7__642T1g_4_0"/>
      <w:bookmarkStart w:id="395" w:name="Tc_tG5O5MDrakCVjP6TwiAAxw_3_0"/>
      <w:bookmarkStart w:id="396" w:name="Tc_-C-YqJ4eskaOSo1iL0vORg_2_5"/>
      <w:bookmarkStart w:id="397" w:name="Tc_Wt0Y7AUjiUuH8I0nnBL98A_2_2"/>
      <w:bookmarkStart w:id="398" w:name="Tc_04UluAffWE2yvzaWQ_7edw_1_2"/>
      <w:bookmarkStart w:id="399" w:name="_b366b8a2_df1e_4d62_bb3e_61c139c67ae4"/>
      <w:bookmarkStart w:id="400" w:name="Tc_vXjTbVDCzUiqNq5FUI0LFA_30_5"/>
      <w:bookmarkStart w:id="401" w:name="Tc_NH2EeH970UKsAWBZ3WqFFQ_30_3"/>
      <w:bookmarkStart w:id="402" w:name="Tc_jO_yJcR97UOMZLzgz-lyOA_30_2"/>
      <w:bookmarkStart w:id="403" w:name="Tc_rfg40OhcBkOtHkAkLARm1A_30_0"/>
      <w:bookmarkStart w:id="404" w:name="Tc_u-86R-q0X0Gsqu_MGquMEA_29_5"/>
      <w:bookmarkStart w:id="405" w:name="Tc__YgOp7FQWE6SpHihTIgoeA_29_3"/>
      <w:bookmarkStart w:id="406" w:name="Tc_nK7YPR8QLEKB-Shs7U3CdA_29_2"/>
      <w:bookmarkStart w:id="407" w:name="Tc_XGuQCiEbkEG6MtqXmojcHg_29_0"/>
      <w:bookmarkStart w:id="408" w:name="Tc_dFA1ic-XdUuIcIiURfpa2A_28_0"/>
      <w:bookmarkStart w:id="409" w:name="Tc_lETrjd5m8k6cQS0ZdsgvLw_27_0"/>
      <w:bookmarkStart w:id="410" w:name="Tc_Fv_Gu5MHrUG1Z3B4aWUY4A_26_5"/>
      <w:bookmarkStart w:id="411" w:name="Tc_BJMSkqGQ4Uan43uCVmvO0A_26_2"/>
      <w:bookmarkStart w:id="412" w:name="Tc_GBd55VCCT0mWG5GVq5IsDA_26_0"/>
      <w:bookmarkStart w:id="413" w:name="Tc_WAlsnNQc0E2hWgPm0kgwCA_25_0"/>
      <w:bookmarkStart w:id="414" w:name="Tc_viZXh29gZkuETVOJSUUm1g_24_0"/>
      <w:bookmarkStart w:id="415" w:name="Tc_MpRgd-V860u50hIu9pBV6A_22_0"/>
      <w:bookmarkStart w:id="416" w:name="Tc_DvMIfl9Bm0-Hsct_oLbh2A_21_0"/>
      <w:bookmarkStart w:id="417" w:name="Tc_ji7j3ry2xEintiS0YwEQcg_20_0"/>
      <w:bookmarkStart w:id="418" w:name="Tc_kiNfndJQJ0KVIe6UebBlQw_19_0"/>
      <w:bookmarkStart w:id="419" w:name="Tc_3z6nyoxa8kekF3lU9l-mYA_18_0"/>
      <w:bookmarkStart w:id="420" w:name="Tc_TkHXoSfN706lhofjyXG_qg_17_0"/>
      <w:bookmarkStart w:id="421" w:name="Tc_6eQKHB3l40KrVv8k69-mMw_16_0"/>
      <w:bookmarkStart w:id="422" w:name="Tc_GnVzv9EKV06RptE2SXqYqQ_15_0"/>
      <w:bookmarkStart w:id="423" w:name="Tc_U_2lI0_XdUCwzaADK3MhmQ_14_0"/>
      <w:bookmarkStart w:id="424" w:name="Tc_xu4CwLTnpke7jvwLMVftXg_13_0"/>
      <w:bookmarkStart w:id="425" w:name="Tc_zzbqv7qUKEuMqJW-tN5lKA_12_0"/>
      <w:bookmarkStart w:id="426" w:name="Tc_F8JgoP92uEmg4vCyj3AFWg_11_3"/>
      <w:bookmarkStart w:id="427" w:name="Tc_h5-4WENet0ijONAOovf_Hg_11_0"/>
      <w:bookmarkStart w:id="428" w:name="Tc_9daCxQYsJUqqQZ1HlVwLKQ_10_6"/>
      <w:bookmarkStart w:id="429" w:name="Tc_reOaPb285kyVa_ZhVaWYPQ_10_0"/>
      <w:bookmarkStart w:id="430" w:name="Tc_lMMJ2kJG_UOJrgmylx_0Ig_9_3"/>
      <w:bookmarkStart w:id="431" w:name="Tc__5OpzroXJ0GQsPqcqO7LUg_9_0"/>
      <w:bookmarkStart w:id="432" w:name="Tc_ym4NdABNXk2QDJ7MmnJzfg_8_0"/>
      <w:bookmarkStart w:id="433" w:name="Tc_iUfPquAvuUCXxQqoBKvZ4A_7_0"/>
      <w:bookmarkStart w:id="434" w:name="Tc_MvlHIh84L0Wc5eCXoxBs_w_6_0"/>
      <w:bookmarkStart w:id="435" w:name="Tc_cm-m1ulAQEyhcbSGTOQRVA_5_0"/>
      <w:bookmarkStart w:id="436" w:name="Tc_uZGZdMwjbkCfplIiM3QWFQ_4_5"/>
      <w:bookmarkStart w:id="437" w:name="Tc_cnj0NslAXUepj8G9lYGfYQ_4_2"/>
      <w:bookmarkStart w:id="438" w:name="Tc_FFn4OY1FAUmNd7__642T1g_4_0"/>
      <w:bookmarkStart w:id="439" w:name="Tc_tG5O5MDrakCVjP6TwiAAxw_3_0"/>
      <w:bookmarkStart w:id="440" w:name="Tc_-C-YqJ4eskaOSo1iL0vORg_2_5"/>
      <w:bookmarkStart w:id="441" w:name="Tc_Wt0Y7AUjiUuH8I0nnBL98A_2_2"/>
      <w:bookmarkStart w:id="442" w:name="Tc_04UluAffWE2yvzaWQ_7edw_1_2"/>
      <w:bookmarkStart w:id="443" w:name="_b366b8a2_df1e_4d62_bb3e_61c139c67ae4"/>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tbl>
      <w:tblPr>
        <w:tblW w:w="10205" w:type="dxa"/>
        <w:jc w:val="left"/>
        <w:tblInd w:w="0" w:type="dxa"/>
        <w:tblLayout w:type="fixed"/>
        <w:tblCellMar>
          <w:top w:w="0" w:type="dxa"/>
          <w:left w:w="0" w:type="dxa"/>
          <w:bottom w:w="0" w:type="dxa"/>
          <w:right w:w="0" w:type="dxa"/>
        </w:tblCellMar>
      </w:tblPr>
      <w:tblGrid>
        <w:gridCol w:w="7499"/>
        <w:gridCol w:w="326"/>
        <w:gridCol w:w="211"/>
        <w:gridCol w:w="791"/>
        <w:gridCol w:w="327"/>
        <w:gridCol w:w="211"/>
        <w:gridCol w:w="840"/>
      </w:tblGrid>
      <w:tr>
        <w:trPr/>
        <w:tc>
          <w:tcPr>
            <w:tcW w:w="7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61865" cy="175260"/>
                      <wp:effectExtent l="0" t="0" r="0" b="0"/>
                      <wp:wrapNone/>
                      <wp:docPr id="70" name="Frame70"/>
                      <a:graphic xmlns:a="http://schemas.openxmlformats.org/drawingml/2006/main">
                        <a:graphicData uri="http://schemas.microsoft.com/office/word/2010/wordprocessingShape">
                          <wps:wsp>
                            <wps:cNvSpPr txBox="1"/>
                            <wps:spPr>
                              <a:xfrm>
                                <a:off x="0" y="0"/>
                                <a:ext cx="4761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2285" cy="175260"/>
                      <wp:effectExtent l="0" t="0" r="0" b="0"/>
                      <wp:wrapNone/>
                      <wp:docPr id="73" name="Frame7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645" cy="175260"/>
                      <wp:effectExtent l="0" t="0" r="0" b="0"/>
                      <wp:wrapNone/>
                      <wp:docPr id="74" name="Frame7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33400" cy="175260"/>
                      <wp:effectExtent l="0" t="0" r="0" b="0"/>
                      <wp:wrapNone/>
                      <wp:docPr id="76" name="Frame7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74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7"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  </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(13,448)</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(10,380)</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issuance of common stock and warrants issued in private placement, net of issuance costs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22,980</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22,980</w:t>
            </w:r>
          </w:p>
        </w:tc>
      </w:tr>
      <w:tr>
        <w:trPr/>
        <w:tc>
          <w:tcPr>
            <w:tcW w:w="74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12,597</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27,605</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16,506</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40,202</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  </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  </w:t>
            </w:r>
          </w:p>
        </w:tc>
      </w:tr>
      <w:tr>
        <w:trPr/>
        <w:tc>
          <w:tcPr>
            <w:tcW w:w="7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warrants as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7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for settlement of accrued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444" w:name="a1Organization_922140"/>
      <w:bookmarkEnd w:id="444"/>
      <w:r>
        <w:rPr>
          <w:rFonts w:ascii="Times New Roman;Times;serif" w:hAnsi="Times New Roman;Times;serif"/>
          <w:b/>
          <w:sz w:val="20"/>
        </w:rPr>
        <w:t>1. Organization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clinical-stage pharmaceutical company which applies innovative science to known molecules to develop life-saving medicines through its wholly-owned operating subsidiary, NeuroRx. The Company's foundation product, NRX-101 (D-cylcoserine/Lurasidone),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engaged in the development of NRX-101, a fixed dose combination of D-cycloserine and lurasidone for the treatment of suicidal bipolar depression and potentially for other future indications. NRX-101 has been granted Fast Track Designation, Breakthrough Therapy Designation, a Special Protocol Agreement, and a Biomarker Letter of Support by the US Food and Drug Administration (FDA). In January 2023 the Company met with the FDA and was guided to expand its intended use of NRX-101 from the original population of patients with acute suicidality who might be treated in the hospital environment to the broader population of patients with subacute suicidal ideation (now described by the Company as Treatment-Resistant Bipolar Depression) who are treated in the outpatient setting. This broader population of patients are the current target population of the ongoing clinical trial.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guidance of FDA and the Company’s completion of manufacturing for phase 3/commercial stage investigational product, the Company upgraded the ongoing clinical trial to a phase 2b/3 trial, the results of which have the potential to be used for registrational filings. The Company is engaged in that ongoing clinical trial of NRX-101 vs. lurasidone in patients with treatment-resistant bipolar depression with the objective of demonstrating a decreased in depression scores and scores of suicidal ideation in patients treated with NRX-101 compared to those treated with lurasidone alone.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trial was originally begun as an exploratory study in Q2 2022. In Q1 2023 the study’s independent Data Safety Monitoring Board (DSMB) reviewed both safety and unblinded efficacy data for the first 50 patients in the clinical trial and advised the Company that no safety concerns were identified. Moreover, the DSMB did not identify a futility signal, suggesting that the trial has potential to demonstrate a statistically significant outcome with additional enrollment. On this basis, the DSMB advised management to continue enrolling study participants.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first quarter of 2023, the Company refined its ability to validate the psychometric ratings that are used to assess the efficacy endpoints for the clinical trial. The Company relies upon a team of veteran raters who both train independent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site rates and monitor the technical quality of each rating. A standard was set of 90% or better concordance between the Company’s veteran rating team and site raters. This standard was met for all study participants whose ratings were obtained in their primary language and management believes that this standard can be maintained for the duration of the trial.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2023, the Company contracted with 1nHealth to initiate a recruitment campaign that may cover up to 45 states in the US to recruit sufficient participants for this enlarged trial. The Company has similarly broadened its relationship with Science 37, a contract research organization that conducts decentralized clinical trials, to enroll participants identified by the 1nHealth recruitment initiative and randomize them to be treated within the broadened clinical trial. 1nHealth has additionally engaged “The Mighty,” a voice-of-the-patient organization with national reach to publicize the clinical trial to the 800,000+ subscribers who have indicated a focus on bipolar depression and suicidality.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Q1 2023, the Company announced the participation of Prof. Andrew Nierenberg, M.D., Head of the Massachusetts General Hospital (MGH) Dauton Family Center for Bipolar Treatment Innovation as the Principal Investigator of the clinical trial. The Company has now initiated clinical trial sites at Northwestern University (Chicago) and University of Texas, Austin, in addition to commercial research sites.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continued to engage in a strategic conversation focused on funding the drug approval and commercialization. In parallel, the Company has established an ongoing dialogue with Streeterville Capital LLC, the Company’s current debt lender, to configure the Company’s current debt facility to best support the ongoing needs of the clinical trial.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now completed manufacture of all clinical supplies required for its ongoing clinical trials. This initiative is expected to yield stability data sufficient to support a shelf life in excess of two years at time of potential drug launch (should the clinical trials be successful). The completion of this manufacturing milestone may allow the Company to decrease ongoing expenditure associated with manufacturing and development of chemical manufacturing controls.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$16.5 million in cash. Since inception, the Company has experienced net losses and negative cash flows from operations each fiscal year. The Company has no revenues and expects to continue to incur operating losses for the foreseeable future and may never become profitable. The Company believes that it has the funds necessary to support its ongoing clinical trial, which is expected to be completed in the fourth quarter of 2023.  The Company’s ability to support its ongoing capital needs is dependent on its ability to continue to raise equity and/or debt financing to continue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dependent on its ability to continue to raise equity and/or debt financing to continue operations.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(the “Securities Purchase Agreement”) with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 Warrants have an exercise price of $0.75 per share, are exercisable beginning on September 8, 2023 (the “Initial Exercise Date”) and will expire 5 years from the Initial Exercise Date.  The aggregate gross proceeds to the Company from the Offering were approximately $2.9 million. The Company intends to use the net proceeds from such offering for working capital and general corporate purposes. The closing of the sale of these securities occurred on March 9,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ongoing clinical activities continue to generate losses and net cash outflows from operations.  The Company plans to pursue additional equity or debt financing or refinancing opportunities in 2023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unaudited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accompanying unaudited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convertible note payable, Earnout Cash liability,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guidance classifies fair value measurements in one of the following three categories for disclosure purposes: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1: Quoted prices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2: Inputs other than Level 1 prices for similar assets or liabilities that are directly or indirectly observable in the marketplace.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 and Off-Balance Sheet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The Company has not experienced any losses on its deposits of cash. The Company maintains a portion of its cash and cash equivalent balances in the form of a money market account with a financial institution that management believes to be creditworthy.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Convertible Note Payable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The portion of total changes in fair value of the convertible note attributable to changes in instrument-specific credit risk are determined through specific measurement of periodic changes in the discount rate assumption exclusive of base market changes and are presented as a component of comprehensive income in the accompanying Unaudited Condensed Consolidated Statements of Operations and Comprehensive Loss.  As a result of electing the fair value option, direct costs and fees related to the convertible promissory notes are expensed as incurred.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w:t>
      </w:r>
      <w:r>
        <w:rPr>
          <w:rFonts w:ascii="Times New Roman;Times;serif" w:hAnsi="Times New Roman;Times;serif"/>
          <w:i/>
          <w:sz w:val="20"/>
        </w:rPr>
        <w:t>Distinguishing Liabilities from Equity</w:t>
      </w:r>
      <w:r>
        <w:rPr>
          <w:rFonts w:ascii="Times New Roman;Times;serif" w:hAnsi="Times New Roman;Times;serif"/>
          <w:sz w:val="20"/>
        </w:rPr>
        <w:t xml:space="preserve"> (“ASC 480”) and ASC 815, </w:t>
      </w:r>
      <w:r>
        <w:rPr>
          <w:rFonts w:ascii="Times New Roman;Times;serif" w:hAnsi="Times New Roman;Times;serif"/>
          <w:i/>
          <w:sz w:val="20"/>
        </w:rPr>
        <w:t>Derivatives and Hedging</w:t>
      </w:r>
      <w:r>
        <w:rPr>
          <w:rFonts w:ascii="Times New Roman;Times;serif" w:hAnsi="Times New Roman;Times;serif"/>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445" w:name="Tc_m1yw8-v6PkuUcdA7m_i3KA_7_2"/>
      <w:bookmarkStart w:id="446" w:name="Tc_uvLX74ec4EmSpJeZMkYcDQ_7_0"/>
      <w:bookmarkStart w:id="447" w:name="Tc_pTolY_i6YEamWsD84vGbQQ_6_2"/>
      <w:bookmarkStart w:id="448" w:name="Tc_76TRuFMKu0WE9EQ1ADRhgg_6_0"/>
      <w:bookmarkStart w:id="449" w:name="Tc_4-QNlk-VrU6KbmSHerzrtg_5_0"/>
      <w:bookmarkStart w:id="450" w:name="Tc_uA4R04T-V0OsE2MVY8A49Q_4_4"/>
      <w:bookmarkStart w:id="451" w:name="Tc_BcAFsjFwm0mamyna0UP0tg_4_0"/>
      <w:bookmarkStart w:id="452" w:name="Tc_XK4dJOzZG0CeTKe1uYg3Wg_3_0"/>
      <w:bookmarkStart w:id="453" w:name="Tc_35Is0Dk0ekisKAFdpTpCgA_2_4"/>
      <w:bookmarkStart w:id="454" w:name="Tc_zX_YTN1tAEqZ_cWjG79j4A_2_2"/>
      <w:bookmarkStart w:id="455" w:name="Tc_bohMCyxZVk-ObgjaYOsl9g_1_2"/>
      <w:bookmarkStart w:id="456" w:name="_Hlk110498126"/>
      <w:bookmarkEnd w:id="445"/>
      <w:bookmarkEnd w:id="446"/>
      <w:bookmarkEnd w:id="447"/>
      <w:bookmarkEnd w:id="448"/>
      <w:bookmarkEnd w:id="449"/>
      <w:bookmarkEnd w:id="450"/>
      <w:bookmarkEnd w:id="451"/>
      <w:bookmarkEnd w:id="452"/>
      <w:bookmarkEnd w:id="453"/>
      <w:bookmarkEnd w:id="454"/>
      <w:bookmarkEnd w:id="455"/>
      <w:bookmarkEnd w:id="456"/>
      <w:r>
        <w:rPr>
          <w:rFonts w:ascii="Times New Roman;Times;serif" w:hAnsi="Times New Roman;Times;serif"/>
          <w:sz w:val="20"/>
        </w:rPr>
        <w:t>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Earnout Cash Milestone and/or Earnout Shares Milestone at each reporting period (see Notes 8 and 10).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Income taxes are recorded in accordance with ASC 740, </w:t>
      </w:r>
      <w:r>
        <w:rPr>
          <w:rFonts w:ascii="Times New Roman;Times;serif" w:hAnsi="Times New Roman;Times;serif"/>
          <w:i/>
          <w:sz w:val="20"/>
        </w:rPr>
        <w:t>Income Taxes</w:t>
      </w:r>
      <w:r>
        <w:rPr>
          <w:rFonts w:ascii="Times New Roman;Times;serif" w:hAnsi="Times New Roman;Times;serif"/>
          <w:sz w:val="20"/>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bidi w:val="0"/>
        <w:spacing w:before="0" w:after="0"/>
        <w:ind w:left="0" w:right="0" w:hanging="0"/>
        <w:jc w:val="left"/>
        <w:rPr/>
      </w:pPr>
      <w:r>
        <w:rPr/>
        <w:t>​</w:t>
      </w:r>
    </w:p>
    <w:tbl>
      <w:tblPr>
        <w:tblW w:w="8877" w:type="dxa"/>
        <w:jc w:val="left"/>
        <w:tblInd w:w="0" w:type="dxa"/>
        <w:tblLayout w:type="fixed"/>
        <w:tblCellMar>
          <w:top w:w="0" w:type="dxa"/>
          <w:left w:w="0" w:type="dxa"/>
          <w:bottom w:w="0" w:type="dxa"/>
          <w:right w:w="0" w:type="dxa"/>
        </w:tblCellMar>
      </w:tblPr>
      <w:tblGrid>
        <w:gridCol w:w="6106"/>
        <w:gridCol w:w="326"/>
        <w:gridCol w:w="1037"/>
        <w:gridCol w:w="326"/>
        <w:gridCol w:w="1082"/>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77310" cy="175260"/>
                      <wp:effectExtent l="0" t="0" r="0" b="0"/>
                      <wp:wrapNone/>
                      <wp:docPr id="77" name="Frame77"/>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8495" cy="175260"/>
                      <wp:effectExtent l="0" t="0" r="0" b="0"/>
                      <wp:wrapNone/>
                      <wp:docPr id="79" name="Frame79"/>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87070" cy="175260"/>
                      <wp:effectExtent l="0" t="0" r="0" b="0"/>
                      <wp:wrapNone/>
                      <wp:docPr id="81" name="Frame81"/>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6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326"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2,906,948</w:t>
            </w:r>
          </w:p>
        </w:tc>
      </w:tr>
      <w:tr>
        <w:trPr/>
        <w:tc>
          <w:tcPr>
            <w:tcW w:w="6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326"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6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20,351,589</w:t>
            </w:r>
          </w:p>
        </w:tc>
        <w:tc>
          <w:tcPr>
            <w:tcW w:w="326"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17,521,753</w:t>
            </w:r>
          </w:p>
        </w:tc>
      </w:tr>
      <w:tr>
        <w:trPr/>
        <w:tc>
          <w:tcPr>
            <w:tcW w:w="6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26"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22,209,280</w:t>
            </w:r>
          </w:p>
        </w:tc>
      </w:tr>
      <w:tr>
        <w:trPr/>
        <w:tc>
          <w:tcPr>
            <w:tcW w:w="6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 from exercised Substitute Options and Substitute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1,229,925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and are adopted by the Company as of the specified effective date. </w:t>
      </w:r>
      <w:r>
        <w:rPr>
          <w:rFonts w:ascii="Times New Roman;Times;serif" w:hAnsi="Times New Roman;Times;serif"/>
          <w:sz w:val="20"/>
          <w:shd w:fill="FFFFFF" w:val="clear"/>
        </w:rPr>
        <w:t>For the three-months ended March 31, 2023, there were no new accounting pronouncements or updates to recently issued accounting pronouncements disclosed in the Company’s Annual Report on Form 10-K for the year ended December 31, 2022, that management believes materially affect the Company’s present or future results of operations, overall financial condition, liquidity or disclosures.</w:t>
      </w:r>
    </w:p>
    <w:p>
      <w:pPr>
        <w:pStyle w:val="TextBody"/>
        <w:bidi w:val="0"/>
        <w:spacing w:before="0" w:after="0"/>
        <w:ind w:left="360" w:right="0" w:hanging="0"/>
        <w:jc w:val="both"/>
        <w:rPr/>
      </w:pPr>
      <w:r>
        <w:rPr/>
        <w:t>​</w:t>
      </w:r>
    </w:p>
    <w:p>
      <w:pPr>
        <w:pStyle w:val="TextBody"/>
        <w:bidi w:val="0"/>
        <w:spacing w:lineRule="auto" w:line="357" w:before="0" w:after="240"/>
        <w:ind w:left="0" w:right="0" w:hanging="0"/>
        <w:jc w:val="both"/>
        <w:rPr>
          <w:rFonts w:ascii="Times New Roman;Times;serif" w:hAnsi="Times New Roman;Times;serif"/>
          <w:sz w:val="20"/>
        </w:rPr>
      </w:pPr>
      <w:bookmarkStart w:id="457" w:name="Tc_nNMtTmpNs06fDPHIiSRuSg_9_5"/>
      <w:bookmarkStart w:id="458" w:name="Tc_rTv75v6pV0q_lkPtKTnY-g_9_2"/>
      <w:bookmarkStart w:id="459" w:name="Tc_JRavTGFKR0yIhgvY1eairg_9_0"/>
      <w:bookmarkStart w:id="460" w:name="Tc_4-L2eEsHlE2pFfu_r1DHGA_8_0"/>
      <w:bookmarkStart w:id="461" w:name="Tc_JPwHKNaDy0uIy_IZ8ERwRg_7_0"/>
      <w:bookmarkStart w:id="462" w:name="Tc_3yxTftjpdEmPaLZHVsagJw_6_0"/>
      <w:bookmarkStart w:id="463" w:name="Tc_e28_yzDkT0GA00VaLhO8zg_5_0"/>
      <w:bookmarkStart w:id="464" w:name="Tc_2EYBOwVT0kKuh0K978TXlA_4_5"/>
      <w:bookmarkStart w:id="465" w:name="Tc_0QOfr4Lf-kaWc0tGNcsG_w_4_2"/>
      <w:bookmarkStart w:id="466" w:name="Tc_NS6OE_rmBU6HoCuWtnGgqg_4_0"/>
      <w:bookmarkStart w:id="467" w:name="Tc_bd7LzDxPWEKc4VTvZP5TvA_3_0"/>
      <w:bookmarkStart w:id="468" w:name="Tc_FAlZqSHHVUOKbD7YAawMcQ_2_2"/>
      <w:bookmarkStart w:id="469" w:name="Tc_SILgzxD1z0q1igSnrT7ydA_1_5"/>
      <w:bookmarkStart w:id="470" w:name="Tc_ulExow1SykSWjRhGTxHmNQ_1_2"/>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Prepaid Expenses and Other Current Assets</w:t>
      </w:r>
    </w:p>
    <w:p>
      <w:pPr>
        <w:pStyle w:val="TextBody"/>
        <w:bidi w:val="0"/>
        <w:spacing w:lineRule="auto" w:line="357" w:before="0" w:after="24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consisted of the following at the dates indicated (in thousands):</w:t>
      </w:r>
    </w:p>
    <w:p>
      <w:pPr>
        <w:pStyle w:val="TextBody"/>
        <w:bidi w:val="0"/>
        <w:spacing w:before="0" w:after="0"/>
        <w:ind w:left="0" w:right="0" w:hanging="0"/>
        <w:jc w:val="left"/>
        <w:rPr/>
      </w:pPr>
      <w:r>
        <w:rPr/>
        <w:t>​</w:t>
      </w:r>
    </w:p>
    <w:tbl>
      <w:tblPr>
        <w:tblW w:w="7208" w:type="dxa"/>
        <w:jc w:val="left"/>
        <w:tblInd w:w="0" w:type="dxa"/>
        <w:tblLayout w:type="fixed"/>
        <w:tblCellMar>
          <w:top w:w="0" w:type="dxa"/>
          <w:left w:w="0" w:type="dxa"/>
          <w:bottom w:w="0" w:type="dxa"/>
          <w:right w:w="0" w:type="dxa"/>
        </w:tblCellMar>
      </w:tblPr>
      <w:tblGrid>
        <w:gridCol w:w="3931"/>
        <w:gridCol w:w="326"/>
        <w:gridCol w:w="340"/>
        <w:gridCol w:w="920"/>
        <w:gridCol w:w="146"/>
        <w:gridCol w:w="363"/>
        <w:gridCol w:w="1182"/>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496185" cy="175260"/>
                      <wp:effectExtent l="0" t="0" r="0" b="0"/>
                      <wp:wrapNone/>
                      <wp:docPr id="82" name="Frame82"/>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5900" cy="175260"/>
                      <wp:effectExtent l="0" t="0" r="0" b="0"/>
                      <wp:wrapNone/>
                      <wp:docPr id="84" name="Frame8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84200" cy="175260"/>
                      <wp:effectExtent l="0" t="0" r="0" b="0"/>
                      <wp:wrapNone/>
                      <wp:docPr id="85" name="Frame85"/>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260"/>
                      <wp:effectExtent l="0" t="0" r="0" b="0"/>
                      <wp:wrapNone/>
                      <wp:docPr id="86" name="Frame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30505" cy="175260"/>
                      <wp:effectExtent l="0" t="0" r="0" b="0"/>
                      <wp:wrapNone/>
                      <wp:docPr id="87" name="Frame8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50570" cy="175260"/>
                      <wp:effectExtent l="0" t="0" r="0" b="0"/>
                      <wp:wrapNone/>
                      <wp:docPr id="88" name="Frame88"/>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260" w:type="dxa"/>
            <w:gridSpan w:val="2"/>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  </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clinical development expenses </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legal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receivables</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5,741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71" w:name="Tc_D0_aI-_kbkWTSJpzqOG88Q_8_5"/>
      <w:bookmarkStart w:id="472" w:name="Tc_SLRZ9ojeUUCWiFOkjkb42g_8_2"/>
      <w:bookmarkStart w:id="473" w:name="Tc_B6n_-_anhEeidpsUvj5zMg_8_0"/>
      <w:bookmarkStart w:id="474" w:name="Tc_Cx0StkCzbUile-cSY6JwHA_7_0"/>
      <w:bookmarkStart w:id="475" w:name="Tc_OReH3fEPgEq85RhBF-ECZA_6_0"/>
      <w:bookmarkStart w:id="476" w:name="Tc_M3TzojxZQkiW3TkFdAzhwg_5_0"/>
      <w:bookmarkStart w:id="477" w:name="Tc_kdn-eHR9F0qoQxgKhXg80w_4_5"/>
      <w:bookmarkStart w:id="478" w:name="Tc_oNvb9tqwsUGG0Ej-yfwGzQ_4_2"/>
      <w:bookmarkStart w:id="479" w:name="Tc_qX3BFPDML0-fXere3viOrA_4_0"/>
      <w:bookmarkStart w:id="480" w:name="Tc_orqckrbKQEiWgD9e6RsnTA_3_0"/>
      <w:bookmarkStart w:id="481" w:name="Tc_vJJsB2jklUyvgnGvpp_ZeA_2_3"/>
      <w:bookmarkStart w:id="482" w:name="Tc_0OfdFpqSmkyQlaW5p4hqmw_1_6"/>
      <w:bookmarkStart w:id="483" w:name="Tc_xH3xZLnQMEi_MxXyQG_jtQ_1_3"/>
      <w:bookmarkEnd w:id="471"/>
      <w:bookmarkEnd w:id="472"/>
      <w:bookmarkEnd w:id="473"/>
      <w:bookmarkEnd w:id="474"/>
      <w:bookmarkEnd w:id="475"/>
      <w:bookmarkEnd w:id="476"/>
      <w:bookmarkEnd w:id="477"/>
      <w:bookmarkEnd w:id="478"/>
      <w:bookmarkEnd w:id="479"/>
      <w:bookmarkEnd w:id="480"/>
      <w:bookmarkEnd w:id="481"/>
      <w:bookmarkEnd w:id="482"/>
      <w:bookmarkEnd w:id="483"/>
      <w:r>
        <w:rPr>
          <w:rFonts w:ascii="Times New Roman;Times;serif" w:hAnsi="Times New Roman;Times;serif"/>
          <w:b/>
          <w:sz w:val="20"/>
        </w:rPr>
        <w:t>5. Accrued and Other 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and other current liabilities consisted of the following at the dates indicated (in thousands):</w:t>
      </w:r>
    </w:p>
    <w:p>
      <w:pPr>
        <w:pStyle w:val="TextBody"/>
        <w:bidi w:val="0"/>
        <w:spacing w:before="0" w:after="0"/>
        <w:ind w:left="0" w:right="0" w:hanging="0"/>
        <w:jc w:val="left"/>
        <w:rPr/>
      </w:pPr>
      <w:r>
        <w:rPr/>
        <w:t>​</w:t>
      </w:r>
    </w:p>
    <w:tbl>
      <w:tblPr>
        <w:tblW w:w="7183" w:type="dxa"/>
        <w:jc w:val="left"/>
        <w:tblInd w:w="0" w:type="dxa"/>
        <w:tblLayout w:type="fixed"/>
        <w:tblCellMar>
          <w:top w:w="0" w:type="dxa"/>
          <w:left w:w="0" w:type="dxa"/>
          <w:bottom w:w="0" w:type="dxa"/>
          <w:right w:w="0" w:type="dxa"/>
        </w:tblCellMar>
      </w:tblPr>
      <w:tblGrid>
        <w:gridCol w:w="3736"/>
        <w:gridCol w:w="109"/>
        <w:gridCol w:w="211"/>
        <w:gridCol w:w="1261"/>
        <w:gridCol w:w="109"/>
        <w:gridCol w:w="211"/>
        <w:gridCol w:w="1546"/>
      </w:tblGrid>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546"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26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employee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4,855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4" w:name="_Hlk130992838"/>
      <w:bookmarkEnd w:id="484"/>
      <w:r>
        <w:rPr>
          <w:rFonts w:ascii="Times New Roman;Times;serif" w:hAnsi="Times New Roman;Times;serif"/>
          <w:b/>
          <w:sz w:val="20"/>
        </w:rPr>
        <w:t xml:space="preserve">6. Debt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Convertible Note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4, 2022, the Company entered into a Securities Purchase Agreement (“SPA”) with Streeterville Capital, LLC, a Utah limited liability company (“Lender”), and, pursuant to the SPA, issued to the Lender an unsecured promissory note with a face amount of approximately $11.0 million (the “Note”) before an original issue discount of $1.0 million, which was deducted from the proceeds of the Note.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 carries a 9% interest rate, has a term of 18 months from the issuance date (the “Maturity Date”) and is redeemable as described below. Any time after the issuance date, the Company has the right to prepay all or any portion of the outstanding balance of the Note. If the Company exercises its right to prepay the Note, the Company will make payment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Lender of an amount in cash equal to 110% multiplied by the portion of the outstanding balance the Company elects to pay. Beginning on May 4, 2023, the Lender has the right to redeem up to $1.0 million (“Maximum Monthly Redemption Amount”) of the outstanding balance of such Note per month. Payments may be made by the Company, at the Company’s option, (a) in cash with a 10% premium for the amount redeemed, (b) by paying the redemption amount in the form of shares of Common Stock with the number of redemption shares being equal to the portion of the applicable redemption amount divided by the Redemption Conversion Price or (c) a combination of cash and shares of Common Stock. The “Redemption Conversion Price” shall equal 85% multiplied by the average of the two lowest daily volume weighted average prices per share of the Common Stock during the 15 trading days immediately preceding the date that the Lender delivers notice electing to redeem a portion of the Note. The Company’s right to satisfy the redemption amount in shares of Common Stock is subject to certain limitations, including (i) there not being any Equity Conditions Failure (as defined in the Note) and (ii) the Lender not owning more than 4.99% of the outstanding shares of Common Stock. At any time, if market capitalization is less than $25.0 million, the 4.99% ownership limitation shall be increased to 9.99%. On March 30, 2023, the Company amended the Note to increase the ownership limitation to 9.99%. If the Company elects to prepay the Note prior to the Maturity Date or elects to pay a portion or all of the Maximum Monthly Redemption Amount in cash, it must pay a premium of 10%, subject to certain exceptions.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the right to make the required payments for the above Note in common stock subject to certain conditions including ownership and trading volume limitations. If the Company is not able to make the required payments for the above Note in common stock and must use cash for these payments, management believes that the Company does not have sufficient liquidity to support operations.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(as defined in the Note), then the Lender will be entitled to redeem over the following ten (10) trading days an amount of indebtedness then outstanding under the Note equal to twice (2x) the monthly redemption amount of $1.0 million solely by payment by Common Stock, subject to maximum percentage (9.99%) and other ownership limitations under the SPA and the Note.</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 contains certain Trigger Events (as defined in the Note) that generally, if uncured within five (5) trading days, may result in an event of default in accordance with the terms of the Notes (such event, an “Event of Default”). Upon an Event of a Default, the Lender may consider the Note immediately due and payable. Upon an Event of Default, the interest rate may also be increased to the lesser of 18% per annum or the maximum rate permitted under applicable law. As of March 31, 2023, the Company was in compliance with the Note terms and there were no Events of Default.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Due to these embedded features within the Note, the Company elected to account for the Note at fair value at inception. Subsequent changes in fair value are recorded as a component of other income (loss) in the Consolidated Statements of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485" w:name="Tc_PvTnm6ypJUSL4v1geLa7XA_11_5"/>
      <w:bookmarkStart w:id="486" w:name="Tc_aRKwKAwzfE6_qGlJmUByvQ_11_3"/>
      <w:bookmarkStart w:id="487" w:name="Tc_dW4QpQZDhka3o1ZxfnOX_Q_11_2"/>
      <w:bookmarkStart w:id="488" w:name="Tc_uzOaWrwgKUCXsDzjZ8r9_g_11_0"/>
      <w:bookmarkStart w:id="489" w:name="Tc_Wcj-WGRFO0i5cuBDPcwGyw_10_5"/>
      <w:bookmarkStart w:id="490" w:name="Tc_8dke-NQVv0etEspXhp2Ayw_10_2"/>
      <w:bookmarkStart w:id="491" w:name="Tc_g_VxT6kP80CSb8hjIe-ZWw_10_0"/>
      <w:bookmarkStart w:id="492" w:name="Tc__TbubrzC5EuGeFhrKo4C5w_8_5"/>
      <w:bookmarkStart w:id="493" w:name="Tc_hnc9CnGlikCTnqTB-9KWgg_8_2"/>
      <w:bookmarkStart w:id="494" w:name="Tc_YvACRoJdJ0armMhGcFBLvw_8_0"/>
      <w:bookmarkStart w:id="495" w:name="Tc_XImyw4wwaU2U3nLIKpMkrA_7_6"/>
      <w:bookmarkStart w:id="496" w:name="Tc_T3t5AfTmoU-rFV4j4wYSUA_7_3"/>
      <w:bookmarkStart w:id="497" w:name="Tc_LyzO-FFs0U6H8Nr8PVI-pg_7_0"/>
      <w:bookmarkStart w:id="498" w:name="Tc_UrDcyIj-PUOyKJqId8xQoQ_6_0"/>
      <w:bookmarkStart w:id="499" w:name="Tc_h_7WyhwZFkS0YSoSC7MtCQ_5_0"/>
      <w:bookmarkStart w:id="500" w:name="Tc_cukxm9nlL0CoECYn5cahtQ_4_0"/>
      <w:bookmarkStart w:id="501" w:name="Tc_Attt8P63-EqcICPCwk6YiQ_3_5"/>
      <w:bookmarkStart w:id="502" w:name="Tc_jZ4wPe423EeJn_HNUQnEiQ_3_2"/>
      <w:bookmarkStart w:id="503" w:name="Tc_26Fb_M81I0a7vRgbCycLKA_3_0"/>
      <w:bookmarkStart w:id="504" w:name="Tc_i3qqoYMRjE-2BGnyNw8RmQ_2_2"/>
      <w:bookmarkStart w:id="505" w:name="Tc_aL8IWPHcME-RQZXT914Auw_1_5"/>
      <w:bookmarkStart w:id="506" w:name="Tc_iOw1XYqsL0mfW1POp-FYpQ_1_2"/>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ascii="Times New Roman;Times;serif" w:hAnsi="Times New Roman;Times;serif"/>
          <w:sz w:val="20"/>
        </w:rPr>
        <w:t>the time to expiration. Probability of default is estimated using Bloomberg's Default Risk function which uses our financial information to calculate a default risk specific to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was expensed as incurred. For the three months ended March 31, 2023, the Company recorded a change in fair value of approximately $1.8 million related to the change in fair value of the Note which was recognized in other income (expense) on the Unaudited Condensed Consolidated Statement of Operations as a result of the Company’s election of the fair value 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Note as of March 31, 2023 (in thousands):</w:t>
      </w:r>
    </w:p>
    <w:p>
      <w:pPr>
        <w:pStyle w:val="TextBody"/>
        <w:bidi w:val="0"/>
        <w:spacing w:before="0" w:after="0"/>
        <w:ind w:left="0" w:right="0" w:hanging="0"/>
        <w:jc w:val="both"/>
        <w:rPr/>
      </w:pPr>
      <w:r>
        <w:rPr/>
        <w:t>​</w:t>
      </w:r>
    </w:p>
    <w:tbl>
      <w:tblPr>
        <w:tblW w:w="9054" w:type="dxa"/>
        <w:jc w:val="left"/>
        <w:tblInd w:w="0" w:type="dxa"/>
        <w:tblLayout w:type="fixed"/>
        <w:tblCellMar>
          <w:top w:w="0" w:type="dxa"/>
          <w:left w:w="0" w:type="dxa"/>
          <w:bottom w:w="0" w:type="dxa"/>
          <w:right w:w="0" w:type="dxa"/>
        </w:tblCellMar>
      </w:tblPr>
      <w:tblGrid>
        <w:gridCol w:w="6031"/>
        <w:gridCol w:w="109"/>
        <w:gridCol w:w="299"/>
        <w:gridCol w:w="961"/>
        <w:gridCol w:w="109"/>
        <w:gridCol w:w="344"/>
        <w:gridCol w:w="120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829685" cy="175260"/>
                      <wp:effectExtent l="0" t="0" r="0" b="0"/>
                      <wp:wrapNone/>
                      <wp:docPr id="92" name="Frame92"/>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9865" cy="175260"/>
                      <wp:effectExtent l="0" t="0" r="0" b="0"/>
                      <wp:wrapNone/>
                      <wp:docPr id="94" name="Frame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10235" cy="175260"/>
                      <wp:effectExtent l="0" t="0" r="0" b="0"/>
                      <wp:wrapNone/>
                      <wp:docPr id="95" name="Frame9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8440" cy="175260"/>
                      <wp:effectExtent l="0" t="0" r="0" b="0"/>
                      <wp:wrapNone/>
                      <wp:docPr id="97" name="Frame9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62635" cy="175260"/>
                      <wp:effectExtent l="0" t="0" r="0" b="0"/>
                      <wp:wrapNone/>
                      <wp:docPr id="98" name="Frame9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 of the Note before current period change in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10,523</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through earnings</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through 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leases office space on a month-to-month basis. The rent expense for the three months ended March 31, 2023 and 2022 was less than $0.1 million and $0.1 million, respectively.</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Sponsored Research Agreement with National Jewish Health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Aviptadil on propagation of SARS-CoV-2 in alveolar type II cells in vitro (the “Study”). In return for performance of the Study under the Research Agreement, the Company has committed to pay NJ Health approximately $0.4 million upon finalization of the work. As of March 31, 2023, the Company has fully paid NJ Health the total committed amount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Relief Therapeutics Collaboration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  </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On November 12, 2022, the Company entered into a Settlement Agreement and Asset Purchase Agreement (“APA”) with Relief Therapeutics Holding AG and Relief Therapeutics International (the “Relief Parties”) to settle the outstanding lawsuit with respect to the Collaboration Agreement.  </w:t>
      </w:r>
    </w:p>
    <w:p>
      <w:pPr>
        <w:pStyle w:val="TextBody"/>
        <w:bidi w:val="0"/>
        <w:spacing w:before="280" w:after="240"/>
        <w:ind w:left="0" w:right="0" w:hanging="0"/>
        <w:jc w:val="both"/>
        <w:rPr>
          <w:rFonts w:ascii="Times New Roman;Times;serif" w:hAnsi="Times New Roman;Times;serif"/>
          <w:sz w:val="20"/>
        </w:rPr>
      </w:pPr>
      <w:r>
        <w:rPr>
          <w:rFonts w:ascii="Times New Roman;Times;serif" w:hAnsi="Times New Roman;Times;serif"/>
          <w:sz w:val="20"/>
        </w:rPr>
        <w:t>Under the APA, the Company transferred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Relief Parties have agreed to use commercially reasonable efforts to develop, market, and commercialize the Product, but has sole discretion to select the indications for which it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the Company on aggregate net sales of all Products, subject to a cap on royalty payments of $30.0 million in the aggregate.  In addition, Relief is obligated to use commercially reasonable efforts to continue the Company’s existing Right to Try Program for at least two (2) years after the closing of the APA.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Mutual indemnity provisions in the APA will protect each party from any breaches of the settlement arrangements by the other party, provided, that the Company’s indemnity obligations will not start until the Relief Parties have begun making royalty or milestone payments to the Company,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 that the Relief Parties actually pay to the Company for milestone and royalty payments. The parties have 30 days to implement the agreed actions and achieve closing under the APA, at which time all claims and counterclaims between the Company and the Relief Parties will be dismissed with prejudice.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Subscription Facility Agreement - GEM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NeuroRx entered into a share subscription facility agreement (“GEM Agreement”) with GEM Global Yield LLC SCS and GEM Yield Bahamas Limited (collectively, referred to as “GEM”) with a three-year term which expired in October 2022. Subject to the successful listing of the shares of NeuroRx on an Exchange (any nationally recognized stock exchange or exchange platform in the world on which the Company will list its shares), GEM granted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completed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Merger contemplated by the Merger Agreement would not have resulted in a listing of NeuroRx shares or a change in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was not conditional upon any further events or completion of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 million. The GEM Warrant will be valid for a period of three years from the date NeuroRx’s stock is listed for trading on a national securities exchange or consummation of a reverse merger transaction of the type contemplated by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$39.5 million to reflect the fair value of the expected GEM Warrant to be issued. On March 28, 2021, when the GEM Warrant was issued, the Company recorded an additional charge of $21.4 million to reflect the increased fair value of the GEM Warrant on its grant date.  Upon issuance, the GEM Warrant was equity classified and was determined to be within the scope of ASC 718, Share-Based Payments (“ASC 718”).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GEM Warrants that were not exercised as of the Merger were modified and became Substitute Warrants on 1,833,596 shares, adjusted for the Merger as discussed in Note 11). These Substitute Warrants were liability classified (see Note 9).   The changes in fair value of these Substitute Warrants were recognized as a gain or loss in the statement of operations until these Substitute Warrants were exercised in July 2021, at which time they were reclassified to additional paid-in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12, 2022, the Company received a demand for arbitration (the “Demand”) from GEM.  The Demand claims that the Company’s subsidiary, NeuroRx, failed to satisfy its obligation to pay GEM a commitment fee in the amount of HK$15.0 million (approximately $1.9 million at current exchange rates) pursuant to the GEM Agreement.  </w:t>
      </w:r>
      <w:r>
        <w:rPr>
          <w:rFonts w:ascii="Times New Roman;Times;serif" w:hAnsi="Times New Roman;Times;serif"/>
          <w:sz w:val="20"/>
          <w:shd w:fill="FFFFFF" w:val="clear"/>
        </w:rPr>
        <w:t>NeuroRx</w:t>
      </w:r>
      <w:r>
        <w:rPr>
          <w:rFonts w:ascii="Times New Roman;Times;serif" w:hAnsi="Times New Roman;Times;serif"/>
          <w:sz w:val="20"/>
        </w:rPr>
        <w:t> expects to vigorously defend its position that payment of the commitment fee is neither due nor owing under the terms of the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Pursuant to the terms of the Second Amended and Restated Certificate of Incorporation, the Company has authorized 500,000,000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shares of common stock with a par value of $0.001.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March 8, 2023, the Company entered into a securities purchase agreement with certain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Investors have agreed not to transfer the Common Stock for six months following the date hereof. The Investor Warrants have an exercise price of $0.75 per share, are initially exercisable beginning six months following the date of issuance (the “Initial Exercise Date”) and expire 5 years from the Initial Exercise Date.  The aggregate gross proceeds to the Company from the Offering were $2.9 million. The closing of the sale of these securities occurred on March 9, 2023. The securities are being issued pursuant to the Company’s registration statement on Form S-3 filed with the SEC on June 9, 2022 (File No. 333-265492) and became effective on June 21, 2022. The net proceeds after deducting debt issuance costs from this transaction were $2.5 million.</w:t>
      </w:r>
    </w:p>
    <w:p>
      <w:pPr>
        <w:pStyle w:val="TextBody"/>
        <w:bidi w:val="0"/>
        <w:spacing w:before="0" w:after="0"/>
        <w:ind w:left="0" w:right="0" w:hanging="0"/>
        <w:jc w:val="both"/>
        <w:rPr>
          <w:shd w:fill="FFFFFF" w:val="clear"/>
        </w:rPr>
      </w:pPr>
      <w:r>
        <w:rPr>
          <w:shd w:fill="FFFFFF" w:val="clea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8, 2023, the Company entered into a letter agreement with H.C. Wainwright &amp; Co., LLC. Although they are not acting as the placement agent with respect to this offering, they are to be paid a cash fee equal to 3.0% of the amount raised, or approximately $0.1 million, in this offering pursuant to such agreement.</w:t>
      </w:r>
    </w:p>
    <w:p>
      <w:pPr>
        <w:pStyle w:val="TextBody"/>
        <w:shd w:fill="FFFFFF" w:val="clear"/>
        <w:bidi w:val="0"/>
        <w:spacing w:before="0" w:after="0"/>
        <w:ind w:left="0" w:right="0" w:hanging="0"/>
        <w:jc w:val="both"/>
        <w:rPr/>
      </w:pPr>
      <w:r>
        <w:rPr/>
        <w:t>​</w:t>
      </w:r>
    </w:p>
    <w:p>
      <w:pPr>
        <w:pStyle w:val="TextBody"/>
        <w:pBdr/>
        <w:bidi w:val="0"/>
        <w:spacing w:lineRule="auto" w:line="300"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sold 7,824,727 shares of common stock during the three months ended March 31, 2022, generating net proceeds of $23.0 million.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Second Amended and Restated Certificate of Incorporation, the Company has authorized 50,000,000 shares of preferred stock with a par value of $0.001. The Company has no shares of preferred stock outstanding.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Warrants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Substitute Warrants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Merger, each warrant of NeuroRx that was outstanding and unexercised immediately prior to the Effective Time (whether vested or unvested) was assumed by BRPA and converted into a warrant, based on the Exchange Ratio (of 3.16), that will continue to be governed by substantially the same terms and conditions, including vesting, as were applicable to the former warrant (the Substitute Warrants). As these Substitute Warrants meet the definition of a derivative as contemplated in ASC 815, the Substitute Warrants were recorded as derivative liabilities on the balance sheet and measured at fair value at inception (on the date of the Merger) and at each reporting date in accordance with ASC 820, </w:t>
      </w:r>
      <w:r>
        <w:rPr>
          <w:rFonts w:ascii="Times New Roman;Times;serif" w:hAnsi="Times New Roman;Times;serif"/>
          <w:i/>
          <w:sz w:val="20"/>
        </w:rPr>
        <w:t>Fair Value Measurement</w:t>
      </w:r>
      <w:r>
        <w:rPr>
          <w:rFonts w:ascii="Times New Roman;Times;serif" w:hAnsi="Times New Roman;Times;serif"/>
          <w:sz w:val="20"/>
        </w:rPr>
        <w:t>, with changes in fair value recognized in the statements of operations in the period of change.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a gain on the change in fair value of the Substitute Warrants for the three months ended March 31, 2023 and 2022, of less than $0.1 million and $0.1 million, respectively. Refer to Note 10 for further discussion of fair value measurement of the warrant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hd w:fill="FFFFFF" w:val="clear"/>
        <w:bidi w:val="0"/>
        <w:spacing w:before="0" w:after="240"/>
        <w:ind w:left="0" w:right="0" w:hanging="0"/>
        <w:jc w:val="left"/>
        <w:rPr>
          <w:rFonts w:ascii="Times New Roman;Times;serif" w:hAnsi="Times New Roman;Times;serif"/>
          <w:sz w:val="20"/>
        </w:rPr>
      </w:pPr>
      <w:bookmarkStart w:id="507" w:name="Tc_M7la3WBfd02ZcHx5_8-rRg_7_9"/>
      <w:bookmarkStart w:id="508" w:name="Tc_RVsh3hbETECJ82u0BsQCJg_7_8"/>
      <w:bookmarkStart w:id="509" w:name="Tc_ivlV2A_oLE2BCSNVrlcZdQ_7_5"/>
      <w:bookmarkStart w:id="510" w:name="Tc_gltRWXXzUEaeK4sFDT9QHw_7_0"/>
      <w:bookmarkStart w:id="511" w:name="Tc_hLL-sk9nKE2P65-KDlBQ3Q_6_9"/>
      <w:bookmarkStart w:id="512" w:name="Tc_EjOGLZzFmUCM7tqQ3eKZQQ_6_0"/>
      <w:bookmarkStart w:id="513" w:name="Tc_eS_GCCtue0ecbHKQjJq_tA_5_9"/>
      <w:bookmarkStart w:id="514" w:name="Tc_C184gZa3H0CbzPZJhNTczA_5_5"/>
      <w:bookmarkStart w:id="515" w:name="Tc_b-_3RNF3dEyGZDBaw3xJCg_5_0"/>
      <w:bookmarkStart w:id="516" w:name="Tc_rFTtHFUEokiDIJ1hvVzCwg_4_8"/>
      <w:bookmarkStart w:id="517" w:name="Tc_h3dBOC2Is064e1mCjcWViA_4_5"/>
      <w:bookmarkStart w:id="518" w:name="Tc_akmtX9JoMkaWX4HjkD2KqQ_4_3"/>
      <w:bookmarkStart w:id="519" w:name="Tc_DMjdblzwQECNVcrw2pMG7A_4_1"/>
      <w:bookmarkStart w:id="520" w:name="Tc_kuxiKQKnqEuD15ycYpXFgA_3_8"/>
      <w:bookmarkStart w:id="521" w:name="Tc_--q--x-z30KgBzRYU2Mx3A_3_5"/>
      <w:bookmarkStart w:id="522" w:name="Tc_0XANzmqr6UC3agXDpufy8Q_3_3"/>
      <w:bookmarkStart w:id="523" w:name="Tc_JmojmimHfkmflDiAtF6mAQ_2_8"/>
      <w:bookmarkStart w:id="524" w:name="Tc_vdv8gynl3kSHimdLaMjfSw_2_5"/>
      <w:bookmarkStart w:id="525" w:name="Tc_RcGime2YikKbgo8yQnoJcA_2_3"/>
      <w:bookmarkStart w:id="526" w:name="Tc_-EM98POK1Uyq1Do5wYGubA_1_3"/>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Pr>
          <w:rFonts w:ascii="Times New Roman;Times;serif" w:hAnsi="Times New Roman;Times;serif"/>
          <w:sz w:val="20"/>
        </w:rPr>
        <w:t>Assumed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Prior to the Merger, the Company had 3,450,000 Public Warrants outstanding. Each Public Warrant entitles the holder to purchase one share of Common Stock at an exercise price of $11.50 per share. The Public Warrants became exercisable at the Effective Time of the Merger and expire five years after the Effective Time or earlier upon their redemption or liquidation of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2023 and 2022 no Public Warrants were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Assumed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the Company had outstanding 136,250 Placement Warrants (the “Placement Warrants”). </w:t>
      </w:r>
      <w:r>
        <w:rPr>
          <w:rFonts w:ascii="Times New Roman;Times;serif" w:hAnsi="Times New Roman;Times;serif"/>
          <w:sz w:val="20"/>
          <w:shd w:fill="FFFFFF" w:val="clear"/>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March 31, 2023. The Company measures the fair value of the Placement Warrants at the end of each reporting period and recognizes changes in the fair value from the prior period in the Company’s statements of operations for the current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 gain on the change in fair value of the Placement Warrants for the three months ended March 31, 2023 and 2022 of less than $0.1 million and less than $0.1 million, respectively. Refer to Note 10 for discussion of fair value measurement of the warrant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 Warrants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8, 2023 the Company issued 3,866,666 Warrants which were classified in stockholder’s equity. The measurement of fair value of the Warrants were determined utilizing a Black-Scholes model considering all relevant assumptions current at the date of issuance (i.e., share price of $0.72, exercise price of $0.75, term of five years, volatility of 123.6%, risk-free rate of 4.34%, and expected dividend rate of 0%). The grant date fair value of these Warrants was estimated to be $2.4 million on March 8, 2023 and is reflected within additional paid-in capital as of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activity for all warrants for the respective periods.</w:t>
      </w:r>
    </w:p>
    <w:p>
      <w:pPr>
        <w:pStyle w:val="TextBody"/>
        <w:bidi w:val="0"/>
        <w:spacing w:before="0" w:after="0"/>
        <w:ind w:left="0" w:right="0" w:hanging="0"/>
        <w:jc w:val="left"/>
        <w:rPr/>
      </w:pPr>
      <w:r>
        <w:rPr/>
        <w:t>​</w:t>
      </w:r>
    </w:p>
    <w:tbl>
      <w:tblPr>
        <w:tblW w:w="8616" w:type="dxa"/>
        <w:jc w:val="left"/>
        <w:tblInd w:w="0" w:type="dxa"/>
        <w:tblLayout w:type="fixed"/>
        <w:tblCellMar>
          <w:top w:w="0" w:type="dxa"/>
          <w:left w:w="0" w:type="dxa"/>
          <w:bottom w:w="0" w:type="dxa"/>
          <w:right w:w="0" w:type="dxa"/>
        </w:tblCellMar>
      </w:tblPr>
      <w:tblGrid>
        <w:gridCol w:w="3166"/>
        <w:gridCol w:w="1246"/>
        <w:gridCol w:w="326"/>
        <w:gridCol w:w="886"/>
        <w:gridCol w:w="326"/>
        <w:gridCol w:w="350"/>
        <w:gridCol w:w="775"/>
        <w:gridCol w:w="326"/>
        <w:gridCol w:w="380"/>
        <w:gridCol w:w="835"/>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10410" cy="175260"/>
                      <wp:effectExtent l="0" t="0" r="0" b="0"/>
                      <wp:wrapNone/>
                      <wp:docPr id="99" name="Frame9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91210" cy="175260"/>
                      <wp:effectExtent l="0" t="0" r="0" b="0"/>
                      <wp:wrapNone/>
                      <wp:docPr id="100" name="Frame10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62610" cy="175260"/>
                      <wp:effectExtent l="0" t="0" r="0" b="0"/>
                      <wp:wrapNone/>
                      <wp:docPr id="102" name="Frame1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2250" cy="175260"/>
                      <wp:effectExtent l="0" t="0" r="0" b="0"/>
                      <wp:wrapNone/>
                      <wp:docPr id="104" name="Frame10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2125" cy="175260"/>
                      <wp:effectExtent l="0" t="0" r="0" b="0"/>
                      <wp:wrapNone/>
                      <wp:docPr id="105" name="Frame105"/>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1300" cy="175260"/>
                      <wp:effectExtent l="0" t="0" r="0" b="0"/>
                      <wp:wrapNone/>
                      <wp:docPr id="107" name="Frame10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30225" cy="175260"/>
                      <wp:effectExtent l="0" t="0" r="0" b="0"/>
                      <wp:wrapNone/>
                      <wp:docPr id="108" name="Frame10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350" w:type="dxa"/>
            <w:tcBorders/>
            <w:vAlign w:val="center"/>
          </w:tcPr>
          <w:p>
            <w:pPr>
              <w:pStyle w:val="TableContents"/>
              <w:bidi w:val="0"/>
              <w:spacing w:before="0" w:after="0"/>
              <w:ind w:left="0" w:right="0" w:hanging="0"/>
              <w:jc w:val="center"/>
              <w:rPr/>
            </w:pPr>
            <w:r>
              <w:rPr/>
              <w:t>​</w:t>
            </w:r>
          </w:p>
        </w:tc>
        <w:tc>
          <w:tcPr>
            <w:tcW w:w="7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Warrants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16,484,923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3,866,666</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2023</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20,351,589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9. Stock-Based Compensation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2016 Omnibus Incentive Plan</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Exchange Ratio (of 3.16).</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Merger, the outstanding and unexercised NeuroRx stock options became options to purchase an aggregate 2,895,423 shares of the Company’s Common Stock at an average exercise price of $5.10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Omnibus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2023, 6,713,608 shares of Common Stock are authorized for issuance pursuant to awards under the 2021 Plan. As of January 1, 2023, 664,430 shares were added to the 2021 Plan under </w:t>
      </w:r>
      <w:r>
        <w:rPr>
          <w:rFonts w:ascii="Times New Roman;Times;serif" w:hAnsi="Times New Roman;Times;serif"/>
          <w:color w:val="231F20"/>
          <w:sz w:val="20"/>
        </w:rPr>
        <w:t xml:space="preserve">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Times New Roman;Times;serif" w:hAnsi="Times New Roman;Times;serif"/>
          <w:sz w:val="20"/>
        </w:rPr>
        <w:t>As of March 31, 2023, 5,749,394 shares have been awarded and 964,214 shares remain available for issuance under the 2021 Plan. The 2021 Plan permits the granting of incentive stock options, restricted stock awards, other stock-based award or other cash-based awards to employees, directors, and non-employee consultants.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grant date fair value of employee and non-employee stock option awards is determined using the Black Scholes option-pricing model. The Company did not grant any stock options during the three months ended March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527" w:name="Tc_E7pmA075u0y_3w_xokQOkw_6_4"/>
      <w:bookmarkStart w:id="528" w:name="Tc_SZnQSiiUz0GGqn_wFguypA_6_1"/>
      <w:bookmarkStart w:id="529" w:name="Tc_PagaJr6VhkqxRouf7EKVEQ_6_0"/>
      <w:bookmarkStart w:id="530" w:name="Tc_Aj_PoriZk0S7ce4K8GFipg_5_0"/>
      <w:bookmarkStart w:id="531" w:name="Tc_2_mhfLoo9kmSrfazzbUCIQ_4_4"/>
      <w:bookmarkStart w:id="532" w:name="Tc_KZVR0TpTX0O-XKJg1GtCkw_4_1"/>
      <w:bookmarkStart w:id="533" w:name="Tc_H4HeuQdmvkKDg1QdywKOsw_4_0"/>
      <w:bookmarkStart w:id="534" w:name="Tc_IK0y0m_BdEa4EHWma8DEIA_3_0"/>
      <w:bookmarkStart w:id="535" w:name="Tc_h8jq9vuN40W0AAd1Kxe9IA_2_4"/>
      <w:bookmarkStart w:id="536" w:name="Tc_zHpj_yoQH0yCw-Z5kQnYSA_2_1"/>
      <w:bookmarkStart w:id="537" w:name="Tc_MhFdJUkRIk6oTKbsj9g5Ng_1_1"/>
      <w:bookmarkStart w:id="538" w:name="_77a4b2e9_bbd3_4af1_9ee2_a9eb4ae4a891"/>
      <w:bookmarkStart w:id="539" w:name="Tc_C9SFrLSMU0-TgLKCLyxM4Q_4_0"/>
      <w:bookmarkStart w:id="540" w:name="Tc_xrX3a45GS0mFBlt1cUuw7w_3_0"/>
      <w:bookmarkStart w:id="541" w:name="Tc_CjqpTfp5AUa_5PmHyD4Wjw_2_0"/>
      <w:bookmarkStart w:id="542" w:name="Tc_ji12WA6kkUm4CrygXwAZAg_1_8"/>
      <w:bookmarkStart w:id="543" w:name="Tc_6c9vHVfCfEqOg_6hLd2yvQ_1_6"/>
      <w:bookmarkStart w:id="544" w:name="Tc_ZBGKRw0af0uXwQdZegFMCA_1_4"/>
      <w:bookmarkStart w:id="545" w:name="Tc_XUYmd-q4YE6jBq97B0IC9w_1_2"/>
      <w:bookmarkStart w:id="546" w:name="_feee6250_309f_4683_a730_32681606b6ce"/>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ascii="Times New Roman;Times;serif" w:hAnsi="Times New Roman;Times;serif"/>
          <w:sz w:val="20"/>
        </w:rPr>
        <w:t>The following assumptions were used for the year ended December 31, 2022:</w:t>
      </w:r>
    </w:p>
    <w:p>
      <w:pPr>
        <w:pStyle w:val="TextBody"/>
        <w:bidi w:val="0"/>
        <w:spacing w:before="0" w:after="0"/>
        <w:ind w:left="0" w:right="0" w:hanging="0"/>
        <w:jc w:val="left"/>
        <w:rPr/>
      </w:pPr>
      <w:r>
        <w:rPr/>
        <w:t>​</w:t>
      </w:r>
    </w:p>
    <w:tbl>
      <w:tblPr>
        <w:tblW w:w="4554" w:type="dxa"/>
        <w:jc w:val="left"/>
        <w:tblInd w:w="0" w:type="dxa"/>
        <w:tblLayout w:type="fixed"/>
        <w:tblCellMar>
          <w:top w:w="0" w:type="dxa"/>
          <w:left w:w="0" w:type="dxa"/>
          <w:bottom w:w="0" w:type="dxa"/>
          <w:right w:w="0" w:type="dxa"/>
        </w:tblCellMar>
      </w:tblPr>
      <w:tblGrid>
        <w:gridCol w:w="2626"/>
        <w:gridCol w:w="326"/>
        <w:gridCol w:w="146"/>
        <w:gridCol w:w="1456"/>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2710" cy="175260"/>
                      <wp:effectExtent l="0" t="0" r="0" b="0"/>
                      <wp:wrapNone/>
                      <wp:docPr id="110" name="Frame1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24560" cy="175260"/>
                      <wp:effectExtent l="0" t="0" r="0" b="0"/>
                      <wp:wrapNone/>
                      <wp:docPr id="111" name="Frame11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center"/>
              <w:rPr/>
            </w:pPr>
            <w:r>
              <w:rPr/>
              <w:t>​</w:t>
            </w:r>
          </w:p>
        </w:tc>
        <w:tc>
          <w:tcPr>
            <w:tcW w:w="14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$0.51 - $3.10</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center"/>
              <w:rPr/>
            </w:pPr>
            <w:r>
              <w:rPr/>
              <w:t> </w:t>
            </w:r>
          </w:p>
        </w:tc>
        <w:tc>
          <w:tcPr>
            <w:tcW w:w="14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 - 4.36%</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center"/>
              <w:rPr/>
            </w:pPr>
            <w:r>
              <w:rPr/>
              <w:t> </w:t>
            </w:r>
          </w:p>
        </w:tc>
        <w:tc>
          <w:tcPr>
            <w:tcW w:w="14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5.3 - 6.5</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center"/>
              <w:rPr/>
            </w:pPr>
            <w:r>
              <w:rPr/>
              <w:t> </w:t>
            </w:r>
          </w:p>
        </w:tc>
        <w:tc>
          <w:tcPr>
            <w:tcW w:w="14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94.9% - 147.8%</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center"/>
              <w:rPr/>
            </w:pPr>
            <w:r>
              <w:rPr/>
              <w:t> </w:t>
            </w:r>
          </w:p>
        </w:tc>
        <w:tc>
          <w:tcPr>
            <w:tcW w:w="1456"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employee and non-employee stock option activity under the Plan for the following periods:</w:t>
      </w:r>
    </w:p>
    <w:tbl>
      <w:tblPr>
        <w:tblW w:w="10205" w:type="dxa"/>
        <w:jc w:val="left"/>
        <w:tblInd w:w="0" w:type="dxa"/>
        <w:tblLayout w:type="fixed"/>
        <w:tblCellMar>
          <w:top w:w="0" w:type="dxa"/>
          <w:left w:w="0" w:type="dxa"/>
          <w:bottom w:w="0" w:type="dxa"/>
          <w:right w:w="0" w:type="dxa"/>
        </w:tblCellMar>
      </w:tblPr>
      <w:tblGrid>
        <w:gridCol w:w="2540"/>
        <w:gridCol w:w="109"/>
        <w:gridCol w:w="1216"/>
        <w:gridCol w:w="109"/>
        <w:gridCol w:w="1233"/>
        <w:gridCol w:w="109"/>
        <w:gridCol w:w="2670"/>
        <w:gridCol w:w="109"/>
        <w:gridCol w:w="2110"/>
      </w:tblGrid>
      <w:tr>
        <w:trPr/>
        <w:tc>
          <w:tcPr>
            <w:tcW w:w="2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12900" cy="175260"/>
                      <wp:effectExtent l="0" t="0" r="0" b="0"/>
                      <wp:wrapNone/>
                      <wp:docPr id="112" name="Frame112"/>
                      <a:graphic xmlns:a="http://schemas.openxmlformats.org/drawingml/2006/main">
                        <a:graphicData uri="http://schemas.microsoft.com/office/word/2010/wordprocessingShape">
                          <wps:wsp>
                            <wps:cNvSpPr txBox="1"/>
                            <wps:spPr>
                              <a:xfrm>
                                <a:off x="0" y="0"/>
                                <a:ext cx="1612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72160" cy="175260"/>
                      <wp:effectExtent l="0" t="0" r="0" b="0"/>
                      <wp:wrapNone/>
                      <wp:docPr id="114" name="Frame11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82955" cy="175260"/>
                      <wp:effectExtent l="0" t="0" r="0" b="0"/>
                      <wp:wrapNone/>
                      <wp:docPr id="116" name="Frame116"/>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95450" cy="175260"/>
                      <wp:effectExtent l="0" t="0" r="0" b="0"/>
                      <wp:wrapNone/>
                      <wp:docPr id="118" name="Frame118"/>
                      <a:graphic xmlns:a="http://schemas.openxmlformats.org/drawingml/2006/main">
                        <a:graphicData uri="http://schemas.microsoft.com/office/word/2010/wordprocessingShape">
                          <wps:wsp>
                            <wps:cNvSpPr txBox="1"/>
                            <wps:spPr>
                              <a:xfrm>
                                <a:off x="0" y="0"/>
                                <a:ext cx="169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0" cy="175260"/>
                      <wp:effectExtent l="0" t="0" r="0" b="0"/>
                      <wp:wrapNone/>
                      <wp:docPr id="120" name="Frame120"/>
                      <a:graphic xmlns:a="http://schemas.openxmlformats.org/drawingml/2006/main">
                        <a:graphicData uri="http://schemas.microsoft.com/office/word/2010/wordprocessingShape">
                          <wps:wsp>
                            <wps:cNvSpPr txBox="1"/>
                            <wps:spPr>
                              <a:xfrm>
                                <a:off x="0" y="0"/>
                                <a:ext cx="1339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0"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shares</w:t>
            </w:r>
          </w:p>
        </w:tc>
        <w:tc>
          <w:tcPr>
            <w:tcW w:w="109" w:type="dxa"/>
            <w:tcBorders/>
            <w:shd w:fill="FFFFFF" w:val="clear"/>
            <w:vAlign w:val="center"/>
          </w:tcPr>
          <w:p>
            <w:pPr>
              <w:pStyle w:val="TableContents"/>
              <w:bidi w:val="0"/>
              <w:spacing w:before="0" w:after="1"/>
              <w:ind w:left="0" w:right="0" w:hanging="0"/>
              <w:jc w:val="center"/>
              <w:rPr/>
            </w:pPr>
            <w:r>
              <w:rPr/>
              <w:t>​</w:t>
            </w:r>
          </w:p>
        </w:tc>
        <w:tc>
          <w:tcPr>
            <w:tcW w:w="1233"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w:t>
              <w:br/>
              <w:t>exercise price</w:t>
            </w:r>
          </w:p>
        </w:tc>
        <w:tc>
          <w:tcPr>
            <w:tcW w:w="109" w:type="dxa"/>
            <w:tcBorders/>
            <w:shd w:fill="FFFFFF" w:val="clear"/>
            <w:vAlign w:val="center"/>
          </w:tcPr>
          <w:p>
            <w:pPr>
              <w:pStyle w:val="TableContents"/>
              <w:bidi w:val="0"/>
              <w:spacing w:before="0" w:after="1"/>
              <w:ind w:left="0" w:right="0" w:hanging="0"/>
              <w:jc w:val="center"/>
              <w:rPr/>
            </w:pPr>
            <w:r>
              <w:rPr/>
              <w:t>​</w:t>
            </w:r>
          </w:p>
        </w:tc>
        <w:tc>
          <w:tcPr>
            <w:tcW w:w="2670"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 remaining contractual life (in years)</w:t>
            </w:r>
          </w:p>
        </w:tc>
        <w:tc>
          <w:tcPr>
            <w:tcW w:w="109" w:type="dxa"/>
            <w:tcBorders/>
            <w:shd w:fill="FFFFFF" w:val="clear"/>
            <w:vAlign w:val="center"/>
          </w:tcPr>
          <w:p>
            <w:pPr>
              <w:pStyle w:val="TableContents"/>
              <w:bidi w:val="0"/>
              <w:spacing w:before="0" w:after="1"/>
              <w:ind w:left="0" w:right="0" w:hanging="0"/>
              <w:jc w:val="center"/>
              <w:rPr/>
            </w:pPr>
            <w:r>
              <w:rPr/>
              <w:t>​</w:t>
            </w:r>
          </w:p>
        </w:tc>
        <w:tc>
          <w:tcPr>
            <w:tcW w:w="2110"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Aggregate intrinsic value (in thousands)</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shd w:fill="CCEEFF" w:val="cle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$ 3.32</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6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2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$ 618</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2023</w:t>
            </w:r>
          </w:p>
        </w:tc>
        <w:tc>
          <w:tcPr>
            <w:tcW w:w="109" w:type="dxa"/>
            <w:tcBorders/>
            <w:vAlign w:val="center"/>
          </w:tcPr>
          <w:p>
            <w:pPr>
              <w:pStyle w:val="TableContents"/>
              <w:bidi w:val="0"/>
              <w:spacing w:before="0" w:after="1"/>
              <w:ind w:left="0" w:right="0" w:hanging="0"/>
              <w:jc w:val="left"/>
              <w:rPr/>
            </w:pPr>
            <w:r>
              <w:rPr/>
              <w:t>​</w:t>
            </w:r>
          </w:p>
        </w:tc>
        <w:tc>
          <w:tcPr>
            <w:tcW w:w="121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vAlign w:val="center"/>
          </w:tcPr>
          <w:p>
            <w:pPr>
              <w:pStyle w:val="TableContents"/>
              <w:bidi w:val="0"/>
              <w:spacing w:before="0" w:after="1"/>
              <w:ind w:left="0" w:right="0" w:hanging="0"/>
              <w:jc w:val="left"/>
              <w:rPr/>
            </w:pPr>
            <w:r>
              <w:rPr/>
              <w:t>​</w:t>
            </w:r>
          </w:p>
        </w:tc>
        <w:tc>
          <w:tcPr>
            <w:tcW w:w="1233"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$ 3.32</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67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before="0" w:after="1"/>
              <w:ind w:left="0" w:right="0" w:hanging="0"/>
              <w:jc w:val="left"/>
              <w:rPr/>
            </w:pPr>
            <w:r>
              <w:rPr/>
              <w:t>​</w:t>
            </w:r>
          </w:p>
        </w:tc>
        <w:tc>
          <w:tcPr>
            <w:tcW w:w="211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$ 124</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as of March 31, 2023</w:t>
            </w:r>
          </w:p>
        </w:tc>
        <w:tc>
          <w:tcPr>
            <w:tcW w:w="109"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1,023,018</w:t>
            </w:r>
          </w:p>
        </w:tc>
        <w:tc>
          <w:tcPr>
            <w:tcW w:w="109" w:type="dxa"/>
            <w:tcBorders/>
            <w:shd w:fill="CCEEFF" w:val="clear"/>
            <w:vAlign w:val="center"/>
          </w:tcPr>
          <w:p>
            <w:pPr>
              <w:pStyle w:val="TableContents"/>
              <w:bidi w:val="0"/>
              <w:spacing w:before="0" w:after="1"/>
              <w:ind w:left="0" w:right="0" w:hanging="0"/>
              <w:jc w:val="left"/>
              <w:rPr/>
            </w:pPr>
            <w:r>
              <w:rPr/>
              <w:t>​</w:t>
            </w:r>
          </w:p>
        </w:tc>
        <w:tc>
          <w:tcPr>
            <w:tcW w:w="1233"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$ 4.87</w:t>
            </w:r>
          </w:p>
        </w:tc>
        <w:tc>
          <w:tcPr>
            <w:tcW w:w="109" w:type="dxa"/>
            <w:tcBorders/>
            <w:shd w:fill="CCEEFF" w:val="clear"/>
            <w:vAlign w:val="center"/>
          </w:tcPr>
          <w:p>
            <w:pPr>
              <w:pStyle w:val="TableContents"/>
              <w:bidi w:val="0"/>
              <w:spacing w:before="0" w:after="1"/>
              <w:ind w:left="0" w:right="0" w:hanging="0"/>
              <w:jc w:val="left"/>
              <w:rPr/>
            </w:pPr>
            <w:r>
              <w:rPr/>
              <w:t>​</w:t>
            </w:r>
          </w:p>
        </w:tc>
        <w:tc>
          <w:tcPr>
            <w:tcW w:w="2670"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CCEEFF" w:val="clear"/>
            <w:vAlign w:val="center"/>
          </w:tcPr>
          <w:p>
            <w:pPr>
              <w:pStyle w:val="TableContents"/>
              <w:bidi w:val="0"/>
              <w:spacing w:before="0" w:after="1"/>
              <w:ind w:left="0" w:right="0" w:hanging="0"/>
              <w:jc w:val="left"/>
              <w:rPr/>
            </w:pPr>
            <w:r>
              <w:rPr/>
              <w:t>​</w:t>
            </w:r>
          </w:p>
        </w:tc>
        <w:tc>
          <w:tcPr>
            <w:tcW w:w="2110" w:type="dxa"/>
            <w:tcBorders>
              <w:bottom w:val="single" w:sz="1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$ 75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per share for employee stock and non-employee option grants during the three months ended March 31, 2022 was $2.27. At March 31, 2023, the total unrecognized compensation related to unvested employee and non-employee stock option awards granted, was $1.6 million, of which the Company expects to recognize over a weighted-average period of approximately 1.2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recognition of stock-based compensation for the following periods (in thousands):</w:t>
      </w:r>
    </w:p>
    <w:tbl>
      <w:tblPr>
        <w:tblW w:w="5849" w:type="dxa"/>
        <w:jc w:val="left"/>
        <w:tblInd w:w="0" w:type="dxa"/>
        <w:tblLayout w:type="fixed"/>
        <w:tblCellMar>
          <w:top w:w="0" w:type="dxa"/>
          <w:left w:w="0" w:type="dxa"/>
          <w:bottom w:w="0" w:type="dxa"/>
          <w:right w:w="0" w:type="dxa"/>
        </w:tblCellMar>
      </w:tblPr>
      <w:tblGrid>
        <w:gridCol w:w="3451"/>
        <w:gridCol w:w="273"/>
        <w:gridCol w:w="544"/>
        <w:gridCol w:w="421"/>
        <w:gridCol w:w="273"/>
        <w:gridCol w:w="887"/>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1385" cy="175260"/>
                      <wp:effectExtent l="0" t="0" r="0" b="0"/>
                      <wp:wrapNone/>
                      <wp:docPr id="121" name="Frame12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3355" cy="175260"/>
                      <wp:effectExtent l="0" t="0" r="0" b="0"/>
                      <wp:wrapNone/>
                      <wp:docPr id="122" name="Frame12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5440" cy="175260"/>
                      <wp:effectExtent l="0" t="0" r="0" b="0"/>
                      <wp:wrapNone/>
                      <wp:docPr id="123" name="Frame123"/>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7335" cy="175260"/>
                      <wp:effectExtent l="0" t="0" r="0" b="0"/>
                      <wp:wrapNone/>
                      <wp:docPr id="124" name="Frame1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3355" cy="175260"/>
                      <wp:effectExtent l="0" t="0" r="0" b="0"/>
                      <wp:wrapNone/>
                      <wp:docPr id="125" name="Frame12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3245" cy="175260"/>
                      <wp:effectExtent l="0" t="0" r="0" b="0"/>
                      <wp:wrapNone/>
                      <wp:docPr id="126" name="Frame12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51" w:type="dxa"/>
            <w:tcBorders/>
            <w:vAlign w:val="center"/>
          </w:tcPr>
          <w:p>
            <w:pPr>
              <w:pStyle w:val="TableContents"/>
              <w:bidi w:val="0"/>
              <w:spacing w:before="0" w:after="1"/>
              <w:ind w:left="0" w:right="0" w:hanging="0"/>
              <w:jc w:val="left"/>
              <w:rPr/>
            </w:pPr>
            <w:r>
              <w:rPr/>
              <w:t>​</w:t>
            </w:r>
          </w:p>
        </w:tc>
        <w:tc>
          <w:tcPr>
            <w:tcW w:w="8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1" w:type="dxa"/>
            <w:tcBorders/>
            <w:vAlign w:val="center"/>
          </w:tcPr>
          <w:p>
            <w:pPr>
              <w:pStyle w:val="TableContents"/>
              <w:bidi w:val="0"/>
              <w:spacing w:before="0" w:after="1"/>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73"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421"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73" w:type="dxa"/>
            <w:tcBorders/>
            <w:shd w:fill="CCEEFF" w:val="cle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421"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7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w:t>
            </w:r>
          </w:p>
        </w:tc>
        <w:tc>
          <w:tcPr>
            <w:tcW w:w="421"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1,334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b/>
          <w:i/>
          <w:sz w:val="20"/>
        </w:rPr>
      </w:pPr>
      <w:bookmarkStart w:id="547" w:name="Tc_JJV_haKkekaBIVg_prD__w_3_0"/>
      <w:bookmarkStart w:id="548" w:name="Tc_iuqScXukzEK4t0GdaFSZoA_2_0"/>
      <w:bookmarkStart w:id="549" w:name="Tc_zC26gAhT8UuE1NH_Zc7jFQ_1_4"/>
      <w:bookmarkStart w:id="550" w:name="Tc_NE5-CQKLNE2WTqHymO9jiQ_1_2"/>
      <w:bookmarkEnd w:id="547"/>
      <w:bookmarkEnd w:id="548"/>
      <w:bookmarkEnd w:id="549"/>
      <w:bookmarkEnd w:id="550"/>
      <w:r>
        <w:rPr>
          <w:rFonts w:ascii="Times New Roman;Times;serif" w:hAnsi="Times New Roman;Times;serif"/>
          <w:b/>
          <w:i/>
          <w:sz w:val="20"/>
        </w:rPr>
        <w:t>Restricted Stock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Restricted Stock Activity:</w:t>
      </w:r>
    </w:p>
    <w:p>
      <w:pPr>
        <w:pStyle w:val="TextBody"/>
        <w:bidi w:val="0"/>
        <w:spacing w:before="0" w:after="0"/>
        <w:ind w:left="0" w:right="0" w:hanging="0"/>
        <w:jc w:val="left"/>
        <w:rPr/>
      </w:pPr>
      <w:r>
        <w:rPr/>
        <w:t>​</w:t>
      </w:r>
    </w:p>
    <w:tbl>
      <w:tblPr>
        <w:tblW w:w="8171" w:type="dxa"/>
        <w:jc w:val="left"/>
        <w:tblInd w:w="0" w:type="dxa"/>
        <w:tblLayout w:type="fixed"/>
        <w:tblCellMar>
          <w:top w:w="0" w:type="dxa"/>
          <w:left w:w="0" w:type="dxa"/>
          <w:bottom w:w="0" w:type="dxa"/>
          <w:right w:w="0" w:type="dxa"/>
        </w:tblCellMar>
      </w:tblPr>
      <w:tblGrid>
        <w:gridCol w:w="3346"/>
        <w:gridCol w:w="109"/>
        <w:gridCol w:w="931"/>
        <w:gridCol w:w="109"/>
        <w:gridCol w:w="367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24710" cy="175260"/>
                      <wp:effectExtent l="0" t="0" r="0" b="0"/>
                      <wp:wrapNone/>
                      <wp:docPr id="127" name="Frame127"/>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1185" cy="175260"/>
                      <wp:effectExtent l="0" t="0" r="0" b="0"/>
                      <wp:wrapNone/>
                      <wp:docPr id="129" name="Frame1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334260" cy="175260"/>
                      <wp:effectExtent l="0" t="0" r="0" b="0"/>
                      <wp:wrapNone/>
                      <wp:docPr id="131" name="Frame131"/>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Awards</w:t>
            </w:r>
          </w:p>
        </w:tc>
        <w:tc>
          <w:tcPr>
            <w:tcW w:w="109" w:type="dxa"/>
            <w:tcBorders/>
            <w:shd w:fill="FFFFFF" w:val="clear"/>
            <w:vAlign w:val="center"/>
          </w:tcPr>
          <w:p>
            <w:pPr>
              <w:pStyle w:val="TableContents"/>
              <w:bidi w:val="0"/>
              <w:spacing w:before="0" w:after="0"/>
              <w:ind w:left="0" w:right="0" w:hanging="0"/>
              <w:jc w:val="left"/>
              <w:rPr/>
            </w:pPr>
            <w:r>
              <w:rPr/>
              <w:t>​</w:t>
            </w:r>
          </w:p>
        </w:tc>
        <w:tc>
          <w:tcPr>
            <w:tcW w:w="36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 Grant Date Fair Value</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shd w:fill="CCEEFF" w:val="clear"/>
            <w:vAlign w:val="center"/>
          </w:tcPr>
          <w:p>
            <w:pPr>
              <w:pStyle w:val="TableContents"/>
              <w:bidi w:val="0"/>
              <w:spacing w:before="0" w:after="0"/>
              <w:ind w:left="0" w:right="0" w:hanging="0"/>
              <w:jc w:val="left"/>
              <w:rPr/>
            </w:pPr>
            <w:r>
              <w:rPr/>
              <w:t>​</w:t>
            </w:r>
          </w:p>
        </w:tc>
        <w:tc>
          <w:tcPr>
            <w:tcW w:w="3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$ 0.57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as of March 31, 2023</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vAlign w:val="center"/>
          </w:tcPr>
          <w:p>
            <w:pPr>
              <w:pStyle w:val="TableContents"/>
              <w:bidi w:val="0"/>
              <w:spacing w:before="0" w:after="0"/>
              <w:ind w:left="0" w:right="0" w:hanging="0"/>
              <w:jc w:val="left"/>
              <w:rPr/>
            </w:pPr>
            <w:r>
              <w:rPr/>
              <w:t>​</w:t>
            </w:r>
          </w:p>
        </w:tc>
        <w:tc>
          <w:tcPr>
            <w:tcW w:w="367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$ 0.57</w:t>
            </w:r>
          </w:p>
        </w:tc>
      </w:tr>
    </w:tbl>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of March 31, 2023, total unrecognized compensation expense related to unvested RSAs granted was approximately $0.4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which is expected to be recognized over a weighted-average period of approximately 2.3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related to RSAs was less than $0.1 million during the three months ended March 31,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51" w:name="Tc_Im0QcW0D8ECpziQOwaxfGQ_9_7"/>
      <w:bookmarkStart w:id="552" w:name="Tc_50XaOwS3w0aTFw_wE2rJyw_9_4"/>
      <w:bookmarkStart w:id="553" w:name="Tc_vNLcWo71BE2zd3JYVCDfyw_9_2"/>
      <w:bookmarkStart w:id="554" w:name="Tc_6DEYdez7NkaWAfO3UlmNdg_9_0"/>
      <w:bookmarkStart w:id="555" w:name="Tc_5mPzyre_l0iOKDsS0jF0Vw_8_7"/>
      <w:bookmarkStart w:id="556" w:name="Tc_04mfWwDh2U6PfDnk-CaI7A_8_4"/>
      <w:bookmarkStart w:id="557" w:name="Tc_LE1uMtcM7kKPGfR6FgC2OA_8_2"/>
      <w:bookmarkStart w:id="558" w:name="Tc_TYBPYoWzzEqVtSWnw31ZcA_8_0"/>
      <w:bookmarkStart w:id="559" w:name="Tc_yvEz7b53U0-1Nmj4mK9oqQ_7_0"/>
      <w:bookmarkStart w:id="560" w:name="Tc_OnimoAaeIEG6abIa2qb_2A_5_7"/>
      <w:bookmarkStart w:id="561" w:name="Tc_5BFA8VphKEmucDzRQfU3Iw_5_4"/>
      <w:bookmarkStart w:id="562" w:name="Tc_U0tgS7fn0U6guPluEBJMAQ_5_2"/>
      <w:bookmarkStart w:id="563" w:name="Tc_Hd__z1jLvEqLCY0uFPHzAA_5_0"/>
      <w:bookmarkStart w:id="564" w:name="Tc_m23kBCVOBUS1-Pm-cYLETA_4_0"/>
      <w:bookmarkStart w:id="565" w:name="Tc_4jBKSKyBK0OKsJoqKa8wEg_3_4"/>
      <w:bookmarkStart w:id="566" w:name="Tc_tdzbpThlYkWdGG1CKTLpeg_2_7"/>
      <w:bookmarkStart w:id="567" w:name="Tc_aoU3n-DJDUOLdhxY5rAoUA_2_4"/>
      <w:bookmarkStart w:id="568" w:name="Tc_oXI71ZXiXEyHdXI5MRa53g_2_2"/>
      <w:bookmarkStart w:id="569" w:name="Tc_RpjOnDLB902HB37y7MElfw_2_0"/>
      <w:bookmarkStart w:id="570" w:name="Tc_5wcj7bgBkUKyj6r85bcyFg_1_7"/>
      <w:bookmarkStart w:id="571" w:name="Tc_wI7IHdtbMEKKGCmimcsboQ_1_4"/>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Times New Roman;Times;serif" w:hAnsi="Times New Roman;Times;serif"/>
          <w:b/>
          <w:sz w:val="20"/>
        </w:rPr>
        <w:t>10.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measurements discussed herein are based upon certain market assumptions and pertinent information available to management as of and during the three months ended March 31, 2023 and year ended December 31, 2022. The carrying amount of accounts payable approximated fair value as they are short term in nature. The fair value of warrants issued for services are estimated based on the Black-Scholes model during the three months ended March 31, 2023 and year ended December 31, 2022. The fair value of the convertible note payable was estimated utilizing a Monte Carlo simulation during the three months ended March 31, 2023 and the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March 31, 2023 and year ended December 31, 2022, and indicates the fair value hierarchy of the valuation inputs the Company utilized to determine such fair value (in thousands):</w:t>
      </w:r>
    </w:p>
    <w:p>
      <w:pPr>
        <w:pStyle w:val="TextBody"/>
        <w:bidi w:val="0"/>
        <w:spacing w:before="0" w:after="0"/>
        <w:ind w:left="0" w:right="0" w:hanging="0"/>
        <w:jc w:val="left"/>
        <w:rPr/>
      </w:pPr>
      <w:r>
        <w:rPr/>
        <w:t>​</w:t>
      </w:r>
    </w:p>
    <w:tbl>
      <w:tblPr>
        <w:tblW w:w="6224" w:type="dxa"/>
        <w:jc w:val="left"/>
        <w:tblInd w:w="0" w:type="dxa"/>
        <w:tblLayout w:type="fixed"/>
        <w:tblCellMar>
          <w:top w:w="0" w:type="dxa"/>
          <w:left w:w="0" w:type="dxa"/>
          <w:bottom w:w="0" w:type="dxa"/>
          <w:right w:w="0" w:type="dxa"/>
        </w:tblCellMar>
      </w:tblPr>
      <w:tblGrid>
        <w:gridCol w:w="2896"/>
        <w:gridCol w:w="326"/>
        <w:gridCol w:w="496"/>
        <w:gridCol w:w="326"/>
        <w:gridCol w:w="231"/>
        <w:gridCol w:w="744"/>
        <w:gridCol w:w="109"/>
        <w:gridCol w:w="230"/>
        <w:gridCol w:w="86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38960" cy="175260"/>
                      <wp:effectExtent l="0" t="0" r="0" b="0"/>
                      <wp:wrapNone/>
                      <wp:docPr id="132" name="Frame13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14960" cy="175260"/>
                      <wp:effectExtent l="0" t="0" r="0" b="0"/>
                      <wp:wrapNone/>
                      <wp:docPr id="134" name="Frame13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6685" cy="175260"/>
                      <wp:effectExtent l="0" t="0" r="0" b="0"/>
                      <wp:wrapNone/>
                      <wp:docPr id="136" name="Frame13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72440" cy="175260"/>
                      <wp:effectExtent l="0" t="0" r="0" b="0"/>
                      <wp:wrapNone/>
                      <wp:docPr id="137" name="Frame137"/>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6050" cy="175260"/>
                      <wp:effectExtent l="0" t="0" r="0" b="0"/>
                      <wp:wrapNone/>
                      <wp:docPr id="139" name="Frame13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49910" cy="175260"/>
                      <wp:effectExtent l="0" t="0" r="0" b="0"/>
                      <wp:wrapNone/>
                      <wp:docPr id="140" name="Frame14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8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1"/>
              <w:ind w:left="0" w:right="0" w:hanging="0"/>
              <w:jc w:val="center"/>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1"/>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4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Account</w:t>
            </w:r>
          </w:p>
        </w:tc>
        <w:tc>
          <w:tcPr>
            <w:tcW w:w="32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13,902</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15,249</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4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right"/>
              <w:rPr/>
            </w:pPr>
            <w:r>
              <w:rPr/>
              <w:t>​</w:t>
            </w:r>
          </w:p>
        </w:tc>
        <w:tc>
          <w:tcPr>
            <w:tcW w:w="74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 (Note 10)</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(Note 6)</w:t>
            </w:r>
          </w:p>
        </w:tc>
        <w:tc>
          <w:tcPr>
            <w:tcW w:w="32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10,525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72" w:name="Tc__xjJ8owZ2UG_u66h275Z1Q_11_5"/>
      <w:bookmarkStart w:id="573" w:name="Tc_6V8aWQTUvkiv-bMJeLccDA_11_3"/>
      <w:bookmarkStart w:id="574" w:name="Tc_h0YXYroWvU-luK8Bp2snYg_11_2"/>
      <w:bookmarkStart w:id="575" w:name="Tc_XID1mYOt70yNWQQiK_U03w_11_0"/>
      <w:bookmarkStart w:id="576" w:name="Tc_1RNdFTGask2JzKfzqvkRWA_10_5"/>
      <w:bookmarkStart w:id="577" w:name="Tc_0TGC5NhOLkCUirIMb4M6gw_10_2"/>
      <w:bookmarkStart w:id="578" w:name="Tc_z12zAQ67E0GGxc3_OhHIjw_10_0"/>
      <w:bookmarkStart w:id="579" w:name="Tc_tX1BCb6_sk2-Tlgmb1zf5A_8_5"/>
      <w:bookmarkStart w:id="580" w:name="Tc_eAeH1SMeh0yR0b4CGP26tw_8_2"/>
      <w:bookmarkStart w:id="581" w:name="Tc_Ru_jk5T850ScSrCljz2OuA_8_0"/>
      <w:bookmarkStart w:id="582" w:name="Tc_MlUsE74r0kqRwyO4snwOWw_7_6"/>
      <w:bookmarkStart w:id="583" w:name="Tc_G9cGCfa5x0mksqeYKVn-6g_7_3"/>
      <w:bookmarkStart w:id="584" w:name="Tc_u2nI8ry_0kyHGQRzmhdUeQ_7_0"/>
      <w:bookmarkStart w:id="585" w:name="Tc_Wk1vq0RNl0e1Fd-RWe8TTw_6_0"/>
      <w:bookmarkStart w:id="586" w:name="Tc_24wwR9IvK0KdhmJ_MSWdjw_5_0"/>
      <w:bookmarkStart w:id="587" w:name="Tc_SbP-EcHVpkefSeLVVeZpnw_4_0"/>
      <w:bookmarkStart w:id="588" w:name="Tc__jrx68C01ky3cX-TtOYCzA_3_5"/>
      <w:bookmarkStart w:id="589" w:name="Tc_kZrcaeNHLU-J0GcPQ7KT_w_3_2"/>
      <w:bookmarkStart w:id="590" w:name="Tc_KSqBDP1rlEKss0L00VIrJQ_3_0"/>
      <w:bookmarkStart w:id="591" w:name="Tc_ZQsXJGZvmkWKN3EEnT7XnQ_2_2"/>
      <w:bookmarkStart w:id="592" w:name="Tc_W4uM_0z7PEGkWKXY8hwEig_1_5"/>
      <w:bookmarkStart w:id="593" w:name="Tc_xt7AIrySYUeW3mMNzMWUmA_1_2"/>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Pr>
          <w:rFonts w:ascii="Times New Roman;Times;serif" w:hAnsi="Times New Roman;Times;serif"/>
          <w:sz w:val="20"/>
        </w:rPr>
        <w:t>Convertible Note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significant inputs used in the Monte Carlo simulation to measure the convertible note liability that is categorized within Level 3 of the fair value hierarchy are as follows:</w:t>
      </w:r>
    </w:p>
    <w:tbl>
      <w:tblPr>
        <w:tblW w:w="4138" w:type="dxa"/>
        <w:jc w:val="left"/>
        <w:tblInd w:w="0" w:type="dxa"/>
        <w:tblLayout w:type="fixed"/>
        <w:tblCellMar>
          <w:top w:w="0" w:type="dxa"/>
          <w:left w:w="0" w:type="dxa"/>
          <w:bottom w:w="0" w:type="dxa"/>
          <w:right w:w="0" w:type="dxa"/>
        </w:tblCellMar>
      </w:tblPr>
      <w:tblGrid>
        <w:gridCol w:w="2506"/>
        <w:gridCol w:w="326"/>
        <w:gridCol w:w="333"/>
        <w:gridCol w:w="973"/>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91310" cy="175260"/>
                      <wp:effectExtent l="0" t="0" r="0" b="0"/>
                      <wp:wrapNone/>
                      <wp:docPr id="141" name="Frame14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1455" cy="175260"/>
                      <wp:effectExtent l="0" t="0" r="0" b="0"/>
                      <wp:wrapNone/>
                      <wp:docPr id="143" name="Frame14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7855" cy="175260"/>
                      <wp:effectExtent l="0" t="0" r="0" b="0"/>
                      <wp:wrapNone/>
                      <wp:docPr id="144" name="Frame144"/>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 on valuation date</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to expiration</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market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volatility</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default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14.6%</w:t>
            </w:r>
          </w:p>
        </w:tc>
      </w:tr>
    </w:tbl>
    <w:p>
      <w:pPr>
        <w:pStyle w:val="TextBody"/>
        <w:pBdr/>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changes in the fair value of the Company’s convertible note payable categorized within Level 3 of the fair value hierarchy (in thousands):</w:t>
      </w:r>
    </w:p>
    <w:p>
      <w:pPr>
        <w:pStyle w:val="TextBody"/>
        <w:bidi w:val="0"/>
        <w:spacing w:before="0" w:after="0"/>
        <w:ind w:left="0" w:right="0" w:hanging="0"/>
        <w:jc w:val="left"/>
        <w:rPr/>
      </w:pPr>
      <w:r>
        <w:rPr/>
        <w:t>​</w:t>
      </w:r>
    </w:p>
    <w:tbl>
      <w:tblPr>
        <w:tblW w:w="9054" w:type="dxa"/>
        <w:jc w:val="left"/>
        <w:tblInd w:w="0" w:type="dxa"/>
        <w:tblLayout w:type="fixed"/>
        <w:tblCellMar>
          <w:top w:w="0" w:type="dxa"/>
          <w:left w:w="0" w:type="dxa"/>
          <w:bottom w:w="0" w:type="dxa"/>
          <w:right w:w="0" w:type="dxa"/>
        </w:tblCellMar>
      </w:tblPr>
      <w:tblGrid>
        <w:gridCol w:w="6031"/>
        <w:gridCol w:w="109"/>
        <w:gridCol w:w="299"/>
        <w:gridCol w:w="961"/>
        <w:gridCol w:w="109"/>
        <w:gridCol w:w="344"/>
        <w:gridCol w:w="120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829685" cy="175260"/>
                      <wp:effectExtent l="0" t="0" r="0" b="0"/>
                      <wp:wrapNone/>
                      <wp:docPr id="145" name="Frame145"/>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9865" cy="175260"/>
                      <wp:effectExtent l="0" t="0" r="0" b="0"/>
                      <wp:wrapNone/>
                      <wp:docPr id="147" name="Frame14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0235" cy="175260"/>
                      <wp:effectExtent l="0" t="0" r="0" b="0"/>
                      <wp:wrapNone/>
                      <wp:docPr id="148" name="Frame14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8440" cy="175260"/>
                      <wp:effectExtent l="0" t="0" r="0" b="0"/>
                      <wp:wrapNone/>
                      <wp:docPr id="150" name="Frame15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62635" cy="175260"/>
                      <wp:effectExtent l="0" t="0" r="0" b="0"/>
                      <wp:wrapNone/>
                      <wp:docPr id="151" name="Frame15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Carrying value of the Note before current period 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10,523</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through earnings</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through accumulated other comprehensive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60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a Black-Scholes model approach to value the Placement Warrants and Substitute Warrants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94" w:name="Tc_Z5J0FOyVckK_9FDruj4FOg_4_2"/>
      <w:bookmarkStart w:id="595" w:name="Tc_OMMvkkxSRkqK9ugEEk_7vA_4_0"/>
      <w:bookmarkStart w:id="596" w:name="Tc_8uQ2tQShCkqU7VsuHLayqQ_3_0"/>
      <w:bookmarkStart w:id="597" w:name="Tc_1B5JV2OVdkikoUxlquvT7w_2_2"/>
      <w:bookmarkStart w:id="598" w:name="Tc_0cvkO-1JPUeOERtT6VCwZw_2_0"/>
      <w:bookmarkStart w:id="599" w:name="Tc_92HFgfufPUukMzPVNuaFJg_1_2"/>
      <w:bookmarkStart w:id="600" w:name="_f960b9fe_6d88_486d_8b34_a329aa983f31"/>
      <w:bookmarkStart w:id="601" w:name="Tc_be1xEu9ZHU6xW280Vl6mbA_8_3"/>
      <w:bookmarkStart w:id="602" w:name="Tc__APKf_xXp0mDYlhnSw9tWA_8_2"/>
      <w:bookmarkStart w:id="603" w:name="Tc_qushyX_Wc0uC9Vv1kiLlxw_8_0"/>
      <w:bookmarkStart w:id="604" w:name="Tc_gU2dSvLKsE-ZIuViyuz2Cw_7_0"/>
      <w:bookmarkStart w:id="605" w:name="Tc_8LYh03tOO0uQcunspZ7APg_6_3"/>
      <w:bookmarkStart w:id="606" w:name="Tc_3XtgN-P3W0KDh9PtNEw7fQ_6_0"/>
      <w:bookmarkStart w:id="607" w:name="Tc_Cnnalec6UUajNhuv3cdU4A_5_3"/>
      <w:bookmarkStart w:id="608" w:name="Tc_CQHRV4dhe0KdvOD1eY1eMQ_5_0"/>
      <w:bookmarkStart w:id="609" w:name="Tc__LMC0O-BZUiIKc9XE7Oz4w_4_3"/>
      <w:bookmarkStart w:id="610" w:name="Tc_5oV63RJU4EK3ee3BBxIdIg_4_0"/>
      <w:bookmarkStart w:id="611" w:name="Tc_X8Db6jTvnk6UW1yaH16m3w_3_3"/>
      <w:bookmarkStart w:id="612" w:name="Tc_VW-o6wtmREWScAqRHrDyzQ_3_2"/>
      <w:bookmarkStart w:id="613" w:name="Tc_Lg9mTElJZUSGZB0l7xgugw_3_0"/>
      <w:bookmarkStart w:id="614" w:name="Tc_VSfm1beBT0G2kLc-lMy7_A_2_2"/>
      <w:bookmarkStart w:id="615" w:name="Tc_wf00mNzi6Um4tFknd-acxQ_2_0"/>
      <w:bookmarkStart w:id="616" w:name="Tc_2lvEGii0NECpd0POEcKIYg_1_2"/>
      <w:bookmarkStart w:id="617" w:name="_2ead451b_477e_40c6_a321_fe6f314a06be"/>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Times New Roman;Times;serif" w:hAnsi="Times New Roman;Times;serif"/>
          <w:sz w:val="20"/>
        </w:rPr>
        <w:t>The significant inputs used in the Black-Scholes model to measure the warrant liabilities that are categorized within Level 3 of the fair value hierarchy are as follows:</w:t>
      </w:r>
    </w:p>
    <w:tbl>
      <w:tblPr>
        <w:tblW w:w="4334" w:type="dxa"/>
        <w:jc w:val="left"/>
        <w:tblInd w:w="0" w:type="dxa"/>
        <w:tblLayout w:type="fixed"/>
        <w:tblCellMar>
          <w:top w:w="0" w:type="dxa"/>
          <w:left w:w="0" w:type="dxa"/>
          <w:bottom w:w="0" w:type="dxa"/>
          <w:right w:w="0" w:type="dxa"/>
        </w:tblCellMar>
      </w:tblPr>
      <w:tblGrid>
        <w:gridCol w:w="2506"/>
        <w:gridCol w:w="326"/>
        <w:gridCol w:w="211"/>
        <w:gridCol w:w="12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591310" cy="175260"/>
                      <wp:effectExtent l="0" t="0" r="0" b="0"/>
                      <wp:wrapNone/>
                      <wp:docPr id="152" name="Frame15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19785" cy="175260"/>
                      <wp:effectExtent l="0" t="0" r="0" b="0"/>
                      <wp:wrapNone/>
                      <wp:docPr id="155" name="Frame15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 on valuation date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 per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3.48 - 11.50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0.02 - 3.15</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55.0 - 123.6%</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3.79 - 4.77%</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0.00 - 0.19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warrant liabilities is included below (in thousands):</w:t>
      </w:r>
    </w:p>
    <w:tbl>
      <w:tblPr>
        <w:tblW w:w="4452" w:type="dxa"/>
        <w:jc w:val="left"/>
        <w:tblInd w:w="0" w:type="dxa"/>
        <w:tblLayout w:type="fixed"/>
        <w:tblCellMar>
          <w:top w:w="0" w:type="dxa"/>
          <w:left w:w="0" w:type="dxa"/>
          <w:bottom w:w="0" w:type="dxa"/>
          <w:right w:w="0" w:type="dxa"/>
        </w:tblCellMar>
      </w:tblPr>
      <w:tblGrid>
        <w:gridCol w:w="2821"/>
        <w:gridCol w:w="326"/>
        <w:gridCol w:w="398"/>
        <w:gridCol w:w="907"/>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91335" cy="175260"/>
                      <wp:effectExtent l="0" t="0" r="0" b="0"/>
                      <wp:wrapNone/>
                      <wp:docPr id="156" name="Frame156"/>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2730" cy="175260"/>
                      <wp:effectExtent l="0" t="0" r="0" b="0"/>
                      <wp:wrapNone/>
                      <wp:docPr id="158" name="Frame15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75945" cy="175260"/>
                      <wp:effectExtent l="0" t="0" r="0" b="0"/>
                      <wp:wrapNone/>
                      <wp:docPr id="159" name="Frame159"/>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upon re-measurement</w:t>
            </w:r>
          </w:p>
        </w:tc>
        <w:tc>
          <w:tcPr>
            <w:tcW w:w="326"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recorded no provision or benefit for income tax expense for the three months ended March 31, 2023 and 2022, respectively.</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no open tax audits with any taxing authority as of March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March 31, 2023 and 2022, the Company paid Glytech $0.1 million and $0.1 million, respectively, for continuing technology support services and reimbursed expenses. These support services are ongoing.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January 31, 2023, (i) the value of the Glytech equity holdings in NRx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618" w:name="Narr_hUnw72GSHke6cCp34Jc_yQ"/>
      <w:bookmarkEnd w:id="618"/>
      <w:r>
        <w:rPr>
          <w:rFonts w:ascii="Times New Roman;Times;serif" w:hAnsi="Times New Roman;Times;serif"/>
          <w:sz w:val="20"/>
        </w:rPr>
        <w:t>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Glytech Agreement was amended to extend the period to meet these conditions until May 15, 2023. The Company and Glytech may seek to extend this period beyond May 15, 2023 if additional time is needed to consummate a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$0.3 million and $0.4 million during the three months ended March 31,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bonus for 2023, if any, is payable in March 2024, will be pro-rated from the start of the extension period and is subject to Dr. Javitt’s continued engagement by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amendment also provides, subject to the approval of the Board of Directors, for a grant of 500,000 shares of restricted stock of the Company under the Company’s 2021 Omnibus Incentive Plan.  The restrictions are performance based, and half of the restricted shares (250,000) shall have the restrictions removed on the New Drug Application Date (as defined below) and the remaining half (250,000) will have the restrictions removed on the New Drug Approval Date (as defined below). As of March 31, 2023, the Board of Directors have not approved the grant of restricted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“New Drug Application Date” means the date upon which the Food and Drug Administration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Zachary Javitt is the son of Dr. Jonathan Javitt. Zachary Javitt provides services related to website, IT, and marketing support under the supervision of the Company’s CEO and the Company’s Senior Director of Global Communications, who are responsible for assuring that the services are provided on financial terms that are at market. The Company paid this family member a total of less than $0.1 million and $0.1 million during the three months ended March 31, 2023 and 2022, respectively. These services are ongoing.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paid PillTracker for digital health product development required to track the use of Aviptadil in clinical trials. Zachary Javitt and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(“MSA”), and all work orders thereunder, have been suspended by mutual agreement pending the Company’s re-evaluation of its respiratory franchise. NRx Pharmaceuticals paid PillTracker $0.2 million during the three months ended March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accounts payable were less than $0.1 million and less than $0.1 million due to the above related parties as of March 31, 2023 and December 31, 2022, respectively.</w:t>
      </w:r>
    </w:p>
    <w:p>
      <w:pPr>
        <w:pStyle w:val="TextBody"/>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13. Subsequent Events</w:t>
      </w:r>
    </w:p>
    <w:p>
      <w:pPr>
        <w:pStyle w:val="TextBody"/>
        <w:bidi w:val="0"/>
        <w:spacing w:lineRule="atLeast" w:line="220" w:before="0" w:after="0"/>
        <w:ind w:left="0" w:right="0" w:hanging="0"/>
        <w:jc w:val="both"/>
        <w:rPr/>
      </w:pPr>
      <w:r>
        <w:rPr/>
        <w:t>​</w:t>
      </w:r>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through the date of issuance of the unaudited condensed consolidated financial statements included herein. There have been no subsequent events that occurred during such period that would require disclosure in this Form 10-Q or would be required to be recognized in the unaudited condensed consolidated financial statements as of March 31, 2023 and for the three months ended March 31, 2023.</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19" w:name="Item7ManagementsDiscussionandAnalysisofF"/>
      <w:bookmarkStart w:id="620" w:name="_7172e3f1_83ef_45f6_8238_9d131cfc2497"/>
      <w:bookmarkEnd w:id="619"/>
      <w:bookmarkEnd w:id="620"/>
      <w:r>
        <w:rPr>
          <w:rFonts w:ascii="Times New Roman;Times;serif" w:hAnsi="Times New Roman;Times;serif"/>
          <w:b/>
          <w:sz w:val="20"/>
        </w:rPr>
        <w:t>Item 2. Management’s Discussion and Analysis of Financial Condition and Results of Operations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Overview</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is a clinical stage pharmaceutical company that is developing, through its wholly owned operating subsidiary, NeuroRx, NRX-100 and NRX-101, the first oral therapeutic for the treatment of Bipolar Depression in patients with Acute Suicidal Ideation and Behavior (ASIB) and Sub-Acute Suicidal Ideation and Behavior (“SSIB”). 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investigational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a NMDA receptor modulator, and lurasidone, a 5-HT2a receptor antagonist.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2022, NRx Pharmaceuticals announced a primary focus on its psychiatry franchise and the late-stage development of NRX-101 for the treatment of bipolar depression in patients with suicidality. NRX-101 is a fixed dose combination of D-cycloserine, an NMDA antagonist, and lurasidone, a 5-HT</w:t>
      </w:r>
      <w:r>
        <w:rPr>
          <w:rFonts w:ascii="Times New Roman;Times;serif" w:hAnsi="Times New Roman;Times;serif"/>
          <w:sz w:val="15"/>
        </w:rPr>
        <w:t>2A</w:t>
      </w:r>
      <w:r>
        <w:rPr>
          <w:rFonts w:ascii="Times New Roman;Times;serif" w:hAnsi="Times New Roman;Times;serif"/>
          <w:sz w:val="20"/>
        </w:rPr>
        <w:t xml:space="preserve"> atypical antipsychotic and antidepressant, for the maintenance of remission from severe bipolar depression following initial stabilization with ketamine. The previously undiscovered synergy between these two drug classes in the treatment of CNS disorders, combined with the efficacy of D-cycloserine in the treatment of depression and PTSD, is the subject of 47 issued patents and more than 43 pending patents owned by or licensed to NRx Pharmaceuticals.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 Severe Bipolar Depression in Patients with Acute Suicidal Ideation and Behavior (ASIB) After Initial Stabilization with ketamine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NRX-101 received an investigational new drug (IND) clearance by the U.S. Food and Drug Administration (FDA) and a Phase 2b/3 clinical trial commenced for bipolar depression with ASIB. Later that year, the FDA granted NRX-101 a Fast Track designation for the same indication.</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FDA provided a Letter of Support to the Company encouraging the development of Glutamine+Glutamate (Glx) as a pharmacodynamic biomarker for depression. The letter referenced published and unpublished data demonstrating a significant association between clinical symptoms of depression and levels of brain Glx.</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STABIL-B Phase 2 trial, the Phase 2 portion of the Phase 2b/3 trial, patients with bipolar depression and ASIB received either NRX-101 or lurasidone after an intravenous infusion of NRX-100 (ketamine). The proof-of-concept data presented at the American Congress of Neuropsychopharmacology in 2018 demonstrated with statistical significance that NRX-101 treated patients experienced lower depression scores and did not relapse.</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STABIL-B findings, the FDA granted NRX-101 Breakthrough Therapy Designation and a Special Protocol Agreement (“SPA”) for bipolar depression in patients with ASIB, which affects ~150K-180K patients per year in the U.S. The Breakthrough Therapy Designation allows for an expedited rolling submission of a new drug application (“NDA”) for investigational drugs that have demonstrated substantial improvement over existing approved therapies, and the SPA allows for a single registrational trial of NRX-101 in severe bipolar depression in patients with ASIB after stabilization with ketamine, using a protocol similar to the STABIL-B trial with a patient population of less than 100.</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NRx Pharmaceuticals announced that it has transferred Phase 3 commercial drug manufacturing processes to the U.S. and released Phase 3 drug manufactured via the expected commercial-stage processes. NRx Pharmaceuticals has submitted its manufacturing file to the FDA. This investigational drug manufactured according to these new processes will be used in the upcoming Phase 3 trial.</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initiating a new registrational study of NRX-101 for the treatment of severe bipolar depression with ASIB, a potentially lethal condition that currently takes the lives of thousands of Americans each year, after initial stabilization with NRX-100 (described below). We intend to use newly manufactured material that was manufactured using the expected commercial process. On January 3, 2023, the Company announced that its first clinical trial sites had been contracted for this study, but patient recruiting has not begun.</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Company announced its receipt of the written minutes of a Type B meeting held with the FDA on January 11, 2023,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accomplished could represent a more straightforward development program. This broader indication would enable the Company to potentially demonstrate the use of NRX-101 to maintain stabilization from suicidality in patients stabilized either with ketamine (NRX-100) or with other standard of care therapeutic approaches.  FDA encouraged the Company to request a Breakthrough Therapy Planning Meeting for NRX-101, which we intent to do in the next few months.</w:t>
            </w:r>
          </w:p>
        </w:tc>
      </w:tr>
    </w:tbl>
    <w:p>
      <w:pPr>
        <w:pStyle w:val="TextBody"/>
        <w:bidi w:val="0"/>
        <w:spacing w:lineRule="auto" w:line="302"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Bipolar Depression in Patients with Sub-acute Suicidal Ideation and Behavior (SSIB)</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Phase 2 double-blind study completed in 2018 demonstrated the ability of NRX-101 to improve depression and suicidality over 6 weeks when taken twice daily over lurasidone alone after an initial stabilization with ketamine.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study involving patients with bipolar depression and sub-acute suicidality (not requiring hospitalization) does not include the use of ketamine; all patients are being treated in an outpatient setting.</w:t>
            </w:r>
          </w:p>
        </w:tc>
      </w:tr>
    </w:tbl>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Consolidated NRX-101 Program in </w:t>
      </w:r>
      <w:r>
        <w:rPr>
          <w:rFonts w:ascii="Times New Roman;Times;serif" w:hAnsi="Times New Roman;Times;serif"/>
          <w:color w:val="231F20"/>
          <w:sz w:val="20"/>
        </w:rPr>
        <w:t>Suicidal Treatment-Resistant Bipolar Depression</w:t>
      </w:r>
    </w:p>
    <w:p>
      <w:pPr>
        <w:pStyle w:val="TextBody"/>
        <w:bidi w:val="0"/>
        <w:spacing w:before="147"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Based on the comments and guidance from the FDA in its recent Type B meeting regarding the registrational Acute Suicidality trial and a potentially broader indication, as well as the guidance it received from the DSMB regarding the ongoing Phase IIb/3 clinical study of NRX-101 for the treatment of severe bipolar depression in patients with SSIB, the Company is evaluating changes to its registrational program for NRX-101 and will seek to consolidate patients originally expected to enroll in the ASIB study into the currently enrolling Phase IIb/3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IIb/3 trial; patients within both groups are deemed to have treatment resistant bipolar depression with suicidality.  This broader indication may also offer significant advantages in commercialization, while negating the need for a separate NDA for ketamine in Suicidal stabilization.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US population of patients with Suicidal Treatment Resistant Bipolar Depression is estimated to be between 700,000 and 1,000,000 people. </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expect top-line data from this trial in the fourth quarter of 2023.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Post Traumatic Stress Disorder</w:t>
      </w:r>
    </w:p>
    <w:p>
      <w:pPr>
        <w:pStyle w:val="TextBody"/>
        <w:bidi w:val="0"/>
        <w:spacing w:before="0" w:after="0"/>
        <w:ind w:left="0" w:right="0" w:hanging="0"/>
        <w:jc w:val="both"/>
        <w:rPr/>
      </w:pPr>
      <w:r>
        <w:rPr/>
        <w:t>​</w:t>
      </w:r>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NRx plans to commence a Phase 2 clinical trial of NRX-101 in PTSD in the second half of 2023.</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Depression in PTSD may be driven by pathways that are similar to those that drive depression in other conditions (NMDA and 5-HT2A). Additionally, approximately 10% of patients with PTSD may experience suicidality, especially those with severe PTSD.</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preclinical PTSD study, D-cycloserine, a component of NRX-101, demonstrated the ability to extinguish recurring images of traumatic events, also known as fear memory, in a validated WKY model of PTSD.</w:t>
            </w:r>
          </w:p>
        </w:tc>
      </w:tr>
    </w:tbl>
    <w:p>
      <w:pPr>
        <w:pStyle w:val="TextBody"/>
        <w:bidi w:val="0"/>
        <w:spacing w:before="0" w:after="240"/>
        <w:ind w:left="0" w:right="0" w:hanging="0"/>
        <w:jc w:val="both"/>
        <w:rPr>
          <w:color w:val="231F20"/>
        </w:rPr>
      </w:pPr>
      <w:r>
        <w:rPr>
          <w:color w:val="231F20"/>
        </w:rPr>
        <w:t>​</w:t>
      </w:r>
    </w:p>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Since inception, NRx Pharmaceuticals has incurred significant operating losses. For the three months ended March 31, 2023 and 2022, NRx Pharmaceuticals’ net loss was $11.0 million and $13.4 million, respectively. As of March 31, 2023, NRx Pharmaceuticals had an accumulated deficit of $234.0 million.</w:t>
      </w:r>
    </w:p>
    <w:p>
      <w:pPr>
        <w:pStyle w:val="TextBody"/>
        <w:bidi w:val="0"/>
        <w:spacing w:before="0" w:after="240"/>
        <w:ind w:left="360" w:right="0" w:hanging="0"/>
        <w:jc w:val="both"/>
        <w:rPr>
          <w:color w:val="231F20"/>
        </w:rPr>
      </w:pPr>
      <w:r>
        <w:rPr>
          <w:color w:val="231F20"/>
        </w:rPr>
        <w:t>​</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Components of Results of Operations</w:t>
      </w:r>
    </w:p>
    <w:p>
      <w:pPr>
        <w:pStyle w:val="TextBody"/>
        <w:bidi w:val="0"/>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salaries, stock-based compensation, consultant fees, and professional fees for legal and accounting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Results of operations for the three months ended March 31, 2023 and 2022</w:t>
      </w:r>
    </w:p>
    <w:p>
      <w:pPr>
        <w:pStyle w:val="TextBody"/>
        <w:bidi w:val="0"/>
        <w:spacing w:before="0" w:after="0"/>
        <w:ind w:left="0" w:right="0" w:hanging="0"/>
        <w:jc w:val="both"/>
        <w:rPr>
          <w:color w:val="231F20"/>
        </w:rPr>
      </w:pPr>
      <w:r>
        <w:rPr>
          <w:color w:val="231F20"/>
        </w:rPr>
        <w:t>​</w:t>
      </w:r>
    </w:p>
    <w:p>
      <w:pPr>
        <w:pStyle w:val="TextBody"/>
        <w:bidi w:val="0"/>
        <w:spacing w:lineRule="auto" w:line="292"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following table sets forth NRx Pharmaceuticals’ selected statements of operations data for the following periods (in thousands):</w:t>
      </w:r>
    </w:p>
    <w:tbl>
      <w:tblPr>
        <w:tblW w:w="8048" w:type="dxa"/>
        <w:jc w:val="left"/>
        <w:tblInd w:w="0" w:type="dxa"/>
        <w:tblLayout w:type="fixed"/>
        <w:tblCellMar>
          <w:top w:w="0" w:type="dxa"/>
          <w:left w:w="0" w:type="dxa"/>
          <w:bottom w:w="0" w:type="dxa"/>
          <w:right w:w="0" w:type="dxa"/>
        </w:tblCellMar>
      </w:tblPr>
      <w:tblGrid>
        <w:gridCol w:w="4051"/>
        <w:gridCol w:w="326"/>
        <w:gridCol w:w="216"/>
        <w:gridCol w:w="816"/>
        <w:gridCol w:w="334"/>
        <w:gridCol w:w="216"/>
        <w:gridCol w:w="816"/>
        <w:gridCol w:w="326"/>
        <w:gridCol w:w="211"/>
        <w:gridCol w:w="7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572385" cy="175260"/>
                      <wp:effectExtent l="0" t="0" r="0" b="0"/>
                      <wp:wrapNone/>
                      <wp:docPr id="160" name="Frame16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7160" cy="175260"/>
                      <wp:effectExtent l="0" t="0" r="0" b="0"/>
                      <wp:wrapNone/>
                      <wp:docPr id="162" name="Frame16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18160" cy="175260"/>
                      <wp:effectExtent l="0" t="0" r="0" b="0"/>
                      <wp:wrapNone/>
                      <wp:docPr id="163" name="Frame16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2090" cy="175260"/>
                      <wp:effectExtent l="0" t="0" r="0" b="0"/>
                      <wp:wrapNone/>
                      <wp:docPr id="164" name="Frame164"/>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7160" cy="175260"/>
                      <wp:effectExtent l="0" t="0" r="0" b="0"/>
                      <wp:wrapNone/>
                      <wp:docPr id="165" name="Frame16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18160" cy="175260"/>
                      <wp:effectExtent l="0" t="0" r="0" b="0"/>
                      <wp:wrapNone/>
                      <wp:docPr id="166" name="Frame166"/>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67360" cy="175260"/>
                      <wp:effectExtent l="0" t="0" r="0" b="0"/>
                      <wp:wrapNone/>
                      <wp:docPr id="169" name="Frame1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4" w:type="dxa"/>
            <w:tcBorders/>
            <w:vAlign w:val="center"/>
          </w:tcPr>
          <w:p>
            <w:pPr>
              <w:pStyle w:val="TableContents"/>
              <w:bidi w:val="0"/>
              <w:spacing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w:t>
            </w:r>
          </w:p>
        </w:tc>
      </w:tr>
      <w:tr>
        <w:trPr/>
        <w:tc>
          <w:tcPr>
            <w:tcW w:w="804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(4,437)</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  </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2,409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Research and development expenses</w:t>
      </w:r>
    </w:p>
    <w:p>
      <w:pPr>
        <w:pStyle w:val="TextBody"/>
        <w:bidi w:val="0"/>
        <w:spacing w:lineRule="auto" w:line="292" w:before="169" w:after="240"/>
        <w:ind w:left="0" w:right="0" w:hanging="0"/>
        <w:jc w:val="both"/>
        <w:rPr>
          <w:rFonts w:ascii="Times New Roman;Times;serif" w:hAnsi="Times New Roman;Times;serif"/>
          <w:color w:val="231F20"/>
          <w:spacing w:val="-6"/>
          <w:sz w:val="20"/>
        </w:rPr>
      </w:pPr>
      <w:r>
        <w:rPr>
          <w:rFonts w:ascii="Times New Roman;Times;serif" w:hAnsi="Times New Roman;Times;serif"/>
          <w:color w:val="231F20"/>
          <w:spacing w:val="-6"/>
          <w:sz w:val="20"/>
        </w:rPr>
        <w:t>For the three months ended March 31, 2023, NRx Pharmaceuticals recorded $3.7 million of research and development expenses compared to $5.5 million for the year ended March 31, 2022. The decrease of $1.8 million is related primarily to a decrease of $1.8 million in clinical trials and development expenses related to ZYESAMI. The $3.7 million and $5.5 million of research and development expenses for the three months ended March 31, 2023 and 2022, respectively, include $0.1 million and $0.2 million, respectively, of non-cash stock-based compensation.</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General and administrative expenses</w:t>
      </w:r>
    </w:p>
    <w:p>
      <w:pPr>
        <w:pStyle w:val="TextBody"/>
        <w:bidi w:val="0"/>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pacing w:val="-6"/>
          <w:sz w:val="20"/>
        </w:rPr>
        <w:t xml:space="preserve">For the three months ended March 31, 2023, NRx Pharmaceuticals recorded $5.8 million of general and administrative </w:t>
      </w:r>
      <w:r>
        <w:rPr>
          <w:rFonts w:ascii="Times New Roman;Times;serif" w:hAnsi="Times New Roman;Times;serif"/>
          <w:spacing w:val="-6"/>
          <w:sz w:val="20"/>
        </w:rPr>
        <w:t xml:space="preserve">expenses compared to $10.2 million for the three months ended March 31, 2022. The decrease of $4.4 million was primarily, related to a decrease of $3.9 million in legal, professional and accounting fees, </w:t>
      </w:r>
      <w:r>
        <w:rPr>
          <w:rFonts w:ascii="Times New Roman;Times;serif" w:hAnsi="Times New Roman;Times;serif"/>
          <w:color w:val="231F20"/>
          <w:spacing w:val="-6"/>
          <w:sz w:val="20"/>
        </w:rPr>
        <w:t>$0.6 million in insurance expenses, $0.5 million in stock-based compensation expense, partially offset by $0.3 million in employee expenses and $0.3 million in consultant fees. The $5.8 million and $10.2 million of general and administrative expenses for the three months ended March 31, 2023 and 2022, respectively, include $0.6 million and $1.1 million, respectively, of non-cash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expenses</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Interest income</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three months ended March 31, 2023, NRx Pharmaceuticals recorded $0.2 million of interest income earned on the Company’s money market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2"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Change in fair value of convertible note payable</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For the three months ended March 31, 2023, NRx Pharmaceuticals recorded $1.8 million related to the change in fair value of the convertible note payable which is accounted for under the fair value option.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warrant liabilities </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three months ended March 31, 2023, NRx Pharmaceuticals recorded a gain of less than $0.1 million related to the change in fair value of the warrant liabilities compared to a gain of $0.2 million for the three months ended March 31, 2022. The decrease of $0.1 million related to the decrease in the fair value of certain Substitute Warrants and the Placement Warrants assumed pursuant to the Merger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Earnout Cash liability </w:t>
      </w:r>
    </w:p>
    <w:p>
      <w:pPr>
        <w:pStyle w:val="TextBody"/>
        <w:bidi w:val="0"/>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For the three months ended March 31, 2023, NRx Pharmaceuticals recorded no change in fair value of the Earnout Cash liability compared to a gain of $2.1 million for the three months ended March 31, 2022. </w:t>
      </w:r>
      <w:r>
        <w:rPr>
          <w:rFonts w:ascii="Times New Roman;Times;serif" w:hAnsi="Times New Roman;Times;serif"/>
          <w:color w:val="231F20"/>
          <w:sz w:val="20"/>
          <w:shd w:fill="FFFFFF" w:val="clear"/>
        </w:rPr>
        <w:t>The Earnout Cash milestones were not achieved by December 31, 2022 and therefore the Earnout Cash liability expired. The gain for the three months ended March 31, 2022 related to the decrease in fair value of the Earnout Cash liability.</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Liquidity and Capital Resources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generated no revenues, has incurred operating losses since inception, and expects to continue to incur significant operating losses for the foreseeable future and may never become profitable. Until such time as the Company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(the “Securities Purchase Agreement”) with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Investors have agreed not to transfer the Common Stock for six months following the date hereof. The Investor Warrants will have an exercise price of $0.75 per share, will be initially exercisable beginning six months following the date of issuance (the “Initial Exercise Date”) and will expire 5 years from the Initial Exercise Date.  The aggregate gross proceeds to the Company from the Offering are expected to be approximately $2.9 million. The Company intends to use the net proceeds from such offering for working capital and general corporate purposes. The closing of the sale of these securities occurred on March 9, 2023.</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NRx Pharmaceuticals believes that it does not currently have sufficient funds and, if necessary, the ability to reduce expenditures, to support operations through at least the next twelve months from the date hereof. NRx Pharmaceuticals is dependent upon obtaining necessary equity and/or debt financing to continue operating. NRx Pharmaceuticals cannot make any assurances that additional financing will be available to it and, if available, on acceptable terms or at all. This could negatively affect the Company’s business and operations and could also lead to the reduction of the Company's operations.</w:t>
      </w:r>
    </w:p>
    <w:p>
      <w:pPr>
        <w:pStyle w:val="TextBody"/>
        <w:bidi w:val="0"/>
        <w:spacing w:lineRule="auto" w:line="292" w:before="169"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following table presents selected financial information and statistics for each of the periods shown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328" w:type="dxa"/>
        <w:jc w:val="left"/>
        <w:tblInd w:w="0" w:type="dxa"/>
        <w:tblLayout w:type="fixed"/>
        <w:tblCellMar>
          <w:top w:w="0" w:type="dxa"/>
          <w:left w:w="0" w:type="dxa"/>
          <w:bottom w:w="0" w:type="dxa"/>
          <w:right w:w="0" w:type="dxa"/>
        </w:tblCellMar>
      </w:tblPr>
      <w:tblGrid>
        <w:gridCol w:w="3466"/>
        <w:gridCol w:w="326"/>
        <w:gridCol w:w="232"/>
        <w:gridCol w:w="1208"/>
        <w:gridCol w:w="326"/>
        <w:gridCol w:w="355"/>
        <w:gridCol w:w="1415"/>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00910" cy="175260"/>
                      <wp:effectExtent l="0" t="0" r="0" b="0"/>
                      <wp:wrapNone/>
                      <wp:docPr id="170" name="Frame170"/>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7320" cy="175260"/>
                      <wp:effectExtent l="0" t="0" r="0" b="0"/>
                      <wp:wrapNone/>
                      <wp:docPr id="172" name="Frame17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67080" cy="175260"/>
                      <wp:effectExtent l="0" t="0" r="0" b="0"/>
                      <wp:wrapNone/>
                      <wp:docPr id="173" name="Frame173"/>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5425" cy="175260"/>
                      <wp:effectExtent l="0" t="0" r="0" b="0"/>
                      <wp:wrapNone/>
                      <wp:docPr id="175" name="Frame17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98525" cy="175260"/>
                      <wp:effectExtent l="0" t="0" r="0" b="0"/>
                      <wp:wrapNone/>
                      <wp:docPr id="176" name="Frame176"/>
                      <a:graphic xmlns:a="http://schemas.openxmlformats.org/drawingml/2006/main">
                        <a:graphicData uri="http://schemas.microsoft.com/office/word/2010/wordprocessingShape">
                          <wps:wsp>
                            <wps:cNvSpPr txBox="1"/>
                            <wps:spPr>
                              <a:xfrm>
                                <a:off x="0" y="0"/>
                                <a:ext cx="898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36" w:type="dxa"/>
            <w:gridSpan w:val="5"/>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vAlign w:val="center"/>
          </w:tcPr>
          <w:p>
            <w:pPr>
              <w:pStyle w:val="TableContents"/>
              <w:bidi w:val="0"/>
              <w:spacing w:before="0" w:after="0"/>
              <w:ind w:left="0" w:right="0" w:hanging="0"/>
              <w:jc w:val="center"/>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16,506</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center"/>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22,064</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center"/>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33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3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3304" w:type="dxa"/>
            <w:gridSpan w:val="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Cash Flow Data:</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6"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12,597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Operating activities</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three months ended March 31, 2023, operating activities used $6.1 million of cash, primarily resulting from a net loss of $11.0 million, reduced by (a) net non-cash losses of $2.5 million, including $1.8 million in change in fair value of convertible promissory note and $0.7 million of stock-based compensation, and (b) changes in operating assets and liabilities of $2.5 million.</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three months ended March 31, 2022, operating activities used $10.4 million of cash, primarily resulting from a net loss of $13.4 million, increased by net non-cash gains of $1.0 million, including $2.1 million of gain from the change in fair value of earn out liability and $0.2 million of gain from the changes in fair value of warrant liability, partially offset by $1.3 million of stock-based compensation expense, and an increase in net operating assets of $4.0 million.</w:t>
      </w:r>
    </w:p>
    <w:p>
      <w:pPr>
        <w:pStyle w:val="TextBody"/>
        <w:bidi w:val="0"/>
        <w:spacing w:lineRule="auto" w:line="292" w:before="169"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Financing activities</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three months ended March 31, 2023, financing activities provided $2.5 million of cash resulting from $2.5 million in proceeds from issuance of common stock and warrants issued in a private placement, net of issuance costs.</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three months ended March 31, 2022, financing activities provided $23.0 million of cash resulting from the net proceeds received by the Company from the issuance of common stock and preferred investment options in a private placement.</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Contractual Obligations and Commitments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See Note 6, Debt, and Note 7, Commitments and Contingencies, of the notes to the Company’s unaudited condensed consolidated financial statements as of and for the three months ended March 31, 2023 included elsewhere in this report for further discussion of the Company’s commitments and contingencies.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Milestone Payments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is not party to any off-balance sheet transactions. The Company has no guarantees or obligations other than those which arise out of normal business operations.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bidi w:val="0"/>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621" w:name="Item3QuantitativeandQualitativeDisclosur"/>
      <w:bookmarkStart w:id="622" w:name="_df88769e_6d48_41e0_b831_391ab4b88e44"/>
      <w:bookmarkEnd w:id="621"/>
      <w:bookmarkEnd w:id="62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w:t>
      </w:r>
    </w:p>
    <w:p>
      <w:pPr>
        <w:pStyle w:val="TextBody"/>
        <w:bidi w:val="0"/>
        <w:spacing w:before="0" w:after="16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623" w:name="Item4ControlsandProcedures"/>
      <w:bookmarkStart w:id="624" w:name="_d9fd2acb_6084_4b89_9b7e_59d2a0d0dfc6"/>
      <w:bookmarkEnd w:id="623"/>
      <w:bookmarkEnd w:id="624"/>
      <w:r>
        <w:rPr>
          <w:rFonts w:ascii="Times New Roman;Times;serif" w:hAnsi="Times New Roman;Times;serif"/>
          <w:b/>
          <w:sz w:val="20"/>
        </w:rPr>
        <w:t>Item 4. Controls and Procedures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March 31, 2023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that evaluation, our Chief Executive Officer and Chief Financial Officer concluded that our disclosure controls and procedures were effective as of March 31, 2023 in providing reasonable assurance of achieving the desired control objectives.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 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were no changes in the Company’s internal controls over financial reporting that occurred during the three months ended March 31, 2023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 </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b/>
          <w:sz w:val="20"/>
        </w:rPr>
      </w:pPr>
      <w:bookmarkStart w:id="625" w:name="PARTII"/>
      <w:bookmarkStart w:id="626" w:name="_82c6615d_8ecc_4fe7_92e6_284bf573c12d"/>
      <w:bookmarkEnd w:id="625"/>
      <w:bookmarkEnd w:id="626"/>
      <w:r>
        <w:rPr>
          <w:rFonts w:ascii="Times New Roman;Times;serif" w:hAnsi="Times New Roman;Times;serif"/>
          <w:b/>
          <w:sz w:val="20"/>
        </w:rPr>
        <w:t>PART II – OTHER INFORMATION</w:t>
      </w:r>
    </w:p>
    <w:p>
      <w:pPr>
        <w:pStyle w:val="TextBody"/>
        <w:bidi w:val="0"/>
        <w:spacing w:before="0" w:after="160"/>
        <w:ind w:left="0" w:right="0" w:hanging="0"/>
        <w:jc w:val="left"/>
        <w:rPr>
          <w:rFonts w:ascii="Times New Roman;Times;serif" w:hAnsi="Times New Roman;Times;serif"/>
          <w:b/>
          <w:sz w:val="20"/>
        </w:rPr>
      </w:pPr>
      <w:bookmarkStart w:id="627" w:name="Item3LegalProceedings_886745"/>
      <w:bookmarkEnd w:id="627"/>
      <w:r>
        <w:rPr>
          <w:rFonts w:ascii="Times New Roman;Times;serif" w:hAnsi="Times New Roman;Times;serif"/>
          <w:b/>
          <w:sz w:val="20"/>
        </w:rPr>
        <w:t>Item 1. Legal Proceedings.</w:t>
      </w:r>
    </w:p>
    <w:p>
      <w:pPr>
        <w:pStyle w:val="TextBody"/>
        <w:bidi w:val="0"/>
        <w:spacing w:lineRule="auto" w:line="290" w:before="169" w:after="240"/>
        <w:ind w:left="0" w:right="0" w:hanging="0"/>
        <w:jc w:val="both"/>
        <w:rPr>
          <w:rFonts w:ascii="Times New Roman;Times;serif" w:hAnsi="Times New Roman;Times;serif"/>
          <w:sz w:val="20"/>
        </w:rPr>
      </w:pPr>
      <w:r>
        <w:rPr>
          <w:rFonts w:ascii="Times New Roman;Times;serif" w:hAnsi="Times New Roman;Times;serif"/>
          <w:sz w:val="20"/>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  NeuroRx expects to vigorously defend its position that payment of the commitment fee is neither due nor owing under the terms of the Agreement. </w:t>
      </w:r>
    </w:p>
    <w:p>
      <w:pPr>
        <w:pStyle w:val="TextBody"/>
        <w:bidi w:val="0"/>
        <w:spacing w:lineRule="auto" w:line="290" w:before="169" w:after="240"/>
        <w:ind w:left="0" w:right="0" w:hanging="0"/>
        <w:jc w:val="both"/>
        <w:rPr>
          <w:rFonts w:ascii="Times New Roman;Times;serif" w:hAnsi="Times New Roman;Times;serif"/>
          <w:sz w:val="20"/>
        </w:rPr>
      </w:pPr>
      <w:r>
        <w:rPr>
          <w:rFonts w:ascii="Times New Roman;Times;serif" w:hAnsi="Times New Roman;Times;serif"/>
          <w:sz w:val="20"/>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8" w:name="Item1A_RiskFactors"/>
      <w:bookmarkStart w:id="629" w:name="_093cfda7_e1a7_4f78_a8f2_edd8c91b15a4"/>
      <w:bookmarkEnd w:id="628"/>
      <w:bookmarkEnd w:id="629"/>
      <w:r>
        <w:rPr>
          <w:rFonts w:ascii="Times New Roman;Times;serif" w:hAnsi="Times New Roman;Times;serif"/>
          <w:b/>
          <w:sz w:val="20"/>
        </w:rPr>
        <w:t>Item 1A. Risk Factors</w:t>
      </w:r>
    </w:p>
    <w:p>
      <w:pPr>
        <w:pStyle w:val="TextBody"/>
        <w:bidi w:val="0"/>
        <w:spacing w:before="18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We have disclosed the risk factors that materially affect our business, financial condition or results of operations under the heading “Risk Factors” in our Annual Report on Form 10-K for the year ended December 31, 2022 filed with the SEC on March 31, 2023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pStyle w:val="TextBody"/>
        <w:bidi w:val="0"/>
        <w:spacing w:lineRule="auto" w:line="30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0" w:name="Item2UnregisteredSalesofEquitySecurities"/>
      <w:bookmarkStart w:id="631" w:name="_e05e1f5d_9a83_4b64_bda3_019d681236d8"/>
      <w:bookmarkEnd w:id="630"/>
      <w:bookmarkEnd w:id="63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32" w:name="Item3DefaultsUponSeniorSecurities"/>
      <w:bookmarkStart w:id="633" w:name="_1bd882c8_b32e_4214_9377_54f6203cbe72"/>
      <w:bookmarkEnd w:id="632"/>
      <w:bookmarkEnd w:id="63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92" w:before="0" w:after="240"/>
        <w:ind w:left="0" w:right="0" w:firstLine="399"/>
        <w:jc w:val="left"/>
        <w:rPr/>
      </w:pPr>
      <w:r>
        <w:rPr/>
        <w:t>​</w:t>
      </w:r>
    </w:p>
    <w:p>
      <w:pPr>
        <w:pStyle w:val="TextBody"/>
        <w:bidi w:val="0"/>
        <w:spacing w:before="0" w:after="240"/>
        <w:ind w:left="0" w:right="0" w:hanging="0"/>
        <w:jc w:val="left"/>
        <w:rPr>
          <w:rFonts w:ascii="Times New Roman;Times;serif" w:hAnsi="Times New Roman;Times;serif"/>
          <w:b/>
          <w:sz w:val="20"/>
        </w:rPr>
      </w:pPr>
      <w:bookmarkStart w:id="634" w:name="Item4_MineSafetyDisclosures"/>
      <w:bookmarkStart w:id="635" w:name="_5a868741_0517_4954_91f7_dc740270a250"/>
      <w:bookmarkEnd w:id="634"/>
      <w:bookmarkEnd w:id="635"/>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b/>
          <w:sz w:val="20"/>
        </w:rPr>
      </w:pPr>
      <w:bookmarkStart w:id="636" w:name="Item9BOtherInformation_623343"/>
      <w:bookmarkStart w:id="637" w:name="_1616ae1c_96d6_4b34_a9f1_e814e79c86aa"/>
      <w:bookmarkEnd w:id="636"/>
      <w:bookmarkEnd w:id="637"/>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bookmarkStart w:id="638" w:name="Item15Exhibits_Financial_Statement"/>
      <w:bookmarkStart w:id="639" w:name="_49d04216_d353_4275_9146_cf9849312dc1"/>
      <w:bookmarkEnd w:id="638"/>
      <w:bookmarkEnd w:id="639"/>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28" w:type="dxa"/>
          <w:right w:w="0" w:type="dxa"/>
        </w:tblCellMar>
      </w:tblPr>
      <w:tblGrid>
        <w:gridCol w:w="897"/>
        <w:gridCol w:w="326"/>
        <w:gridCol w:w="8982"/>
      </w:tblGrid>
      <w:tr>
        <w:trPr/>
        <w:tc>
          <w:tcPr>
            <w:tcW w:w="89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898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331xex10d1.htm">
              <w:r>
                <w:rPr>
                  <w:rStyle w:val="InternetLink"/>
                  <w:rFonts w:ascii="Times New Roman;Times;serif" w:hAnsi="Times New Roman;Times;serif"/>
                  <w:b w:val="false"/>
                  <w:i w:val="false"/>
                  <w:caps w:val="false"/>
                  <w:smallCaps w:val="false"/>
                  <w:sz w:val="20"/>
                </w:rPr>
                <w:t>Amendment to Convertible Promissory Note, dated March 30, 2023, by and between NRx Pharmaceuticals, Inc. and Streetervillle Capital LLC.</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3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3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331xex32d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331xex32d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Interactive data files pursuant to Rule 405 of Regulation S-T formatted in Inline XBRL: (i) Condensed Consolidated Balance Sheets as of March 31, 2023 (Unaudited) and December 31, 2022; (ii) Unaudited Condensed Consolidated Statements of Operations for the three months ended March 31, 2023 and 2022 ; (iii) Unaudited Condensed Consolidated Statements of Changes in Stockholders' Equity (Deficit) for the three months ended March 31, 2023 and 2022; (iv) Unaudited Condensed Consolidated Statements of Cash Flows for the three months ended March 31, 2023 and 2022; and (v) Notes to Unaudited Financial Statements.</w:t>
            </w:r>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p>
      <w:pPr>
        <w:pStyle w:val="TextBody"/>
        <w:bidi w:val="0"/>
        <w:spacing w:before="0" w:after="160"/>
        <w:ind w:left="0" w:right="0" w:hanging="0"/>
        <w:jc w:val="both"/>
        <w:rPr/>
      </w:pPr>
      <w:r>
        <w:rPr/>
        <w:t>​</w:t>
      </w:r>
    </w:p>
    <w:p>
      <w:pPr>
        <w:pStyle w:val="TextBody"/>
        <w:bidi w:val="0"/>
        <w:spacing w:before="0" w:after="2"/>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
        <w:ind w:left="0" w:right="0" w:hanging="0"/>
        <w:jc w:val="both"/>
        <w:rPr/>
      </w:pPr>
      <w:r>
        <w:rPr/>
        <w:t xml:space="preserve">† </w:t>
      </w:r>
      <w:r>
        <w:rPr>
          <w:rFonts w:ascii="Times New Roman;Times;serif" w:hAnsi="Times New Roman;Times;serif"/>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
        <w:ind w:left="0" w:right="0" w:hanging="0"/>
        <w:jc w:val="center"/>
        <w:rPr>
          <w:rFonts w:ascii="Times New Roman;Times;serif" w:hAnsi="Times New Roman;Times;serif"/>
          <w:b/>
          <w:sz w:val="20"/>
        </w:rPr>
      </w:pPr>
      <w:bookmarkStart w:id="640" w:name="SIGNATURES_790307"/>
      <w:bookmarkStart w:id="641" w:name="_5cbf16ae_3329_4f2b_ae78_29c1dd8dd0df"/>
      <w:bookmarkEnd w:id="640"/>
      <w:bookmarkEnd w:id="641"/>
      <w:r>
        <w:rPr>
          <w:rFonts w:ascii="Times New Roman;Times;serif" w:hAnsi="Times New Roman;Times;serif"/>
          <w:b/>
          <w:sz w:val="20"/>
        </w:rPr>
        <w:t>SIGNATURES</w:t>
      </w:r>
    </w:p>
    <w:p>
      <w:pPr>
        <w:pStyle w:val="TextBody"/>
        <w:bidi w:val="0"/>
        <w:spacing w:before="0" w:after="2"/>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787" w:type="dxa"/>
        <w:jc w:val="left"/>
        <w:tblInd w:w="0" w:type="dxa"/>
        <w:tblLayout w:type="fixed"/>
        <w:tblCellMar>
          <w:top w:w="0" w:type="dxa"/>
          <w:left w:w="0" w:type="dxa"/>
          <w:bottom w:w="0" w:type="dxa"/>
          <w:right w:w="0" w:type="dxa"/>
        </w:tblCellMar>
      </w:tblPr>
      <w:tblGrid>
        <w:gridCol w:w="1741"/>
        <w:gridCol w:w="109"/>
        <w:gridCol w:w="406"/>
        <w:gridCol w:w="4531"/>
      </w:tblGrid>
      <w:tr>
        <w:trPr/>
        <w:tc>
          <w:tcPr>
            <w:tcW w:w="17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NRX PHARMACEUTICALS, INC.</w:t>
            </w:r>
          </w:p>
        </w:tc>
      </w:tr>
      <w:tr>
        <w:trPr/>
        <w:tc>
          <w:tcPr>
            <w:tcW w:w="17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937" w:type="dxa"/>
            <w:gridSpan w:val="2"/>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2023</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Seth Van Voorhees</w:t>
            </w:r>
          </w:p>
        </w:tc>
      </w:tr>
      <w:tr>
        <w:trPr/>
        <w:tc>
          <w:tcPr>
            <w:tcW w:w="17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shd w:fill="FFFF00" w:val="clear"/>
              </w:rPr>
            </w:pPr>
            <w:r>
              <w:rPr>
                <w:shd w:fill="FFFF00" w:val="clear"/>
              </w:rPr>
              <w:t>​</w:t>
            </w:r>
          </w:p>
        </w:tc>
        <w:tc>
          <w:tcPr>
            <w:tcW w:w="45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Seth Van Voorhees</w:t>
            </w:r>
          </w:p>
        </w:tc>
      </w:tr>
      <w:tr>
        <w:trPr/>
        <w:tc>
          <w:tcPr>
            <w:tcW w:w="17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Chief Financial Officer (Principal Financial Officer) </w:t>
            </w:r>
          </w:p>
        </w:tc>
      </w:tr>
      <w:tr>
        <w:trPr/>
        <w:tc>
          <w:tcPr>
            <w:tcW w:w="17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288"/>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120"/>
        <w:ind w:left="0" w:right="0" w:hanging="0"/>
        <w:jc w:val="right"/>
        <w:rPr>
          <w:rFonts w:ascii="Times New Roman;Times;serif" w:hAnsi="Times New Roman;Times;serif"/>
          <w:b/>
          <w:sz w:val="24"/>
        </w:rPr>
      </w:pPr>
      <w:bookmarkStart w:id="642" w:name="nrxp-20230331xex10d1.htm"/>
      <w:bookmarkStart w:id="643" w:name="ksnrxp20230331xex10d1"/>
      <w:bookmarkEnd w:id="642"/>
      <w:bookmarkEnd w:id="643"/>
      <w:r>
        <w:rPr>
          <w:rFonts w:ascii="Times New Roman;Times;serif" w:hAnsi="Times New Roman;Times;serif"/>
          <w:b/>
          <w:sz w:val="24"/>
        </w:rPr>
        <w:t>Exhibit 10.1</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AMENDMENT TO CONVERTIBLE PROMISSORY NOTE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Amendment to Convertible Promissory Note (this “</w:t>
      </w:r>
      <w:r>
        <w:rPr>
          <w:rFonts w:ascii="Times New Roman;Times;serif" w:hAnsi="Times New Roman;Times;serif"/>
          <w:b/>
          <w:sz w:val="24"/>
        </w:rPr>
        <w:t>Amendment</w:t>
      </w:r>
      <w:r>
        <w:rPr>
          <w:rFonts w:ascii="Times New Roman;Times;serif" w:hAnsi="Times New Roman;Times;serif"/>
          <w:sz w:val="24"/>
        </w:rPr>
        <w:t xml:space="preserve">”) is entered into as of March __, 2023, by and between </w:t>
      </w:r>
      <w:r>
        <w:rPr>
          <w:rFonts w:ascii="Times New Roman;Times;serif" w:hAnsi="Times New Roman;Times;serif"/>
          <w:smallCaps/>
          <w:sz w:val="24"/>
        </w:rPr>
        <w:t>Streeterville Capital, LLC</w:t>
      </w:r>
      <w:r>
        <w:rPr>
          <w:rFonts w:ascii="Times New Roman;Times;serif" w:hAnsi="Times New Roman;Times;serif"/>
          <w:sz w:val="24"/>
        </w:rPr>
        <w:t>, a Utah limited liability company (“</w:t>
      </w:r>
      <w:r>
        <w:rPr>
          <w:rFonts w:ascii="Times New Roman;Times;serif" w:hAnsi="Times New Roman;Times;serif"/>
          <w:b/>
          <w:sz w:val="24"/>
        </w:rPr>
        <w:t>Lender</w:t>
      </w:r>
      <w:r>
        <w:rPr>
          <w:rFonts w:ascii="Times New Roman;Times;serif" w:hAnsi="Times New Roman;Times;serif"/>
          <w:sz w:val="24"/>
        </w:rPr>
        <w:t xml:space="preserve">”), and </w:t>
      </w:r>
      <w:r>
        <w:rPr>
          <w:rFonts w:ascii="Times New Roman;Times;serif" w:hAnsi="Times New Roman;Times;serif"/>
          <w:smallCaps/>
          <w:sz w:val="24"/>
        </w:rPr>
        <w:t>NRX Pharmaceuticals, Inc.</w:t>
      </w:r>
      <w:r>
        <w:rPr>
          <w:rFonts w:ascii="Times New Roman;Times;serif" w:hAnsi="Times New Roman;Times;serif"/>
          <w:sz w:val="24"/>
        </w:rPr>
        <w:t>, a Delaware corporation (“</w:t>
      </w:r>
      <w:r>
        <w:rPr>
          <w:rFonts w:ascii="Times New Roman;Times;serif" w:hAnsi="Times New Roman;Times;serif"/>
          <w:b/>
          <w:sz w:val="24"/>
        </w:rPr>
        <w:t>Borrower</w:t>
      </w:r>
      <w:r>
        <w:rPr>
          <w:rFonts w:ascii="Times New Roman;Times;serif" w:hAnsi="Times New Roman;Times;serif"/>
          <w:sz w:val="24"/>
        </w:rPr>
        <w:t>”). Capitalized terms used in this Amendment without definition shall have the meanings given to them in the Note (as defined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A.Borrower previously issued to Lender that certain Convertible Promissory Note dated November 4, 2022 in the principal amount of $11,020,000.00 (the “</w:t>
      </w:r>
      <w:r>
        <w:rPr>
          <w:rFonts w:ascii="Times New Roman;Times;serif" w:hAnsi="Times New Roman;Times;serif"/>
          <w:b/>
          <w:sz w:val="24"/>
        </w:rPr>
        <w:t>Note</w:t>
      </w:r>
      <w:r>
        <w:rPr>
          <w:rFonts w:ascii="Times New Roman;Times;serif" w:hAnsi="Times New Roman;Times;serif"/>
          <w:sz w:val="24"/>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B.Lender and Borrower have agreed, subject to the terms, conditions and understandings expressed in this Amendment, to amend the Note.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Recitals</w:t>
      </w:r>
      <w:r>
        <w:rPr>
          <w:rFonts w:ascii="Times New Roman;Times;serif" w:hAnsi="Times New Roman;Times;serif"/>
          <w:sz w:val="24"/>
        </w:rPr>
        <w:t>. Each of the parties hereto acknowledges and agrees that the recitals set forth above in this Amendment are true and accurate and are hereby incorporated into and made a part of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Amendment to Section 9</w:t>
      </w:r>
      <w:r>
        <w:rPr>
          <w:rFonts w:ascii="Times New Roman;Times;serif" w:hAnsi="Times New Roman;Times;serif"/>
          <w:sz w:val="24"/>
        </w:rPr>
        <w:t>. Section 9 of the Note is hereby deleted and replaced in its entirety with the following:</w:t>
      </w:r>
    </w:p>
    <w:p>
      <w:pPr>
        <w:pStyle w:val="TextBody"/>
        <w:bidi w:val="0"/>
        <w:spacing w:before="0" w:after="240"/>
        <w:ind w:left="720" w:right="720" w:hanging="0"/>
        <w:jc w:val="both"/>
        <w:rPr/>
      </w:pPr>
      <w:r>
        <w:rPr/>
        <w:t>“</w:t>
      </w:r>
      <w:r>
        <w:rPr>
          <w:rFonts w:ascii="Times New Roman;Times;serif" w:hAnsi="Times New Roman;Times;serif"/>
          <w:sz w:val="24"/>
        </w:rPr>
        <w:t>Notwithstanding anything to the contrary contained in this Note of the other Transaction Documents, Borrower shall not effect any conversion of this Note to the extent that after giving effect to such conversion would cause Lender (together with its affiliates) to beneficially own a number of shares exceeding 9.99% of the number of shares of Common Stock outstanding on such date (including for such purpose the Common Stock issuable upon such issuance) (the “</w:t>
      </w:r>
      <w:r>
        <w:rPr>
          <w:rFonts w:ascii="Times New Roman;Times;serif" w:hAnsi="Times New Roman;Times;serif"/>
          <w:b/>
          <w:sz w:val="24"/>
        </w:rPr>
        <w:t>Maximum Percentage</w:t>
      </w:r>
      <w:r>
        <w:rPr>
          <w:rFonts w:ascii="Times New Roman;Times;serif" w:hAnsi="Times New Roman;Times;serif"/>
          <w:sz w:val="24"/>
        </w:rPr>
        <w:t>”). For purposes of this section, beneficial ownership of Common Stock will be determined pursuant to Section 13(d) of the 1934 Act. By written notice to Borrower, Lender may increase, decrease or waive the Maximum Percentage as to itself but any such waiver will not be effective until the 61st day after delivery thereof. The foregoing 61-day notice requirement is enforceable, unconditional and non-waivable and shall apply to all affiliates and assigns of Lender.”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Representations and Warranties</w:t>
      </w:r>
      <w:r>
        <w:rPr>
          <w:rFonts w:ascii="Times New Roman;Times;serif" w:hAnsi="Times New Roman;Times;serif"/>
          <w:sz w:val="24"/>
        </w:rPr>
        <w:t>. In order to induce Lender to enter into this Amendment, Borrower, for itself, and for its affiliates, successors and assigns, hereby acknowledges, represents, warrants and agrees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Borrower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Borrower hereunder.</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There is no fact known to Borrower or which should be known to Borrower which Borrower has not disclosed to Lender on or prior to the date of this Amendment which would or could materially and adversely affect the understanding of Lender expressed in this Amendment or any representation, warranty, or recital contained in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Except as expressly set forth in this Amendment, Borrower acknowledges and agrees that neither the execution and delivery of this Amendment nor any of the terms, provisions, covenants, or agreements contained in this Amendment shall in any manner release, impair, lessen, modify, waive, or otherwise affect the liability and obligations of Borrower under the Note or any other transaction documents entered into in connection with the Note (the “</w:t>
      </w:r>
      <w:r>
        <w:rPr>
          <w:rFonts w:ascii="Times New Roman;Times;serif" w:hAnsi="Times New Roman;Times;serif"/>
          <w:b/>
          <w:sz w:val="24"/>
        </w:rPr>
        <w:t>Transaction Documents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Borrower has no defenses, affirmative or otherwise, rights of setoff, rights of recoupment, claims, counterclaims, actions or causes of action of any kind or nature whatsoever against Lender,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Borrower hereby acknowledges and agrees that the execution of this Amendment by Lender shall not constitute an acknowledgment of or admission by Lender of the existence of any claims or of liability for any matter or precedent upon which any claim or liability may be asserted.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Borrower represents and warrants that as of the date hereof no Events of Default or other material breaches exist under the Transaction Documents or have occurred prior to the date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Certain Acknowledgments</w:t>
      </w:r>
      <w:r>
        <w:rPr>
          <w:rFonts w:ascii="Times New Roman;Times;serif" w:hAnsi="Times New Roman;Times;serif"/>
          <w:sz w:val="24"/>
        </w:rPr>
        <w:t xml:space="preserve">. Each of the parties acknowledges and agrees that no property or cash consideration of any kind whatsoever has been or shall be given by Lender to Borrower in connection with this Amendment.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Other Terms Unchanged</w:t>
      </w:r>
      <w:r>
        <w:rPr>
          <w:rFonts w:ascii="Times New Roman;Times;serif" w:hAnsi="Times New Roman;Times;serif"/>
          <w:sz w:val="24"/>
        </w:rPr>
        <w:t>. The Note, as amended by this Amendment, remains and continues in full force and effect, constitutes legal, valid, and binding obligations of each of the parties, and is in all respects agreed to, ratified, and confirmed. Any reference to the Note after the date of this Amendment is deemed to be a reference to the Note as amended by this Amendment. If there is a conflict between the terms of this Amendment and the Note, the terms of this Amendment shall control. No forbearance or waiver may be implied by this Amendment. Except as expressly set forth herein, the execution, delivery, and performance of this Amendment shall not operate as a waiver of, or as an amendment to, any right, power, or remedy of Lender under the Note, as in effect prior to the date hereof. For the avoidance of doubt, this Amendment shall be subject to the governing law, venue, and Arbitration Provisions, as set forth in the Note.</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No Reliance</w:t>
      </w:r>
      <w:r>
        <w:rPr>
          <w:rFonts w:ascii="Times New Roman;Times;serif" w:hAnsi="Times New Roman;Times;serif"/>
          <w:sz w:val="24"/>
        </w:rPr>
        <w:t>.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Amendment and the Transaction Documents and, in making its decision to enter into the transactions contemplated by this Amendment, Borrower is not relying on any representation, warranty, covenant or promise of Lender or its officers, directors, members, managers, equity holders, agents or representatives other than as set forth in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Counterparts</w:t>
      </w:r>
      <w:r>
        <w:rPr>
          <w:rFonts w:ascii="Times New Roman;Times;serif" w:hAnsi="Times New Roman;Times;serif"/>
          <w:sz w:val="24"/>
        </w:rPr>
        <w:t>. This Amendment may be executed in any number of counterparts, each of which shall be deemed an original, but all of which together shall constitute one instrument. The parties hereto confirm that any electronic copy of another party’s executed counterpart of this Amendment (or such party’s signature page thereof) will be deemed to be an executed original thereof.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Further Assurances</w:t>
      </w:r>
      <w:r>
        <w:rPr>
          <w:rFonts w:ascii="Times New Roman;Times;serif" w:hAnsi="Times New Roman;Times;serif"/>
          <w:sz w:val="24"/>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undersigned have executed this Amendment as of the date set forth above.</w:t>
      </w:r>
    </w:p>
    <w:tbl>
      <w:tblPr>
        <w:tblW w:w="3319" w:type="dxa"/>
        <w:jc w:val="left"/>
        <w:tblInd w:w="0" w:type="dxa"/>
        <w:tblLayout w:type="fixed"/>
        <w:tblCellMar>
          <w:top w:w="0" w:type="dxa"/>
          <w:left w:w="0" w:type="dxa"/>
          <w:bottom w:w="0" w:type="dxa"/>
          <w:right w:w="0" w:type="dxa"/>
        </w:tblCellMar>
      </w:tblPr>
      <w:tblGrid>
        <w:gridCol w:w="124"/>
        <w:gridCol w:w="569"/>
        <w:gridCol w:w="2626"/>
      </w:tblGrid>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LENDER:</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Streeterville Capital, LLC</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John M. Fife, President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BORROWER:</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NRX Pharmaceuticals, Inc.</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Stephen Willard, CEO</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to Convertible Promissory Note]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644" w:name="nrxp-20230331xex31d1.htm"/>
      <w:bookmarkStart w:id="645" w:name="ksnrxp20230331xex31d1"/>
      <w:bookmarkEnd w:id="644"/>
      <w:bookmarkEnd w:id="645"/>
      <w:r>
        <w:rPr>
          <w:rFonts w:ascii="Times New Roman;Times;serif" w:hAnsi="Times New Roman;Times;serif"/>
          <w:b/>
          <w:sz w:val="18"/>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 Stephen H. Willard, Chief Executive Officer of NRx Pharmaceuticals, Inc.,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55"/>
        <w:gridCol w:w="7235"/>
      </w:tblGrid>
      <w:tr>
        <w:trPr/>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723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 have reviewed this Quarterly Report on Form 10-Q of NRx Pharmaceuticals, Inc. (the “Registrant”);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76"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3.</w:t>
            </w:r>
          </w:p>
        </w:tc>
        <w:tc>
          <w:tcPr>
            <w:tcW w:w="10074"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657" w:type="dxa"/>
        <w:jc w:val="center"/>
        <w:tblInd w:w="0" w:type="dxa"/>
        <w:tblLayout w:type="fixed"/>
        <w:tblCellMar>
          <w:top w:w="0" w:type="dxa"/>
          <w:left w:w="0" w:type="dxa"/>
          <w:bottom w:w="0" w:type="dxa"/>
          <w:right w:w="0" w:type="dxa"/>
        </w:tblCellMar>
      </w:tblPr>
      <w:tblGrid>
        <w:gridCol w:w="1741"/>
        <w:gridCol w:w="391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05535" cy="146685"/>
                      <wp:effectExtent l="0" t="0" r="0" b="0"/>
                      <wp:wrapNone/>
                      <wp:docPr id="177" name="Frame177"/>
                      <a:graphic xmlns:a="http://schemas.openxmlformats.org/drawingml/2006/main">
                        <a:graphicData uri="http://schemas.microsoft.com/office/word/2010/wordprocessingShape">
                          <wps:wsp>
                            <wps:cNvSpPr txBox="1"/>
                            <wps:spPr>
                              <a:xfrm>
                                <a:off x="0" y="0"/>
                                <a:ext cx="11055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86660" cy="175260"/>
                      <wp:effectExtent l="0" t="0" r="0" b="0"/>
                      <wp:wrapNone/>
                      <wp:docPr id="178" name="Frame178"/>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H. Willard</w:t>
            </w:r>
          </w:p>
        </w:tc>
      </w:tr>
      <w:tr>
        <w:trPr/>
        <w:tc>
          <w:tcPr>
            <w:tcW w:w="1741" w:type="dxa"/>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H. Willard</w:t>
            </w:r>
          </w:p>
        </w:tc>
      </w:tr>
      <w:tr>
        <w:trPr/>
        <w:tc>
          <w:tcPr>
            <w:tcW w:w="174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646" w:name="nrxp-20230331xex31d2.htm"/>
      <w:bookmarkStart w:id="647" w:name="ksnrxp20230331xex31d2"/>
      <w:bookmarkEnd w:id="646"/>
      <w:bookmarkEnd w:id="647"/>
      <w:r>
        <w:rPr>
          <w:rFonts w:ascii="Times New Roman;Times;serif" w:hAnsi="Times New Roman;Times;serif"/>
          <w:b/>
          <w:sz w:val="18"/>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ACTING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 Seth Van Voorhees, Chief Financial Officer of NRx Pharmaceuticals, Inc.,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55"/>
        <w:gridCol w:w="7235"/>
      </w:tblGrid>
      <w:tr>
        <w:trPr/>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723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 have reviewed this Quarterly Report on Form 10-Q of NRx Pharmaceuticals, Inc. (the “Registrant”);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76"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3.</w:t>
            </w:r>
          </w:p>
        </w:tc>
        <w:tc>
          <w:tcPr>
            <w:tcW w:w="10074"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567" w:type="dxa"/>
        <w:jc w:val="center"/>
        <w:tblInd w:w="0" w:type="dxa"/>
        <w:tblLayout w:type="fixed"/>
        <w:tblCellMar>
          <w:top w:w="0" w:type="dxa"/>
          <w:left w:w="0" w:type="dxa"/>
          <w:bottom w:w="0" w:type="dxa"/>
          <w:right w:w="0" w:type="dxa"/>
        </w:tblCellMar>
      </w:tblPr>
      <w:tblGrid>
        <w:gridCol w:w="1741"/>
        <w:gridCol w:w="382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05535" cy="175260"/>
                      <wp:effectExtent l="0" t="0" r="0" b="0"/>
                      <wp:wrapNone/>
                      <wp:docPr id="179" name="Frame17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429510" cy="175260"/>
                      <wp:effectExtent l="0" t="0" r="0" b="0"/>
                      <wp:wrapNone/>
                      <wp:docPr id="180" name="Frame180"/>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Seth Van Voorhees</w:t>
            </w:r>
          </w:p>
        </w:tc>
      </w:tr>
      <w:tr>
        <w:trPr/>
        <w:tc>
          <w:tcPr>
            <w:tcW w:w="174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Seth Van Voorhees</w:t>
            </w:r>
          </w:p>
        </w:tc>
      </w:tr>
      <w:tr>
        <w:trPr/>
        <w:tc>
          <w:tcPr>
            <w:tcW w:w="174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648" w:name="nrxp-20230331xex32d1.htm"/>
      <w:bookmarkStart w:id="649" w:name="ksnrxp20230331xex32d1"/>
      <w:bookmarkEnd w:id="648"/>
      <w:bookmarkEnd w:id="649"/>
      <w:r>
        <w:rPr>
          <w:rFonts w:ascii="Times New Roman;Times;serif" w:hAnsi="Times New Roman;Times;serif"/>
          <w:b/>
          <w:sz w:val="18"/>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connection with the filing of the Quarterly Report on Form 10-Q for the three months ended March 31, 2023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023" w:type="dxa"/>
        <w:jc w:val="left"/>
        <w:tblInd w:w="0" w:type="dxa"/>
        <w:tblLayout w:type="fixed"/>
        <w:tblCellMar>
          <w:top w:w="0" w:type="dxa"/>
          <w:left w:w="0" w:type="dxa"/>
          <w:bottom w:w="0" w:type="dxa"/>
          <w:right w:w="0" w:type="dxa"/>
        </w:tblCellMar>
      </w:tblPr>
      <w:tblGrid>
        <w:gridCol w:w="23"/>
        <w:gridCol w:w="155"/>
        <w:gridCol w:w="98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984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Report fully complies with the requirements of Section 13(a) or Section 15(d) of the Securities Exchange Act of 1934, as amended; and</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2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w:t>
      </w:r>
    </w:p>
    <w:tbl>
      <w:tblPr>
        <w:tblW w:w="6182" w:type="dxa"/>
        <w:jc w:val="center"/>
        <w:tblInd w:w="0" w:type="dxa"/>
        <w:tblLayout w:type="fixed"/>
        <w:tblCellMar>
          <w:top w:w="0" w:type="dxa"/>
          <w:left w:w="0" w:type="dxa"/>
          <w:bottom w:w="0" w:type="dxa"/>
          <w:right w:w="0" w:type="dxa"/>
        </w:tblCellMar>
      </w:tblPr>
      <w:tblGrid>
        <w:gridCol w:w="1741"/>
        <w:gridCol w:w="444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05535" cy="175260"/>
                      <wp:effectExtent l="0" t="0" r="0" b="0"/>
                      <wp:wrapNone/>
                      <wp:docPr id="181" name="Frame18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820670" cy="175260"/>
                      <wp:effectExtent l="0" t="0" r="0" b="0"/>
                      <wp:wrapNone/>
                      <wp:docPr id="182" name="Frame182"/>
                      <a:graphic xmlns:a="http://schemas.openxmlformats.org/drawingml/2006/main">
                        <a:graphicData uri="http://schemas.microsoft.com/office/word/2010/wordprocessingShape">
                          <wps:wsp>
                            <wps:cNvSpPr txBox="1"/>
                            <wps:spPr>
                              <a:xfrm>
                                <a:off x="0" y="0"/>
                                <a:ext cx="282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H. Willard</w:t>
            </w:r>
          </w:p>
        </w:tc>
      </w:tr>
      <w:tr>
        <w:trPr/>
        <w:tc>
          <w:tcPr>
            <w:tcW w:w="1741"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H. Willard</w:t>
            </w:r>
          </w:p>
        </w:tc>
      </w:tr>
      <w:tr>
        <w:trPr/>
        <w:tc>
          <w:tcPr>
            <w:tcW w:w="174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650" w:name="nrxp-20230331xex32d2.htm"/>
      <w:bookmarkStart w:id="651" w:name="ksnrxp20230331xex32d2"/>
      <w:bookmarkEnd w:id="650"/>
      <w:bookmarkEnd w:id="651"/>
      <w:r>
        <w:rPr>
          <w:rFonts w:ascii="Times New Roman;Times;serif" w:hAnsi="Times New Roman;Times;serif"/>
          <w:b/>
          <w:sz w:val="18"/>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ACTING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connection with the filing of the Quarterly Report on Form 10-Q for the three months ended March 31, 2023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sz w:val="18"/>
        </w:rPr>
        <w:t>1.the Report fully complies with the requirements of Section 13(a) or Section 15(d) of the Securities Exchange Act of 1934, as amended; and</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sz w:val="18"/>
        </w:rPr>
        <w:t>2.the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w:t>
      </w:r>
    </w:p>
    <w:tbl>
      <w:tblPr>
        <w:tblW w:w="6062" w:type="dxa"/>
        <w:jc w:val="center"/>
        <w:tblInd w:w="0" w:type="dxa"/>
        <w:tblLayout w:type="fixed"/>
        <w:tblCellMar>
          <w:top w:w="0" w:type="dxa"/>
          <w:left w:w="0" w:type="dxa"/>
          <w:bottom w:w="0" w:type="dxa"/>
          <w:right w:w="0" w:type="dxa"/>
        </w:tblCellMar>
      </w:tblPr>
      <w:tblGrid>
        <w:gridCol w:w="1741"/>
        <w:gridCol w:w="432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105535" cy="175260"/>
                      <wp:effectExtent l="0" t="0" r="0" b="0"/>
                      <wp:wrapNone/>
                      <wp:docPr id="183" name="Frame18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744470" cy="175260"/>
                      <wp:effectExtent l="0" t="0" r="0" b="0"/>
                      <wp:wrapNone/>
                      <wp:docPr id="184" name="Frame184"/>
                      <a:graphic xmlns:a="http://schemas.openxmlformats.org/drawingml/2006/main">
                        <a:graphicData uri="http://schemas.microsoft.com/office/word/2010/wordprocessingShape">
                          <wps:wsp>
                            <wps:cNvSpPr txBox="1"/>
                            <wps:spPr>
                              <a:xfrm>
                                <a:off x="0" y="0"/>
                                <a:ext cx="274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Seth Van Voorhees </w:t>
            </w:r>
          </w:p>
        </w:tc>
      </w:tr>
      <w:tr>
        <w:trPr/>
        <w:tc>
          <w:tcPr>
            <w:tcW w:w="1741" w:type="dxa"/>
            <w:tcBorders/>
            <w:vAlign w:val="center"/>
          </w:tcPr>
          <w:p>
            <w:pPr>
              <w:pStyle w:val="TableContents"/>
              <w:bidi w:val="0"/>
              <w:spacing w:before="0" w:after="0"/>
              <w:ind w:left="0" w:right="0" w:hanging="0"/>
              <w:jc w:val="left"/>
              <w:rPr/>
            </w:pPr>
            <w:r>
              <w:rPr/>
              <w:t>​</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Seth Van Voorhees</w:t>
            </w:r>
          </w:p>
        </w:tc>
      </w:tr>
      <w:tr>
        <w:trPr/>
        <w:tc>
          <w:tcPr>
            <w:tcW w:w="174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19974</Words>
  <Characters>110552</Characters>
  <CharactersWithSpaces>130916</CharactersWithSpaces>
  <Paragraphs>2914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