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ind w:left="0" w:right="0" w:hanging="0"/>
        <w:rPr/>
      </w:pPr>
      <w:hyperlink w:anchor="TOC">
        <w:bookmarkStart w:id="0" w:name="nrxp-20221231x10k.htm"/>
        <w:bookmarkStart w:id="1" w:name="ksnrxp2022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bookmarkStart w:id="2" w:name="_a69df31b_c90a_4632_992d_4da92369d9e6"/>
      <w:bookmarkEnd w:id="2"/>
      <w:r>
        <w:rPr>
          <w:rFonts w:ascii="Times New Roman;Times;serif" w:hAnsi="Times New Roman;Times;serif"/>
          <w:b/>
          <w:sz w:val="16"/>
        </w:rPr>
        <w:t>UNITED STATES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FORM 10-K</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(Mark One)</w:t>
      </w:r>
    </w:p>
    <w:p>
      <w:pPr>
        <w:pStyle w:val="TextBody"/>
        <w:spacing w:before="0" w:after="0"/>
        <w:ind w:left="0" w:right="0" w:hanging="0"/>
        <w:jc w:val="center"/>
        <w:rPr/>
      </w:pPr>
      <w:r>
        <w:rPr/>
        <w:t>​</w:t>
      </w:r>
    </w:p>
    <w:p>
      <w:pPr>
        <w:pStyle w:val="TextBody"/>
        <w:spacing w:before="0" w:after="0"/>
        <w:ind w:left="0" w:right="0" w:hanging="0"/>
        <w:jc w:val="center"/>
        <w:rPr/>
      </w:pPr>
      <w:r>
        <w:rPr/>
        <w:t>☒   </w:t>
      </w:r>
      <w:r>
        <w:rPr>
          <w:rFonts w:ascii="Times New Roman;Times;serif" w:hAnsi="Times New Roman;Times;serif"/>
          <w:b/>
          <w:sz w:val="16"/>
        </w:rPr>
        <w:t>ANNUAL REPORT PURSUANT TO SECTION 13 OR 15(d) OF 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2022</w:t>
      </w:r>
    </w:p>
    <w:p>
      <w:pPr>
        <w:pStyle w:val="TextBody"/>
        <w:spacing w:before="0" w:after="0"/>
        <w:ind w:left="0" w:right="0" w:hanging="0"/>
        <w:jc w:val="center"/>
        <w:rPr/>
      </w:pPr>
      <w:r>
        <w:rPr/>
        <w:t>​</w:t>
      </w:r>
    </w:p>
    <w:p>
      <w:pPr>
        <w:pStyle w:val="TextBody"/>
        <w:spacing w:before="0" w:after="0"/>
        <w:ind w:left="0" w:right="0" w:hanging="0"/>
        <w:jc w:val="center"/>
        <w:rPr/>
      </w:pPr>
      <w:r>
        <w:rPr/>
        <w:t>☐   </w:t>
      </w:r>
      <w:r>
        <w:rPr>
          <w:rFonts w:ascii="Times New Roman;Times;serif" w:hAnsi="Times New Roman;Times;serif"/>
          <w:b/>
          <w:sz w:val="16"/>
        </w:rPr>
        <w:t>TRANSITION REPORT PURSUANT TO SECTION 13 OR 15(d) OF 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001-38302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NRX PHARMACEUTICALS, INC.</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spacing w:before="0" w:after="0"/>
        <w:ind w:left="0" w:right="0" w:hanging="0"/>
        <w:jc w:val="center"/>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3" w:name="Tc_eRUEzh_PRU2yJplNFl8CvQ_3_2"/>
      <w:bookmarkStart w:id="4" w:name="Tc_rZoEyGbCuEKyCkBKdK8_ug_3_0"/>
      <w:bookmarkStart w:id="5" w:name="Tc_pERQlBXc5E-vbGf5qXU5sQ_2_2"/>
      <w:bookmarkStart w:id="6" w:name="Tc_4D47I7vRKUS8NhPBotOThA_2_0"/>
      <w:bookmarkStart w:id="7" w:name="_fc28bce3_e2cd_40eb_8324_cc79ee054828"/>
      <w:bookmarkStart w:id="8" w:name="Tc_eRUEzh_PRU2yJplNFl8CvQ_3_2"/>
      <w:bookmarkStart w:id="9" w:name="Tc_rZoEyGbCuEKyCkBKdK8_ug_3_0"/>
      <w:bookmarkStart w:id="10" w:name="Tc_pERQlBXc5E-vbGf5qXU5sQ_2_2"/>
      <w:bookmarkStart w:id="11" w:name="Tc_4D47I7vRKUS8NhPBotOThA_2_0"/>
      <w:bookmarkStart w:id="12" w:name="_fc28bce3_e2cd_40eb_8324_cc79ee054828"/>
      <w:bookmarkEnd w:id="8"/>
      <w:bookmarkEnd w:id="9"/>
      <w:bookmarkEnd w:id="10"/>
      <w:bookmarkEnd w:id="11"/>
      <w:bookmarkEnd w:id="12"/>
    </w:p>
    <w:tbl>
      <w:tblPr>
        <w:tblW w:w="3681" w:type="dxa"/>
        <w:jc w:val="left"/>
        <w:tblInd w:w="0" w:type="dxa"/>
        <w:tblCellMar>
          <w:top w:w="0" w:type="dxa"/>
          <w:left w:w="0" w:type="dxa"/>
          <w:bottom w:w="0" w:type="dxa"/>
          <w:right w:w="0" w:type="dxa"/>
        </w:tblCellMar>
      </w:tblPr>
      <w:tblGrid>
        <w:gridCol w:w="2236"/>
        <w:gridCol w:w="109"/>
        <w:gridCol w:w="1336"/>
      </w:tblGrid>
      <w:tr>
        <w:trPr/>
        <w:tc>
          <w:tcPr>
            <w:tcW w:w="2236" w:type="dxa"/>
            <w:tcBorders/>
            <w:shd w:fill="auto" w:val="clear"/>
            <w:vAlign w:val="center"/>
          </w:tcPr>
          <w:p>
            <w:pPr>
              <w:pStyle w:val="TableContents"/>
              <w:spacing w:lineRule="atLeast" w:line="220"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tLeast" w:line="220"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220" w:before="0" w:after="0"/>
                              <w:ind w:left="0" w:right="0" w:hanging="0"/>
                              <w:rPr/>
                            </w:pPr>
                            <w:r>
                              <w:rPr/>
                              <w:t>​</w:t>
                            </w:r>
                          </w:p>
                        </w:txbxContent>
                      </v:textbox>
                    </v:rect>
                  </w:pict>
                </mc:Fallback>
              </mc:AlternateContent>
            </w:r>
          </w:p>
        </w:tc>
        <w:tc>
          <w:tcPr>
            <w:tcW w:w="1336" w:type="dxa"/>
            <w:tcBorders/>
            <w:shd w:fill="auto" w:val="clear"/>
            <w:vAlign w:val="center"/>
          </w:tcPr>
          <w:p>
            <w:pPr>
              <w:pStyle w:val="TableContents"/>
              <w:spacing w:lineRule="atLeast" w:line="220" w:before="0" w:after="0"/>
              <w:ind w:left="0" w:right="0" w:hanging="0"/>
              <w:rPr/>
            </w:pPr>
            <w:r>
              <w:rPr/>
              <w:t>​</w:t>
            </w:r>
          </w:p>
        </w:tc>
      </w:tr>
      <w:tr>
        <w:trPr/>
        <w:tc>
          <w:tcPr>
            <w:tcW w:w="2236" w:type="dxa"/>
            <w:tcBorders/>
            <w:shd w:fill="auto" w:val="clear"/>
            <w:vAlign w:val="center"/>
          </w:tcPr>
          <w:p>
            <w:pPr>
              <w:pStyle w:val="TableContents"/>
              <w:spacing w:lineRule="atLeast" w:line="220"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220" w:before="0" w:after="0"/>
                              <w:ind w:left="0" w:right="0" w:hanging="0"/>
                              <w:jc w:val="center"/>
                              <w:rPr/>
                            </w:pPr>
                            <w:r>
                              <w:rPr/>
                              <w:t> </w:t>
                            </w:r>
                          </w:p>
                        </w:txbxContent>
                      </v:textbox>
                    </v:rect>
                  </w:pict>
                </mc:Fallback>
              </mc:AlternateContent>
            </w:r>
          </w:p>
        </w:tc>
        <w:tc>
          <w:tcPr>
            <w:tcW w:w="1336" w:type="dxa"/>
            <w:tcBorders/>
            <w:shd w:fill="auto" w:val="clear"/>
            <w:vAlign w:val="center"/>
          </w:tcPr>
          <w:p>
            <w:pPr>
              <w:pStyle w:val="TableContents"/>
              <w:spacing w:lineRule="atLeast" w:line="220" w:before="0" w:after="0"/>
              <w:ind w:left="0" w:right="0" w:hanging="0"/>
              <w:jc w:val="center"/>
              <w:rPr>
                <w:rFonts w:ascii="Times New Roman;Times;serif" w:hAnsi="Times New Roman;Times;serif"/>
                <w:b/>
                <w:sz w:val="16"/>
              </w:rPr>
            </w:pPr>
            <w:r>
              <w:rPr>
                <w:rFonts w:ascii="Times New Roman;Times;serif" w:hAnsi="Times New Roman;Times;serif"/>
                <w:b/>
                <w:sz w:val="16"/>
              </w:rPr>
              <w:t>82-2844431</w:t>
            </w:r>
          </w:p>
        </w:tc>
      </w:tr>
      <w:tr>
        <w:trPr/>
        <w:tc>
          <w:tcPr>
            <w:tcW w:w="2236" w:type="dxa"/>
            <w:tcBorders/>
            <w:shd w:fill="auto" w:val="clear"/>
            <w:vAlign w:val="center"/>
          </w:tcPr>
          <w:p>
            <w:pPr>
              <w:pStyle w:val="TableContents"/>
              <w:spacing w:lineRule="atLeast" w:line="220"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220" w:before="0" w:after="0"/>
                              <w:ind w:left="0" w:right="0" w:hanging="0"/>
                              <w:jc w:val="center"/>
                              <w:rPr/>
                            </w:pPr>
                            <w:r>
                              <w:rPr/>
                              <w:t> </w:t>
                            </w:r>
                          </w:p>
                        </w:txbxContent>
                      </v:textbox>
                    </v:rect>
                  </w:pict>
                </mc:Fallback>
              </mc:AlternateContent>
            </w:r>
          </w:p>
        </w:tc>
        <w:tc>
          <w:tcPr>
            <w:tcW w:w="1336" w:type="dxa"/>
            <w:tcBorders/>
            <w:shd w:fill="auto" w:val="clear"/>
            <w:vAlign w:val="center"/>
          </w:tcPr>
          <w:p>
            <w:pPr>
              <w:pStyle w:val="TableContents"/>
              <w:spacing w:lineRule="atLeast" w:line="220"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shd w:fill="auto" w:val="clear"/>
            <w:vAlign w:val="center"/>
          </w:tcPr>
          <w:p>
            <w:pPr>
              <w:pStyle w:val="TableContents"/>
              <w:spacing w:lineRule="atLeast" w:line="220"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220" w:before="0" w:after="0"/>
                              <w:ind w:left="0" w:right="0" w:hanging="0"/>
                              <w:jc w:val="center"/>
                              <w:rPr/>
                            </w:pPr>
                            <w:r>
                              <w:rPr/>
                              <w:t> </w:t>
                            </w:r>
                          </w:p>
                        </w:txbxContent>
                      </v:textbox>
                    </v:rect>
                  </w:pict>
                </mc:Fallback>
              </mc:AlternateContent>
            </w:r>
          </w:p>
        </w:tc>
        <w:tc>
          <w:tcPr>
            <w:tcW w:w="1336"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848360" cy="139700"/>
                      <wp:effectExtent l="0" t="0" r="0" b="0"/>
                      <wp:wrapNone/>
                      <wp:docPr id="5" name="Frame5"/>
                      <a:graphic xmlns:a="http://schemas.openxmlformats.org/drawingml/2006/main">
                        <a:graphicData uri="http://schemas.microsoft.com/office/word/2010/wordprocessingShape">
                          <wps:wsp>
                            <wps:cNvSpPr txBox="1"/>
                            <wps:spPr>
                              <a:xfrm>
                                <a:off x="0" y="0"/>
                                <a:ext cx="848360" cy="139700"/>
                              </a:xfrm>
                              <a:prstGeom prst="rect"/>
                            </wps:spPr>
                            <wps:txbx>
                              <w:txbxContent>
                                <w:p>
                                  <w:pPr>
                                    <w:pStyle w:val="TableContents"/>
                                    <w:spacing w:lineRule="atLeast" w:line="220"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220"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xbxContent>
                      </v:textbox>
                    </v:rect>
                  </w:pict>
                </mc:Fallback>
              </mc:AlternateConten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1201 Orange Street, Suite 600</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6"/>
        </w:rPr>
        <w:t>Wilmington, DE</w:t>
      </w:r>
      <w:r>
        <w:rPr>
          <w:rFonts w:ascii="Times New Roman;Times;serif" w:hAnsi="Times New Roman;Times;serif"/>
          <w:sz w:val="20"/>
        </w:rPr>
        <w:t xml:space="preserve"> </w:t>
      </w:r>
      <w:r>
        <w:rPr>
          <w:rFonts w:ascii="Times New Roman;Times;serif" w:hAnsi="Times New Roman;Times;serif"/>
          <w:b/>
          <w:sz w:val="16"/>
        </w:rPr>
        <w:t>19801</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(484) 254-6134</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spacing w:before="0" w:after="0"/>
        <w:ind w:left="0" w:right="0" w:hanging="0"/>
        <w:rPr/>
      </w:pPr>
      <w:r>
        <w:rPr/>
        <w:t>​</w:t>
      </w:r>
    </w:p>
    <w:p>
      <w:pPr>
        <w:pStyle w:val="Normal"/>
        <w:spacing w:before="0" w:after="0"/>
        <w:rPr>
          <w:sz w:val="4"/>
          <w:szCs w:val="4"/>
        </w:rPr>
      </w:pPr>
      <w:r>
        <w:rPr>
          <w:sz w:val="4"/>
          <w:szCs w:val="4"/>
        </w:rPr>
      </w:r>
      <w:bookmarkStart w:id="13" w:name="Tc_4v5RK8elNE--L-hk1IFm_A_1_4"/>
      <w:bookmarkStart w:id="14" w:name="Tc_QIs8twG9lEKhuKUfKMnSmA_1_2"/>
      <w:bookmarkStart w:id="15" w:name="Tc_LDPpJczS-UaThEGq1bwWoA_1_0"/>
      <w:bookmarkStart w:id="16" w:name="_46711230_955e_45a7_b3c1_e49dd62ab28b"/>
      <w:bookmarkStart w:id="17" w:name="Tc_4v5RK8elNE--L-hk1IFm_A_1_4"/>
      <w:bookmarkStart w:id="18" w:name="Tc_QIs8twG9lEKhuKUfKMnSmA_1_2"/>
      <w:bookmarkStart w:id="19" w:name="Tc_LDPpJczS-UaThEGq1bwWoA_1_0"/>
      <w:bookmarkStart w:id="20" w:name="_46711230_955e_45a7_b3c1_e49dd62ab28b"/>
      <w:bookmarkEnd w:id="17"/>
      <w:bookmarkEnd w:id="18"/>
      <w:bookmarkEnd w:id="19"/>
      <w:bookmarkEnd w:id="20"/>
    </w:p>
    <w:tbl>
      <w:tblPr>
        <w:tblW w:w="8651" w:type="dxa"/>
        <w:jc w:val="left"/>
        <w:tblInd w:w="0" w:type="dxa"/>
        <w:tblCellMar>
          <w:top w:w="0" w:type="dxa"/>
          <w:left w:w="0" w:type="dxa"/>
          <w:bottom w:w="0" w:type="dxa"/>
          <w:right w:w="0" w:type="dxa"/>
        </w:tblCellMar>
      </w:tblPr>
      <w:tblGrid>
        <w:gridCol w:w="3601"/>
        <w:gridCol w:w="109"/>
        <w:gridCol w:w="1456"/>
        <w:gridCol w:w="109"/>
        <w:gridCol w:w="3376"/>
      </w:tblGrid>
      <w:tr>
        <w:trPr/>
        <w:tc>
          <w:tcPr>
            <w:tcW w:w="3601" w:type="dxa"/>
            <w:tcBorders/>
            <w:shd w:fill="auto" w:val="clear"/>
            <w:vAlign w:val="center"/>
          </w:tcPr>
          <w:p>
            <w:pPr>
              <w:pStyle w:val="TableContents"/>
              <w:spacing w:lineRule="atLeast" w:line="180" w:before="0" w:after="0"/>
              <w:ind w:left="0" w:right="0" w:hanging="0"/>
              <w:jc w:val="center"/>
              <w:rPr/>
            </w:pPr>
            <w:r>
              <w:rPr/>
              <w:t>​</w:t>
            </w:r>
          </w:p>
        </w:tc>
        <w:tc>
          <w:tcPr>
            <w:tcW w:w="109" w:type="dxa"/>
            <w:tcBorders/>
            <w:shd w:fill="auto" w:val="clear"/>
            <w:vAlign w:val="center"/>
          </w:tcPr>
          <w:p>
            <w:pPr>
              <w:pStyle w:val="TableContents"/>
              <w:spacing w:lineRule="atLeast" w:line="180" w:before="0" w:after="0"/>
              <w:ind w:left="0" w:right="0" w:hanging="0"/>
              <w:jc w:val="center"/>
              <w:rPr/>
            </w:pPr>
            <w:r>
              <w:rPr/>
              <w:t>​</w:t>
            </w:r>
          </w:p>
        </w:tc>
        <w:tc>
          <w:tcPr>
            <w:tcW w:w="1456" w:type="dxa"/>
            <w:tcBorders/>
            <w:shd w:fill="auto" w:val="clear"/>
            <w:vAlign w:val="center"/>
          </w:tcPr>
          <w:p>
            <w:pPr>
              <w:pStyle w:val="TableContents"/>
              <w:spacing w:lineRule="atLeast" w:line="180" w:before="0" w:after="0"/>
              <w:ind w:left="0" w:right="0" w:hanging="0"/>
              <w:jc w:val="center"/>
              <w:rPr/>
            </w:pPr>
            <w:r>
              <w:rPr/>
              <w:t>​</w:t>
            </w:r>
          </w:p>
        </w:tc>
        <w:tc>
          <w:tcPr>
            <w:tcW w:w="109" w:type="dxa"/>
            <w:tcBorders/>
            <w:shd w:fill="auto" w:val="clear"/>
            <w:vAlign w:val="center"/>
          </w:tcPr>
          <w:p>
            <w:pPr>
              <w:pStyle w:val="TableContents"/>
              <w:spacing w:lineRule="atLeast" w:line="180" w:before="0" w:after="0"/>
              <w:ind w:left="0" w:right="0" w:hanging="0"/>
              <w:jc w:val="center"/>
              <w:rPr/>
            </w:pPr>
            <w:r>
              <w:rPr/>
              <w:t>​</w:t>
            </w:r>
          </w:p>
        </w:tc>
        <w:tc>
          <w:tcPr>
            <w:tcW w:w="3376" w:type="dxa"/>
            <w:tcBorders/>
            <w:shd w:fill="auto" w:val="clear"/>
            <w:vAlign w:val="center"/>
          </w:tcPr>
          <w:p>
            <w:pPr>
              <w:pStyle w:val="TableContents"/>
              <w:spacing w:lineRule="atLeast" w:line="180" w:before="0" w:after="0"/>
              <w:ind w:left="0" w:right="0" w:hanging="0"/>
              <w:jc w:val="center"/>
              <w:rPr/>
            </w:pPr>
            <w:r>
              <w:rPr/>
              <w:t>​</w:t>
            </w:r>
          </w:p>
        </w:tc>
      </w:tr>
      <w:tr>
        <w:trPr/>
        <w:tc>
          <w:tcPr>
            <w:tcW w:w="3601" w:type="dxa"/>
            <w:tcBorders>
              <w:bottom w:val="single" w:sz="8" w:space="0" w:color="000000"/>
            </w:tcBorders>
            <w:shd w:fill="auto" w:val="clear"/>
            <w:tcMar>
              <w:bottom w:w="28" w:type="dxa"/>
            </w:tcMar>
            <w:vAlign w:val="center"/>
          </w:tcPr>
          <w:p>
            <w:pPr>
              <w:pStyle w:val="TableContents"/>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shd w:fill="auto" w:val="clear"/>
            <w:vAlign w:val="center"/>
          </w:tcPr>
          <w:p>
            <w:pPr>
              <w:pStyle w:val="TableContents"/>
              <w:spacing w:lineRule="atLeast" w:line="180" w:before="0" w:after="0"/>
              <w:ind w:left="0" w:right="0" w:hanging="0"/>
              <w:jc w:val="center"/>
              <w:rPr/>
            </w:pPr>
            <w:r>
              <w:rPr/>
              <w:t>​</w:t>
            </w:r>
          </w:p>
        </w:tc>
        <w:tc>
          <w:tcPr>
            <w:tcW w:w="1456" w:type="dxa"/>
            <w:tcBorders>
              <w:bottom w:val="single" w:sz="8" w:space="0" w:color="000000"/>
            </w:tcBorders>
            <w:shd w:fill="auto" w:val="clear"/>
            <w:tcMar>
              <w:bottom w:w="28" w:type="dxa"/>
            </w:tcMar>
            <w:vAlign w:val="center"/>
          </w:tcPr>
          <w:p>
            <w:pPr>
              <w:pStyle w:val="TableContents"/>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shd w:fill="auto" w:val="clear"/>
            <w:vAlign w:val="center"/>
          </w:tcPr>
          <w:p>
            <w:pPr>
              <w:pStyle w:val="TableContents"/>
              <w:spacing w:lineRule="atLeast" w:line="180" w:before="0" w:after="0"/>
              <w:ind w:left="0" w:right="0" w:hanging="0"/>
              <w:jc w:val="center"/>
              <w:rPr/>
            </w:pPr>
            <w:r>
              <w:rPr/>
              <w:t>​</w:t>
            </w:r>
          </w:p>
        </w:tc>
        <w:tc>
          <w:tcPr>
            <w:tcW w:w="3376" w:type="dxa"/>
            <w:tcBorders>
              <w:bottom w:val="single" w:sz="8" w:space="0" w:color="000000"/>
            </w:tcBorders>
            <w:shd w:fill="auto" w:val="clear"/>
            <w:tcMar>
              <w:bottom w:w="28" w:type="dxa"/>
            </w:tcMar>
            <w:vAlign w:val="center"/>
          </w:tcPr>
          <w:p>
            <w:pPr>
              <w:pStyle w:val="TableContents"/>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601" w:type="dxa"/>
            <w:tcBorders>
              <w:top w:val="single" w:sz="8" w:space="0" w:color="000000"/>
            </w:tcBorders>
            <w:shd w:fill="auto" w:val="clear"/>
            <w:tcMar>
              <w:top w:w="28" w:type="dxa"/>
            </w:tcMar>
            <w:vAlign w:val="center"/>
          </w:tcPr>
          <w:p>
            <w:pPr>
              <w:pStyle w:val="TableContents"/>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109" w:type="dxa"/>
            <w:tcBorders/>
            <w:shd w:fill="auto" w:val="clear"/>
            <w:vAlign w:val="center"/>
          </w:tcPr>
          <w:p>
            <w:pPr>
              <w:pStyle w:val="TableContents"/>
              <w:spacing w:lineRule="atLeast" w:line="180" w:before="0" w:after="0"/>
              <w:ind w:left="0" w:right="0" w:hanging="0"/>
              <w:jc w:val="center"/>
              <w:rPr/>
            </w:pPr>
            <w:r>
              <w:rPr/>
              <w:t>​</w:t>
            </w:r>
          </w:p>
        </w:tc>
        <w:tc>
          <w:tcPr>
            <w:tcW w:w="1456" w:type="dxa"/>
            <w:tcBorders>
              <w:top w:val="single" w:sz="8" w:space="0" w:color="000000"/>
            </w:tcBorders>
            <w:shd w:fill="auto" w:val="clear"/>
            <w:tcMar>
              <w:top w:w="28" w:type="dxa"/>
            </w:tcMar>
            <w:vAlign w:val="center"/>
          </w:tcPr>
          <w:p>
            <w:pPr>
              <w:pStyle w:val="TableContents"/>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NRXP</w:t>
            </w:r>
          </w:p>
        </w:tc>
        <w:tc>
          <w:tcPr>
            <w:tcW w:w="109" w:type="dxa"/>
            <w:tcBorders/>
            <w:shd w:fill="auto" w:val="clear"/>
            <w:vAlign w:val="center"/>
          </w:tcPr>
          <w:p>
            <w:pPr>
              <w:pStyle w:val="TableContents"/>
              <w:spacing w:lineRule="atLeast" w:line="180" w:before="0" w:after="0"/>
              <w:ind w:left="0" w:right="0" w:hanging="0"/>
              <w:jc w:val="center"/>
              <w:rPr/>
            </w:pPr>
            <w:r>
              <w:rPr/>
              <w:t>​</w:t>
            </w:r>
          </w:p>
        </w:tc>
        <w:tc>
          <w:tcPr>
            <w:tcW w:w="3376" w:type="dxa"/>
            <w:tcBorders>
              <w:top w:val="single" w:sz="8" w:space="0" w:color="000000"/>
            </w:tcBorders>
            <w:shd w:fill="auto" w:val="clear"/>
            <w:tcMar>
              <w:top w:w="28" w:type="dxa"/>
            </w:tcMar>
            <w:vAlign w:val="center"/>
          </w:tcPr>
          <w:p>
            <w:pPr>
              <w:pStyle w:val="TableContents"/>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r>
        <w:trPr/>
        <w:tc>
          <w:tcPr>
            <w:tcW w:w="3601" w:type="dxa"/>
            <w:tcBorders/>
            <w:shd w:fill="auto" w:val="clear"/>
            <w:vAlign w:val="center"/>
          </w:tcPr>
          <w:p>
            <w:pPr>
              <w:pStyle w:val="TableContents"/>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Warrants to purchase one share of Common Stock</w:t>
            </w:r>
          </w:p>
        </w:tc>
        <w:tc>
          <w:tcPr>
            <w:tcW w:w="109" w:type="dxa"/>
            <w:tcBorders/>
            <w:shd w:fill="auto" w:val="clear"/>
            <w:vAlign w:val="center"/>
          </w:tcPr>
          <w:p>
            <w:pPr>
              <w:pStyle w:val="TableContents"/>
              <w:spacing w:lineRule="atLeast" w:line="180" w:before="0" w:after="0"/>
              <w:ind w:left="0" w:right="0" w:hanging="0"/>
              <w:jc w:val="center"/>
              <w:rPr/>
            </w:pPr>
            <w:r>
              <w:rPr/>
              <w:t>​</w:t>
            </w:r>
          </w:p>
        </w:tc>
        <w:tc>
          <w:tcPr>
            <w:tcW w:w="1456" w:type="dxa"/>
            <w:tcBorders/>
            <w:shd w:fill="auto" w:val="clear"/>
            <w:vAlign w:val="center"/>
          </w:tcPr>
          <w:p>
            <w:pPr>
              <w:pStyle w:val="TableContents"/>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NRXPW</w:t>
            </w:r>
          </w:p>
        </w:tc>
        <w:tc>
          <w:tcPr>
            <w:tcW w:w="109" w:type="dxa"/>
            <w:tcBorders/>
            <w:shd w:fill="auto" w:val="clear"/>
            <w:vAlign w:val="center"/>
          </w:tcPr>
          <w:p>
            <w:pPr>
              <w:pStyle w:val="TableContents"/>
              <w:spacing w:lineRule="atLeast" w:line="180" w:before="0" w:after="0"/>
              <w:ind w:left="0" w:right="0" w:hanging="0"/>
              <w:jc w:val="center"/>
              <w:rPr/>
            </w:pPr>
            <w:r>
              <w:rPr/>
              <w:t>​</w:t>
            </w:r>
          </w:p>
        </w:tc>
        <w:tc>
          <w:tcPr>
            <w:tcW w:w="3376" w:type="dxa"/>
            <w:tcBorders/>
            <w:shd w:fill="auto" w:val="clear"/>
            <w:vAlign w:val="center"/>
          </w:tcPr>
          <w:p>
            <w:pPr>
              <w:pStyle w:val="TableContents"/>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bl>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14"/>
        </w:rPr>
      </w:pPr>
      <w:r>
        <w:rPr>
          <w:rFonts w:ascii="Times New Roman;Times;serif" w:hAnsi="Times New Roman;Times;serif"/>
          <w:sz w:val="14"/>
        </w:rPr>
        <w:t>Securities registered pursuant to Section 12(g) of the Act: None</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if the registrant is a well-known seasoned issuer, as defined in Rule 405 of the Securities Act.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if the registrant is not required to file reports pursuant to Section 13 or Section 15(d) of the Act.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 xml:space="preserve">☐ </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3598" w:type="dxa"/>
        <w:jc w:val="left"/>
        <w:tblInd w:w="0" w:type="dxa"/>
        <w:tblCellMar>
          <w:top w:w="0" w:type="dxa"/>
          <w:left w:w="0" w:type="dxa"/>
          <w:bottom w:w="0" w:type="dxa"/>
          <w:right w:w="0" w:type="dxa"/>
        </w:tblCellMar>
      </w:tblPr>
      <w:tblGrid>
        <w:gridCol w:w="1531"/>
        <w:gridCol w:w="146"/>
        <w:gridCol w:w="1921"/>
      </w:tblGrid>
      <w:tr>
        <w:trPr/>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Large accelerated filer ☐</w:t>
            </w:r>
          </w:p>
        </w:tc>
        <w:tc>
          <w:tcPr>
            <w:tcW w:w="146" w:type="dxa"/>
            <w:tcBorders/>
            <w:shd w:fill="auto" w:val="clear"/>
            <w:vAlign w:val="center"/>
          </w:tcPr>
          <w:p>
            <w:pPr>
              <w:pStyle w:val="TableContents"/>
              <w:spacing w:before="0" w:after="0"/>
              <w:ind w:left="0" w:right="0" w:hanging="0"/>
              <w:jc w:val="center"/>
              <w:rPr/>
            </w:pPr>
            <w:r>
              <w:rPr/>
              <w:t> </w:t>
            </w:r>
          </w:p>
        </w:tc>
        <w:tc>
          <w:tcPr>
            <w:tcW w:w="192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r>
      <w:tr>
        <w:trPr/>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4"/>
              </w:rPr>
              <w:t>Non-accelerated filer</w:t>
            </w:r>
            <w:r>
              <w:rPr>
                <w:rFonts w:ascii="Times New Roman;Times;serif" w:hAnsi="Times New Roman;Times;serif"/>
                <w:sz w:val="20"/>
              </w:rPr>
              <w:t xml:space="preserve"> ☒</w:t>
            </w:r>
          </w:p>
        </w:tc>
        <w:tc>
          <w:tcPr>
            <w:tcW w:w="146" w:type="dxa"/>
            <w:tcBorders/>
            <w:shd w:fill="auto" w:val="clear"/>
            <w:vAlign w:val="center"/>
          </w:tcPr>
          <w:p>
            <w:pPr>
              <w:pStyle w:val="TableContents"/>
              <w:spacing w:before="0" w:after="0"/>
              <w:ind w:left="0" w:right="0" w:hanging="0"/>
              <w:jc w:val="center"/>
              <w:rPr/>
            </w:pPr>
            <w:r>
              <w:rPr/>
              <w:t> </w:t>
            </w:r>
          </w:p>
        </w:tc>
        <w:tc>
          <w:tcPr>
            <w:tcW w:w="19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r>
              <w:rPr>
                <w:rFonts w:ascii="Segoe UI Symbol" w:hAnsi="Segoe UI Symbol"/>
                <w:sz w:val="14"/>
              </w:rPr>
              <w:br/>
            </w: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pBdr/>
        <w:shd w:fill="FFFFFF" w:val="clear"/>
        <w:spacing w:before="0" w:after="0"/>
        <w:ind w:left="0" w:right="0" w:firstLine="720"/>
        <w:jc w:val="both"/>
        <w:rPr>
          <w:rFonts w:ascii="Times New Roman;Times;serif" w:hAnsi="Times New Roman;Times;serif"/>
          <w:sz w:val="14"/>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pBdr/>
        <w:shd w:fill="FFFFFF" w:val="clear"/>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pBdr/>
        <w:shd w:fill="FFFFFF" w:val="clear"/>
        <w:spacing w:before="0" w:after="0"/>
        <w:ind w:left="0" w:right="0" w:firstLine="720"/>
        <w:jc w:val="both"/>
        <w:rPr>
          <w:rFonts w:ascii="Times New Roman;Times;serif" w:hAnsi="Times New Roman;Times;serif"/>
          <w:sz w:val="14"/>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hd w:fill="FFFFFF" w:val="clear"/>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firstLine="720"/>
        <w:rPr>
          <w:rFonts w:ascii="Times New Roman;Times;serif" w:hAnsi="Times New Roman;Times;serif"/>
          <w:sz w:val="14"/>
        </w:rPr>
      </w:pPr>
      <w:r>
        <w:rPr>
          <w:rFonts w:ascii="Times New Roman;Times;serif" w:hAnsi="Times New Roman;Times;serif"/>
          <w:sz w:val="14"/>
        </w:rPr>
        <w:t>The aggregate market value of common stock held by non-affiliates of the registrant based on the closing price of the registrant’s common stock as reported on the Nasdaq Global Select Market on December 31, 2022, was $34,952,532 million.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14"/>
        </w:rPr>
      </w:pPr>
      <w:r>
        <w:rPr>
          <w:rFonts w:ascii="Times New Roman;Times;serif" w:hAnsi="Times New Roman;Times;serif"/>
          <w:sz w:val="14"/>
        </w:rPr>
        <w:t>As of March 29, 2023, the registrant had 71,557,580 shares of common stock outstanding.</w:t>
      </w:r>
    </w:p>
    <w:p>
      <w:pPr>
        <w:pStyle w:val="TextBody"/>
        <w:spacing w:before="0" w:after="0"/>
        <w:ind w:left="0" w:right="0" w:hanging="0"/>
        <w:rPr/>
      </w:pPr>
      <w:r>
        <w:rPr/>
        <w:t>​</w:t>
      </w:r>
    </w:p>
    <w:p>
      <w:pPr>
        <w:pStyle w:val="TextBody"/>
        <w:pBdr>
          <w:top w:val="single" w:sz="8" w:space="1" w:color="000000"/>
          <w:bottom w:val="single" w:sz="24" w:space="1" w:color="000000"/>
        </w:pBdr>
        <w:spacing w:before="0" w:after="2"/>
        <w:ind w:left="0" w:right="0" w:firstLine="720"/>
        <w:rPr/>
      </w:pPr>
      <w:r>
        <w:rPr/>
        <w:t>​</w:t>
      </w:r>
    </w:p>
    <w:p>
      <w:pPr>
        <w:pStyle w:val="TextBody"/>
        <w:spacing w:before="0" w:after="16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highlight w:val="white"/>
        </w:rPr>
      </w:pPr>
      <w:bookmarkStart w:id="21" w:name="TOC"/>
      <w:bookmarkStart w:id="22" w:name="_ff7de133_2ca3_4ba1_af78_93ec8e12195e"/>
      <w:bookmarkEnd w:id="21"/>
      <w:bookmarkEnd w:id="22"/>
      <w:r>
        <w:rPr>
          <w:rFonts w:ascii="Times New Roman;Times;serif" w:hAnsi="Times New Roman;Times;serif"/>
          <w:b/>
          <w:sz w:val="20"/>
          <w:highlight w:val="white"/>
        </w:rPr>
        <w:t>INDEX</w:t>
      </w:r>
    </w:p>
    <w:tbl>
      <w:tblPr>
        <w:tblW w:w="10205" w:type="dxa"/>
        <w:jc w:val="left"/>
        <w:tblInd w:w="0" w:type="dxa"/>
        <w:tblCellMar>
          <w:top w:w="0" w:type="dxa"/>
          <w:left w:w="0" w:type="dxa"/>
          <w:bottom w:w="0" w:type="dxa"/>
          <w:right w:w="0" w:type="dxa"/>
        </w:tblCellMar>
      </w:tblPr>
      <w:tblGrid>
        <w:gridCol w:w="784"/>
        <w:gridCol w:w="8954"/>
        <w:gridCol w:w="467"/>
      </w:tblGrid>
      <w:tr>
        <w:trPr/>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7840" cy="175260"/>
                      <wp:effectExtent l="0" t="0" r="0" b="0"/>
                      <wp:wrapNone/>
                      <wp:docPr id="6" name="Frame6"/>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685790" cy="175260"/>
                      <wp:effectExtent l="0" t="0" r="0" b="0"/>
                      <wp:wrapNone/>
                      <wp:docPr id="7" name="Frame7"/>
                      <a:graphic xmlns:a="http://schemas.openxmlformats.org/drawingml/2006/main">
                        <a:graphicData uri="http://schemas.microsoft.com/office/word/2010/wordprocessingShape">
                          <wps:wsp>
                            <wps:cNvSpPr txBox="1"/>
                            <wps:spPr>
                              <a:xfrm>
                                <a:off x="0" y="0"/>
                                <a:ext cx="5685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96545" cy="175260"/>
                      <wp:effectExtent l="0" t="0" r="0" b="0"/>
                      <wp:wrapNone/>
                      <wp:docPr id="8" name="Frame8"/>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738"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183630" cy="175260"/>
                      <wp:effectExtent l="0" t="0" r="0" b="0"/>
                      <wp:wrapNone/>
                      <wp:docPr id="9" name="Frame9"/>
                      <a:graphic xmlns:a="http://schemas.openxmlformats.org/drawingml/2006/main">
                        <a:graphicData uri="http://schemas.microsoft.com/office/word/2010/wordprocessingShape">
                          <wps:wsp>
                            <wps:cNvSpPr txBox="1"/>
                            <wps:spPr>
                              <a:xfrm>
                                <a:off x="0" y="0"/>
                                <a:ext cx="6183630" cy="175260"/>
                              </a:xfrm>
                              <a:prstGeom prst="rect"/>
                            </wps:spPr>
                            <wps:txbx>
                              <w:txbxContent>
                                <w:p>
                                  <w:pPr>
                                    <w:pStyle w:val="TableContents"/>
                                    <w:pBdr/>
                                    <w:spacing w:before="0" w:after="30"/>
                                    <w:ind w:left="0" w:right="0" w:hanging="144"/>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spacing w:before="0" w:after="30"/>
                              <w:ind w:left="0" w:right="0" w:hanging="144"/>
                              <w:jc w:val="center"/>
                              <w:rPr/>
                            </w:pPr>
                            <w:r>
                              <w:rPr/>
                              <w:t> </w:t>
                            </w:r>
                          </w:p>
                        </w:txbxContent>
                      </v:textbox>
                    </v:rect>
                  </w:pict>
                </mc:Fallback>
              </mc:AlternateContent>
            </w:r>
          </w:p>
        </w:tc>
        <w:tc>
          <w:tcPr>
            <w:tcW w:w="467"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96545" cy="160655"/>
                      <wp:effectExtent l="0" t="0" r="0" b="0"/>
                      <wp:wrapNone/>
                      <wp:docPr id="10" name="Frame10"/>
                      <a:graphic xmlns:a="http://schemas.openxmlformats.org/drawingml/2006/main">
                        <a:graphicData uri="http://schemas.microsoft.com/office/word/2010/wordprocessingShape">
                          <wps:wsp>
                            <wps:cNvSpPr txBox="1"/>
                            <wps:spPr>
                              <a:xfrm>
                                <a:off x="0" y="0"/>
                                <a:ext cx="296545" cy="160655"/>
                              </a:xfrm>
                              <a:prstGeom prst="rect"/>
                            </wps:spPr>
                            <wps:txbx>
                              <w:txbxContent>
                                <w:p>
                                  <w:pPr>
                                    <w:pStyle w:val="TableContents"/>
                                    <w:spacing w:before="0" w:after="30"/>
                                    <w:ind w:left="0" w:right="0" w:hanging="0"/>
                                    <w:jc w:val="center"/>
                                    <w:rPr>
                                      <w:rFonts w:ascii="Times New Roman;Times;serif" w:hAnsi="Times New Roman;Times;serif"/>
                                      <w:b/>
                                      <w:sz w:val="22"/>
                                    </w:rPr>
                                  </w:pPr>
                                  <w:r>
                                    <w:rPr>
                                      <w:rFonts w:ascii="Times New Roman;Times;serif" w:hAnsi="Times New Roman;Times;serif"/>
                                      <w:b/>
                                      <w:sz w:val="22"/>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center"/>
                              <w:rPr>
                                <w:rFonts w:ascii="Times New Roman;Times;serif" w:hAnsi="Times New Roman;Times;serif"/>
                                <w:b/>
                                <w:sz w:val="22"/>
                              </w:rPr>
                            </w:pPr>
                            <w:r>
                              <w:rPr>
                                <w:rFonts w:ascii="Times New Roman;Times;serif" w:hAnsi="Times New Roman;Times;serif"/>
                                <w:b/>
                                <w:sz w:val="22"/>
                              </w:rPr>
                              <w:t>Page</w:t>
                            </w:r>
                          </w:p>
                        </w:txbxContent>
                      </v:textbox>
                    </v:rect>
                  </w:pict>
                </mc:Fallback>
              </mc:AlternateContent>
            </w:r>
          </w:p>
        </w:tc>
      </w:tr>
      <w:tr>
        <w:trPr/>
        <w:tc>
          <w:tcPr>
            <w:tcW w:w="9738"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183630" cy="146685"/>
                      <wp:effectExtent l="0" t="0" r="0" b="0"/>
                      <wp:wrapNone/>
                      <wp:docPr id="11" name="Frame11"/>
                      <a:graphic xmlns:a="http://schemas.openxmlformats.org/drawingml/2006/main">
                        <a:graphicData uri="http://schemas.microsoft.com/office/word/2010/wordprocessingShape">
                          <wps:wsp>
                            <wps:cNvSpPr txBox="1"/>
                            <wps:spPr>
                              <a:xfrm>
                                <a:off x="0" y="0"/>
                                <a:ext cx="6183630" cy="146685"/>
                              </a:xfrm>
                              <a:prstGeom prst="rect"/>
                            </wps:spPr>
                            <wps:txbx>
                              <w:txbxContent>
                                <w:p>
                                  <w:pPr>
                                    <w:pStyle w:val="TableContents"/>
                                    <w:pBdr/>
                                    <w:spacing w:before="0" w:after="30"/>
                                    <w:ind w:left="0" w:right="0" w:hanging="144"/>
                                    <w:jc w:val="center"/>
                                    <w:rPr>
                                      <w:rFonts w:ascii="Times New Roman;Times;serif" w:hAnsi="Times New Roman;Times;serif"/>
                                      <w:b/>
                                      <w:sz w:val="20"/>
                                    </w:rPr>
                                  </w:pPr>
                                  <w:r>
                                    <w:rPr>
                                      <w:rFonts w:ascii="Times New Roman;Times;serif" w:hAnsi="Times New Roman;Times;serif"/>
                                      <w:b/>
                                      <w:sz w:val="20"/>
                                    </w:rPr>
                                    <w:t>Annual Report on Form 10-K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spacing w:before="0" w:after="30"/>
                              <w:ind w:left="0" w:right="0" w:hanging="144"/>
                              <w:jc w:val="center"/>
                              <w:rPr>
                                <w:rFonts w:ascii="Times New Roman;Times;serif" w:hAnsi="Times New Roman;Times;serif"/>
                                <w:b/>
                                <w:sz w:val="20"/>
                              </w:rPr>
                            </w:pPr>
                            <w:r>
                              <w:rPr>
                                <w:rFonts w:ascii="Times New Roman;Times;serif" w:hAnsi="Times New Roman;Times;serif"/>
                                <w:b/>
                                <w:sz w:val="20"/>
                              </w:rPr>
                              <w:t>Annual Report on Form 10-K</w:t>
                            </w:r>
                          </w:p>
                        </w:txbxContent>
                      </v:textbox>
                    </v:rect>
                  </w:pict>
                </mc:Fallback>
              </mc:AlternateContent>
            </w:r>
          </w:p>
        </w:tc>
        <w:tc>
          <w:tcPr>
            <w:tcW w:w="467"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96545" cy="175260"/>
                      <wp:effectExtent l="0" t="0" r="0" b="0"/>
                      <wp:wrapNone/>
                      <wp:docPr id="12" name="Frame12"/>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3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right"/>
                              <w:rPr/>
                            </w:pPr>
                            <w:r>
                              <w:rPr/>
                              <w:t>​</w:t>
                            </w:r>
                          </w:p>
                        </w:txbxContent>
                      </v:textbox>
                    </v:rect>
                  </w:pict>
                </mc:Fallback>
              </mc:AlternateContent>
            </w:r>
          </w:p>
        </w:tc>
      </w:tr>
      <w:tr>
        <w:trPr/>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97840" cy="146685"/>
                      <wp:effectExtent l="0" t="0" r="0" b="0"/>
                      <wp:wrapNone/>
                      <wp:docPr id="13" name="Frame13"/>
                      <a:graphic xmlns:a="http://schemas.openxmlformats.org/drawingml/2006/main">
                        <a:graphicData uri="http://schemas.microsoft.com/office/word/2010/wordprocessingShape">
                          <wps:wsp>
                            <wps:cNvSpPr txBox="1"/>
                            <wps:spPr>
                              <a:xfrm>
                                <a:off x="0" y="0"/>
                                <a:ext cx="497840" cy="146685"/>
                              </a:xfrm>
                              <a:prstGeom prst="rect"/>
                            </wps:spPr>
                            <wps:txbx>
                              <w:txbxContent>
                                <w:p>
                                  <w:pPr>
                                    <w:pStyle w:val="TableContents"/>
                                    <w:pBdr/>
                                    <w:spacing w:before="0" w:after="30"/>
                                    <w:ind w:left="0" w:right="0" w:hanging="144"/>
                                    <w:rPr/>
                                  </w:pPr>
                                  <w:hyperlink w:anchor="PARTI_199457">
                                    <w:r>
                                      <w:rPr>
                                        <w:rStyle w:val="InternetLink"/>
                                        <w:rFonts w:ascii="Times New Roman;Times;serif" w:hAnsi="Times New Roman;Times;serif"/>
                                        <w:b/>
                                        <w:i w:val="false"/>
                                        <w:caps w:val="false"/>
                                        <w:smallCaps w:val="false"/>
                                        <w:sz w:val="20"/>
                                      </w:rPr>
                                      <w:t>Part I.</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spacing w:before="0" w:after="30"/>
                              <w:ind w:left="0" w:right="0" w:hanging="144"/>
                              <w:rPr/>
                            </w:pPr>
                            <w:hyperlink w:anchor="PARTI_199457">
                              <w:r>
                                <w:rPr>
                                  <w:rStyle w:val="InternetLink"/>
                                  <w:rFonts w:ascii="Times New Roman;Times;serif" w:hAnsi="Times New Roman;Times;serif"/>
                                  <w:b/>
                                  <w:i w:val="false"/>
                                  <w:caps w:val="false"/>
                                  <w:smallCaps w:val="false"/>
                                  <w:sz w:val="20"/>
                                </w:rPr>
                                <w:t>Part I.</w:t>
                              </w:r>
                            </w:hyperlink>
                          </w:p>
                        </w:txbxContent>
                      </v:textbox>
                    </v:rect>
                  </w:pict>
                </mc:Fallback>
              </mc:AlternateContent>
            </w:r>
          </w:p>
        </w:tc>
        <w:tc>
          <w:tcPr>
            <w:tcW w:w="8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685790" cy="175260"/>
                      <wp:effectExtent l="0" t="0" r="0" b="0"/>
                      <wp:wrapNone/>
                      <wp:docPr id="14" name="Frame14"/>
                      <a:graphic xmlns:a="http://schemas.openxmlformats.org/drawingml/2006/main">
                        <a:graphicData uri="http://schemas.microsoft.com/office/word/2010/wordprocessingShape">
                          <wps:wsp>
                            <wps:cNvSpPr txBox="1"/>
                            <wps:spPr>
                              <a:xfrm>
                                <a:off x="0" y="0"/>
                                <a:ext cx="5685790" cy="175260"/>
                              </a:xfrm>
                              <a:prstGeom prst="rect"/>
                            </wps:spPr>
                            <wps:txbx>
                              <w:txbxContent>
                                <w:p>
                                  <w:pPr>
                                    <w:pStyle w:val="TableContents"/>
                                    <w:spacing w:before="0"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rPr/>
                            </w:pPr>
                            <w:r>
                              <w:rPr/>
                              <w:t>​</w:t>
                            </w:r>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96545" cy="175260"/>
                      <wp:effectExtent l="0" t="0" r="0" b="0"/>
                      <wp:wrapNone/>
                      <wp:docPr id="15" name="Frame15"/>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right"/>
                              <w:rPr/>
                            </w:pPr>
                            <w:r>
                              <w:rPr/>
                              <w:t>​</w:t>
                            </w:r>
                          </w:p>
                        </w:txbxContent>
                      </v:textbox>
                    </v:rect>
                  </w:pict>
                </mc:Fallback>
              </mc:AlternateConten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1_Business">
              <w:r>
                <w:rPr>
                  <w:rStyle w:val="InternetLink"/>
                  <w:rFonts w:ascii="Times New Roman;Times;serif" w:hAnsi="Times New Roman;Times;serif"/>
                  <w:b w:val="false"/>
                  <w:i w:val="false"/>
                  <w:caps w:val="false"/>
                  <w:smallCaps w:val="false"/>
                  <w:sz w:val="20"/>
                </w:rPr>
                <w:t>Item 1. Business</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1A_RiskFactors">
              <w:r>
                <w:rPr>
                  <w:rStyle w:val="InternetLink"/>
                  <w:rFonts w:ascii="Times New Roman;Times;serif" w:hAnsi="Times New Roman;Times;serif"/>
                  <w:b w:val="false"/>
                  <w:i w:val="false"/>
                  <w:caps w:val="false"/>
                  <w:smallCaps w:val="false"/>
                  <w:sz w:val="20"/>
                </w:rPr>
                <w:t>Item 1A. Risk Factors</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45</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1B_UnresolvedStaffComments">
              <w:r>
                <w:rPr>
                  <w:rStyle w:val="InternetLink"/>
                  <w:rFonts w:ascii="Times New Roman;Times;serif" w:hAnsi="Times New Roman;Times;serif"/>
                  <w:b w:val="false"/>
                  <w:i w:val="false"/>
                  <w:caps w:val="false"/>
                  <w:smallCaps w:val="false"/>
                  <w:sz w:val="20"/>
                </w:rPr>
                <w:t>Item 1B. Unresolved Staff Comments  </w:t>
              </w:r>
            </w:hyperlink>
            <w:r>
              <w:rPr>
                <w:rFonts w:ascii="Times New Roman;Times;serif" w:hAnsi="Times New Roman;Times;serif"/>
                <w:sz w:val="20"/>
              </w:rPr>
              <w:t xml:space="preserve"> </w:t>
            </w:r>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79</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2_Properties">
              <w:r>
                <w:rPr>
                  <w:rStyle w:val="InternetLink"/>
                  <w:rFonts w:ascii="Times New Roman;Times;serif" w:hAnsi="Times New Roman;Times;serif"/>
                  <w:b w:val="false"/>
                  <w:i w:val="false"/>
                  <w:caps w:val="false"/>
                  <w:smallCaps w:val="false"/>
                  <w:sz w:val="20"/>
                </w:rPr>
                <w:t xml:space="preserve">Item 2. Properties </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79</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3LegalProceedings_886745">
              <w:r>
                <w:rPr>
                  <w:rStyle w:val="InternetLink"/>
                  <w:rFonts w:ascii="Times New Roman;Times;serif" w:hAnsi="Times New Roman;Times;serif"/>
                  <w:b w:val="false"/>
                  <w:i w:val="false"/>
                  <w:caps w:val="false"/>
                  <w:smallCaps w:val="false"/>
                  <w:sz w:val="20"/>
                </w:rPr>
                <w:t>Item 3. Legal Proceedings</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79</w: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4_MineSafetyDisclosures">
              <w:r>
                <w:rPr>
                  <w:rStyle w:val="InternetLink"/>
                  <w:rFonts w:ascii="Times New Roman;Times;serif" w:hAnsi="Times New Roman;Times;serif"/>
                  <w:b w:val="false"/>
                  <w:i w:val="false"/>
                  <w:caps w:val="false"/>
                  <w:smallCaps w:val="false"/>
                  <w:sz w:val="20"/>
                </w:rPr>
                <w:t>Item 4. Mine Safety Disclosures</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79</w:t>
            </w:r>
          </w:p>
        </w:tc>
      </w:tr>
      <w:tr>
        <w:trPr/>
        <w:tc>
          <w:tcPr>
            <w:tcW w:w="784" w:type="dxa"/>
            <w:tcBorders/>
            <w:shd w:fill="auto" w:val="clear"/>
            <w:vAlign w:val="center"/>
          </w:tcPr>
          <w:p>
            <w:pPr>
              <w:pStyle w:val="TableContents"/>
              <w:pBdr/>
              <w:spacing w:before="0" w:after="30"/>
              <w:ind w:left="0" w:right="0" w:hanging="0"/>
              <w:rPr/>
            </w:pPr>
            <w:hyperlink w:anchor="PARTII">
              <w:r>
                <w:rPr>
                  <w:rStyle w:val="InternetLink"/>
                  <w:rFonts w:ascii="Times New Roman;Times;serif" w:hAnsi="Times New Roman;Times;serif"/>
                  <w:b/>
                  <w:i w:val="false"/>
                  <w:caps w:val="false"/>
                  <w:smallCaps w:val="false"/>
                  <w:sz w:val="20"/>
                </w:rPr>
                <w:t>Part II</w:t>
              </w:r>
            </w:hyperlink>
          </w:p>
        </w:tc>
        <w:tc>
          <w:tcPr>
            <w:tcW w:w="8954" w:type="dxa"/>
            <w:tcBorders/>
            <w:shd w:fill="auto" w:val="clear"/>
            <w:vAlign w:val="center"/>
          </w:tcPr>
          <w:p>
            <w:pPr>
              <w:pStyle w:val="TableContents"/>
              <w:spacing w:before="0" w:after="30"/>
              <w:ind w:left="0" w:right="0" w:hanging="0"/>
              <w:jc w:val="both"/>
              <w:rPr/>
            </w:pPr>
            <w:r>
              <w:rPr/>
              <w:t>​</w:t>
            </w:r>
          </w:p>
        </w:tc>
        <w:tc>
          <w:tcPr>
            <w:tcW w:w="467" w:type="dxa"/>
            <w:tcBorders/>
            <w:shd w:fill="auto" w:val="clear"/>
            <w:vAlign w:val="center"/>
          </w:tcPr>
          <w:p>
            <w:pPr>
              <w:pStyle w:val="TableContents"/>
              <w:spacing w:before="0" w:after="30"/>
              <w:ind w:left="0" w:right="0" w:hanging="0"/>
              <w:jc w:val="right"/>
              <w:rPr/>
            </w:pPr>
            <w:r>
              <w:rPr/>
              <w:t>​</w: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5MarketforRegistrantsCommonEquityRel">
              <w:r>
                <w:rPr>
                  <w:rStyle w:val="InternetLink"/>
                  <w:rFonts w:ascii="Times New Roman;Times;serif" w:hAnsi="Times New Roman;Times;serif"/>
                  <w:b w:val="false"/>
                  <w:i w:val="false"/>
                  <w:caps w:val="false"/>
                  <w:smallCaps w:val="false"/>
                  <w:sz w:val="20"/>
                </w:rPr>
                <w:t>Item 5. Market for Registrant’s Common Equity, Related Stockholder Matters and Issuer Purchase of Equity Securities</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80</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6Reserved_585354">
              <w:r>
                <w:rPr>
                  <w:rStyle w:val="InternetLink"/>
                  <w:rFonts w:ascii="Times New Roman;Times;serif" w:hAnsi="Times New Roman;Times;serif"/>
                  <w:b w:val="false"/>
                  <w:i w:val="false"/>
                  <w:caps w:val="false"/>
                  <w:smallCaps w:val="false"/>
                  <w:sz w:val="20"/>
                </w:rPr>
                <w:t>Item 6. [Reserved]</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81</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7ManagementsDiscussionandAnalysisofF">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81</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7AQuantitativeandQualitativeDisclosu">
              <w:r>
                <w:rPr>
                  <w:rStyle w:val="InternetLink"/>
                  <w:rFonts w:ascii="Times New Roman;Times;serif" w:hAnsi="Times New Roman;Times;serif"/>
                  <w:b w:val="false"/>
                  <w:i w:val="false"/>
                  <w:caps w:val="false"/>
                  <w:smallCaps w:val="false"/>
                  <w:sz w:val="20"/>
                </w:rPr>
                <w:t>Item 7A. Quantitative and Qualitative Disclosure about Market Risk</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91</w: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8FinancialStatementsandSupplementary">
              <w:r>
                <w:rPr>
                  <w:rStyle w:val="InternetLink"/>
                  <w:rFonts w:ascii="Times New Roman;Times;serif" w:hAnsi="Times New Roman;Times;serif"/>
                  <w:b w:val="false"/>
                  <w:i w:val="false"/>
                  <w:caps w:val="false"/>
                  <w:smallCaps w:val="false"/>
                  <w:sz w:val="20"/>
                </w:rPr>
                <w:t>Item 8. Financial Statements and Supplementary Data</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91</w: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9ChangesinandDisagreementswithAccoun">
              <w:r>
                <w:rPr>
                  <w:rStyle w:val="InternetLink"/>
                  <w:rFonts w:ascii="Times New Roman;Times;serif" w:hAnsi="Times New Roman;Times;serif"/>
                  <w:b w:val="false"/>
                  <w:i w:val="false"/>
                  <w:caps w:val="false"/>
                  <w:smallCaps w:val="false"/>
                  <w:sz w:val="20"/>
                </w:rPr>
                <w:t>Item 9. Changes in Disagreements with Accountants on Accounting and Financial Disclosure</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124</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9AControlsandProcedures_788815">
              <w:r>
                <w:rPr>
                  <w:rStyle w:val="InternetLink"/>
                  <w:rFonts w:ascii="Times New Roman;Times;serif" w:hAnsi="Times New Roman;Times;serif"/>
                  <w:b w:val="false"/>
                  <w:i w:val="false"/>
                  <w:caps w:val="false"/>
                  <w:smallCaps w:val="false"/>
                  <w:sz w:val="20"/>
                </w:rPr>
                <w:t>Item 9A. Controls and Procedures</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124</w:t>
            </w:r>
          </w:p>
        </w:tc>
      </w:tr>
      <w:tr>
        <w:trPr/>
        <w:tc>
          <w:tcPr>
            <w:tcW w:w="784" w:type="dxa"/>
            <w:tcBorders/>
            <w:shd w:fill="auto" w:val="clear"/>
            <w:vAlign w:val="center"/>
          </w:tcPr>
          <w:p>
            <w:pPr>
              <w:pStyle w:val="TableContents"/>
              <w:spacing w:before="0" w:after="30"/>
              <w:ind w:left="0" w:right="0" w:hanging="0"/>
              <w:rPr/>
            </w:pPr>
            <w:r>
              <w:rPr/>
              <w:t>​</w:t>
            </w:r>
          </w:p>
        </w:tc>
        <w:tc>
          <w:tcPr>
            <w:tcW w:w="8954" w:type="dxa"/>
            <w:tcBorders/>
            <w:shd w:fill="auto" w:val="clear"/>
            <w:vAlign w:val="center"/>
          </w:tcPr>
          <w:p>
            <w:pPr>
              <w:pStyle w:val="TableContents"/>
              <w:spacing w:before="0" w:after="30"/>
              <w:ind w:left="0" w:right="0" w:hanging="0"/>
              <w:jc w:val="both"/>
              <w:rPr/>
            </w:pPr>
            <w:hyperlink w:anchor="Item9BOtherInformation_623343">
              <w:r>
                <w:rPr>
                  <w:rStyle w:val="InternetLink"/>
                  <w:rFonts w:ascii="Times New Roman;Times;serif" w:hAnsi="Times New Roman;Times;serif"/>
                  <w:b w:val="false"/>
                  <w:i w:val="false"/>
                  <w:caps w:val="false"/>
                  <w:smallCaps w:val="false"/>
                  <w:sz w:val="20"/>
                </w:rPr>
                <w:t>Item 9B. Other Information</w:t>
              </w:r>
            </w:hyperlink>
          </w:p>
        </w:tc>
        <w:tc>
          <w:tcPr>
            <w:tcW w:w="467" w:type="dxa"/>
            <w:tcBorders/>
            <w:shd w:fill="auto" w:val="clear"/>
            <w:vAlign w:val="center"/>
          </w:tcPr>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125</w:t>
            </w:r>
          </w:p>
        </w:tc>
      </w:tr>
      <w:tr>
        <w:trPr/>
        <w:tc>
          <w:tcPr>
            <w:tcW w:w="784" w:type="dxa"/>
            <w:tcBorders/>
            <w:shd w:fill="auto" w:val="clear"/>
            <w:vAlign w:val="center"/>
          </w:tcPr>
          <w:p>
            <w:pPr>
              <w:pStyle w:val="TableContents"/>
              <w:spacing w:before="0" w:after="30"/>
              <w:ind w:left="0" w:right="0" w:hanging="0"/>
              <w:rPr/>
            </w:pPr>
            <w:hyperlink w:anchor="Part_III">
              <w:r>
                <w:rPr>
                  <w:rStyle w:val="InternetLink"/>
                  <w:rFonts w:ascii="Times New Roman;Times;serif" w:hAnsi="Times New Roman;Times;serif"/>
                  <w:b/>
                  <w:i w:val="false"/>
                  <w:caps w:val="false"/>
                  <w:smallCaps w:val="false"/>
                  <w:sz w:val="20"/>
                </w:rPr>
                <w:t>Part III.</w:t>
              </w:r>
            </w:hyperlink>
          </w:p>
        </w:tc>
        <w:tc>
          <w:tcPr>
            <w:tcW w:w="8954" w:type="dxa"/>
            <w:tcBorders/>
            <w:shd w:fill="auto" w:val="clear"/>
            <w:vAlign w:val="center"/>
          </w:tcPr>
          <w:p>
            <w:pPr>
              <w:pStyle w:val="TableContents"/>
              <w:spacing w:before="0" w:after="30"/>
              <w:ind w:left="0" w:right="0" w:hanging="0"/>
              <w:jc w:val="both"/>
              <w:rPr/>
            </w:pPr>
            <w:r>
              <w:rPr/>
              <w:t>​</w:t>
            </w:r>
          </w:p>
        </w:tc>
        <w:tc>
          <w:tcPr>
            <w:tcW w:w="467" w:type="dxa"/>
            <w:tcBorders/>
            <w:shd w:fill="auto" w:val="clear"/>
            <w:vAlign w:val="center"/>
          </w:tcPr>
          <w:p>
            <w:pPr>
              <w:pStyle w:val="TableContents"/>
              <w:spacing w:before="0" w:after="30"/>
              <w:ind w:left="0" w:right="0" w:hanging="0"/>
              <w:jc w:val="right"/>
              <w:rPr/>
            </w:pPr>
            <w:r>
              <w:rPr/>
              <w:t>​</w:t>
            </w:r>
          </w:p>
        </w:tc>
      </w:tr>
      <w:tr>
        <w:trPr/>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7840" cy="175260"/>
                      <wp:effectExtent l="0" t="0" r="0" b="0"/>
                      <wp:wrapNone/>
                      <wp:docPr id="16" name="Frame16"/>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rPr/>
                            </w:pPr>
                            <w:r>
                              <w:rPr/>
                              <w:t>​</w:t>
                            </w:r>
                          </w:p>
                        </w:txbxContent>
                      </v:textbox>
                    </v:rect>
                  </w:pict>
                </mc:Fallback>
              </mc:AlternateContent>
            </w:r>
          </w:p>
        </w:tc>
        <w:tc>
          <w:tcPr>
            <w:tcW w:w="8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685790" cy="146685"/>
                      <wp:effectExtent l="0" t="0" r="0" b="0"/>
                      <wp:wrapNone/>
                      <wp:docPr id="17" name="Frame17"/>
                      <a:graphic xmlns:a="http://schemas.openxmlformats.org/drawingml/2006/main">
                        <a:graphicData uri="http://schemas.microsoft.com/office/word/2010/wordprocessingShape">
                          <wps:wsp>
                            <wps:cNvSpPr txBox="1"/>
                            <wps:spPr>
                              <a:xfrm>
                                <a:off x="0" y="0"/>
                                <a:ext cx="5685790" cy="146685"/>
                              </a:xfrm>
                              <a:prstGeom prst="rect"/>
                            </wps:spPr>
                            <wps:txbx>
                              <w:txbxContent>
                                <w:p>
                                  <w:pPr>
                                    <w:pStyle w:val="TableContents"/>
                                    <w:spacing w:before="0" w:after="30"/>
                                    <w:ind w:left="0" w:right="0" w:hanging="0"/>
                                    <w:jc w:val="both"/>
                                    <w:rPr/>
                                  </w:pPr>
                                  <w:hyperlink w:anchor="Item10_DirectorsExecutiveOfficersAndCorp">
                                    <w:r>
                                      <w:rPr>
                                        <w:rStyle w:val="InternetLink"/>
                                        <w:rFonts w:ascii="Times New Roman;Times;serif" w:hAnsi="Times New Roman;Times;serif"/>
                                        <w:b w:val="false"/>
                                        <w:i w:val="false"/>
                                        <w:caps w:val="false"/>
                                        <w:smallCaps w:val="false"/>
                                        <w:sz w:val="20"/>
                                      </w:rPr>
                                      <w:t>Item 10. Directors, Executive Officers, and Corporate Governance</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both"/>
                              <w:rPr/>
                            </w:pPr>
                            <w:hyperlink w:anchor="Item10_DirectorsExecutiveOfficersAndCorp">
                              <w:r>
                                <w:rPr>
                                  <w:rStyle w:val="InternetLink"/>
                                  <w:rFonts w:ascii="Times New Roman;Times;serif" w:hAnsi="Times New Roman;Times;serif"/>
                                  <w:b w:val="false"/>
                                  <w:i w:val="false"/>
                                  <w:caps w:val="false"/>
                                  <w:smallCaps w:val="false"/>
                                  <w:sz w:val="20"/>
                                </w:rPr>
                                <w:t>Item 10. Directors, Executive Officers, and Corporate Governance</w:t>
                              </w:r>
                            </w:hyperlink>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96545" cy="146685"/>
                      <wp:effectExtent l="0" t="0" r="0" b="0"/>
                      <wp:wrapNone/>
                      <wp:docPr id="18" name="Frame18"/>
                      <a:graphic xmlns:a="http://schemas.openxmlformats.org/drawingml/2006/main">
                        <a:graphicData uri="http://schemas.microsoft.com/office/word/2010/wordprocessingShape">
                          <wps:wsp>
                            <wps:cNvSpPr txBox="1"/>
                            <wps:spPr>
                              <a:xfrm>
                                <a:off x="0" y="0"/>
                                <a:ext cx="296545" cy="146685"/>
                              </a:xfrm>
                              <a:prstGeom prst="rect"/>
                            </wps:spPr>
                            <wps:txbx>
                              <w:txbxContent>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126</w:t>
                            </w:r>
                          </w:p>
                        </w:txbxContent>
                      </v:textbox>
                    </v:rect>
                  </w:pict>
                </mc:Fallback>
              </mc:AlternateContent>
            </w:r>
          </w:p>
        </w:tc>
      </w:tr>
      <w:tr>
        <w:trPr/>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97840" cy="175260"/>
                      <wp:effectExtent l="0" t="0" r="0" b="0"/>
                      <wp:wrapNone/>
                      <wp:docPr id="19" name="Frame19"/>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rPr/>
                            </w:pPr>
                            <w:r>
                              <w:rPr/>
                              <w:t>​</w:t>
                            </w:r>
                          </w:p>
                        </w:txbxContent>
                      </v:textbox>
                    </v:rect>
                  </w:pict>
                </mc:Fallback>
              </mc:AlternateContent>
            </w:r>
          </w:p>
        </w:tc>
        <w:tc>
          <w:tcPr>
            <w:tcW w:w="8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685790" cy="146685"/>
                      <wp:effectExtent l="0" t="0" r="0" b="0"/>
                      <wp:wrapNone/>
                      <wp:docPr id="20" name="Frame20"/>
                      <a:graphic xmlns:a="http://schemas.openxmlformats.org/drawingml/2006/main">
                        <a:graphicData uri="http://schemas.microsoft.com/office/word/2010/wordprocessingShape">
                          <wps:wsp>
                            <wps:cNvSpPr txBox="1"/>
                            <wps:spPr>
                              <a:xfrm>
                                <a:off x="0" y="0"/>
                                <a:ext cx="5685790" cy="146685"/>
                              </a:xfrm>
                              <a:prstGeom prst="rect"/>
                            </wps:spPr>
                            <wps:txbx>
                              <w:txbxContent>
                                <w:p>
                                  <w:pPr>
                                    <w:pStyle w:val="TableContents"/>
                                    <w:spacing w:before="0" w:after="30"/>
                                    <w:ind w:left="0" w:right="0" w:hanging="0"/>
                                    <w:jc w:val="both"/>
                                    <w:rPr/>
                                  </w:pPr>
                                  <w:hyperlink w:anchor="Item11_ExecutiveCompensation">
                                    <w:r>
                                      <w:rPr>
                                        <w:rStyle w:val="InternetLink"/>
                                        <w:rFonts w:ascii="Times New Roman;Times;serif" w:hAnsi="Times New Roman;Times;serif"/>
                                        <w:b w:val="false"/>
                                        <w:i w:val="false"/>
                                        <w:caps w:val="false"/>
                                        <w:smallCaps w:val="false"/>
                                        <w:sz w:val="20"/>
                                      </w:rPr>
                                      <w:t>Item 11. Executive Compensation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both"/>
                              <w:rPr/>
                            </w:pPr>
                            <w:hyperlink w:anchor="Item11_ExecutiveCompensation">
                              <w:r>
                                <w:rPr>
                                  <w:rStyle w:val="InternetLink"/>
                                  <w:rFonts w:ascii="Times New Roman;Times;serif" w:hAnsi="Times New Roman;Times;serif"/>
                                  <w:b w:val="false"/>
                                  <w:i w:val="false"/>
                                  <w:caps w:val="false"/>
                                  <w:smallCaps w:val="false"/>
                                  <w:sz w:val="20"/>
                                </w:rPr>
                                <w:t>Item 11. Executive Compensation</w:t>
                              </w:r>
                            </w:hyperlink>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96545" cy="146685"/>
                      <wp:effectExtent l="0" t="0" r="0" b="0"/>
                      <wp:wrapNone/>
                      <wp:docPr id="21" name="Frame21"/>
                      <a:graphic xmlns:a="http://schemas.openxmlformats.org/drawingml/2006/main">
                        <a:graphicData uri="http://schemas.microsoft.com/office/word/2010/wordprocessingShape">
                          <wps:wsp>
                            <wps:cNvSpPr txBox="1"/>
                            <wps:spPr>
                              <a:xfrm>
                                <a:off x="0" y="0"/>
                                <a:ext cx="296545" cy="146685"/>
                              </a:xfrm>
                              <a:prstGeom prst="rect"/>
                            </wps:spPr>
                            <wps:txbx>
                              <w:txbxContent>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126</w:t>
                            </w:r>
                          </w:p>
                        </w:txbxContent>
                      </v:textbox>
                    </v:rect>
                  </w:pict>
                </mc:Fallback>
              </mc:AlternateContent>
            </w:r>
          </w:p>
        </w:tc>
      </w:tr>
      <w:tr>
        <w:trPr/>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97840" cy="175260"/>
                      <wp:effectExtent l="0" t="0" r="0" b="0"/>
                      <wp:wrapNone/>
                      <wp:docPr id="22" name="Frame22"/>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rPr/>
                            </w:pPr>
                            <w:r>
                              <w:rPr/>
                              <w:t>​</w:t>
                            </w:r>
                          </w:p>
                        </w:txbxContent>
                      </v:textbox>
                    </v:rect>
                  </w:pict>
                </mc:Fallback>
              </mc:AlternateContent>
            </w:r>
          </w:p>
        </w:tc>
        <w:tc>
          <w:tcPr>
            <w:tcW w:w="8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685790" cy="146685"/>
                      <wp:effectExtent l="0" t="0" r="0" b="0"/>
                      <wp:wrapNone/>
                      <wp:docPr id="23" name="Frame23"/>
                      <a:graphic xmlns:a="http://schemas.openxmlformats.org/drawingml/2006/main">
                        <a:graphicData uri="http://schemas.microsoft.com/office/word/2010/wordprocessingShape">
                          <wps:wsp>
                            <wps:cNvSpPr txBox="1"/>
                            <wps:spPr>
                              <a:xfrm>
                                <a:off x="0" y="0"/>
                                <a:ext cx="5685790" cy="146685"/>
                              </a:xfrm>
                              <a:prstGeom prst="rect"/>
                            </wps:spPr>
                            <wps:txbx>
                              <w:txbxContent>
                                <w:p>
                                  <w:pPr>
                                    <w:pStyle w:val="TableContents"/>
                                    <w:spacing w:before="0" w:after="30"/>
                                    <w:ind w:left="0" w:right="0" w:hanging="0"/>
                                    <w:jc w:val="both"/>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both"/>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96545" cy="160655"/>
                      <wp:effectExtent l="0" t="0" r="0" b="0"/>
                      <wp:wrapNone/>
                      <wp:docPr id="24" name="Frame24"/>
                      <a:graphic xmlns:a="http://schemas.openxmlformats.org/drawingml/2006/main">
                        <a:graphicData uri="http://schemas.microsoft.com/office/word/2010/wordprocessingShape">
                          <wps:wsp>
                            <wps:cNvSpPr txBox="1"/>
                            <wps:spPr>
                              <a:xfrm>
                                <a:off x="0" y="0"/>
                                <a:ext cx="296545" cy="160655"/>
                              </a:xfrm>
                              <a:prstGeom prst="rect"/>
                            </wps:spPr>
                            <wps:txbx>
                              <w:txbxContent>
                                <w:p>
                                  <w:pPr>
                                    <w:pStyle w:val="TableContents"/>
                                    <w:spacing w:before="0" w:after="30"/>
                                    <w:ind w:left="0" w:right="0" w:hanging="0"/>
                                    <w:jc w:val="right"/>
                                    <w:rPr>
                                      <w:rFonts w:ascii="Times New Roman;Times;serif" w:hAnsi="Times New Roman;Times;serif"/>
                                      <w:b/>
                                      <w:sz w:val="22"/>
                                    </w:rPr>
                                  </w:pPr>
                                  <w:r>
                                    <w:rPr>
                                      <w:rFonts w:ascii="Times New Roman;Times;serif" w:hAnsi="Times New Roman;Times;serif"/>
                                      <w:b/>
                                      <w:sz w:val="22"/>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right"/>
                              <w:rPr>
                                <w:rFonts w:ascii="Times New Roman;Times;serif" w:hAnsi="Times New Roman;Times;serif"/>
                                <w:b/>
                                <w:sz w:val="22"/>
                              </w:rPr>
                            </w:pPr>
                            <w:r>
                              <w:rPr>
                                <w:rFonts w:ascii="Times New Roman;Times;serif" w:hAnsi="Times New Roman;Times;serif"/>
                                <w:b/>
                                <w:sz w:val="22"/>
                              </w:rPr>
                              <w:t>126</w:t>
                            </w:r>
                          </w:p>
                        </w:txbxContent>
                      </v:textbox>
                    </v:rect>
                  </w:pict>
                </mc:Fallback>
              </mc:AlternateContent>
            </w:r>
          </w:p>
        </w:tc>
      </w:tr>
      <w:tr>
        <w:trPr/>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7840" cy="175260"/>
                      <wp:effectExtent l="0" t="0" r="0" b="0"/>
                      <wp:wrapNone/>
                      <wp:docPr id="25" name="Frame25"/>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rPr/>
                            </w:pPr>
                            <w:r>
                              <w:rPr/>
                              <w:t>​</w:t>
                            </w:r>
                          </w:p>
                        </w:txbxContent>
                      </v:textbox>
                    </v:rect>
                  </w:pict>
                </mc:Fallback>
              </mc:AlternateContent>
            </w:r>
          </w:p>
        </w:tc>
        <w:tc>
          <w:tcPr>
            <w:tcW w:w="8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685790" cy="146685"/>
                      <wp:effectExtent l="0" t="0" r="0" b="0"/>
                      <wp:wrapNone/>
                      <wp:docPr id="26" name="Frame26"/>
                      <a:graphic xmlns:a="http://schemas.openxmlformats.org/drawingml/2006/main">
                        <a:graphicData uri="http://schemas.microsoft.com/office/word/2010/wordprocessingShape">
                          <wps:wsp>
                            <wps:cNvSpPr txBox="1"/>
                            <wps:spPr>
                              <a:xfrm>
                                <a:off x="0" y="0"/>
                                <a:ext cx="5685790" cy="146685"/>
                              </a:xfrm>
                              <a:prstGeom prst="rect"/>
                            </wps:spPr>
                            <wps:txbx>
                              <w:txbxContent>
                                <w:p>
                                  <w:pPr>
                                    <w:pStyle w:val="TableContents"/>
                                    <w:spacing w:before="0" w:after="30"/>
                                    <w:ind w:left="0" w:right="0" w:hanging="0"/>
                                    <w:jc w:val="both"/>
                                    <w:rPr/>
                                  </w:pPr>
                                  <w:hyperlink w:anchor="Item13_CertainRelationshipsAndRelatedTra">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both"/>
                              <w:rPr/>
                            </w:pPr>
                            <w:hyperlink w:anchor="Item13_CertainRelationshipsAndRelatedTra">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96545" cy="160655"/>
                      <wp:effectExtent l="0" t="0" r="0" b="0"/>
                      <wp:wrapNone/>
                      <wp:docPr id="27" name="Frame27"/>
                      <a:graphic xmlns:a="http://schemas.openxmlformats.org/drawingml/2006/main">
                        <a:graphicData uri="http://schemas.microsoft.com/office/word/2010/wordprocessingShape">
                          <wps:wsp>
                            <wps:cNvSpPr txBox="1"/>
                            <wps:spPr>
                              <a:xfrm>
                                <a:off x="0" y="0"/>
                                <a:ext cx="296545" cy="160655"/>
                              </a:xfrm>
                              <a:prstGeom prst="rect"/>
                            </wps:spPr>
                            <wps:txbx>
                              <w:txbxContent>
                                <w:p>
                                  <w:pPr>
                                    <w:pStyle w:val="TableContents"/>
                                    <w:spacing w:before="0" w:after="30"/>
                                    <w:ind w:left="0" w:right="0" w:hanging="0"/>
                                    <w:jc w:val="right"/>
                                    <w:rPr>
                                      <w:rFonts w:ascii="Times New Roman;Times;serif" w:hAnsi="Times New Roman;Times;serif"/>
                                      <w:b/>
                                      <w:sz w:val="22"/>
                                    </w:rPr>
                                  </w:pPr>
                                  <w:r>
                                    <w:rPr>
                                      <w:rFonts w:ascii="Times New Roman;Times;serif" w:hAnsi="Times New Roman;Times;serif"/>
                                      <w:b/>
                                      <w:sz w:val="22"/>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right"/>
                              <w:rPr>
                                <w:rFonts w:ascii="Times New Roman;Times;serif" w:hAnsi="Times New Roman;Times;serif"/>
                                <w:b/>
                                <w:sz w:val="22"/>
                              </w:rPr>
                            </w:pPr>
                            <w:r>
                              <w:rPr>
                                <w:rFonts w:ascii="Times New Roman;Times;serif" w:hAnsi="Times New Roman;Times;serif"/>
                                <w:b/>
                                <w:sz w:val="22"/>
                              </w:rPr>
                              <w:t>126</w:t>
                            </w:r>
                          </w:p>
                        </w:txbxContent>
                      </v:textbox>
                    </v:rect>
                  </w:pict>
                </mc:Fallback>
              </mc:AlternateContent>
            </w:r>
          </w:p>
        </w:tc>
      </w:tr>
      <w:tr>
        <w:trPr/>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7840" cy="175260"/>
                      <wp:effectExtent l="0" t="0" r="0" b="0"/>
                      <wp:wrapNone/>
                      <wp:docPr id="28" name="Frame28"/>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rPr/>
                            </w:pPr>
                            <w:r>
                              <w:rPr/>
                              <w:t>​</w:t>
                            </w:r>
                          </w:p>
                        </w:txbxContent>
                      </v:textbox>
                    </v:rect>
                  </w:pict>
                </mc:Fallback>
              </mc:AlternateContent>
            </w:r>
          </w:p>
        </w:tc>
        <w:tc>
          <w:tcPr>
            <w:tcW w:w="8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685790" cy="146685"/>
                      <wp:effectExtent l="0" t="0" r="0" b="0"/>
                      <wp:wrapNone/>
                      <wp:docPr id="29" name="Frame29"/>
                      <a:graphic xmlns:a="http://schemas.openxmlformats.org/drawingml/2006/main">
                        <a:graphicData uri="http://schemas.microsoft.com/office/word/2010/wordprocessingShape">
                          <wps:wsp>
                            <wps:cNvSpPr txBox="1"/>
                            <wps:spPr>
                              <a:xfrm>
                                <a:off x="0" y="0"/>
                                <a:ext cx="5685790" cy="146685"/>
                              </a:xfrm>
                              <a:prstGeom prst="rect"/>
                            </wps:spPr>
                            <wps:txbx>
                              <w:txbxContent>
                                <w:p>
                                  <w:pPr>
                                    <w:pStyle w:val="TableContents"/>
                                    <w:spacing w:before="0" w:after="30"/>
                                    <w:ind w:left="0" w:right="0" w:hanging="0"/>
                                    <w:jc w:val="both"/>
                                    <w:rPr/>
                                  </w:pPr>
                                  <w:hyperlink w:anchor="Item14_PrincipalAccountantFeesAndService">
                                    <w:r>
                                      <w:rPr>
                                        <w:rStyle w:val="InternetLink"/>
                                        <w:rFonts w:ascii="Times New Roman;Times;serif" w:hAnsi="Times New Roman;Times;serif"/>
                                        <w:b w:val="false"/>
                                        <w:i w:val="false"/>
                                        <w:caps w:val="false"/>
                                        <w:smallCaps w:val="false"/>
                                        <w:sz w:val="20"/>
                                      </w:rPr>
                                      <w:t>Item 14. Principal Accounting Fees and Services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both"/>
                              <w:rPr/>
                            </w:pPr>
                            <w:hyperlink w:anchor="Item14_PrincipalAccountantFeesAndService">
                              <w:r>
                                <w:rPr>
                                  <w:rStyle w:val="InternetLink"/>
                                  <w:rFonts w:ascii="Times New Roman;Times;serif" w:hAnsi="Times New Roman;Times;serif"/>
                                  <w:b w:val="false"/>
                                  <w:i w:val="false"/>
                                  <w:caps w:val="false"/>
                                  <w:smallCaps w:val="false"/>
                                  <w:sz w:val="20"/>
                                </w:rPr>
                                <w:t>Item 14. Principal Accounting Fees and Services</w:t>
                              </w:r>
                            </w:hyperlink>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96545" cy="160655"/>
                      <wp:effectExtent l="0" t="0" r="0" b="0"/>
                      <wp:wrapNone/>
                      <wp:docPr id="30" name="Frame30"/>
                      <a:graphic xmlns:a="http://schemas.openxmlformats.org/drawingml/2006/main">
                        <a:graphicData uri="http://schemas.microsoft.com/office/word/2010/wordprocessingShape">
                          <wps:wsp>
                            <wps:cNvSpPr txBox="1"/>
                            <wps:spPr>
                              <a:xfrm>
                                <a:off x="0" y="0"/>
                                <a:ext cx="296545" cy="160655"/>
                              </a:xfrm>
                              <a:prstGeom prst="rect"/>
                            </wps:spPr>
                            <wps:txbx>
                              <w:txbxContent>
                                <w:p>
                                  <w:pPr>
                                    <w:pStyle w:val="TableContents"/>
                                    <w:spacing w:before="0" w:after="30"/>
                                    <w:ind w:left="0" w:right="0" w:hanging="0"/>
                                    <w:jc w:val="right"/>
                                    <w:rPr>
                                      <w:rFonts w:ascii="Times New Roman;Times;serif" w:hAnsi="Times New Roman;Times;serif"/>
                                      <w:b/>
                                      <w:sz w:val="22"/>
                                    </w:rPr>
                                  </w:pPr>
                                  <w:r>
                                    <w:rPr>
                                      <w:rFonts w:ascii="Times New Roman;Times;serif" w:hAnsi="Times New Roman;Times;serif"/>
                                      <w:b/>
                                      <w:sz w:val="22"/>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right"/>
                              <w:rPr>
                                <w:rFonts w:ascii="Times New Roman;Times;serif" w:hAnsi="Times New Roman;Times;serif"/>
                                <w:b/>
                                <w:sz w:val="22"/>
                              </w:rPr>
                            </w:pPr>
                            <w:r>
                              <w:rPr>
                                <w:rFonts w:ascii="Times New Roman;Times;serif" w:hAnsi="Times New Roman;Times;serif"/>
                                <w:b/>
                                <w:sz w:val="22"/>
                              </w:rPr>
                              <w:t>126</w:t>
                            </w:r>
                          </w:p>
                        </w:txbxContent>
                      </v:textbox>
                    </v:rect>
                  </w:pict>
                </mc:Fallback>
              </mc:AlternateContent>
            </w:r>
          </w:p>
        </w:tc>
      </w:tr>
      <w:tr>
        <w:trPr/>
        <w:tc>
          <w:tcPr>
            <w:tcW w:w="9738"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183630" cy="146685"/>
                      <wp:effectExtent l="0" t="0" r="0" b="0"/>
                      <wp:wrapNone/>
                      <wp:docPr id="31" name="Frame31"/>
                      <a:graphic xmlns:a="http://schemas.openxmlformats.org/drawingml/2006/main">
                        <a:graphicData uri="http://schemas.microsoft.com/office/word/2010/wordprocessingShape">
                          <wps:wsp>
                            <wps:cNvSpPr txBox="1"/>
                            <wps:spPr>
                              <a:xfrm>
                                <a:off x="0" y="0"/>
                                <a:ext cx="6183630" cy="146685"/>
                              </a:xfrm>
                              <a:prstGeom prst="rect"/>
                            </wps:spPr>
                            <wps:txbx>
                              <w:txbxContent>
                                <w:p>
                                  <w:pPr>
                                    <w:pStyle w:val="TableContents"/>
                                    <w:spacing w:before="0" w:after="30"/>
                                    <w:ind w:left="0" w:right="0" w:hanging="0"/>
                                    <w:rPr/>
                                  </w:pPr>
                                  <w:hyperlink w:anchor="PartIV_260196">
                                    <w:r>
                                      <w:rPr>
                                        <w:rStyle w:val="InternetLink"/>
                                        <w:rFonts w:ascii="Times New Roman;Times;serif" w:hAnsi="Times New Roman;Times;serif"/>
                                        <w:b/>
                                        <w:i w:val="false"/>
                                        <w:caps w:val="false"/>
                                        <w:smallCaps w:val="false"/>
                                        <w:sz w:val="20"/>
                                      </w:rPr>
                                      <w:t>Part IV.</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rPr/>
                            </w:pPr>
                            <w:hyperlink w:anchor="PartIV_260196">
                              <w:r>
                                <w:rPr>
                                  <w:rStyle w:val="InternetLink"/>
                                  <w:rFonts w:ascii="Times New Roman;Times;serif" w:hAnsi="Times New Roman;Times;serif"/>
                                  <w:b/>
                                  <w:i w:val="false"/>
                                  <w:caps w:val="false"/>
                                  <w:smallCaps w:val="false"/>
                                  <w:sz w:val="20"/>
                                </w:rPr>
                                <w:t>Part IV.</w:t>
                              </w:r>
                            </w:hyperlink>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96545" cy="175260"/>
                      <wp:effectExtent l="0" t="0" r="0" b="0"/>
                      <wp:wrapNone/>
                      <wp:docPr id="32" name="Frame32"/>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3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right"/>
                              <w:rPr/>
                            </w:pPr>
                            <w:r>
                              <w:rPr/>
                              <w:t>​</w:t>
                            </w:r>
                          </w:p>
                        </w:txbxContent>
                      </v:textbox>
                    </v:rect>
                  </w:pict>
                </mc:Fallback>
              </mc:AlternateContent>
            </w:r>
          </w:p>
        </w:tc>
      </w:tr>
      <w:tr>
        <w:trPr/>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7840" cy="175260"/>
                      <wp:effectExtent l="0" t="0" r="0" b="0"/>
                      <wp:wrapNone/>
                      <wp:docPr id="33" name="Frame33"/>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rPr/>
                            </w:pPr>
                            <w:r>
                              <w:rPr/>
                              <w:t>​</w:t>
                            </w:r>
                          </w:p>
                        </w:txbxContent>
                      </v:textbox>
                    </v:rect>
                  </w:pict>
                </mc:Fallback>
              </mc:AlternateContent>
            </w:r>
          </w:p>
        </w:tc>
        <w:tc>
          <w:tcPr>
            <w:tcW w:w="8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685790" cy="146685"/>
                      <wp:effectExtent l="0" t="0" r="0" b="0"/>
                      <wp:wrapNone/>
                      <wp:docPr id="34" name="Frame34"/>
                      <a:graphic xmlns:a="http://schemas.openxmlformats.org/drawingml/2006/main">
                        <a:graphicData uri="http://schemas.microsoft.com/office/word/2010/wordprocessingShape">
                          <wps:wsp>
                            <wps:cNvSpPr txBox="1"/>
                            <wps:spPr>
                              <a:xfrm>
                                <a:off x="0" y="0"/>
                                <a:ext cx="5685790" cy="146685"/>
                              </a:xfrm>
                              <a:prstGeom prst="rect"/>
                            </wps:spPr>
                            <wps:txbx>
                              <w:txbxContent>
                                <w:p>
                                  <w:pPr>
                                    <w:pStyle w:val="TableContents"/>
                                    <w:spacing w:before="0" w:after="30"/>
                                    <w:ind w:left="0" w:right="0" w:hanging="0"/>
                                    <w:jc w:val="both"/>
                                    <w:rPr/>
                                  </w:pPr>
                                  <w:hyperlink w:anchor="Item15Exhibits_Financial_Statement">
                                    <w:r>
                                      <w:rPr>
                                        <w:rStyle w:val="InternetLink"/>
                                        <w:rFonts w:ascii="Times New Roman;Times;serif" w:hAnsi="Times New Roman;Times;serif"/>
                                        <w:b w:val="false"/>
                                        <w:i w:val="false"/>
                                        <w:caps w:val="false"/>
                                        <w:smallCaps w:val="false"/>
                                        <w:sz w:val="20"/>
                                      </w:rPr>
                                      <w:t>Item 15. Exhibits and Financial Statement Schedules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both"/>
                              <w:rPr/>
                            </w:pPr>
                            <w:hyperlink w:anchor="Item15Exhibits_Financial_Statement">
                              <w:r>
                                <w:rPr>
                                  <w:rStyle w:val="InternetLink"/>
                                  <w:rFonts w:ascii="Times New Roman;Times;serif" w:hAnsi="Times New Roman;Times;serif"/>
                                  <w:b w:val="false"/>
                                  <w:i w:val="false"/>
                                  <w:caps w:val="false"/>
                                  <w:smallCaps w:val="false"/>
                                  <w:sz w:val="20"/>
                                </w:rPr>
                                <w:t>Item 15. Exhibits and Financial Statement Schedules</w:t>
                              </w:r>
                            </w:hyperlink>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96545" cy="146685"/>
                      <wp:effectExtent l="0" t="0" r="0" b="0"/>
                      <wp:wrapNone/>
                      <wp:docPr id="35" name="Frame35"/>
                      <a:graphic xmlns:a="http://schemas.openxmlformats.org/drawingml/2006/main">
                        <a:graphicData uri="http://schemas.microsoft.com/office/word/2010/wordprocessingShape">
                          <wps:wsp>
                            <wps:cNvSpPr txBox="1"/>
                            <wps:spPr>
                              <a:xfrm>
                                <a:off x="0" y="0"/>
                                <a:ext cx="296545" cy="146685"/>
                              </a:xfrm>
                              <a:prstGeom prst="rect"/>
                            </wps:spPr>
                            <wps:txbx>
                              <w:txbxContent>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30"/>
                              <w:ind w:left="0" w:right="0" w:hanging="0"/>
                              <w:jc w:val="right"/>
                              <w:rPr>
                                <w:rFonts w:ascii="Times New Roman;Times;serif" w:hAnsi="Times New Roman;Times;serif"/>
                                <w:b/>
                                <w:sz w:val="20"/>
                              </w:rPr>
                            </w:pPr>
                            <w:r>
                              <w:rPr>
                                <w:rFonts w:ascii="Times New Roman;Times;serif" w:hAnsi="Times New Roman;Times;serif"/>
                                <w:b/>
                                <w:sz w:val="20"/>
                              </w:rPr>
                              <w:t>127</w:t>
                            </w:r>
                          </w:p>
                        </w:txbxContent>
                      </v:textbox>
                    </v:rect>
                  </w:pict>
                </mc:Fallback>
              </mc:AlternateConten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rPr/>
            </w:pPr>
            <w:r>
              <w:rPr/>
              <w:t>​</w:t>
            </w:r>
          </w:p>
        </w:tc>
        <w:tc>
          <w:tcPr>
            <w:tcW w:w="467" w:type="dxa"/>
            <w:tcBorders/>
            <w:shd w:fill="auto" w:val="clear"/>
            <w:vAlign w:val="center"/>
          </w:tcPr>
          <w:p>
            <w:pPr>
              <w:pStyle w:val="TableContents"/>
              <w:spacing w:before="0" w:after="30"/>
              <w:ind w:left="0" w:right="0" w:hanging="0"/>
              <w:jc w:val="right"/>
              <w:rPr/>
            </w:pPr>
            <w:r>
              <w:rPr/>
              <w:t>​</w: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rPr/>
            </w:pPr>
            <w:r>
              <w:rPr/>
              <w:t>​</w:t>
            </w:r>
          </w:p>
        </w:tc>
        <w:tc>
          <w:tcPr>
            <w:tcW w:w="467" w:type="dxa"/>
            <w:tcBorders/>
            <w:shd w:fill="auto" w:val="clear"/>
            <w:vAlign w:val="center"/>
          </w:tcPr>
          <w:p>
            <w:pPr>
              <w:pStyle w:val="TableContents"/>
              <w:spacing w:before="0" w:after="30"/>
              <w:ind w:left="0" w:right="0" w:hanging="0"/>
              <w:jc w:val="right"/>
              <w:rPr/>
            </w:pPr>
            <w:r>
              <w:rPr/>
              <w:t>​</w: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rPr/>
            </w:pPr>
            <w:r>
              <w:rPr/>
              <w:t>​</w:t>
            </w:r>
          </w:p>
        </w:tc>
        <w:tc>
          <w:tcPr>
            <w:tcW w:w="467" w:type="dxa"/>
            <w:tcBorders/>
            <w:shd w:fill="auto" w:val="clear"/>
            <w:vAlign w:val="center"/>
          </w:tcPr>
          <w:p>
            <w:pPr>
              <w:pStyle w:val="TableContents"/>
              <w:spacing w:before="0" w:after="30"/>
              <w:ind w:left="0" w:right="0" w:hanging="0"/>
              <w:jc w:val="right"/>
              <w:rPr/>
            </w:pPr>
            <w:r>
              <w:rPr/>
              <w:t>​</w: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rPr/>
            </w:pPr>
            <w:r>
              <w:rPr/>
              <w:t>​</w:t>
            </w:r>
          </w:p>
        </w:tc>
        <w:tc>
          <w:tcPr>
            <w:tcW w:w="467" w:type="dxa"/>
            <w:tcBorders/>
            <w:shd w:fill="auto" w:val="clear"/>
            <w:vAlign w:val="center"/>
          </w:tcPr>
          <w:p>
            <w:pPr>
              <w:pStyle w:val="TableContents"/>
              <w:spacing w:before="0" w:after="30"/>
              <w:ind w:left="0" w:right="0" w:hanging="0"/>
              <w:jc w:val="right"/>
              <w:rPr/>
            </w:pPr>
            <w:r>
              <w:rPr/>
              <w:t>​</w:t>
            </w:r>
          </w:p>
        </w:tc>
      </w:tr>
      <w:tr>
        <w:trPr/>
        <w:tc>
          <w:tcPr>
            <w:tcW w:w="784" w:type="dxa"/>
            <w:tcBorders/>
            <w:shd w:fill="auto" w:val="clear"/>
            <w:vAlign w:val="center"/>
          </w:tcPr>
          <w:p>
            <w:pPr>
              <w:pStyle w:val="TableContents"/>
              <w:pBdr/>
              <w:spacing w:before="0" w:after="30"/>
              <w:ind w:left="0" w:right="0" w:hanging="0"/>
              <w:rPr/>
            </w:pPr>
            <w:r>
              <w:rPr/>
              <w:t>​</w:t>
            </w:r>
          </w:p>
        </w:tc>
        <w:tc>
          <w:tcPr>
            <w:tcW w:w="8954" w:type="dxa"/>
            <w:tcBorders/>
            <w:shd w:fill="auto" w:val="clear"/>
            <w:vAlign w:val="center"/>
          </w:tcPr>
          <w:p>
            <w:pPr>
              <w:pStyle w:val="TableContents"/>
              <w:spacing w:before="0" w:after="30"/>
              <w:ind w:left="0" w:right="0" w:hanging="0"/>
              <w:rPr/>
            </w:pPr>
            <w:r>
              <w:rPr/>
              <w:t>​</w:t>
            </w:r>
          </w:p>
        </w:tc>
        <w:tc>
          <w:tcPr>
            <w:tcW w:w="467" w:type="dxa"/>
            <w:tcBorders/>
            <w:shd w:fill="auto" w:val="clear"/>
            <w:vAlign w:val="center"/>
          </w:tcPr>
          <w:p>
            <w:pPr>
              <w:pStyle w:val="TableContents"/>
              <w:spacing w:before="0" w:after="30"/>
              <w:ind w:left="0" w:right="0" w:hanging="0"/>
              <w:jc w:val="right"/>
              <w:rPr/>
            </w:pPr>
            <w:r>
              <w:rPr/>
              <w:t>​</w:t>
            </w:r>
          </w:p>
        </w:tc>
      </w:tr>
      <w:tr>
        <w:trPr/>
        <w:tc>
          <w:tcPr>
            <w:tcW w:w="9738" w:type="dxa"/>
            <w:gridSpan w:val="2"/>
            <w:tcBorders/>
            <w:shd w:fill="auto" w:val="clear"/>
            <w:vAlign w:val="center"/>
          </w:tcPr>
          <w:p>
            <w:pPr>
              <w:pStyle w:val="TableContents"/>
              <w:pBdr/>
              <w:spacing w:before="0" w:after="30"/>
              <w:ind w:left="0" w:right="0" w:hanging="0"/>
              <w:rPr/>
            </w:pPr>
            <w:r>
              <w:rPr/>
              <w:t>​</w:t>
            </w:r>
          </w:p>
        </w:tc>
        <w:tc>
          <w:tcPr>
            <w:tcW w:w="467" w:type="dxa"/>
            <w:tcBorders/>
            <w:shd w:fill="auto" w:val="clear"/>
            <w:vAlign w:val="center"/>
          </w:tcPr>
          <w:p>
            <w:pPr>
              <w:pStyle w:val="TableContents"/>
              <w:spacing w:before="0" w:after="3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3" w:name="_7184f0d6_e954_42e4_b39a_08b843e7f5a7"/>
      <w:bookmarkEnd w:id="23"/>
      <w:r>
        <w:rPr>
          <w:rFonts w:ascii="Times New Roman;Times;serif" w:hAnsi="Times New Roman;Times;serif"/>
          <w:b/>
          <w:sz w:val="20"/>
        </w:rPr>
        <w:t>CAUTIONARY STATEMENT</w:t>
      </w:r>
    </w:p>
    <w:p>
      <w:pPr>
        <w:pStyle w:val="TextBody"/>
        <w:spacing w:before="0" w:after="0"/>
        <w:ind w:left="0" w:right="0" w:hanging="0"/>
        <w:jc w:val="center"/>
        <w:rPr/>
      </w:pPr>
      <w:r>
        <w:rPr/>
        <w:t>​</w:t>
      </w:r>
    </w:p>
    <w:p>
      <w:pPr>
        <w:pStyle w:val="TextBody"/>
        <w:spacing w:lineRule="auto" w:line="292" w:before="16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This document and the information incorporated by reference herein include “forward-looking statements” within the meaning of the “safe harbor” provisions of the </w:t>
      </w:r>
      <w:r>
        <w:rPr>
          <w:rFonts w:ascii="Times New Roman;Times;serif" w:hAnsi="Times New Roman;Times;serif"/>
          <w:color w:val="231F20"/>
          <w:spacing w:val="-7"/>
          <w:sz w:val="20"/>
        </w:rPr>
        <w:t xml:space="preserve">U.S. </w:t>
      </w:r>
      <w:r>
        <w:rPr>
          <w:rFonts w:ascii="Times New Roman;Times;serif" w:hAnsi="Times New Roman;Times;serif"/>
          <w:color w:val="231F20"/>
          <w:sz w:val="20"/>
        </w:rPr>
        <w:t xml:space="preserve">Private Securities Litigation </w:t>
      </w:r>
      <w:r>
        <w:rPr>
          <w:rFonts w:ascii="Times New Roman;Times;serif" w:hAnsi="Times New Roman;Times;serif"/>
          <w:color w:val="231F20"/>
          <w:spacing w:val="-3"/>
          <w:sz w:val="20"/>
        </w:rPr>
        <w:t xml:space="preserve">Reform </w:t>
      </w:r>
      <w:r>
        <w:rPr>
          <w:rFonts w:ascii="Times New Roman;Times;serif" w:hAnsi="Times New Roman;Times;serif"/>
          <w:color w:val="231F20"/>
          <w:sz w:val="20"/>
        </w:rPr>
        <w:t xml:space="preserve">Act of 1995, which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include, but are not limited </w:t>
      </w:r>
      <w:r>
        <w:rPr>
          <w:rFonts w:ascii="Times New Roman;Times;serif" w:hAnsi="Times New Roman;Times;serif"/>
          <w:color w:val="231F20"/>
          <w:spacing w:val="-3"/>
          <w:sz w:val="20"/>
        </w:rPr>
        <w:t xml:space="preserve">to, </w:t>
      </w:r>
      <w:r>
        <w:rPr>
          <w:rFonts w:ascii="Times New Roman;Times;serif" w:hAnsi="Times New Roman;Times;serif"/>
          <w:color w:val="231F20"/>
          <w:sz w:val="20"/>
        </w:rPr>
        <w:t xml:space="preserve">statements regarding our financial outlook, product development, business prospects, and market and industry trends and conditions, as well as the </w:t>
      </w:r>
      <w:r>
        <w:rPr>
          <w:rFonts w:ascii="Times New Roman;Times;serif" w:hAnsi="Times New Roman;Times;serif"/>
          <w:color w:val="231F20"/>
          <w:spacing w:val="-3"/>
          <w:sz w:val="20"/>
        </w:rPr>
        <w:t xml:space="preserve">Company’s </w:t>
      </w:r>
      <w:r>
        <w:rPr>
          <w:rFonts w:ascii="Times New Roman;Times;serif" w:hAnsi="Times New Roman;Times;serif"/>
          <w:color w:val="231F20"/>
          <w:sz w:val="20"/>
        </w:rPr>
        <w:t xml:space="preserve">strategies, plans, objectives, and </w:t>
      </w:r>
      <w:r>
        <w:rPr>
          <w:rFonts w:ascii="Times New Roman;Times;serif" w:hAnsi="Times New Roman;Times;serif"/>
          <w:color w:val="231F20"/>
          <w:spacing w:val="-4"/>
          <w:sz w:val="20"/>
        </w:rPr>
        <w:t xml:space="preserve">goals. </w:t>
      </w:r>
      <w:r>
        <w:rPr>
          <w:rFonts w:ascii="Times New Roman;Times;serif" w:hAnsi="Times New Roman;Times;serif"/>
          <w:color w:val="231F20"/>
          <w:sz w:val="20"/>
        </w:rPr>
        <w:t>These forward-looking statements are based on current beliefs,</w:t>
      </w:r>
      <w:r>
        <w:rPr>
          <w:rFonts w:ascii="Times New Roman;Times;serif" w:hAnsi="Times New Roman;Times;serif"/>
          <w:color w:val="231F20"/>
          <w:spacing w:val="-12"/>
          <w:sz w:val="20"/>
        </w:rPr>
        <w:t xml:space="preserve"> </w:t>
      </w:r>
      <w:r>
        <w:rPr>
          <w:rFonts w:ascii="Times New Roman;Times;serif" w:hAnsi="Times New Roman;Times;serif"/>
          <w:color w:val="231F20"/>
          <w:sz w:val="20"/>
        </w:rPr>
        <w:t>expectations,</w:t>
      </w:r>
      <w:r>
        <w:rPr>
          <w:rFonts w:ascii="Times New Roman;Times;serif" w:hAnsi="Times New Roman;Times;serif"/>
          <w:color w:val="231F20"/>
          <w:spacing w:val="-12"/>
          <w:sz w:val="20"/>
        </w:rPr>
        <w:t xml:space="preserve"> </w:t>
      </w:r>
      <w:r>
        <w:rPr>
          <w:rFonts w:ascii="Times New Roman;Times;serif" w:hAnsi="Times New Roman;Times;serif"/>
          <w:color w:val="231F20"/>
          <w:sz w:val="20"/>
        </w:rPr>
        <w:t>estimates,</w:t>
      </w:r>
      <w:r>
        <w:rPr>
          <w:rFonts w:ascii="Times New Roman;Times;serif" w:hAnsi="Times New Roman;Times;serif"/>
          <w:color w:val="231F20"/>
          <w:spacing w:val="-12"/>
          <w:sz w:val="20"/>
        </w:rPr>
        <w:t xml:space="preserve"> </w:t>
      </w:r>
      <w:r>
        <w:rPr>
          <w:rFonts w:ascii="Times New Roman;Times;serif" w:hAnsi="Times New Roman;Times;serif"/>
          <w:color w:val="231F20"/>
          <w:spacing w:val="-3"/>
          <w:sz w:val="20"/>
        </w:rPr>
        <w:t>forecasts,</w:t>
      </w:r>
      <w:r>
        <w:rPr>
          <w:rFonts w:ascii="Times New Roman;Times;serif" w:hAnsi="Times New Roman;Times;serif"/>
          <w:color w:val="231F20"/>
          <w:spacing w:val="-1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2"/>
          <w:sz w:val="20"/>
        </w:rPr>
        <w:t xml:space="preserve"> </w:t>
      </w:r>
      <w:r>
        <w:rPr>
          <w:rFonts w:ascii="Times New Roman;Times;serif" w:hAnsi="Times New Roman;Times;serif"/>
          <w:color w:val="231F20"/>
          <w:sz w:val="20"/>
        </w:rPr>
        <w:t>projections</w:t>
      </w:r>
      <w:r>
        <w:rPr>
          <w:rFonts w:ascii="Times New Roman;Times;serif" w:hAnsi="Times New Roman;Times;serif"/>
          <w:color w:val="231F20"/>
          <w:spacing w:val="-12"/>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as</w:t>
      </w:r>
      <w:r>
        <w:rPr>
          <w:rFonts w:ascii="Times New Roman;Times;serif" w:hAnsi="Times New Roman;Times;serif"/>
          <w:color w:val="231F20"/>
          <w:spacing w:val="-12"/>
          <w:sz w:val="20"/>
        </w:rPr>
        <w:t xml:space="preserve"> </w:t>
      </w:r>
      <w:r>
        <w:rPr>
          <w:rFonts w:ascii="Times New Roman;Times;serif" w:hAnsi="Times New Roman;Times;serif"/>
          <w:color w:val="231F20"/>
          <w:sz w:val="20"/>
        </w:rPr>
        <w:t>well</w:t>
      </w:r>
      <w:r>
        <w:rPr>
          <w:rFonts w:ascii="Times New Roman;Times;serif" w:hAnsi="Times New Roman;Times;serif"/>
          <w:color w:val="231F20"/>
          <w:spacing w:val="-12"/>
          <w:sz w:val="20"/>
        </w:rPr>
        <w:t xml:space="preserve"> </w:t>
      </w:r>
      <w:r>
        <w:rPr>
          <w:rFonts w:ascii="Times New Roman;Times;serif" w:hAnsi="Times New Roman;Times;serif"/>
          <w:color w:val="231F20"/>
          <w:sz w:val="20"/>
        </w:rPr>
        <w:t>as</w:t>
      </w:r>
      <w:r>
        <w:rPr>
          <w:rFonts w:ascii="Times New Roman;Times;serif" w:hAnsi="Times New Roman;Times;serif"/>
          <w:color w:val="231F20"/>
          <w:spacing w:val="-12"/>
          <w:sz w:val="20"/>
        </w:rPr>
        <w:t xml:space="preserve"> </w:t>
      </w:r>
      <w:r>
        <w:rPr>
          <w:rFonts w:ascii="Times New Roman;Times;serif" w:hAnsi="Times New Roman;Times;serif"/>
          <w:color w:val="231F20"/>
          <w:sz w:val="20"/>
        </w:rPr>
        <w:t>assumptions</w:t>
      </w:r>
      <w:r>
        <w:rPr>
          <w:rFonts w:ascii="Times New Roman;Times;serif" w:hAnsi="Times New Roman;Times;serif"/>
          <w:color w:val="231F20"/>
          <w:spacing w:val="-11"/>
          <w:sz w:val="20"/>
        </w:rPr>
        <w:t xml:space="preserve"> </w:t>
      </w:r>
      <w:r>
        <w:rPr>
          <w:rFonts w:ascii="Times New Roman;Times;serif" w:hAnsi="Times New Roman;Times;serif"/>
          <w:color w:val="231F20"/>
          <w:sz w:val="20"/>
        </w:rPr>
        <w:t>made</w:t>
      </w:r>
      <w:r>
        <w:rPr>
          <w:rFonts w:ascii="Times New Roman;Times;serif" w:hAnsi="Times New Roman;Times;serif"/>
          <w:color w:val="231F20"/>
          <w:spacing w:val="-12"/>
          <w:sz w:val="20"/>
        </w:rPr>
        <w:t xml:space="preserve"> </w:t>
      </w:r>
      <w:r>
        <w:rPr>
          <w:rFonts w:ascii="Times New Roman;Times;serif" w:hAnsi="Times New Roman;Times;serif"/>
          <w:color w:val="231F20"/>
          <w:spacing w:val="-8"/>
          <w:sz w:val="20"/>
        </w:rPr>
        <w:t>by,</w:t>
      </w:r>
      <w:r>
        <w:rPr>
          <w:rFonts w:ascii="Times New Roman;Times;serif" w:hAnsi="Times New Roman;Times;serif"/>
          <w:color w:val="231F20"/>
          <w:spacing w:val="-1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2"/>
          <w:sz w:val="20"/>
        </w:rPr>
        <w:t xml:space="preserve"> </w:t>
      </w:r>
      <w:r>
        <w:rPr>
          <w:rFonts w:ascii="Times New Roman;Times;serif" w:hAnsi="Times New Roman;Times;serif"/>
          <w:color w:val="231F20"/>
          <w:sz w:val="20"/>
        </w:rPr>
        <w:t xml:space="preserve">information currently </w:t>
      </w:r>
      <w:r>
        <w:rPr>
          <w:rFonts w:ascii="Times New Roman;Times;serif" w:hAnsi="Times New Roman;Times;serif"/>
          <w:color w:val="231F20"/>
          <w:spacing w:val="-4"/>
          <w:sz w:val="20"/>
        </w:rPr>
        <w:t xml:space="preserve">available </w:t>
      </w:r>
      <w:r>
        <w:rPr>
          <w:rFonts w:ascii="Times New Roman;Times;serif" w:hAnsi="Times New Roman;Times;serif"/>
          <w:color w:val="231F20"/>
          <w:spacing w:val="-3"/>
          <w:sz w:val="20"/>
        </w:rPr>
        <w:t xml:space="preserve">to, </w:t>
      </w:r>
      <w:r>
        <w:rPr>
          <w:rFonts w:ascii="Times New Roman;Times;serif" w:hAnsi="Times New Roman;Times;serif"/>
          <w:color w:val="231F20"/>
          <w:sz w:val="20"/>
        </w:rPr>
        <w:t xml:space="preserve">the </w:t>
      </w:r>
      <w:r>
        <w:rPr>
          <w:rFonts w:ascii="Times New Roman;Times;serif" w:hAnsi="Times New Roman;Times;serif"/>
          <w:color w:val="231F20"/>
          <w:spacing w:val="-3"/>
          <w:sz w:val="20"/>
        </w:rPr>
        <w:t xml:space="preserve">Company’s </w:t>
      </w:r>
      <w:r>
        <w:rPr>
          <w:rFonts w:ascii="Times New Roman;Times;serif" w:hAnsi="Times New Roman;Times;serif"/>
          <w:color w:val="231F20"/>
          <w:sz w:val="20"/>
        </w:rPr>
        <w:t xml:space="preserve">management. </w:t>
      </w:r>
      <w:r>
        <w:rPr>
          <w:rFonts w:ascii="Times New Roman;Times;serif" w:hAnsi="Times New Roman;Times;serif"/>
          <w:color w:val="231F20"/>
          <w:spacing w:val="-5"/>
          <w:sz w:val="20"/>
        </w:rPr>
        <w:t xml:space="preserve">Words </w:t>
      </w:r>
      <w:r>
        <w:rPr>
          <w:rFonts w:ascii="Times New Roman;Times;serif" w:hAnsi="Times New Roman;Times;serif"/>
          <w:color w:val="231F20"/>
          <w:sz w:val="20"/>
        </w:rPr>
        <w:t xml:space="preserve">such as “expect,” </w:t>
      </w:r>
      <w:r>
        <w:rPr>
          <w:rFonts w:ascii="Times New Roman;Times;serif" w:hAnsi="Times New Roman;Times;serif"/>
          <w:color w:val="231F20"/>
          <w:spacing w:val="-3"/>
          <w:sz w:val="20"/>
        </w:rPr>
        <w:t xml:space="preserve">“anticipate,” </w:t>
      </w:r>
      <w:r>
        <w:rPr>
          <w:rFonts w:ascii="Times New Roman;Times;serif" w:hAnsi="Times New Roman;Times;serif"/>
          <w:color w:val="231F20"/>
          <w:sz w:val="20"/>
        </w:rPr>
        <w:t xml:space="preserve">“should,” </w:t>
      </w:r>
      <w:r>
        <w:rPr>
          <w:rFonts w:ascii="Times New Roman;Times;serif" w:hAnsi="Times New Roman;Times;serif"/>
          <w:color w:val="231F20"/>
          <w:spacing w:val="-3"/>
          <w:sz w:val="20"/>
        </w:rPr>
        <w:t xml:space="preserve">“believe,” “hope,” </w:t>
      </w:r>
      <w:r>
        <w:rPr>
          <w:rFonts w:ascii="Times New Roman;Times;serif" w:hAnsi="Times New Roman;Times;serif"/>
          <w:color w:val="231F20"/>
          <w:sz w:val="20"/>
        </w:rPr>
        <w:t xml:space="preserve">“target,” “project,” </w:t>
      </w:r>
      <w:r>
        <w:rPr>
          <w:rFonts w:ascii="Times New Roman;Times;serif" w:hAnsi="Times New Roman;Times;serif"/>
          <w:color w:val="231F20"/>
          <w:spacing w:val="-4"/>
          <w:sz w:val="20"/>
        </w:rPr>
        <w:t xml:space="preserve">“goals,” </w:t>
      </w:r>
      <w:r>
        <w:rPr>
          <w:rFonts w:ascii="Times New Roman;Times;serif" w:hAnsi="Times New Roman;Times;serif"/>
          <w:color w:val="231F20"/>
          <w:spacing w:val="-3"/>
          <w:sz w:val="20"/>
        </w:rPr>
        <w:t xml:space="preserve">“estimate,” </w:t>
      </w:r>
      <w:r>
        <w:rPr>
          <w:rFonts w:ascii="Times New Roman;Times;serif" w:hAnsi="Times New Roman;Times;serif"/>
          <w:color w:val="231F20"/>
          <w:sz w:val="20"/>
        </w:rPr>
        <w:t xml:space="preserve">“potential,” “predict,” </w:t>
      </w:r>
      <w:r>
        <w:rPr>
          <w:rFonts w:ascii="Times New Roman;Times;serif" w:hAnsi="Times New Roman;Times;serif"/>
          <w:color w:val="231F20"/>
          <w:spacing w:val="-7"/>
          <w:sz w:val="20"/>
        </w:rPr>
        <w:t xml:space="preserve">“may,” </w:t>
      </w:r>
      <w:r>
        <w:rPr>
          <w:rFonts w:ascii="Times New Roman;Times;serif" w:hAnsi="Times New Roman;Times;serif"/>
          <w:color w:val="231F20"/>
          <w:sz w:val="20"/>
        </w:rPr>
        <w:t xml:space="preserve">“will,” “might,” “could,” </w:t>
      </w:r>
      <w:r>
        <w:rPr>
          <w:rFonts w:ascii="Times New Roman;Times;serif" w:hAnsi="Times New Roman;Times;serif"/>
          <w:color w:val="231F20"/>
          <w:spacing w:val="-3"/>
          <w:sz w:val="20"/>
        </w:rPr>
        <w:t xml:space="preserve">“would,” </w:t>
      </w:r>
      <w:r>
        <w:rPr>
          <w:rFonts w:ascii="Times New Roman;Times;serif" w:hAnsi="Times New Roman;Times;serif"/>
          <w:color w:val="231F20"/>
          <w:sz w:val="20"/>
        </w:rPr>
        <w:t xml:space="preserve">“seek,” “plan,” “intend,” </w:t>
      </w:r>
      <w:r>
        <w:rPr>
          <w:rFonts w:ascii="Times New Roman;Times;serif" w:hAnsi="Times New Roman;Times;serif"/>
          <w:color w:val="231F20"/>
          <w:spacing w:val="-3"/>
          <w:sz w:val="20"/>
        </w:rPr>
        <w:t xml:space="preserve">“shall,” </w:t>
      </w:r>
      <w:r>
        <w:rPr>
          <w:rFonts w:ascii="Times New Roman;Times;serif" w:hAnsi="Times New Roman;Times;serif"/>
          <w:color w:val="231F20"/>
          <w:sz w:val="20"/>
        </w:rPr>
        <w:t xml:space="preserve">and variations of these terms or the negative of these terms and similar expressions are intended to identify these forward-looking statements. These forward- looking statements </w:t>
      </w:r>
      <w:r>
        <w:rPr>
          <w:rFonts w:ascii="Times New Roman;Times;serif" w:hAnsi="Times New Roman;Times;serif"/>
          <w:color w:val="231F20"/>
          <w:spacing w:val="-4"/>
          <w:sz w:val="20"/>
        </w:rPr>
        <w:t xml:space="preserve">are, </w:t>
      </w:r>
      <w:r>
        <w:rPr>
          <w:rFonts w:ascii="Times New Roman;Times;serif" w:hAnsi="Times New Roman;Times;serif"/>
          <w:color w:val="231F20"/>
          <w:sz w:val="20"/>
        </w:rPr>
        <w:t xml:space="preserve">by their </w:t>
      </w:r>
      <w:r>
        <w:rPr>
          <w:rFonts w:ascii="Times New Roman;Times;serif" w:hAnsi="Times New Roman;Times;serif"/>
          <w:color w:val="231F20"/>
          <w:spacing w:val="-3"/>
          <w:sz w:val="20"/>
        </w:rPr>
        <w:t xml:space="preserve">nature, </w:t>
      </w:r>
      <w:r>
        <w:rPr>
          <w:rFonts w:ascii="Times New Roman;Times;serif" w:hAnsi="Times New Roman;Times;serif"/>
          <w:color w:val="231F20"/>
          <w:sz w:val="20"/>
        </w:rPr>
        <w:t xml:space="preserve">subject to significant risks and uncertainties, many of which </w:t>
      </w:r>
      <w:r>
        <w:rPr>
          <w:rFonts w:ascii="Times New Roman;Times;serif" w:hAnsi="Times New Roman;Times;serif"/>
          <w:color w:val="231F20"/>
          <w:spacing w:val="-3"/>
          <w:sz w:val="20"/>
        </w:rPr>
        <w:t xml:space="preserve">involve </w:t>
      </w:r>
      <w:r>
        <w:rPr>
          <w:rFonts w:ascii="Times New Roman;Times;serif" w:hAnsi="Times New Roman;Times;serif"/>
          <w:color w:val="231F20"/>
          <w:sz w:val="20"/>
        </w:rPr>
        <w:t xml:space="preserve">factors or circumstances that are beyond the </w:t>
      </w:r>
      <w:r>
        <w:rPr>
          <w:rFonts w:ascii="Times New Roman;Times;serif" w:hAnsi="Times New Roman;Times;serif"/>
          <w:color w:val="231F20"/>
          <w:spacing w:val="-3"/>
          <w:sz w:val="20"/>
        </w:rPr>
        <w:t xml:space="preserve">Company’s </w:t>
      </w:r>
      <w:r>
        <w:rPr>
          <w:rFonts w:ascii="Times New Roman;Times;serif" w:hAnsi="Times New Roman;Times;serif"/>
          <w:color w:val="231F20"/>
          <w:sz w:val="20"/>
        </w:rPr>
        <w:t>control. These risks and uncertainties</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include, but are not limited </w:t>
      </w:r>
      <w:r>
        <w:rPr>
          <w:rFonts w:ascii="Times New Roman;Times;serif" w:hAnsi="Times New Roman;Times;serif"/>
          <w:color w:val="231F20"/>
          <w:spacing w:val="-3"/>
          <w:sz w:val="20"/>
        </w:rPr>
        <w:t xml:space="preserve">to, </w:t>
      </w:r>
      <w:r>
        <w:rPr>
          <w:rFonts w:ascii="Times New Roman;Times;serif" w:hAnsi="Times New Roman;Times;serif"/>
          <w:color w:val="231F20"/>
          <w:sz w:val="20"/>
        </w:rPr>
        <w:t xml:space="preserve">our </w:t>
      </w:r>
      <w:r>
        <w:rPr>
          <w:rFonts w:ascii="Times New Roman;Times;serif" w:hAnsi="Times New Roman;Times;serif"/>
          <w:color w:val="231F20"/>
          <w:spacing w:val="-3"/>
          <w:sz w:val="20"/>
        </w:rPr>
        <w:t xml:space="preserve">relatively </w:t>
      </w:r>
      <w:r>
        <w:rPr>
          <w:rFonts w:ascii="Times New Roman;Times;serif" w:hAnsi="Times New Roman;Times;serif"/>
          <w:color w:val="231F20"/>
          <w:sz w:val="20"/>
        </w:rPr>
        <w:t xml:space="preserve">limited operating history; our ability to expand, retain and motivate our employees and manage our growth; risks associated with general industry conditions and competition; general economic factors, including interest rate and currency exchange rate fluctuations; the impact of the global outbreak of the </w:t>
      </w:r>
      <w:r>
        <w:rPr>
          <w:rFonts w:ascii="Times New Roman;Times;serif" w:hAnsi="Times New Roman;Times;serif"/>
          <w:color w:val="231F20"/>
          <w:spacing w:val="-3"/>
          <w:sz w:val="20"/>
        </w:rPr>
        <w:t xml:space="preserve">novel </w:t>
      </w:r>
      <w:r>
        <w:rPr>
          <w:rFonts w:ascii="Times New Roman;Times;serif" w:hAnsi="Times New Roman;Times;serif"/>
          <w:color w:val="231F20"/>
          <w:sz w:val="20"/>
        </w:rPr>
        <w:t xml:space="preserve">coronavirus disease (“COVID-19”); the impact of pharmaceutical industry regulation and health care legislation in the United States and internationally; global trends </w:t>
      </w:r>
      <w:r>
        <w:rPr>
          <w:rFonts w:ascii="Times New Roman;Times;serif" w:hAnsi="Times New Roman;Times;serif"/>
          <w:color w:val="231F20"/>
          <w:spacing w:val="-3"/>
          <w:sz w:val="20"/>
        </w:rPr>
        <w:t xml:space="preserve">toward </w:t>
      </w:r>
      <w:r>
        <w:rPr>
          <w:rFonts w:ascii="Times New Roman;Times;serif" w:hAnsi="Times New Roman;Times;serif"/>
          <w:color w:val="231F20"/>
          <w:sz w:val="20"/>
        </w:rPr>
        <w:t xml:space="preserve">health care cost containment; technological </w:t>
      </w:r>
      <w:r>
        <w:rPr>
          <w:rFonts w:ascii="Times New Roman;Times;serif" w:hAnsi="Times New Roman;Times;serif"/>
          <w:color w:val="231F20"/>
          <w:spacing w:val="-3"/>
          <w:sz w:val="20"/>
        </w:rPr>
        <w:t xml:space="preserve">advances, </w:t>
      </w:r>
      <w:r>
        <w:rPr>
          <w:rFonts w:ascii="Times New Roman;Times;serif" w:hAnsi="Times New Roman;Times;serif"/>
          <w:color w:val="231F20"/>
          <w:sz w:val="20"/>
        </w:rPr>
        <w:t>new products and patents attained by competitors;</w:t>
      </w:r>
      <w:r>
        <w:rPr>
          <w:rFonts w:ascii="Times New Roman;Times;serif" w:hAnsi="Times New Roman;Times;serif"/>
          <w:color w:val="231F20"/>
          <w:spacing w:val="-33"/>
          <w:sz w:val="20"/>
        </w:rPr>
        <w:t xml:space="preserve"> </w:t>
      </w:r>
      <w:r>
        <w:rPr>
          <w:rFonts w:ascii="Times New Roman;Times;serif" w:hAnsi="Times New Roman;Times;serif"/>
          <w:color w:val="231F20"/>
          <w:sz w:val="20"/>
        </w:rPr>
        <w:t xml:space="preserve">challenges inherent in new product development, including obtaining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the </w:t>
      </w:r>
      <w:r>
        <w:rPr>
          <w:rFonts w:ascii="Times New Roman;Times;serif" w:hAnsi="Times New Roman;Times;serif"/>
          <w:color w:val="231F20"/>
          <w:spacing w:val="-3"/>
          <w:sz w:val="20"/>
        </w:rPr>
        <w:t xml:space="preserve">Company’s </w:t>
      </w:r>
      <w:r>
        <w:rPr>
          <w:rFonts w:ascii="Times New Roman;Times;serif" w:hAnsi="Times New Roman;Times;serif"/>
          <w:color w:val="231F20"/>
          <w:sz w:val="20"/>
        </w:rPr>
        <w:t xml:space="preserve">ability to accurately predict future market conditions; manufacturing difficulties or delays; changes in </w:t>
      </w:r>
      <w:r>
        <w:rPr>
          <w:rFonts w:ascii="Times New Roman;Times;serif" w:hAnsi="Times New Roman;Times;serif"/>
          <w:color w:val="231F20"/>
          <w:spacing w:val="-5"/>
          <w:sz w:val="20"/>
        </w:rPr>
        <w:t xml:space="preserve">laws, </w:t>
      </w:r>
      <w:r>
        <w:rPr>
          <w:rFonts w:ascii="Times New Roman;Times;serif" w:hAnsi="Times New Roman;Times;serif"/>
          <w:color w:val="231F20"/>
          <w:sz w:val="20"/>
        </w:rPr>
        <w:t xml:space="preserve">rules or regulations relating to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aspect of the </w:t>
      </w:r>
      <w:r>
        <w:rPr>
          <w:rFonts w:ascii="Times New Roman;Times;serif" w:hAnsi="Times New Roman;Times;serif"/>
          <w:color w:val="231F20"/>
          <w:spacing w:val="-3"/>
          <w:sz w:val="20"/>
        </w:rPr>
        <w:t xml:space="preserve">Company’s </w:t>
      </w:r>
      <w:r>
        <w:rPr>
          <w:rFonts w:ascii="Times New Roman;Times;serif" w:hAnsi="Times New Roman;Times;serif"/>
          <w:color w:val="231F20"/>
          <w:sz w:val="20"/>
        </w:rPr>
        <w:t xml:space="preserve">business operations, or general economic, market and business conditions; financial instability of international economies and sovereign risk; dependence on the effectiveness of the </w:t>
      </w:r>
      <w:r>
        <w:rPr>
          <w:rFonts w:ascii="Times New Roman;Times;serif" w:hAnsi="Times New Roman;Times;serif"/>
          <w:color w:val="231F20"/>
          <w:spacing w:val="-3"/>
          <w:sz w:val="20"/>
        </w:rPr>
        <w:t xml:space="preserve">Company’s </w:t>
      </w:r>
      <w:r>
        <w:rPr>
          <w:rFonts w:ascii="Times New Roman;Times;serif" w:hAnsi="Times New Roman;Times;serif"/>
          <w:color w:val="231F20"/>
          <w:sz w:val="20"/>
        </w:rPr>
        <w:t xml:space="preserve">patents and other protections </w:t>
      </w:r>
      <w:r>
        <w:rPr>
          <w:rFonts w:ascii="Times New Roman;Times;serif" w:hAnsi="Times New Roman;Times;serif"/>
          <w:color w:val="231F20"/>
          <w:spacing w:val="-3"/>
          <w:sz w:val="20"/>
        </w:rPr>
        <w:t xml:space="preserve">for innovative </w:t>
      </w:r>
      <w:r>
        <w:rPr>
          <w:rFonts w:ascii="Times New Roman;Times;serif" w:hAnsi="Times New Roman;Times;serif"/>
          <w:color w:val="231F20"/>
          <w:sz w:val="20"/>
        </w:rPr>
        <w:t>products; and the exposure to litigation,</w:t>
      </w:r>
      <w:r>
        <w:rPr>
          <w:rFonts w:ascii="Times New Roman;Times;serif" w:hAnsi="Times New Roman;Times;serif"/>
          <w:color w:val="231F20"/>
          <w:spacing w:val="-5"/>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5"/>
          <w:sz w:val="20"/>
        </w:rPr>
        <w:t xml:space="preserve"> </w:t>
      </w:r>
      <w:r>
        <w:rPr>
          <w:rFonts w:ascii="Times New Roman;Times;serif" w:hAnsi="Times New Roman;Times;serif"/>
          <w:color w:val="231F20"/>
          <w:sz w:val="20"/>
        </w:rPr>
        <w:t>patent</w:t>
      </w:r>
      <w:r>
        <w:rPr>
          <w:rFonts w:ascii="Times New Roman;Times;serif" w:hAnsi="Times New Roman;Times;serif"/>
          <w:color w:val="231F20"/>
          <w:spacing w:val="-4"/>
          <w:sz w:val="20"/>
        </w:rPr>
        <w:t xml:space="preserve"> </w:t>
      </w:r>
      <w:r>
        <w:rPr>
          <w:rFonts w:ascii="Times New Roman;Times;serif" w:hAnsi="Times New Roman;Times;serif"/>
          <w:color w:val="231F20"/>
          <w:sz w:val="20"/>
        </w:rPr>
        <w:t>litigation,</w:t>
      </w:r>
      <w:r>
        <w:rPr>
          <w:rFonts w:ascii="Times New Roman;Times;serif" w:hAnsi="Times New Roman;Times;serif"/>
          <w:color w:val="231F20"/>
          <w:spacing w:val="-5"/>
          <w:sz w:val="20"/>
        </w:rPr>
        <w:t xml:space="preserve"> </w:t>
      </w:r>
      <w:r>
        <w:rPr>
          <w:rFonts w:ascii="Times New Roman;Times;serif" w:hAnsi="Times New Roman;Times;serif"/>
          <w:color w:val="231F20"/>
          <w:sz w:val="20"/>
        </w:rPr>
        <w:t>and/or</w:t>
      </w:r>
      <w:r>
        <w:rPr>
          <w:rFonts w:ascii="Times New Roman;Times;serif" w:hAnsi="Times New Roman;Times;serif"/>
          <w:color w:val="231F20"/>
          <w:spacing w:val="-5"/>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4"/>
          <w:sz w:val="20"/>
        </w:rPr>
        <w:t xml:space="preserve"> </w:t>
      </w:r>
      <w:r>
        <w:rPr>
          <w:rFonts w:ascii="Times New Roman;Times;serif" w:hAnsi="Times New Roman;Times;serif"/>
          <w:color w:val="231F20"/>
          <w:sz w:val="20"/>
        </w:rPr>
        <w:t>actions.</w:t>
      </w:r>
      <w:r>
        <w:rPr>
          <w:rFonts w:ascii="Times New Roman;Times;serif" w:hAnsi="Times New Roman;Times;serif"/>
          <w:color w:val="231F20"/>
          <w:spacing w:val="-5"/>
          <w:sz w:val="20"/>
        </w:rPr>
        <w:t xml:space="preserve"> </w:t>
      </w:r>
      <w:r>
        <w:rPr>
          <w:rFonts w:ascii="Times New Roman;Times;serif" w:hAnsi="Times New Roman;Times;serif"/>
          <w:color w:val="231F20"/>
          <w:sz w:val="20"/>
        </w:rPr>
        <w:t>Furthermore,</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there</w:t>
      </w:r>
      <w:r>
        <w:rPr>
          <w:rFonts w:ascii="Times New Roman;Times;serif" w:hAnsi="Times New Roman;Times;serif"/>
          <w:color w:val="231F20"/>
          <w:spacing w:val="-5"/>
          <w:sz w:val="20"/>
        </w:rPr>
        <w:t xml:space="preserve"> </w:t>
      </w:r>
      <w:r>
        <w:rPr>
          <w:rFonts w:ascii="Times New Roman;Times;serif" w:hAnsi="Times New Roman;Times;serif"/>
          <w:color w:val="231F20"/>
          <w:sz w:val="20"/>
        </w:rPr>
        <w:t>can</w:t>
      </w:r>
      <w:r>
        <w:rPr>
          <w:rFonts w:ascii="Times New Roman;Times;serif" w:hAnsi="Times New Roman;Times;serif"/>
          <w:color w:val="231F20"/>
          <w:spacing w:val="-5"/>
          <w:sz w:val="20"/>
        </w:rPr>
        <w:t xml:space="preserve"> </w:t>
      </w:r>
      <w:r>
        <w:rPr>
          <w:rFonts w:ascii="Times New Roman;Times;serif" w:hAnsi="Times New Roman;Times;serif"/>
          <w:color w:val="231F20"/>
          <w:sz w:val="20"/>
        </w:rPr>
        <w:t>be</w:t>
      </w:r>
      <w:r>
        <w:rPr>
          <w:rFonts w:ascii="Times New Roman;Times;serif" w:hAnsi="Times New Roman;Times;serif"/>
          <w:color w:val="231F20"/>
          <w:spacing w:val="-4"/>
          <w:sz w:val="20"/>
        </w:rPr>
        <w:t xml:space="preserve"> </w:t>
      </w:r>
      <w:r>
        <w:rPr>
          <w:rFonts w:ascii="Times New Roman;Times;serif" w:hAnsi="Times New Roman;Times;serif"/>
          <w:color w:val="231F20"/>
          <w:sz w:val="20"/>
        </w:rPr>
        <w:t>no</w:t>
      </w:r>
      <w:r>
        <w:rPr>
          <w:rFonts w:ascii="Times New Roman;Times;serif" w:hAnsi="Times New Roman;Times;serif"/>
          <w:color w:val="231F20"/>
          <w:spacing w:val="-5"/>
          <w:sz w:val="20"/>
        </w:rPr>
        <w:t xml:space="preserve"> </w:t>
      </w:r>
      <w:r>
        <w:rPr>
          <w:rFonts w:ascii="Times New Roman;Times;serif" w:hAnsi="Times New Roman;Times;serif"/>
          <w:color w:val="231F20"/>
          <w:sz w:val="20"/>
        </w:rPr>
        <w:t>guarantees</w:t>
      </w:r>
      <w:r>
        <w:rPr>
          <w:rFonts w:ascii="Times New Roman;Times;serif" w:hAnsi="Times New Roman;Times;serif"/>
          <w:color w:val="231F20"/>
          <w:spacing w:val="-4"/>
          <w:sz w:val="20"/>
        </w:rPr>
        <w:t xml:space="preserve"> </w:t>
      </w:r>
      <w:r>
        <w:rPr>
          <w:rFonts w:ascii="Times New Roman;Times;serif" w:hAnsi="Times New Roman;Times;serif"/>
          <w:color w:val="231F20"/>
          <w:sz w:val="20"/>
        </w:rPr>
        <w:t xml:space="preserve">with respect to pipeline products that the products will receive the necessary regulatory </w:t>
      </w:r>
      <w:r>
        <w:rPr>
          <w:rFonts w:ascii="Times New Roman;Times;serif" w:hAnsi="Times New Roman;Times;serif"/>
          <w:color w:val="231F20"/>
          <w:spacing w:val="-4"/>
          <w:sz w:val="20"/>
        </w:rPr>
        <w:t xml:space="preserve">approvals </w:t>
      </w:r>
      <w:r>
        <w:rPr>
          <w:rFonts w:ascii="Times New Roman;Times;serif" w:hAnsi="Times New Roman;Times;serif"/>
          <w:color w:val="231F20"/>
          <w:sz w:val="20"/>
        </w:rPr>
        <w:t>or that they will</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prove</w:t>
      </w:r>
      <w:r>
        <w:rPr>
          <w:rFonts w:ascii="Times New Roman;Times;serif" w:hAnsi="Times New Roman;Times;serif"/>
          <w:color w:val="231F20"/>
          <w:spacing w:val="-8"/>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z w:val="20"/>
        </w:rPr>
        <w:t>be</w:t>
      </w:r>
      <w:r>
        <w:rPr>
          <w:rFonts w:ascii="Times New Roman;Times;serif" w:hAnsi="Times New Roman;Times;serif"/>
          <w:color w:val="231F20"/>
          <w:spacing w:val="-7"/>
          <w:sz w:val="20"/>
        </w:rPr>
        <w:t xml:space="preserve"> </w:t>
      </w:r>
      <w:r>
        <w:rPr>
          <w:rFonts w:ascii="Times New Roman;Times;serif" w:hAnsi="Times New Roman;Times;serif"/>
          <w:color w:val="231F20"/>
          <w:sz w:val="20"/>
        </w:rPr>
        <w:t>commercially</w:t>
      </w:r>
      <w:r>
        <w:rPr>
          <w:rFonts w:ascii="Times New Roman;Times;serif" w:hAnsi="Times New Roman;Times;serif"/>
          <w:color w:val="231F20"/>
          <w:spacing w:val="-8"/>
          <w:sz w:val="20"/>
        </w:rPr>
        <w:t xml:space="preserve"> </w:t>
      </w:r>
      <w:r>
        <w:rPr>
          <w:rFonts w:ascii="Times New Roman;Times;serif" w:hAnsi="Times New Roman;Times;serif"/>
          <w:color w:val="231F20"/>
          <w:sz w:val="20"/>
        </w:rPr>
        <w:t>successful.</w:t>
      </w:r>
      <w:r>
        <w:rPr>
          <w:rFonts w:ascii="Times New Roman;Times;serif" w:hAnsi="Times New Roman;Times;serif"/>
          <w:color w:val="231F20"/>
          <w:spacing w:val="-8"/>
          <w:sz w:val="20"/>
        </w:rPr>
        <w:t xml:space="preserve"> </w:t>
      </w:r>
      <w:r>
        <w:rPr>
          <w:rFonts w:ascii="Times New Roman;Times;serif" w:hAnsi="Times New Roman;Times;serif"/>
          <w:color w:val="231F20"/>
          <w:sz w:val="20"/>
        </w:rPr>
        <w:t>If</w:t>
      </w:r>
      <w:r>
        <w:rPr>
          <w:rFonts w:ascii="Times New Roman;Times;serif" w:hAnsi="Times New Roman;Times;serif"/>
          <w:color w:val="231F20"/>
          <w:spacing w:val="11"/>
          <w:sz w:val="20"/>
        </w:rPr>
        <w:t xml:space="preserve"> </w:t>
      </w:r>
      <w:r>
        <w:rPr>
          <w:rFonts w:ascii="Times New Roman;Times;serif" w:hAnsi="Times New Roman;Times;serif"/>
          <w:color w:val="231F20"/>
          <w:sz w:val="20"/>
        </w:rPr>
        <w:t>underlying</w:t>
      </w:r>
      <w:r>
        <w:rPr>
          <w:rFonts w:ascii="Times New Roman;Times;serif" w:hAnsi="Times New Roman;Times;serif"/>
          <w:color w:val="231F20"/>
          <w:spacing w:val="-8"/>
          <w:sz w:val="20"/>
        </w:rPr>
        <w:t xml:space="preserve"> </w:t>
      </w:r>
      <w:r>
        <w:rPr>
          <w:rFonts w:ascii="Times New Roman;Times;serif" w:hAnsi="Times New Roman;Times;serif"/>
          <w:color w:val="231F20"/>
          <w:sz w:val="20"/>
        </w:rPr>
        <w:t>assumptions</w:t>
      </w:r>
      <w:r>
        <w:rPr>
          <w:rFonts w:ascii="Times New Roman;Times;serif" w:hAnsi="Times New Roman;Times;serif"/>
          <w:color w:val="231F20"/>
          <w:spacing w:val="-7"/>
          <w:sz w:val="20"/>
        </w:rPr>
        <w:t xml:space="preserve"> </w:t>
      </w:r>
      <w:r>
        <w:rPr>
          <w:rFonts w:ascii="Times New Roman;Times;serif" w:hAnsi="Times New Roman;Times;serif"/>
          <w:color w:val="231F20"/>
          <w:spacing w:val="-4"/>
          <w:sz w:val="20"/>
        </w:rPr>
        <w:t>prove</w:t>
      </w:r>
      <w:r>
        <w:rPr>
          <w:rFonts w:ascii="Times New Roman;Times;serif" w:hAnsi="Times New Roman;Times;serif"/>
          <w:color w:val="231F20"/>
          <w:spacing w:val="-8"/>
          <w:sz w:val="20"/>
        </w:rPr>
        <w:t xml:space="preserve"> </w:t>
      </w:r>
      <w:r>
        <w:rPr>
          <w:rFonts w:ascii="Times New Roman;Times;serif" w:hAnsi="Times New Roman;Times;serif"/>
          <w:color w:val="231F20"/>
          <w:sz w:val="20"/>
        </w:rPr>
        <w:t>inaccurate</w:t>
      </w:r>
      <w:r>
        <w:rPr>
          <w:rFonts w:ascii="Times New Roman;Times;serif" w:hAnsi="Times New Roman;Times;serif"/>
          <w:color w:val="231F20"/>
          <w:spacing w:val="-8"/>
          <w:sz w:val="20"/>
        </w:rPr>
        <w:t xml:space="preserve"> </w:t>
      </w:r>
      <w:r>
        <w:rPr>
          <w:rFonts w:ascii="Times New Roman;Times;serif" w:hAnsi="Times New Roman;Times;serif"/>
          <w:color w:val="231F20"/>
          <w:sz w:val="20"/>
        </w:rPr>
        <w:t>or</w:t>
      </w:r>
      <w:r>
        <w:rPr>
          <w:rFonts w:ascii="Times New Roman;Times;serif" w:hAnsi="Times New Roman;Times;serif"/>
          <w:color w:val="231F20"/>
          <w:spacing w:val="-8"/>
          <w:sz w:val="20"/>
        </w:rPr>
        <w:t xml:space="preserve"> </w:t>
      </w:r>
      <w:r>
        <w:rPr>
          <w:rFonts w:ascii="Times New Roman;Times;serif" w:hAnsi="Times New Roman;Times;serif"/>
          <w:color w:val="231F20"/>
          <w:sz w:val="20"/>
        </w:rPr>
        <w:t>risks</w:t>
      </w:r>
      <w:r>
        <w:rPr>
          <w:rFonts w:ascii="Times New Roman;Times;serif" w:hAnsi="Times New Roman;Times;serif"/>
          <w:color w:val="231F20"/>
          <w:spacing w:val="-7"/>
          <w:sz w:val="20"/>
        </w:rPr>
        <w:t xml:space="preserve"> </w:t>
      </w:r>
      <w:r>
        <w:rPr>
          <w:rFonts w:ascii="Times New Roman;Times;serif" w:hAnsi="Times New Roman;Times;serif"/>
          <w:color w:val="231F20"/>
          <w:sz w:val="20"/>
        </w:rPr>
        <w:t>or</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uncertainties materialize, actual results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differ materially from those set forth in the forward-looking statements. The Company assumes no obligation and does not intend to update or otherwise revise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forward-looking statement, whether as a result of new information, future events or otherwise, except as required by applicable </w:t>
      </w:r>
      <w:r>
        <w:rPr>
          <w:rFonts w:ascii="Times New Roman;Times;serif" w:hAnsi="Times New Roman;Times;serif"/>
          <w:color w:val="231F20"/>
          <w:spacing w:val="-9"/>
          <w:sz w:val="20"/>
        </w:rPr>
        <w:t xml:space="preserve">law. </w:t>
      </w:r>
      <w:r>
        <w:rPr>
          <w:rFonts w:ascii="Times New Roman;Times;serif" w:hAnsi="Times New Roman;Times;serif"/>
          <w:color w:val="231F20"/>
          <w:sz w:val="20"/>
        </w:rPr>
        <w:t>As a result of these and other risks, uncertainties and assumptions, forward-looking events 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circumstances</w:t>
      </w:r>
      <w:r>
        <w:rPr>
          <w:rFonts w:ascii="Times New Roman;Times;serif" w:hAnsi="Times New Roman;Times;serif"/>
          <w:color w:val="231F20"/>
          <w:spacing w:val="-8"/>
          <w:sz w:val="20"/>
        </w:rPr>
        <w:t xml:space="preserve"> </w:t>
      </w:r>
      <w:r>
        <w:rPr>
          <w:rFonts w:ascii="Times New Roman;Times;serif" w:hAnsi="Times New Roman;Times;serif"/>
          <w:color w:val="231F20"/>
          <w:sz w:val="20"/>
        </w:rPr>
        <w:t>discussed</w:t>
      </w:r>
      <w:r>
        <w:rPr>
          <w:rFonts w:ascii="Times New Roman;Times;serif" w:hAnsi="Times New Roman;Times;serif"/>
          <w:color w:val="231F20"/>
          <w:spacing w:val="-8"/>
          <w:sz w:val="20"/>
        </w:rPr>
        <w:t xml:space="preserve"> </w:t>
      </w:r>
      <w:r>
        <w:rPr>
          <w:rFonts w:ascii="Times New Roman;Times;serif" w:hAnsi="Times New Roman;Times;serif"/>
          <w:color w:val="231F20"/>
          <w:sz w:val="20"/>
        </w:rPr>
        <w:t>herein</w:t>
      </w:r>
      <w:r>
        <w:rPr>
          <w:rFonts w:ascii="Times New Roman;Times;serif" w:hAnsi="Times New Roman;Times;serif"/>
          <w:color w:val="231F20"/>
          <w:spacing w:val="-7"/>
          <w:sz w:val="20"/>
        </w:rPr>
        <w:t xml:space="preserve"> </w:t>
      </w:r>
      <w:r>
        <w:rPr>
          <w:rFonts w:ascii="Times New Roman;Times;serif" w:hAnsi="Times New Roman;Times;serif"/>
          <w:color w:val="231F20"/>
          <w:sz w:val="20"/>
        </w:rPr>
        <w:t>might</w:t>
      </w:r>
      <w:r>
        <w:rPr>
          <w:rFonts w:ascii="Times New Roman;Times;serif" w:hAnsi="Times New Roman;Times;serif"/>
          <w:color w:val="231F20"/>
          <w:spacing w:val="-8"/>
          <w:sz w:val="20"/>
        </w:rPr>
        <w:t xml:space="preserve"> </w:t>
      </w:r>
      <w:r>
        <w:rPr>
          <w:rFonts w:ascii="Times New Roman;Times;serif" w:hAnsi="Times New Roman;Times;serif"/>
          <w:color w:val="231F20"/>
          <w:sz w:val="20"/>
        </w:rPr>
        <w:t>not</w:t>
      </w:r>
      <w:r>
        <w:rPr>
          <w:rFonts w:ascii="Times New Roman;Times;serif" w:hAnsi="Times New Roman;Times;serif"/>
          <w:color w:val="231F20"/>
          <w:spacing w:val="-8"/>
          <w:sz w:val="20"/>
        </w:rPr>
        <w:t xml:space="preserve"> </w:t>
      </w:r>
      <w:r>
        <w:rPr>
          <w:rFonts w:ascii="Times New Roman;Times;serif" w:hAnsi="Times New Roman;Times;serif"/>
          <w:color w:val="231F20"/>
          <w:sz w:val="20"/>
        </w:rPr>
        <w:t>occur</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way</w:t>
      </w:r>
      <w:r>
        <w:rPr>
          <w:rFonts w:ascii="Times New Roman;Times;serif" w:hAnsi="Times New Roman;Times;serif"/>
          <w:color w:val="231F20"/>
          <w:spacing w:val="-7"/>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Company’s</w:t>
      </w:r>
      <w:r>
        <w:rPr>
          <w:rFonts w:ascii="Times New Roman;Times;serif" w:hAnsi="Times New Roman;Times;serif"/>
          <w:color w:val="231F20"/>
          <w:spacing w:val="-7"/>
          <w:sz w:val="20"/>
        </w:rPr>
        <w:t xml:space="preserve"> </w:t>
      </w:r>
      <w:r>
        <w:rPr>
          <w:rFonts w:ascii="Times New Roman;Times;serif" w:hAnsi="Times New Roman;Times;serif"/>
          <w:color w:val="231F20"/>
          <w:sz w:val="20"/>
        </w:rPr>
        <w:t>management</w:t>
      </w:r>
      <w:r>
        <w:rPr>
          <w:rFonts w:ascii="Times New Roman;Times;serif" w:hAnsi="Times New Roman;Times;serif"/>
          <w:color w:val="231F20"/>
          <w:spacing w:val="-8"/>
          <w:sz w:val="20"/>
        </w:rPr>
        <w:t xml:space="preserve"> </w:t>
      </w:r>
      <w:r>
        <w:rPr>
          <w:rFonts w:ascii="Times New Roman;Times;serif" w:hAnsi="Times New Roman;Times;serif"/>
          <w:color w:val="231F20"/>
          <w:sz w:val="20"/>
        </w:rPr>
        <w:t>expects,</w:t>
      </w:r>
      <w:r>
        <w:rPr>
          <w:rFonts w:ascii="Times New Roman;Times;serif" w:hAnsi="Times New Roman;Times;serif"/>
          <w:color w:val="231F20"/>
          <w:spacing w:val="-8"/>
          <w:sz w:val="20"/>
        </w:rPr>
        <w:t xml:space="preserve"> </w:t>
      </w:r>
      <w:r>
        <w:rPr>
          <w:rFonts w:ascii="Times New Roman;Times;serif" w:hAnsi="Times New Roman;Times;serif"/>
          <w:color w:val="231F20"/>
          <w:sz w:val="20"/>
        </w:rPr>
        <w:t>if</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 xml:space="preserve">at all. Accordingly, you </w:t>
      </w:r>
      <w:r>
        <w:rPr>
          <w:rFonts w:ascii="Times New Roman;Times;serif" w:hAnsi="Times New Roman;Times;serif"/>
          <w:color w:val="231F20"/>
          <w:sz w:val="20"/>
        </w:rPr>
        <w:t xml:space="preserve">should not place reliance on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forward-looking statement, and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forward-looking statements are herein qualified by reference to the cautionary statements set forth</w:t>
      </w:r>
      <w:r>
        <w:rPr>
          <w:rFonts w:ascii="Times New Roman;Times;serif" w:hAnsi="Times New Roman;Times;serif"/>
          <w:color w:val="231F20"/>
          <w:spacing w:val="-26"/>
          <w:sz w:val="20"/>
        </w:rPr>
        <w:t xml:space="preserve"> </w:t>
      </w:r>
      <w:r>
        <w:rPr>
          <w:rFonts w:ascii="Times New Roman;Times;serif" w:hAnsi="Times New Roman;Times;serif"/>
          <w:color w:val="231F20"/>
          <w:spacing w:val="-6"/>
          <w:sz w:val="20"/>
        </w:rPr>
        <w:t>above</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4" w:name="PARTI_199457"/>
      <w:bookmarkStart w:id="25" w:name="_83184e0a_a5db_4f1a_a483_a6746781198b"/>
      <w:bookmarkEnd w:id="24"/>
      <w:bookmarkEnd w:id="25"/>
      <w:r>
        <w:rPr>
          <w:rFonts w:ascii="Times New Roman;Times;serif" w:hAnsi="Times New Roman;Times;serif"/>
          <w:b/>
          <w:sz w:val="20"/>
        </w:rPr>
        <w:t>PART I</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color w:val="231F20"/>
          <w:sz w:val="20"/>
        </w:rPr>
      </w:pPr>
      <w:bookmarkStart w:id="26" w:name="_5a81e0c6_7a23_487a_92ff_d738df5a302c"/>
      <w:bookmarkEnd w:id="26"/>
      <w:r>
        <w:rPr>
          <w:rFonts w:ascii="Times New Roman;Times;serif" w:hAnsi="Times New Roman;Times;serif"/>
          <w:i/>
          <w:color w:val="231F20"/>
          <w:sz w:val="20"/>
        </w:rPr>
        <w:t>Unless the context requires otherwise, references in this annual report to “NRx,” “Company,” “we,” “us” and “our” and similar designations refer to NRx Pharmaceuticals, Inc. and its subsidiaries.</w:t>
      </w:r>
    </w:p>
    <w:p>
      <w:pPr>
        <w:pStyle w:val="TextBody"/>
        <w:spacing w:before="0" w:after="0"/>
        <w:ind w:left="0" w:right="0" w:hanging="0"/>
        <w:rPr>
          <w:color w:val="231F20"/>
        </w:rPr>
      </w:pPr>
      <w:r>
        <w:rPr>
          <w:color w:val="231F20"/>
        </w:rPr>
        <w:t>​</w:t>
      </w:r>
    </w:p>
    <w:p>
      <w:pPr>
        <w:pStyle w:val="TextBody"/>
        <w:spacing w:before="0" w:after="0"/>
        <w:ind w:left="0" w:right="0" w:hanging="0"/>
        <w:rPr>
          <w:rFonts w:ascii="Times New Roman;Times;serif" w:hAnsi="Times New Roman;Times;serif"/>
          <w:b/>
          <w:color w:val="231F20"/>
          <w:sz w:val="20"/>
        </w:rPr>
      </w:pPr>
      <w:bookmarkStart w:id="27" w:name="Item1_Business"/>
      <w:bookmarkEnd w:id="27"/>
      <w:r>
        <w:rPr>
          <w:rFonts w:ascii="Times New Roman;Times;serif" w:hAnsi="Times New Roman;Times;serif"/>
          <w:b/>
          <w:color w:val="231F20"/>
          <w:sz w:val="20"/>
        </w:rPr>
        <w:t>Item 1. Business</w:t>
      </w:r>
    </w:p>
    <w:p>
      <w:pPr>
        <w:pStyle w:val="TextBody"/>
        <w:spacing w:before="0" w:after="0"/>
        <w:ind w:left="0" w:right="0" w:hanging="0"/>
        <w:rPr>
          <w:color w:val="231F20"/>
        </w:rPr>
      </w:pPr>
      <w:r>
        <w:rPr>
          <w:color w:val="231F20"/>
        </w:rPr>
        <w:t>​</w:t>
      </w:r>
    </w:p>
    <w:p>
      <w:pPr>
        <w:pStyle w:val="TextBody"/>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Company Overview</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NRx is a clinical-stage pharmaceutical company which develops, through its wholly-owned operating subsidiary, NeuroRx, Inc., (“NeuroRx”), novel therapeutics for the treatment of central nervous system disorders. Our strategy is to apply innovative science to known molecules in the pursuit of therapies for high unmet needs, including lethal conditions. </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The company’s patent estate contains broad disclosure of the synergistic combination of NMDA and 5-HT2A antagonist drugs in the treatment of mental health disorders and chronic pain. The Company’s foundation product, NRX-101 (D-cycloserine/lurasidone), is being studied initially for the treatment of bipolar depression in patients with suicidality, has been awarded Fast Track designation, Breakthrough Therapy designation, a Special Protocol Agreement (SPA), and a Biomarker Letter of Support by the U.S. Food and Drug Administration (the “FDA”). To the Company’s knowledge, NRX-101 is the only oral antidepressant demonstrated to reduce suicidal ideation in a phase 2 trial. NRX-101 is covered by four families of U.S. and foreign patents, including a composition of matter patent (U.S. Patent No. 10,583,138 and foreign counterparts). </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Suicidal Bipolar Depression was chosen as an initial target for NRX-101 because of the well-defined population and extraordinary unmet medical need associated with this condition. However, non-clinical and clinical evidence suggests that DCS-based medicines may have broad use in the treatment of Post-traumatic Stress Disorder (PTSD) and Chronic Pain, in addition to their use in treatment of depression. These indications collectively affect more than 50 million Americans. Although DCS has been known for more than 70 years as an anti-infective, its propensity to cause psychedelic effects, together with challenges in maintaining drug stability, limited its use clinical use and by the year 2000, DCS was rarely used in the United States. The critical doses of DCS required to achieve a clinical effect in treatment of these conditions was not understood, prior to NRx’s recent patented discoveries.</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The discovery that the psychedelic effects of DCS can be attenuated by the concomitant use of serotonin-targeted drugs creates a new life for this promising molecule, whose use was previously limited by hallucinogenic effects. The manufacture of DCS was similarly limited by propensity to form inactive dimers and trimers of the cycloserine ring and no modern manufacturing program was undertaken over the past 50 years. The Company has now modernized the required analytic methodology, achieved control over impurities as required for modern commercial drug manufacture, and solved the stability challenges in a manner that achieved five-year shelf stability in the Company’s phase 2 program and is on track to replicate that stability at commercial scale. These advances by the Company potentially open a broad area of drug development that is enabled by NRx’s extensive worldwide portfolio of 90 patents, 48 of which have been issued and the remainder remain under prosecution. </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Prior to its 2021 public offering and Nasdaq listing, the Company attracted private capital sufficient to complete a phase 2 trial that earned Breakthrough Therapy Designation and a Special Protocol Agreement from the FDA but was not in a position to develop or manufacture NRX-101 at scale for broad clinical research. Following its initial public offering and two rounds of fundraising in 2021 and 2022, the Company had resources to transfer its offshore phase 2 drug development to a US manufacturing site, aligned with the FDA on manufacturing and CMC requirements for NRX-101, and for the first time produced ample supplies of NRX-101 in multiple dosage forms to support broad clinical trials and safety databases. The Company is now poised to complete a registration trial for NRX-101 in the treatment of Suicidal Bipolar Depression and to explore its broader use in the treatment of depression, PTSD and chronic pain.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NRx Products in Development</w:t>
      </w:r>
    </w:p>
    <w:p>
      <w:pPr>
        <w:pStyle w:val="TextBody"/>
        <w:spacing w:before="0" w:after="240"/>
        <w:ind w:left="0" w:right="0" w:hanging="0"/>
        <w:rPr>
          <w:rFonts w:ascii="Times New Roman;Times;serif" w:hAnsi="Times New Roman;Times;serif"/>
          <w:b/>
          <w:sz w:val="20"/>
        </w:rPr>
      </w:pPr>
      <w:bookmarkStart w:id="28" w:name="_Hlk130282761"/>
      <w:bookmarkEnd w:id="28"/>
      <w:r>
        <w:rPr>
          <w:rFonts w:ascii="Times New Roman;Times;serif" w:hAnsi="Times New Roman;Times;serif"/>
          <w:b/>
          <w:sz w:val="20"/>
        </w:rPr>
        <w:t xml:space="preserve">NRX-101 </w:t>
      </w:r>
    </w:p>
    <w:p>
      <w:pPr>
        <w:pStyle w:val="TextBody"/>
        <w:spacing w:lineRule="auto" w:line="240" w:before="147" w:after="240"/>
        <w:ind w:left="0" w:right="0" w:firstLine="399"/>
        <w:jc w:val="both"/>
        <w:rPr>
          <w:rFonts w:ascii="Times New Roman;Times;serif" w:hAnsi="Times New Roman;Times;serif"/>
          <w:sz w:val="20"/>
        </w:rPr>
      </w:pPr>
      <w:r>
        <w:rPr>
          <w:rFonts w:ascii="Times New Roman;Times;serif" w:hAnsi="Times New Roman;Times;serif"/>
          <w:color w:val="231F20"/>
          <w:sz w:val="20"/>
        </w:rPr>
        <w:t>NRX-101 is a combined NMDA/5-HT</w:t>
      </w:r>
      <w:r>
        <w:rPr>
          <w:rFonts w:ascii="Times New Roman;Times;serif" w:hAnsi="Times New Roman;Times;serif"/>
          <w:color w:val="231F20"/>
          <w:sz w:val="15"/>
        </w:rPr>
        <w:t>2A</w:t>
      </w:r>
      <w:r>
        <w:rPr>
          <w:rFonts w:ascii="Times New Roman;Times;serif" w:hAnsi="Times New Roman;Times;serif"/>
          <w:color w:val="231F20"/>
          <w:sz w:val="20"/>
        </w:rPr>
        <w:t>-targeted medicine designed to address both depression and suicidal ideation, consisting of a patented, oral, fixed dose combination of D-cycloserine (DCS) and lurasidone. Currently, there are numerous atypical antipsychotic drugs targeting the 5-HT2A receptor, approved for treatment of bipolar depression. However, all are known to increase a side effect known as akathisia, which is closely linked to suicidal ideation and behavior, and all carry a black box warning on the label regarding the potential for increased risk of suicide. In contrast, DCS has been demonstrated in at least two clinical trials (Nierenberg 2022</w:t>
      </w:r>
      <w:r>
        <w:rPr>
          <w:rFonts w:ascii="Times New Roman;Times;serif" w:hAnsi="Times New Roman;Times;serif"/>
          <w:color w:val="231F20"/>
          <w:sz w:val="15"/>
        </w:rPr>
        <w:t>i</w:t>
      </w:r>
      <w:r>
        <w:rPr>
          <w:rFonts w:ascii="Times New Roman;Times;serif" w:hAnsi="Times New Roman;Times;serif"/>
          <w:color w:val="231F20"/>
          <w:sz w:val="20"/>
        </w:rPr>
        <w:t>, Chen 2019</w:t>
      </w:r>
      <w:r>
        <w:rPr>
          <w:rFonts w:ascii="Times New Roman;Times;serif" w:hAnsi="Times New Roman;Times;serif"/>
          <w:color w:val="231F20"/>
          <w:sz w:val="15"/>
        </w:rPr>
        <w:t>ii</w:t>
      </w:r>
      <w:r>
        <w:rPr>
          <w:rFonts w:ascii="Times New Roman;Times;serif" w:hAnsi="Times New Roman;Times;serif"/>
          <w:color w:val="231F20"/>
          <w:sz w:val="20"/>
        </w:rPr>
        <w:t>) to reduce suicidal ideation, a finding also demonstrated for ketamine (Abbar 2022</w:t>
      </w:r>
      <w:r>
        <w:rPr>
          <w:rFonts w:ascii="Times New Roman;Times;serif" w:hAnsi="Times New Roman;Times;serif"/>
          <w:color w:val="231F20"/>
          <w:sz w:val="15"/>
        </w:rPr>
        <w:t>iii</w:t>
      </w:r>
      <w:r>
        <w:rPr>
          <w:rFonts w:ascii="Times New Roman;Times;serif" w:hAnsi="Times New Roman;Times;serif"/>
          <w:color w:val="231F20"/>
          <w:sz w:val="20"/>
        </w:rPr>
        <w:t>, Grunebaum 2017</w:t>
      </w:r>
      <w:r>
        <w:rPr>
          <w:rFonts w:ascii="Times New Roman;Times;serif" w:hAnsi="Times New Roman;Times;serif"/>
          <w:color w:val="231F20"/>
          <w:sz w:val="15"/>
        </w:rPr>
        <w:t>iv</w:t>
      </w:r>
      <w:r>
        <w:rPr>
          <w:rFonts w:ascii="Times New Roman;Times;serif" w:hAnsi="Times New Roman;Times;serif"/>
          <w:color w:val="231F20"/>
          <w:sz w:val="20"/>
        </w:rPr>
        <w:t xml:space="preserve">). Because its effect is synergistic to the antidepressant effects of serotonin-targeted drugs and because of the specific effect on suicidal ideation, the NMDA receptor of the brain is increasingly viewed as a key target for treating depression and suicidality. To the Company’s knowledge, NRX-101 is the first investigational medicine to advance to Phase 3 for severe bipolar depression in patients with Acute Suicidal Ideation and Behavior (“ASIB”). </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 safe, oral medicine for suicidal depression represents a key unmet medical need because the only currently approved treatment for this condition today is electroconvulsive therapy (ECT). Although the effects of NMDA antagonist drugs were first reported by Javitt in 1989, the development of NMDA-targeted medicines has been hampered by the known propensity of direct-acting NMDA-targeted drugs to cause neurotoxicity, addiction, psychedelic effects, and blood pressure elevation. Javitt discovered and patented the finding that when serotonin-targeted drugs are added to NMDA-targeted drugs, the hallucinogenic side effects of NMDA-targeted drugs are blocked and, at the same time, the NMDA component blocks the akathisia that is a known side effect of serotonin-targeted drugs – a side effect associated with suicidal ideation and behavior.</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D-cycloserine, the NMDA-targeting component of NRX-101, is a mixed NMDA agonist/antagonist that has been demonstrated in nonclinical studies to have no potential for neurotoxicity or addiction. Although it may have psychedelic effects when given as monotherapy, psychedelic effects of DCS have not been seen in four different studies where DCS was administered together with serotonin-targeted drugs. Javitt additionally discovered and patented the finding that DCS is a mixed NMDA agonist/antagonist and a critical dose of DCS must be administered (in the region of 400mg – 500mg per day) in order to access its NMDA antagonist properties. This finding explains the failure of DCS to demonstrate clinical effects in a number of published trials at lower doses.</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Although development of NRX-101 began in 2015, when NeuroRx, Inc. was privately funded, the COVID pandemic interrupted clinical development in March 2020 because of study site closures. The Company was hampered in continuing to manufacture its investigational product in China because of global supply chain and other international challenges. Accordingly, when the Company raised funds in February 2022 to reinitiate the psychiatric drug development program, a strategic decision was made to transfer all manufacture to the United States and to upgrade the Chemical Manufacturing Controls (CMC) level of NRX-101 to a commercial standard prior to entering phase 3 trials. </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Manufacturing is a key component of drug approvals and current estimates suggest that more phase 3 biotechnology products fail or experience delays over manufacturing issues than over safety and efficacy. Moreover, registrational studies require either that the trial be conducted with commercial grade investigational product or compel the sponsor to conduct subsequent bridging studies to prove biological equivalence to commercial grade product.</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March 2022, the Company executed a tender process and selected Alcami (Wilmington, NC) as its manufacturing partner. Technology transfer was accomplished within 3 months and a first phase 3/commercial-scale batch was completed by August 2022. In October 2022 sufficient stability data were collected to submit the manufacturing information (IND Module 3) to FDA, which was reviewed without negative comment. The Company submitted a briefing document to FDA detailing the CMC and stability approach as part of a Type C meeting process. On January 10, 2023, FDA provided written feedback in lieu of a Type C meeting in dictating alignment with the FDA regarding its proposed registration manufacturing and stability plan.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403"/>
        <w:jc w:val="both"/>
        <w:rPr>
          <w:rFonts w:ascii="Times New Roman;Times;serif" w:hAnsi="Times New Roman;Times;serif"/>
          <w:color w:val="231F20"/>
          <w:sz w:val="20"/>
        </w:rPr>
      </w:pPr>
      <w:bookmarkStart w:id="29" w:name="_Hlk130845231"/>
      <w:bookmarkEnd w:id="29"/>
      <w:r>
        <w:rPr>
          <w:rFonts w:ascii="Times New Roman;Times;serif" w:hAnsi="Times New Roman;Times;serif"/>
          <w:color w:val="231F20"/>
          <w:sz w:val="20"/>
        </w:rPr>
        <w:t>On February 14, 2023, the Company announced its receipt of the written minutes of a Type B meeting held with the FDA held on January 11, 2023, to outline the clinical &amp; preclinical requirements for registration of NRX-101. Overall, the FDA suggested expanding the safety data base of NRX-101 to allow for chronic/intermittent use of NRX-101, as well as a broadening of the addressable population of the indication (under the SPA or otherwise) to patients with severe bipolar depression and recent acute suicidality regardless of how the initial stabilization was achieved. This broader indication would enable the Company to potentially demonstrate the use of NRX-101 to maintain stabilization from acute suicidality in patients stabilized either with ketamine (NRX-100) or with other standard of care therapeutic approaches. FDA encouraged the Company to request a Breakthrough Therapy Planning Meeting for NRX-101, which we intend to accomplish in second quarter of 2023.</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initiated a new registrational study of NRX-101 for the treatment of severe bipolar depression with ASIB, a potentially lethal condition that currently takes the lives of thousands of Americans each year, after initial stabilization with NRX-100 (described below). We intend to use newly manufactured material that was manufactured using the expected commercial process. On January 3, 2023, the Company announced that its first clinical trial sites had been contracted for this study. Patient recruitment has not yet started for this study.</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are also conducting a clinical study for the treatment of severe bipolar depression in patients with sub-acute suicidal ideation and behavior (“SSIB”), an indication to which we now refer as “Suicidal Treatment Resistant Bipolar Depression.” The US population of patients with Suicidal Treatment Resistant Bipolar Depression is estimated to be between 700,000 and 1,000,000 people.  The DSMB reviewed the unblinded results of the first 50 patients randomized and treated in this study. The DSMB found no futility signal at this stage of the trial. Similarly, no safety signals were identified in association with NRX-101 and the DSMB recommended that enrollment in the trial continue as planned.  According to the study's statistical analysis plan, the failure to identify futility requires that a numerical advantage of the investigational drug relative to the comparator treatment must be observed by the DSMB. The DSMB will continue to monitor safety and efficacy in the trial. Based on the DSMB findings, together with the recent completion of Phase 3 commercial stage manufacture of NRX-101, the Company has upgraded the ongoing trial to a Phase 2b/3 trial whose results may be used in a future registrational filing, should the primary endpoint be met.  </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Based on the comments and guidance from the FDA in its recent Type B meeting regarding the registrational Acute Suicidality trial and a potentially broader indication, as well as the guidance it received from the DSMB regarding the ongoing Phase IIb/3 clinical study of NRX-101 for the treatment of severe bipolar depression in patients with SSIB, the Company is evaluating changes to its registrational program for NRX-101 and will seek to consolidate patients originally expected to enroll in the in the ASIB study into the currently enrolling Phase IIb/3 trial. This would potentially allow registration of NRX-101 for Suicidal Treatment-Resistant Bipolar Depression, regardless of the mechanism of stabilization.  With the FDA’s guidance to enroll patients for the acute (SPA) study in the outpatient setting only after stabilization, the design of this trial has effectively converged with the currently enrolling phase IIb/3 trial; patients within both groups are deemed to have treatment resistant bipolar depression with suicidality.  This broader indication may also offer significant advantages in commercialization, while negating the need for a separate NDA for ketamine in Suicidal stabilization. We expect top-line data from this consolidated trial in the first quarter of 2024. </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Lastly, the Company will also continue exploring early signal-finding studies in PTSD and chronic pain. </w:t>
      </w:r>
    </w:p>
    <w:p>
      <w:pPr>
        <w:pStyle w:val="TextBody"/>
        <w:spacing w:lineRule="auto" w:line="290" w:before="147"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 xml:space="preserve">NRX-100 </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NRX-100 is racemic ketamine, which is a generic anesthetic that has shown efficacy in some clinical studies of depression and suicidality. In the Company’s STABIL-B Study, NRX-100 was used for the initial stabilization of patients with bipolar depression who were also acutely suicidal, prior to receiving NRX-101 or lurasidone. The Company has opened an Investigational New Drug (IND) file with the FDA for the purpose of developing ketamine as a rapid induction agent in the treatment of Severe Bipolar Depression with Acute Suicidal Ideation and Behavior.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 xml:space="preserve">Zyesami </w:t>
      </w:r>
    </w:p>
    <w:p>
      <w:pPr>
        <w:pStyle w:val="TextBody"/>
        <w:spacing w:lineRule="auto" w:line="240" w:before="147" w:after="240"/>
        <w:ind w:left="0" w:right="0" w:firstLine="403"/>
        <w:jc w:val="both"/>
        <w:rPr>
          <w:rFonts w:ascii="Times New Roman;Times;serif" w:hAnsi="Times New Roman;Times;serif"/>
          <w:sz w:val="20"/>
        </w:rPr>
      </w:pPr>
      <w:bookmarkStart w:id="30" w:name="_Hlk130394234"/>
      <w:bookmarkEnd w:id="30"/>
      <w:r>
        <w:rPr>
          <w:rFonts w:ascii="Times New Roman;Times;serif" w:hAnsi="Times New Roman;Times;serif"/>
          <w:color w:val="231F20"/>
          <w:sz w:val="20"/>
        </w:rPr>
        <w:t>Between March 2020 and mid-2022, the Company engaged in the development of aviptadil acetate (ZYESAMI®) for the treatment of respiratory failure in COVID-19 under a collaboration agreement signed with Relief Therapeutics Holdings, AG. ZYESAMI initially showed promise when administered intravenously to patients with acute respiratory failure and demonstrated a statistically significant 2-fold decrease in mortality when administered in a randomized, prospective clinical trial. Significant improvement in survival and recovery was additionally demonstrated by Youssef in a prospective open-label trial conducted at Houston Methodist Hospital. These results were published by Youssef and coworkers in the peer reviewed literature.</w:t>
      </w:r>
      <w:r>
        <w:rPr>
          <w:rFonts w:ascii="Times New Roman;Times;serif" w:hAnsi="Times New Roman;Times;serif"/>
          <w:color w:val="231F20"/>
          <w:sz w:val="15"/>
        </w:rPr>
        <w:t>v</w:t>
      </w:r>
      <w:r>
        <w:rPr>
          <w:rFonts w:ascii="Times New Roman;Times;serif" w:hAnsi="Times New Roman;Times;serif"/>
          <w:color w:val="231F20"/>
          <w:sz w:val="20"/>
        </w:rPr>
        <w:t xml:space="preserve"> This finding was deemed “hypothesis generating” by the US FDA because mortality was the declared secondary endpoint of the clinical trial and the primary endpoint, recovery from respiratory failure, was deemed to be near (P=0.08) but not sufficiently significant to warrant Emergency Use Authorization. The study further documented immediate improvement in levels of blood oxygen and decrease in inflammatory cytokines, evidence of biological activity. </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A subsequent large multicenter conducted by the US National Institutes of Health was halted for futility in May 2020. Thus far, the NIH has not published results of the clinical trial. Two additional trials were conducted with inhaled aviptadil for treatment of earlier stages of respiratory failure. One trial, conducted by the Biomedical Advanced Research Development Authority of the US Department of Health and Human Services was similarly halted after hitting a futility endpoint. A second trial, sponsored by NRx was suspended following the first DSMB review of data for lack of funding under the Relief collaboration agreement. In 2022, we suspended our efforts to develop the pharmaceutical product, aviptadil acetate for all indications. </w:t>
      </w:r>
    </w:p>
    <w:p>
      <w:pPr>
        <w:pStyle w:val="TextBody"/>
        <w:spacing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On December 20, 2022, the Company transferred to Relief all of the assets it used in its aviptadil development program. Relief now has the exclusive right to control, and the obligation to use commercially reasonable efforts to develop and commercialize, an aviptadil product. If successful, Relief is obligated to pay NeuroRx (i) milestone payments should Relief successfully obtain commercial approval of an aviptadil product (whether for COVID-19 or any other indication) and (ii) royalties based on a percentage of future sales of an aviptadil product (whether for COVID-19 or any other indication), up to a maximum of $30 million in the aggregate. In addition, Relief has agreed to use commercially reasonable efforts to continue the existing Right to Try Program for aviptadil in the U.S. for at least two years. Following the closing, Relief and NeuroRx dismissed their pending litigation. </w:t>
      </w:r>
    </w:p>
    <w:p>
      <w:pPr>
        <w:pStyle w:val="TextBody"/>
        <w:spacing w:before="0" w:after="240"/>
        <w:ind w:left="0" w:right="0" w:hanging="0"/>
        <w:rPr>
          <w:rFonts w:ascii="Times New Roman;Times;serif" w:hAnsi="Times New Roman;Times;serif"/>
          <w:b/>
          <w:sz w:val="20"/>
        </w:rPr>
      </w:pPr>
      <w:bookmarkStart w:id="31" w:name="_Hlk130297493"/>
      <w:bookmarkEnd w:id="31"/>
      <w:r>
        <w:rPr>
          <w:rFonts w:ascii="Times New Roman;Times;serif" w:hAnsi="Times New Roman;Times;serif"/>
          <w:b/>
          <w:sz w:val="20"/>
        </w:rPr>
        <w:t>Background of the CNS Portfolio</w:t>
      </w:r>
    </w:p>
    <w:p>
      <w:pPr>
        <w:pStyle w:val="TextBody"/>
        <w:spacing w:before="87" w:after="240"/>
        <w:ind w:left="0" w:right="0" w:firstLine="399"/>
        <w:jc w:val="both"/>
        <w:rPr>
          <w:rFonts w:ascii="Times New Roman;Times;serif" w:hAnsi="Times New Roman;Times;serif"/>
          <w:color w:val="231F20"/>
          <w:sz w:val="20"/>
        </w:rPr>
      </w:pPr>
      <w:bookmarkStart w:id="32" w:name="_Hlk130297581"/>
      <w:bookmarkEnd w:id="32"/>
      <w:r>
        <w:rPr>
          <w:rFonts w:ascii="Times New Roman;Times;serif" w:hAnsi="Times New Roman;Times;serif"/>
          <w:color w:val="231F20"/>
          <w:sz w:val="20"/>
        </w:rPr>
        <w:t>Our CNS portfolio is based upon fundamental scientific discoveries of Daniel Javitt, MD, PhD, a Professor of Psychiatry at Columbia University and co-founder of NRx. In 1987, Daniel Javitt discovered the role of blocking the brain’s NMDA receptor (a molecule on the surface of brain cells) in producing psychosis. The discovery was made in the context of attempting to determine the molecular mechanism by which phencyclidine (angel dust: a once popular drug of abuse frequently added to cannabis) caused acute psychosis in a high proportion of users. Daniel Javitt discovered that phencyclidine exerted its psychotogenic action by blocking the NMDA receptor and devoted the balance of his ongoing career to studying the brain chemistry of schizophrenia, depression, and related disorders. Daniel Javitt is one of the most widely published scientists in molecular psychiatry.</w:t>
      </w:r>
    </w:p>
    <w:p>
      <w:pPr>
        <w:pStyle w:val="TextBody"/>
        <w:spacing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About 10 years after the original discovery, it was learned that NMDA inhibition is the mechanism by which ketamine, dextromethorphan, and other NMDA antagonists exert their antidepressant effects. Javitt subsequently made the seminal observation that when an NMDA antagonist, specifically D-cycloserine (“DCS”), is combined with a traditional (serotonin-targeted) antidepressant or antipsychotic, the two drugs have a synergistic effect wherein antidepressant activity is enhanced, and side effects are decreased. The mechanism of this synergy has been demonstrated in multiple non-clinical models. The discovery has led to a broad patent portfolio now owned by us and to the development of NRX-101, the first investigational drug specifically targeting bipolar depression with suicidality.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History of our development of NRX-100/101</w:t>
      </w:r>
    </w:p>
    <w:p>
      <w:pPr>
        <w:pStyle w:val="TextBody"/>
        <w:spacing w:before="147"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 xml:space="preserve">NRx was founded in 2015 by Drs. Jonathan Javitt and Daniel Javitt to develop drugs that aim to treat psychiatric disorders based on the initial discovery of the phencyclidine binding site on the NMDA receptor and the role of NMDA antagonists in schizophrenia and experimental psychosis. Javitt subsequently discovered a synergistic effect when NMDA antagonists are combined with inhibitors of the brain’s 5-HT2A receptor (e.g., SSRI antidepressants and atypical antipsychotic drugs). This synergy has now been demonstrated in both laboratory rodent behavioral experiments and in multiple Phase II clinical trials and resulted in a Composition of Matter patent awarded in the U.S. and multiple foreign jurisdictions. Javitt subsequently observed that when patients with depression were treated with DCS, an NMDA antagonist, in combination with antidepressants, they manifested increased antidepressant effect, but did not exhibit the hallucinations and other NMDA effects previously reported with DCS. He further observed that DCS appeared to reduce some of the antidepressant side effects (akathisia) common to all known serotonin-targeted anti-depressants. </w:t>
      </w:r>
    </w:p>
    <w:p>
      <w:pPr>
        <w:pStyle w:val="TextBody"/>
        <w:spacing w:before="147" w:after="240"/>
        <w:ind w:left="0" w:right="0" w:firstLine="399"/>
        <w:jc w:val="center"/>
        <w:rPr>
          <w:color w:val="231F20"/>
        </w:rPr>
      </w:pPr>
      <w:r>
        <w:rPr>
          <w:color w:val="231F20"/>
        </w:rPr>
        <w:drawing>
          <wp:inline distT="0" distB="0" distL="0" distR="0">
            <wp:extent cx="3419475" cy="1609725"/>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3419475" cy="1609725"/>
                    </a:xfrm>
                    <a:prstGeom prst="rect">
                      <a:avLst/>
                    </a:prstGeom>
                  </pic:spPr>
                </pic:pic>
              </a:graphicData>
            </a:graphic>
          </wp:inline>
        </w:drawing>
      </w:r>
    </w:p>
    <w:p>
      <w:pPr>
        <w:pStyle w:val="TextBody"/>
        <w:spacing w:before="0" w:after="200"/>
        <w:ind w:left="720" w:right="0" w:hanging="0"/>
        <w:jc w:val="center"/>
        <w:rPr>
          <w:rFonts w:ascii="Times New Roman;Times;serif" w:hAnsi="Times New Roman;Times;serif"/>
          <w:i/>
          <w:color w:val="231F20"/>
          <w:sz w:val="18"/>
        </w:rPr>
      </w:pPr>
      <w:bookmarkStart w:id="33" w:name="_Hlk130297625"/>
      <w:bookmarkEnd w:id="33"/>
      <w:r>
        <w:rPr>
          <w:rFonts w:ascii="Times New Roman;Times;serif" w:hAnsi="Times New Roman;Times;serif"/>
          <w:i/>
          <w:color w:val="231F20"/>
          <w:sz w:val="18"/>
        </w:rPr>
        <w:t>Figure 1 Synergistic composition of matter in which drugs that inhibit the NMDA receptor block the akathisia caused by serotonin-targeted drugs and serotonin-targeted drugs, in turn, block the psychedelic effects of NMDA inhibitors. Basis for US Patent 10583138. Source: NeuroRx, Inc.</w:t>
      </w:r>
    </w:p>
    <w:p>
      <w:pPr>
        <w:pStyle w:val="TextBody"/>
        <w:spacing w:before="147" w:after="240"/>
        <w:ind w:left="0" w:right="0" w:firstLine="399"/>
        <w:jc w:val="both"/>
        <w:rPr>
          <w:rFonts w:ascii="Times New Roman;Times;serif" w:hAnsi="Times New Roman;Times;serif"/>
          <w:color w:val="231F20"/>
          <w:sz w:val="20"/>
        </w:rPr>
      </w:pPr>
      <w:bookmarkStart w:id="34" w:name="_Hlk130297715"/>
      <w:bookmarkEnd w:id="34"/>
      <w:r>
        <w:rPr>
          <w:rFonts w:ascii="Times New Roman;Times;serif" w:hAnsi="Times New Roman;Times;serif"/>
          <w:color w:val="231F20"/>
          <w:sz w:val="20"/>
        </w:rPr>
        <w:t>These patented discoveries support NRX-101, the first investigational oral antidepressant to be granted Fast Track designation, Breakthrough Therapy designation and a Special Protocol Agreement by the FDA for severe bipolar depression in patients with ASIB. NRx is engaged in the research, development and future commercialization of this and other products for the treatment of patients suffering from suicidal ideation in the setting of bipolar depression and major depressive disorder (“MDD”) as well as PTSD and potentially chronic pain. Drugs that inhibit the brain’s NMDA receptor without ketamine’s limitations, have generated substantial interest, and have been explored for the treatment of the above conditions since the finding that ketamine has potent effects in reducing depression and suicidal ideation. It is our view that NRX-101 and our intellectual property to combine different molecules may yield a competitive advantage to use NMDA-inhibiting drugs for this purpose, as other compounds may be limited by adverse elements such as neurotoxicity (with prolonged use), hallucinations, potential habituation (i.e., addictive properties), blood pressure elevations, and/or lack of oral bioavailability.</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This synergy is a key discovery underlying the patent portfolio described below. The scientific findings showed that some of the side effects of an NMDA drug can be blocked by the 5-HT2A drug and, in turn, the NMDA component can block akathisia, a known side effect of 5-HT2A-blocking drugs which is known to predispose to suicide. This dual-targeted approach is a primary basis of our worldwide patent portfolio, which currently encompasses 38 pending applications, and 48 granted patents in multiple jurisdictions covering compositions of matter and methods of use (See “NRx Patent Portfolio”). The relevant patents and patent applications in this portfolio are either owned by NeuroRx, exclusively licensed to NeuroRx by Glytech, LLC (“Glytech”), a Delaware limited liability company solely owned by Dr. Daniel Javitt (the “Glytech License”), or exclusively licensed to NeuroRx by Sarah Herzog Memorial Hospital Ezrat Nashim (“SHMH”), a non-profit organization organized under the laws of the State of Israel (the “SHMH License”).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NeuroRx owns a U.S. composition of matter patent that covers NRX-101. Patents under the Glytech License, which cover compositions of matter (including NRX-101 and pipeline therapeutic candidates) and methods of use (including methods of using NRX-101 in the treatment of bipolar depression with suicidal ideation and in treating PTSD), have been granted in the U.S., Europe (including validation by 18 members of the European Patent Convention), Japan, Australia and China.</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Additional patent applications under the Glytech License cover compositions of matter and methods of use of pipeline therapeutic candidates other than NRX-101 together with methods of use of NRX-101 in treating additional CNS disorders. These patents are pending in various locations including the U.S., Canada, Israel, Europe, Japan, Australia and China. Assuming all maintenance fees are timely paid in each jurisdiction and that the patents are not held invalid or unenforceable by a court or patent office, the patents licensed to NeuroRx by Glytech will expire in each jurisdiction in which they have been granted in 2033 (for the base NRX-101 patents) and 2038 (for the PTSD treatment patents). See “Summary of NRx Material In-licensing Obligations — NRX-100/101 — Glytech Development and License Agreement” for more information. We intend to seek patent extensions as allowed by law.</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Patents under the SHMH License, which cover methods of use of DCS, alone or in combination with an antidepressant agent or an antipsychotic agent (including but not limited to lurasidone) in the treatment of depression, have been granted in the U.S. and Europe with additional patent applications covering similar subject matter pending in these countries and in Israel and Canada. Assuming all maintenance fees are timely paid in each jurisdiction and that the patents are not held invalid or unenforceable by a court or patent office, the patents licensed to NeuroRx by SHMH will expire in each jurisdiction in which they have been granted in 2032. See “Summary of NRx Material In-licensing Obligations — NRX-100/101 — Sarah Herzog Memorial Hospital License Agreement” for more information.</w:t>
      </w:r>
    </w:p>
    <w:p>
      <w:pPr>
        <w:pStyle w:val="TextBody"/>
        <w:spacing w:before="0" w:after="240"/>
        <w:ind w:left="0" w:right="0" w:hanging="0"/>
        <w:jc w:val="both"/>
        <w:rPr>
          <w:rFonts w:ascii="Times New Roman;Times;serif" w:hAnsi="Times New Roman;Times;serif"/>
          <w:b/>
          <w:color w:val="231F20"/>
          <w:sz w:val="20"/>
        </w:rPr>
      </w:pPr>
      <w:bookmarkStart w:id="35" w:name="_Hlk130297815"/>
      <w:bookmarkEnd w:id="35"/>
      <w:r>
        <w:rPr>
          <w:rFonts w:ascii="Times New Roman;Times;serif" w:hAnsi="Times New Roman;Times;serif"/>
          <w:b/>
          <w:color w:val="231F20"/>
          <w:sz w:val="20"/>
        </w:rPr>
        <w:t>Background on the Indication</w:t>
      </w:r>
    </w:p>
    <w:p>
      <w:pPr>
        <w:pStyle w:val="TextBody"/>
        <w:spacing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Bipolar disorder, formerly known as manic depressive disorder, is a well-established psychiatric diagnosis. According to the NIH, an estimated 2.8% of the US adult population had bipolar disorder in the past 12 months, and the lifetime prevalence is 4.4% of adults in the U.S. The risk of ASIB is uniquely high in patients during bipolar depressive episodes, compared to those with MDD, thought disorders, and personality disorders. Lifetime suicide behavior occurs in 25% to 56% of people with bipolar depression. It is possible that a significant portion of the approximately 48,000 deaths in 2021 from suicide in the U.S. were associated with bipolar depression. Substance abuse is high in this population and death due to drug overdoses are generally not counted as suicides. Furthermore, according to the CDC, the COVID-19 pandemic increased many of the risk factors for suicide. Patients with bipolar depression are 20-30 times more likely to attempt suicide than the general population. Some epidemiological study data suggests that over the course of 5 years, approximately 1 in 5 patients suffering from bipolar depression may attempt suicide or have serious thoughts about attempting suicide. The overall rate of death by suicide among bipolar patients is approximately 10-30 fold greater than that of the general population. Those who have attempted suicide are at significantly higher risk to experience another suicide attempt or die by suicide. Thus, ASIB in bipolar depression has uniquely lethal clinical characteristics.</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Current Treatment Options for ASIB in Bipolar Depression</w:t>
      </w:r>
    </w:p>
    <w:p>
      <w:pPr>
        <w:pStyle w:val="TextBody"/>
        <w:spacing w:before="16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Despite its lethal characteristics, there are no approved pharmacologic treatments for patients with ASIB in bipolar depression. As a result, ECT, often combined with inpatient psychiatric care, remains the only FDA-approved treatment for patients with ASIB in bipolar depression, despite ECT’s well-documented side effects that include memory loss and confusion, along with its high cost. In recent years, several combined D2/5-HT2a antagonists have been shown to have efficacy in treating bipolar depression (olanzapine/ fluoxetine combination, quetiapine, lurasidone, cariprazine, lumateperone) with treatment guidelines endorsing common use as first-line standard-of-care treatment in acute bipolar depression. While these medications are effective at reducing overall symptoms of depression, they do not specifically reduce suicidal ideation, and may potentially increase the risk of suicide. In the two bipolar depression registration studies of lurasidone, individuals with active suicidal ideation were specifically excluded because of concerns regarding the possibility of exacerbating suicidality. Similarly, acutely suicidal patients are routinely excluded from clinical trials of other experimental anti-depressive agents. Thus, ASIB in bipolar depression represents a major unmet medical need that must frequently be treated with voluntary or involuntary hospitalization under highly supervised conditions and in some cases the use of ECT.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Whereas all approved drugs for depression act primarily through monoaminergic mechanisms, the serendipitous discovery that ketamine can have a rapid and profound effect on depression and suicidality led to the realization that the glutamate system and the N-methyl-D-aspartate receptor (“NMDAR”) may also play an important role in depression and suicidality. In our Phase IIb/III registrational study, acutely suicidal and depressed bipolar patients will receive a single low dose of IV ketamine to determine clinical response. Patients who respond with an acute improvement of suicidality and depressive symptoms to ketamine (NRX-100), in a separate study will receive NRX-101 orally twice daily for up to six weeks to determine if NRX-101 may prolong the resolution of depressive symptoms and time to clinical relapse versus lurasidone.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NMDAR-based Treatment for Bipolar Depression</w:t>
      </w:r>
    </w:p>
    <w:p>
      <w:pPr>
        <w:pStyle w:val="TextBody"/>
        <w:spacing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NRX-101 is a dual-targeted sequential therapy regimen (the “NRx Pharmaceuticals Sequential Therapy”) originally consisting of an initial stabilization treatment with NRX-100 (intravenous ketamine) followed by 6-week treatment with NRX-101 (combined DCS and lurasidone). The treatment is intended for rapid stabilization of individuals with ASIB related to acute exacerbation of depressive symptoms in individuals with bipolar disorder, followed by longer term stabilization to permit resolution of the crisis. The drug is intended for treatment of both depression and ASIB in individuals with an acute depressive decompensation in bipolar disorder.</w:t>
      </w:r>
    </w:p>
    <w:p>
      <w:pPr>
        <w:pStyle w:val="TextBody"/>
        <w:spacing w:before="227"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Rationale for NRX Sequential Treatment</w:t>
      </w:r>
    </w:p>
    <w:p>
      <w:pPr>
        <w:pStyle w:val="TextBody"/>
        <w:spacing w:before="15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NRX-100 is an intravenous infusion of ketamine administered to enable an initial rapid stabilization of patients with bipolar depression who are acutely suicidal. Once a patient who initially was acutely suicidal is sufficiently stable NRX-101 is administered. NRX-101 is a fixed-dose combination oral capsule composed of DCS and lurasidone used to maintain remission from acute suicidality in acutely depressed bipolar patients. Congruent with our strategy of applying innovative science to known molecules, the NRx Sequential Therapy takes advantage of the unique synergistic confluence of three FDA-approved drugs with long histories of use: DCS, lurasidone and ketamine.</w:t>
      </w:r>
    </w:p>
    <w:p>
      <w:pPr>
        <w:pStyle w:val="TextBody"/>
        <w:spacing w:before="15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DCS is a broad-spectrum antibiotic approved for the treatment of tuberculosis (Seromycin, or Cycloserine). DCS has been used in millions of patients and has a well-known safety profile. Its antidepressant effects were first noted as a serendipitous observation in individuals with co-morbid tuberculosis and depression receiving high-dose DCS treatment for anti-tuberculosis therapy and subsequently confirmed in a prospective investigation. However, these were not pursued further at the time because of the liability of DCS to induce significant psychotomimetic side effects when given at high dose. The interaction of DCS with the NMDA receptor was first demonstrated in 1989, leading to some interest in NMDAR blockers as potential antidepressant treatments. For example, both DCS and the related compound ACPC were shown to be active in mice, using the forced swim test for depression.</w:t>
      </w:r>
    </w:p>
    <w:p>
      <w:pPr>
        <w:pStyle w:val="TextBody"/>
        <w:spacing w:before="15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High-dose (&gt;500 mg) DCS was subsequently shown to reduce persistent depressive symptoms in patients with MDD who were depressed despite treatment with approved antidepressant agents. A slow DCS titration was used, with 250 mg/dX3 days, followed by 500 mg/d for 18 days (i.e., until end of week 3); followed by 750 mg/day for 1 week (i.e., until end of week 4), followed by 1000 mg/day (i.e., until end of study). In the study (Figure 13), significant beneficial effects were observed in 13 subjects vs. placebo control with SSRI- nonresponsive depressive symptoms. The improvements were manifest within two weeks and persisted throughout the six-week treatment period. These data suggest a &gt;0.9 effect size. Statistical separation between groups was observed by end of week 4, i.e., within 1 week of initiation of a dose &gt;500 mg/day. An unexpected finding of the study was that psychotomimetic effects of combined DCS and antidepressants were minimal, suggesting unexpected synergy between the two components of the treatment.</w:t>
      </w:r>
    </w:p>
    <w:p>
      <w:pPr>
        <w:pStyle w:val="TextBody"/>
        <w:spacing w:before="15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Lurasidone is an atypical antipsychotic with approval for the treatment of depressive episodes associated with bipolar I depression in adults and pediatric patients (10-17 years old) as a monotherapy and as an adjunctive therapy with lithium or valproate in adults. It is also approved for the treatment of schizophrenia in adults and patients 13-17 years of age.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Ketamine HCl is a dissociative, rapid-acting general anesthetic for intravenous or intramuscular injection, approved for surgical anesthesia. Ketamine has shown in multiple randomized clinical trials the potential to rapidly reduce depressive symptoms and suicidal ideation. However, the clinical effect has been demonstrated to diminish three to seven days post-dose when used intravenously and two days post-dose when the S-enantiomer is delivered intranasally. Ketamine is classified as a schedule III substance under the Controlled Substances Act, due to its potential for addiction.</w:t>
      </w:r>
    </w:p>
    <w:p>
      <w:pPr>
        <w:pStyle w:val="TextBody"/>
        <w:spacing w:before="15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Whereas ketamine is a direct NMDA channel blocker, which binds to the phencyclidine binding site, DCS in high doses has an NMDA-antagonist effect mediated through interaction with the glycine binding site. This effect is apparently unrelated to its properties as an anti-infective. By combining the potential of DCS to extend the anti-depressant effects of ketamine with the antipsychotic properties of lurasidone, the NRx Pharmaceuticals Sequential Therapy has the potential to stabilize individuals with bipolar depression during acute crisis and address a serious medical need.</w:t>
      </w:r>
    </w:p>
    <w:p>
      <w:pPr>
        <w:pStyle w:val="TextBody"/>
        <w:spacing w:before="15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Ketamine HCl, infused at 0.5 mg/kg IV over 40 minutes has been shown to induce acute reductions in suicidality and depression in patients with bipolar depression, relative to control. Numerous reports have documented approximately a 50% reduction in the MADRS and up to a 75% reduction in suicidality following a single infusion of ketamine in patients with suicidal ideation and depression. While the long-term repeat use of ketamine for psychiatric indications may be concerning to some, DCS, when combined with Selective Serotonin Reuptake Inhibitor (“SSRI”) antidepressants in patients with treatment resistant depression, and when combined with atypical antipsychotics, in particular lurasidone, has shown separation from control and ability to maintain remission from suicidality and depression over 6 weeks with oral use.</w:t>
      </w:r>
    </w:p>
    <w:p>
      <w:pPr>
        <w:pStyle w:val="TextBody"/>
        <w:spacing w:before="153" w:after="240"/>
        <w:ind w:left="0" w:right="0" w:firstLine="399"/>
        <w:jc w:val="center"/>
        <w:rPr>
          <w:color w:val="231F20"/>
        </w:rPr>
      </w:pPr>
      <w:r>
        <w:rPr>
          <w:color w:val="231F20"/>
        </w:rPr>
        <w:drawing>
          <wp:inline distT="0" distB="0" distL="0" distR="0">
            <wp:extent cx="1866900" cy="1704975"/>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3"/>
                    <a:stretch>
                      <a:fillRect/>
                    </a:stretch>
                  </pic:blipFill>
                  <pic:spPr bwMode="auto">
                    <a:xfrm>
                      <a:off x="0" y="0"/>
                      <a:ext cx="1866900" cy="1704975"/>
                    </a:xfrm>
                    <a:prstGeom prst="rect">
                      <a:avLst/>
                    </a:prstGeom>
                  </pic:spPr>
                </pic:pic>
              </a:graphicData>
            </a:graphic>
          </wp:inline>
        </w:drawing>
      </w:r>
    </w:p>
    <w:p>
      <w:pPr>
        <w:pStyle w:val="TextBody"/>
        <w:spacing w:before="0" w:after="200"/>
        <w:ind w:left="0" w:right="0" w:firstLine="810"/>
        <w:jc w:val="center"/>
        <w:rPr>
          <w:rFonts w:ascii="Times New Roman;Times;serif" w:hAnsi="Times New Roman;Times;serif"/>
          <w:i/>
          <w:color w:val="231F20"/>
          <w:sz w:val="18"/>
        </w:rPr>
      </w:pPr>
      <w:r>
        <w:rPr>
          <w:rFonts w:ascii="Times New Roman;Times;serif" w:hAnsi="Times New Roman;Times;serif"/>
          <w:i/>
          <w:color w:val="231F20"/>
          <w:sz w:val="18"/>
        </w:rPr>
        <w:t>Figure 2 Effect of DCS on persistent depressive symptoms in MDD, when added to existing anti-depressants (Heresco-Levy et. al. 2013).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Preclinical Observations</w:t>
      </w:r>
    </w:p>
    <w:p>
      <w:pPr>
        <w:pStyle w:val="TextBody"/>
        <w:spacing w:before="14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Cross-species translation of DCS effects is based upon plasma level, such that NMDAR antagonist effects are observed consistently at plasma levels &gt;25 μg/ml (~250 μM). This plasma level is achieved in rodents with doses &gt;30 mg/kg and in humans with doses &gt;10 mg/kg. Evidence for functional target engagement at these doses comes from 1) rodent behavioral studies, 2) clinical studies of DCS in schizophrenia, and 3) clinical studies of DCS in depression.</w:t>
      </w:r>
    </w:p>
    <w:p>
      <w:pPr>
        <w:pStyle w:val="TextBody"/>
        <w:spacing w:before="15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Effects of DCS on NMDAR activation were first evaluated in 1990 by Hood et al., 1989 who noted inhibition of NMDAR activation by DCS at doses similar to our proposed active dose. These effects were subsequently confirmed by Watson et al., 1990, and the issue of high-dose antagonist effects of DCS were extensively discussed by Lanthorn et al., 1994.</w:t>
      </w:r>
    </w:p>
    <w:p>
      <w:pPr>
        <w:pStyle w:val="TextBody"/>
        <w:spacing w:before="15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majority of rodent behavioral studies conducted with DCS used doses of DCS of 30 mg/kg produced significant dose-dependent anxiolytic effects in the fear-potentiated startle assay that were similar to those produced by the known NMDAR glycine-site antagonist 7-chlorokynurenate. The authors state as follows: “…the results of the present study show that D-cycloserine exhibits anxiolytic activity at higher doses, an effect consistent with antagonist activity,” and also argue for potential effectiveness of DCS in treatment of anxiety- and fear-related disorders including generalized anxiety disorder or PTSD.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Preclinical Safety</w:t>
      </w:r>
    </w:p>
    <w:p>
      <w:pPr>
        <w:pStyle w:val="TextBody"/>
        <w:spacing w:before="14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 major concern with use of agents that block the channel site of the NMDAR is their propensity to induce neurotoxicity within frontal brain regions (“Olney lesions”) with extended or higher levels of exposure. This propensity for neurotoxicity has been observed with direct channel-blocking NMDAR agents, but has not been observed with any glycine-site modulator, such as NRX-101. The concern regarding neurotoxicity has caused the FDA to issue new guidance for the development of NMDAR-targeted antidepressants, requiring neurotoxicity studies, according to FDA-agreed protocols. This element of NMDAR-targeted antidepressant use may become increasingly relevant in coming years, because drugs containing ketamine and dextromethorphan, two molecules with known neurotoxic potential in humans have been proposed for repeated administration in the treatment of depression.</w:t>
      </w:r>
    </w:p>
    <w:p>
      <w:pPr>
        <w:pStyle w:val="TextBody"/>
        <w:spacing w:lineRule="auto" w:line="240" w:before="146" w:after="240"/>
        <w:ind w:left="0" w:right="0" w:firstLine="399"/>
        <w:jc w:val="both"/>
        <w:rPr>
          <w:rFonts w:ascii="Times New Roman;Times;serif" w:hAnsi="Times New Roman;Times;serif"/>
          <w:sz w:val="20"/>
        </w:rPr>
      </w:pPr>
      <w:r>
        <w:rPr>
          <w:rFonts w:ascii="Times New Roman;Times;serif" w:hAnsi="Times New Roman;Times;serif"/>
          <w:color w:val="231F20"/>
          <w:sz w:val="20"/>
        </w:rPr>
        <w:t>We took advice from the FDA in 2016 and conducted a rodent neurotoxicity study according to a protocol agreed in advance between the FDA and NRx Pharmaceuticals. The combination of the drugs for the NRx Pharmaceuticals Sequential Therapy (DCS, lurasidone, and ketamine) were tested according to this protocol and found to have no evidence of neurotoxicity (Figure 3) demonstrating safety factors of 4-fold, 16-fold and 7.4-fold for ketamine, DCS, and lurasidone, respectively.</w:t>
      </w:r>
      <w:r>
        <w:rPr>
          <w:rFonts w:ascii="Times New Roman;Times;serif" w:hAnsi="Times New Roman;Times;serif"/>
          <w:color w:val="231F20"/>
          <w:sz w:val="15"/>
        </w:rPr>
        <w:t>vi</w:t>
      </w:r>
      <w:r>
        <w:rPr>
          <w:rFonts w:ascii="Times New Roman;Times;serif" w:hAnsi="Times New Roman;Times;serif"/>
          <w:color w:val="231F20"/>
          <w:sz w:val="20"/>
        </w:rPr>
        <w:t xml:space="preserve"> Each of the proposed drugs has a long history of safe use in humans, and their adverse event profiles are well characterized.</w:t>
      </w:r>
    </w:p>
    <w:p>
      <w:pPr>
        <w:pStyle w:val="TextBody"/>
        <w:spacing w:before="0" w:after="240"/>
        <w:ind w:left="0" w:right="0" w:hanging="0"/>
        <w:rPr/>
      </w:pPr>
      <w:r>
        <w:rPr/>
        <w:t>​</w:t>
      </w:r>
    </w:p>
    <w:p>
      <w:pPr>
        <w:pStyle w:val="TextBody"/>
        <w:spacing w:before="0" w:after="0"/>
        <w:ind w:left="0" w:right="0" w:hanging="0"/>
        <w:jc w:val="center"/>
        <w:rPr>
          <w:color w:val="231F20"/>
        </w:rPr>
      </w:pPr>
      <w:r>
        <w:rPr>
          <w:color w:val="231F20"/>
        </w:rPr>
        <w:drawing>
          <wp:inline distT="0" distB="0" distL="0" distR="0">
            <wp:extent cx="2714625" cy="1438275"/>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4"/>
                    <a:stretch>
                      <a:fillRect/>
                    </a:stretch>
                  </pic:blipFill>
                  <pic:spPr bwMode="auto">
                    <a:xfrm>
                      <a:off x="0" y="0"/>
                      <a:ext cx="2714625" cy="1438275"/>
                    </a:xfrm>
                    <a:prstGeom prst="rect">
                      <a:avLst/>
                    </a:prstGeom>
                  </pic:spPr>
                </pic:pic>
              </a:graphicData>
            </a:graphic>
          </wp:inline>
        </w:drawing>
      </w:r>
    </w:p>
    <w:p>
      <w:pPr>
        <w:pStyle w:val="TextBody"/>
        <w:spacing w:before="0" w:after="200"/>
        <w:ind w:left="0" w:right="0" w:hanging="0"/>
        <w:jc w:val="center"/>
        <w:rPr>
          <w:rFonts w:ascii="Times New Roman;Times;serif" w:hAnsi="Times New Roman;Times;serif"/>
          <w:i/>
          <w:color w:val="231F20"/>
          <w:sz w:val="18"/>
        </w:rPr>
      </w:pPr>
      <w:r>
        <w:rPr>
          <w:rFonts w:ascii="Times New Roman;Times;serif" w:hAnsi="Times New Roman;Times;serif"/>
          <w:i/>
          <w:color w:val="231F20"/>
          <w:sz w:val="18"/>
        </w:rPr>
        <w:t>Figure 3 Rodent neurotoxicity study showing “Olney lesions” induced by the NMDAR channel blocker MK-801 (right). No significant neurotoxicity was observed for DCS (left). Source: Jordan 2022</w:t>
      </w:r>
    </w:p>
    <w:p>
      <w:pPr>
        <w:pStyle w:val="TextBody"/>
        <w:spacing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Direct channel-blocking NMDAR-targeted antidepressants have shown substantial propensity for addiction and abuse liability, a propensity that has not been seen with glycine site modulators. This propensity may be related to theories that have been advanced indicating that such agents also bind opiate receptors. DCS has also been investigated in a drug-abuse liability assay using intravenous self-administration. Both ketamine and S-ketamine are known to have significant abuse liability and support self-administration in rodents. Substantial abuse liability is also known in association with dextromethorphan. We conducted a rodent abuse liability study in which the relative abilities of ketamine, S-ketamine and DCS to support self-administration were investigated in animals trained to self-administer ketamine (Figure 4). As expected, both ketamine (gray bar) and S-ketamine (yellow bar) significantly replaced ketamine, consistent with high clinical abuse potential. DCS did not significantly replace ketamine in this assay, consistent with lack of reported clinical abuse despite &gt;50 years of clinical use.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99"/>
        <w:jc w:val="center"/>
        <w:rPr>
          <w:color w:val="231F20"/>
        </w:rPr>
      </w:pPr>
      <w:r>
        <w:rPr>
          <w:color w:val="231F20"/>
        </w:rPr>
        <w:drawing>
          <wp:inline distT="0" distB="0" distL="0" distR="0">
            <wp:extent cx="2070100" cy="1272540"/>
            <wp:effectExtent l="0" t="0" r="0" b="0"/>
            <wp:docPr id="3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4" descr=""/>
                    <pic:cNvPicPr>
                      <a:picLocks noChangeAspect="1" noChangeArrowheads="1"/>
                    </pic:cNvPicPr>
                  </pic:nvPicPr>
                  <pic:blipFill>
                    <a:blip r:embed="rId5"/>
                    <a:stretch>
                      <a:fillRect/>
                    </a:stretch>
                  </pic:blipFill>
                  <pic:spPr bwMode="auto">
                    <a:xfrm>
                      <a:off x="0" y="0"/>
                      <a:ext cx="2070100" cy="1272540"/>
                    </a:xfrm>
                    <a:prstGeom prst="rect">
                      <a:avLst/>
                    </a:prstGeom>
                  </pic:spPr>
                </pic:pic>
              </a:graphicData>
            </a:graphic>
          </wp:inline>
        </w:drawing>
      </w:r>
    </w:p>
    <w:p>
      <w:pPr>
        <w:pStyle w:val="TextBody"/>
        <w:spacing w:before="0" w:after="200"/>
        <w:ind w:left="0" w:right="0" w:hanging="0"/>
        <w:jc w:val="center"/>
        <w:rPr>
          <w:rFonts w:ascii="Times New Roman;Times;serif" w:hAnsi="Times New Roman;Times;serif"/>
          <w:i/>
          <w:color w:val="231F20"/>
          <w:sz w:val="18"/>
        </w:rPr>
      </w:pPr>
      <w:r>
        <w:rPr>
          <w:rFonts w:ascii="Times New Roman;Times;serif" w:hAnsi="Times New Roman;Times;serif"/>
          <w:i/>
          <w:color w:val="231F20"/>
          <w:sz w:val="18"/>
        </w:rPr>
        <w:t>Figure 4 Relative effects of DCS and ketamine on rodent self-administration, showing a significant difference between ketamine and DCS, and no significant difference between DCS and saline. Source: Psychogenics, Inc.</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Phase IIb/III Clinical Trial - Sequential Therapy (NRX-100 Followed by NRX-101) for the Treatment of Acute Suicidal Ideation and Behavior in Bipolar Depression: the STABIL-B Study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Study Design</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An initial study was conducted to confirm the selected dosing levels for DCS and lurasidone and evaluate the NRx Pharmaceuticals Sequential Therapy approach. The study enrolled patients with severe bipolar depression and acute suicidal ideation and behavior. Severe depressive symptoms are defined as a score of 30 or higher on the Bipolar Inventory of Symptoms Scale (“BISS”) derived MADRS score (“BDM”). Active suicidal intent with or without plan, but requiring hospitalization, was defined as a score of 4 or 5 using the Columbia Suicide Severity Rating Scale (“C-SSRS”). In Stage 1, all subjects received treatment with a blinded infusion of ketamine (0.5 mg/kg) or saline. Response to Stage 1 was defined as 25% improvement in BDM, and C-SSRS 3 or less. Responders to Stage 1 were entered into a 6-week double-blind comparison study of NRX-101 vs. lurasidone alone. The objective of the study was to demonstrate significant superiority of NRX-101 vs. lurasidone alone for maintenance of improvement and prevention of relapse following initial successful IV ketamine treatment.</w:t>
      </w:r>
    </w:p>
    <w:p>
      <w:pPr>
        <w:pStyle w:val="TextBody"/>
        <w:spacing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Dosing: Target doses were used of 950 mg for DCS and 66 mg for lurasidone. Both compounds were titrated upwards over the initial 5-days of treatment. Flexible dosing was permitted to allow dose reduction for side effects, or dose increases for agitation.</w:t>
      </w:r>
    </w:p>
    <w:p>
      <w:pPr>
        <w:pStyle w:val="TextBody"/>
        <w:spacing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Endpoints: The primary endpoint consisted of relative change in BDM score between NRX-101 and lurasidone. Secondary endpoints included suicidality, as reflect in both C-SSRS score and clinician-rated global suicidality impression score (“CGI-SS”) and relapse.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Study Results</w:t>
      </w:r>
    </w:p>
    <w:p>
      <w:pPr>
        <w:pStyle w:val="TextBody"/>
        <w:spacing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Stage 1: 22 subjects entered Stage 1. 17 were assigned to IV ketamine (NRX-100) and 5 to saline. All subjects showed significant response to treatment and were entered into Stage 2.</w:t>
      </w:r>
    </w:p>
    <w:p>
      <w:pPr>
        <w:pStyle w:val="TextBody"/>
        <w:spacing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Stage 2: Data were analyzed for the 17 subjects who responded to IV ketamine in Stage 1. These subjects were randomized to either NRX-101 (n=12) or lurasidone alone (n=5). Sequential treatment with ketamine/NRX-101 significantly reduced depression symptoms compared to sequential treatment with ketamine/lurasidone alone (P=.032) in a last-observation carried forward (“LOCF”) analysis. In a parallel MMRM analysis, a statistical difference of P=0.09 was observed between groups. In addition, there were no relapses during NRX-101 treatment (0/12, 0%) vs. 2 relapses in the lurasidone alone group (2/5, 40%). The between-group significance level of P=0.0735 was not significant but showed feasibility of detecting a difference with larger samples given a similar response pattern.</w:t>
      </w:r>
    </w:p>
    <w:p>
      <w:pPr>
        <w:pStyle w:val="TextBody"/>
        <w:spacing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LOCF analyses of secondary endpoints, a significant between-group difference was also observed both for C-SSRS (P=0.02) and for CGI-SS (P=0.019). These findings suggest clinically noticeable between-group differences in liability for return of suicidality following initial ketamine treatment. Both effects were non-significant (p =0.11; P=0.15) on MMRM analysis.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99"/>
        <w:jc w:val="center"/>
        <w:rPr>
          <w:color w:val="231F20"/>
        </w:rPr>
      </w:pPr>
      <w:r>
        <w:rPr>
          <w:color w:val="231F20"/>
        </w:rPr>
        <w:drawing>
          <wp:inline distT="0" distB="0" distL="0" distR="0">
            <wp:extent cx="2743200" cy="1752600"/>
            <wp:effectExtent l="0" t="0" r="0" b="0"/>
            <wp:docPr id="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 descr=""/>
                    <pic:cNvPicPr>
                      <a:picLocks noChangeAspect="1" noChangeArrowheads="1"/>
                    </pic:cNvPicPr>
                  </pic:nvPicPr>
                  <pic:blipFill>
                    <a:blip r:embed="rId6"/>
                    <a:stretch>
                      <a:fillRect/>
                    </a:stretch>
                  </pic:blipFill>
                  <pic:spPr bwMode="auto">
                    <a:xfrm>
                      <a:off x="0" y="0"/>
                      <a:ext cx="2743200" cy="1752600"/>
                    </a:xfrm>
                    <a:prstGeom prst="rect">
                      <a:avLst/>
                    </a:prstGeom>
                  </pic:spPr>
                </pic:pic>
              </a:graphicData>
            </a:graphic>
          </wp:inline>
        </w:drawing>
      </w:r>
    </w:p>
    <w:p>
      <w:pPr>
        <w:pStyle w:val="TextBody"/>
        <w:spacing w:before="0" w:after="200"/>
        <w:ind w:left="360" w:right="0" w:hanging="0"/>
        <w:jc w:val="center"/>
        <w:rPr>
          <w:rFonts w:ascii="Times New Roman;Times;serif" w:hAnsi="Times New Roman;Times;serif"/>
          <w:i/>
          <w:color w:val="231F20"/>
          <w:sz w:val="18"/>
        </w:rPr>
      </w:pPr>
      <w:r>
        <w:rPr>
          <w:rFonts w:ascii="Times New Roman;Times;serif" w:hAnsi="Times New Roman;Times;serif"/>
          <w:i/>
          <w:color w:val="231F20"/>
          <w:sz w:val="18"/>
        </w:rPr>
        <w:t>Figure 5: Change in depression score during Stage 1 and Stage 2 of the STABIL-B study. All subjects improved significantly in Stage 1. In Stage 2, subjects assigned to NRX-101 showed no significant worsening of depression, or reversion toward pre-Study 1 baseline. By contrast, significant worsening was observed in the lurasidone alone group. The mean difference in BDM score through day 42 was 7.7 points (P=0.032 between groups), which was considered a statistically large effect (d=1.60). Source: Nierenberg 2022</w:t>
      </w:r>
    </w:p>
    <w:p>
      <w:pPr>
        <w:pStyle w:val="TextBody"/>
        <w:spacing w:before="0" w:after="0"/>
        <w:ind w:left="0" w:right="0" w:hanging="0"/>
        <w:jc w:val="center"/>
        <w:rPr>
          <w:color w:val="231F20"/>
        </w:rPr>
      </w:pPr>
      <w:r>
        <w:rPr>
          <w:color w:val="231F20"/>
        </w:rPr>
        <w:drawing>
          <wp:inline distT="0" distB="0" distL="0" distR="0">
            <wp:extent cx="4010025" cy="1019175"/>
            <wp:effectExtent l="0" t="0" r="0" b="0"/>
            <wp:docPr id="4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6" descr=""/>
                    <pic:cNvPicPr>
                      <a:picLocks noChangeAspect="1" noChangeArrowheads="1"/>
                    </pic:cNvPicPr>
                  </pic:nvPicPr>
                  <pic:blipFill>
                    <a:blip r:embed="rId7"/>
                    <a:stretch>
                      <a:fillRect/>
                    </a:stretch>
                  </pic:blipFill>
                  <pic:spPr bwMode="auto">
                    <a:xfrm>
                      <a:off x="0" y="0"/>
                      <a:ext cx="4010025" cy="1019175"/>
                    </a:xfrm>
                    <a:prstGeom prst="rect">
                      <a:avLst/>
                    </a:prstGeom>
                  </pic:spPr>
                </pic:pic>
              </a:graphicData>
            </a:graphic>
          </wp:inline>
        </w:drawing>
      </w:r>
    </w:p>
    <w:p>
      <w:pPr>
        <w:pStyle w:val="TextBody"/>
        <w:spacing w:before="0" w:after="200"/>
        <w:ind w:left="0" w:right="0" w:hanging="0"/>
        <w:jc w:val="center"/>
        <w:rPr>
          <w:rFonts w:ascii="Times New Roman;Times;serif" w:hAnsi="Times New Roman;Times;serif"/>
          <w:i/>
          <w:color w:val="231F20"/>
          <w:sz w:val="18"/>
        </w:rPr>
      </w:pPr>
      <w:r>
        <w:rPr>
          <w:rFonts w:ascii="Times New Roman;Times;serif" w:hAnsi="Times New Roman;Times;serif"/>
          <w:i/>
          <w:color w:val="231F20"/>
          <w:sz w:val="18"/>
        </w:rPr>
        <w:t>Table 1 Change in scores related to suicidal ideation and intent (C-SSRS and CGI-SS) during stage 2 of the STABIL-B study. When scores are analyzed using “Last Observation Carried Forward” (LOCF) a statistically significant difference favoring NRX-101 vs. lurasidone is observed.</w:t>
      </w:r>
    </w:p>
    <w:p>
      <w:pPr>
        <w:pStyle w:val="TextBody"/>
        <w:spacing w:before="16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No significant treatment-related safety issues were observed in either group, and no deaths were reported in the study. Plasma DCS levels achieved during the study were within the range expected based on prior human PK studies.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Study Interpretation</w:t>
      </w:r>
    </w:p>
    <w:p>
      <w:pPr>
        <w:pStyle w:val="TextBody"/>
        <w:spacing w:before="16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Overall, these results support continued development of NRX-101 for maintenance of clinical benefit in both depression and suicidality following initial successful treatment with IV ketamine. Significant group differences were observed on LOCF analysis for both depressive symptoms, which was the prespecified primary endpoint, and for suicidality, which was a pre-specified key secondary endpoint. For suicidality, significant LOCF differences were observed both for formal suicidality ratings obtained by certified raters and for clinical impression recorded by the treating physician, suggesting clinically meaningful effect.</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The differences were significant in the MMRM analyses, suggesting an effect size in excess of 1.5, which if replicated would exceed the effect size seen with currently approved antidepressants. To increase the likelihood of a successful follow-on trial, NRx powered the phase 2 trial to detect an effect size of 0.72, approximately have the effect size observed in the STABIL-B study. This power analysis suggested a sample size of at least 62 patients and the Company adopted a final sample size of 72 patients to allow for dropouts and losses to follow up. Thus, the magnitude of expected between-group differences suggested that a sample size of 72 subjects would be sufficient to achieve clinical significance if half the effect size seen in the STABIL-B is observed.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Study Summary</w:t>
      </w:r>
    </w:p>
    <w:p>
      <w:pPr>
        <w:pStyle w:val="TextBody"/>
        <w:spacing w:before="147"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We initiated a clinical research program of NRX-101 during the second half of 2017 under an FDA IND application that was granted Fast Track designation by the FDA in August 2017 and upon presentation of the results was granted Breakthrough Therapy designation by the FDA in November 2018. In April 2018, the FDA granted a Special Protocol Agreement (SPA). We completed a Phase II clinical trial (the STABIL-B trial) of NRX-101 in 22 patients with severe bipolar depression and Acute Suicidal Ideation and Behavior (ASIB) following initial stabilization with a single dose of ketamine (NRX-100) and saw a statistically significant reduction in depression (P=0.04) and suicidal ideation (P=0.02) compared to lurasidone alone over 42 days of treatment. If this statistically-significant advantage is replicated in the Phase IIb/III clinical trial, under the terms agreed to with the FDA in our Special Protocol Agreement, or in a similar design as per the latest FDA guidance, we aim to submit an NDA to the FDA for the regulatory approval and commercialization of NRX-101 in the U.S. in 2023 and will evaluate our ability to submit to regulatory agencies in other regions or countries.</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believe our products are urgently needed by patients because no current serotonin-targeted antidepressant (such as SSRI drugs) or atypical antipsychotic (e.g., the D2/5HT2A drugs) has been shown to decrease suicidal ideation in patients with bipolar depression or PTSD. Moreover, drugs in these classes bear an FDA-mandated warning regarding the potential increased risk of suicide in vulnerable patients, and to monitor all antidepressant-treated patients for the increased risk of suicide. Ketamine has been shown to decrease suicidal ideation because of its NMDA-blocking properties, but is known to be hallucinogenic, addictive, potentially neurotoxic, and not administrable by mouth. The only FDA-approved therapy for patients with suicidal bipolar depression remains electroconvulsive therapy (“ECT”), a treatment that is known to be effective, but to have a large number of serious side effects, and is very disruptive to the lives of these individuals.</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Analysis of the STABIL-B trial showed a statistically significant reduction in depression and suicidal ideation vs. the control group over 42 days. We commenced a pivotal Phase IIb/III clinical trial under an FDA Special Protocol Agreement of our lead product candidate, NRX-101, in 2019 and paused that study due to the pandemic. During this pause we advanced the commercial manufacture of NRX-101, transferring the manufacture from China to the USA. We concluded this transfer and have now generated clinical supplies of NRX-101 using the expected commercial manufacturing process. In 2022 we initiated a Phase II trial of NRX-101 in patients with bipolar depression with SSIB. As of late October 2022, this study is using these new manufactured clinical supplies. In January of 2023 we announced the initiation of a new Phase IIb/III clinical study under the SPA agreement. On February 13, 2023, we issued a press release announcing the receipt of the written minutes and feedback received from the FDA in a Type B meeting held on January 11, 2023. FDA guided the Company to broaden the overall clinical program of NRX-101 to include safety data that would enable the chronic/intermittent use of NRX-101, in accordance with the ICH requirements. ICH requirements should be 1500 patients in the short term, 300-600 patients for 6 months and at least 100 patients for 12 months. This could enable a pathway for the use of NRX-101 by a broader segment of the approximately 7 million individuals in the U.S. with Bipolar Disorder on a long-term basis. The Company is evaluating the timing and cost of expanding its clinical program to access this larger population, as well as the overall guidance provided by the FDA.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Phase IIb/III Clinical Trial - NRX-101 for the Treatment of Severe Bipolar Depression and Subacute Suicidal Ideation or Behavior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color w:val="231F20"/>
          <w:sz w:val="20"/>
        </w:rPr>
        <w:t>Our Phase IIb/III study was originally aimed at investigating the effects of NRx Pharmaceuticals Sequential Therapy with IV ketamine (NRX-100) following by combined DCS + lurasidone (NRX-101) vs. ketamine-lurasidone alone. This study uses a more rapid titration schedule for DCS than was used in STABIL-B, which permits proposed therapeutic dosing levels to be obtained more rapidly. Otherwise, the study methodology remains similar. The objective of the study is to replicate findings from both the Kantrowitz et al., 2015 study (NMDA Antagonists in Bipolar Depression;</w:t>
      </w:r>
      <w:r>
        <w:rPr>
          <w:rFonts w:ascii="Times New Roman;Times;serif" w:hAnsi="Times New Roman;Times;serif"/>
          <w:sz w:val="20"/>
        </w:rPr>
        <w:t xml:space="preserve"> </w:t>
      </w:r>
      <w:r>
        <w:rPr>
          <w:rFonts w:ascii="Times New Roman;Times;serif" w:hAnsi="Times New Roman;Times;serif"/>
          <w:color w:val="231F20"/>
          <w:sz w:val="20"/>
        </w:rPr>
        <w:t xml:space="preserve">NCT01833897) and the STABIL-B trial showing rapid remission of symptoms on initial ketamine treatment, followed by maintained improvement throughout the 6-week NRX-101 treatment period. The primary hypotheses are that NRX-101 will be superior to lurasidone alone in maintenance of remission following initial successful stabilization with ketamine, as reflected both in a significant between-group separation on depression and suicidality scores as rated by the MADRS and C-SSRS scales, and in prevention of clinician-rated relapse. The study is being conducted under a SPA with the FDA, and the treatment has been granted breakthrough status. The study’s targeted enrollment of 72 subjects aged between 18-65 who will be randomized 2:1 to NRX-101 vs. lurasidone. Recruitment was halted in February 2020 due to concerns about COVID-19. Because of this pause, and our upcoming readiness of commercial drug supply, we are in the process of initiating a new study with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same protocol, though we are now evaluating this based on the latest FDA feedback. (See Item 1. Business/ Company Overview) This study will be using the aforementioned new drug supply manufactured in the U.S.</w:t>
      </w:r>
    </w:p>
    <w:p>
      <w:pPr>
        <w:pStyle w:val="TextBody"/>
        <w:spacing w:before="0" w:after="0"/>
        <w:ind w:left="0" w:right="0" w:hanging="0"/>
        <w:jc w:val="both"/>
        <w:rPr>
          <w:color w:val="231F20"/>
        </w:rPr>
      </w:pPr>
      <w:r>
        <w:rPr>
          <w:color w:val="231F20"/>
        </w:rPr>
        <w:t>​</w:t>
      </w:r>
    </w:p>
    <w:p>
      <w:pPr>
        <w:pStyle w:val="TextBody"/>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 the recent (January 11, 2023) Type B meeting with the Psychiatric Products Division (PPD) of the FDA, the PPD suggested broadening the recruitment of the study to include “recently suicidal” patients stabilized with ketamine and other standard of care approaches in order to broaden the potential label that might be assigned should NRX-101 demonstrate superiority over lurasidone in maintaining remission from depression and suicidal ideation.</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Type C Meeting Guidance Received on January 10, 2023 from the FDA on the Chemistry, Manufacturing and Controls (CMC) Aspects of the NRX-101 Program</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response to a request for Type C guidance on the chemistry, manufacturing and controls (CMC) aspects of the NRX-101 program, FDA provided Written Responses on January 10, 2023. As previously announced in October 2022, an updated NRX-101 module 3 was submitted to add the intended commercial manufacturer to the IND. With FDA’s written response, it appears that NRx Pharmaceuticals has reached alignment with the FDA regarding its proposed registration manufacturing and stability monitoring plan. Accordingly, all clinical trials and expanded access programs being conducted with NRX-101 are now being conducted with investigational product manufactured to commercial standards.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Minutes from the Company’s Type B Meeting with the U.S. Food and Drug Administration’s Division of Psychiatry Products Held on January 11, 2023 </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purpose of the meeting was to discuss requirements for submission of a New Drug Application for NRX-101. FDA noted in written correspondence that the Special Protocol Agreement (SPA), granted in April 2019 remains in effect. Additionally, the FDA suggested during the meeting that a broadening of the addressable population of the indication (under the SPA or otherwise) to patients with severe bipolar depression and Recent Acute Suicidality regardless of how the initial stabilization was accomplished could represent a more straightforward development program. This broader indication would enable the Company to potentially demonstrate the use of NRX-101 to maintain stabilization from suicidality in patients stabilized either with ketamine or with other standard of care therapeutic approaches. FDA noted that, should the results of such a study be driven primarily by subjects stabilized with ketamine, a New Drug Application for ketamine would also be required.</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FDA further guided the Company to broaden the study of NRX-101 to allow for chronic/intermittent treatment of patients with Bipolar Depression and suicidality. This could enable a pathway for the use of NRX-101 by a broader segment of the approximately 7 million individuals in the U.S. with Bipolar Disorder on a long-term basis. A portion of this population is already being addressed in the Company’s ongoing phase 2 trial, which recently passed its first Data Safety Monitoring Board (DSMB) safety review. Based on this guidance, the Company is considering expanding its current phase 2 clinical trial to a potential registration study now that the manufacture of phase 3/commercial-stage NRX-101 has been completed. The Company previously announced completion of a Type C meeting in which FDA agreed to the Company’s Chemical Manufacturing Control and stability program for drug manufacture.</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FDA further advised the Company that as a chronic, or chronic-intermittent treatment, the safety database requirement under ICH guidelines for NRX-101 should be 1,500 patients short term, 300-600 patients at 6 months and with at least 100 treated for 1 year. The Company is evaluating the timing and cost of this requirement to expand clinical access to this larger population. In addition to its ongoing clinical trials, the Company is planning to augment its safety database via an expanded access program, which could be supported by the availability of its new manufacturing capabilities for NRX-101 and is expected under federal law governing Breakthrough Therapy Designation. The Company will seek cost reimbursement for operating this Expanded Access Program as permitted under current FDA regulations.</w:t>
      </w:r>
    </w:p>
    <w:p>
      <w:pPr>
        <w:pStyle w:val="TextBody"/>
        <w:spacing w:before="161"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In related comments, the FDA accepted the Company’s rationale for deferring pediatric and adolescent studies with NRX-101 until after drug approval and advised the Company to include this rationale in its regulatory filings. The FDA will consider the Company’s submission of an Advice Request to evaluate waiving or deferring chronic carcinogenicity testing as a post-approval commitment. Finally, the FDA’s Controlled Substances Staff advised the Company to closely monitor abuse-related adverse events and possible cases of abuse during clinical trials.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Data Safety Monitoring Board (DSMB) Review of NRX-101 for the Treatment of Severe Bipolar Depression and Subacute Suicidal Ideation or Behavior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Safety</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In February 2023, the Company reported the recommendations of an independent Data Safety Monitoring Board (DSMB) which reviewed the safety findings of the first fifty enrolled participants in the Company’s phase II clinical trial of NRX-101 for the treatment of severe bipolar depression and subacute suicidal ideation or behavior (www.clinicaltrials.gov NCT NCT03395392). Based on a safety analysis of the first 50 enrolled patients, the DSMB recommended that enrollment in the trial continue as planned and identified no drug-related Serious Adverse Events or other safety issues of concern.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Efficacy</w:t>
      </w:r>
    </w:p>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March 2023, the Company reported the recommendations of the DSMB which reviewed the initial efficacy findings for the enrolled participants in the Company’s phase II clinical trial of NRX-101 for the treatment of severe bipolar depression and subacute suicidal ideation or behavior. The DSMB found no futility signal at this stage of the trial and the DSMB recommended that enrollment in the trial continue as planned.   According to the study's statistical analysis plan, the failure to identify futility requires that a numerical advantage of the investigational drug relative to the comparator treatment must be observed by the DSMB. The DSMB will continue to monitor safety and efficacy in the trial.</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Clinical Objectives</w:t>
      </w:r>
    </w:p>
    <w:p>
      <w:pPr>
        <w:pStyle w:val="TextBody"/>
        <w:spacing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Our clinical objective is to offer patients the clinical benefit of rapid reduction in symptoms of depression and suicidal ideation that has been observed with intravenous ketamine, while maintaining that benefit with a daily oral agent that does not have ketamine’s potential for abuse and psychosis, and/or required supervised administration. NRX-101 is designed to offer an oral, rapid-onset and sustained home-use therapy that can significantly extend ketamine’s proven anti-suicidal and antidepressant benefits without the drawbacks of ketamine.</w:t>
      </w:r>
    </w:p>
    <w:p>
      <w:pPr>
        <w:pStyle w:val="TextBody"/>
        <w:spacing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believe that NRX-101 possesses potential development advantages over competing solutions. These include:</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Initial focus on bipolar depression with suicidal ideation and behavior. Competitors’ pipeline products are focused on MDD and exclude bipolar patients from clinical trials. Patients with active suicidal ideation were routinely excluded from the clinical trials of those medicines currently approved for the treatment of bipolar depression.</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Lack of habituation and addiction. Ketamine and esketamine are DEA schedule III controlled substances and known to be potentially highly addictive. Preclinical habituation studies show no addiction potential for DCS (the NMDA component of NRX-101) and there is no reported history of abuse of DCS in more than 60 years of human use.</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Hallucinations and vomiting have not been a concern in our clinical studies with NRX-101. Ketamine and some of its derivatives have been associated with hallucinations and other dissociative side effects in numerous clinical studies. Ketamine and esketamine must be administered under medical supervision. For intranasal esketamine (an approved intranasal ketamine derivative for psychiatric use) blood pressure spikes, nausea and vomiting are frequent adverse events. Its label requires the drug to be administered under medical supervision and monitoring of blood pressure.</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preclinical studies showed no neurotoxicity: Ketamine and other NMDA blocking drugs have the potential to cause brain cell death when abused / used over extended periods of time and recent FDA guidance requires that proposed NMDA-targeted antidepressants prove the lack of neurotoxicity in histological studies.</w:t>
            </w:r>
          </w:p>
        </w:tc>
      </w:tr>
    </w:tbl>
    <w:p>
      <w:pPr>
        <w:pStyle w:val="TextBody"/>
        <w:spacing w:before="122" w:after="0"/>
        <w:ind w:left="920" w:right="0" w:hanging="0"/>
        <w:jc w:val="both"/>
        <w:rPr>
          <w:color w:val="231F20"/>
        </w:rPr>
      </w:pPr>
      <w:r>
        <w:rPr>
          <w:color w:val="231F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Additional indications for NRX-101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Depression and other symptoms of Post-traumatic Stress Disorder</w:t>
      </w:r>
    </w:p>
    <w:p>
      <w:pPr>
        <w:pStyle w:val="TextBody"/>
        <w:spacing w:lineRule="auto" w:line="240" w:before="0" w:after="240"/>
        <w:ind w:left="0" w:right="0" w:firstLine="399"/>
        <w:jc w:val="both"/>
        <w:rPr>
          <w:rFonts w:ascii="Times New Roman;Times;serif" w:hAnsi="Times New Roman;Times;serif"/>
          <w:sz w:val="20"/>
        </w:rPr>
      </w:pPr>
      <w:bookmarkStart w:id="36" w:name="_Hlk130395530"/>
      <w:bookmarkEnd w:id="36"/>
      <w:r>
        <w:rPr>
          <w:rFonts w:ascii="Times New Roman;Times;serif" w:hAnsi="Times New Roman;Times;serif"/>
          <w:sz w:val="20"/>
        </w:rPr>
        <w:t>Post-traumatic Stress Disorder (PTSD) affects 13 million Americans and 5 of every 100 adults in the US has PTSD in any given year.</w:t>
      </w:r>
      <w:r>
        <w:rPr>
          <w:rFonts w:ascii="Times New Roman;Times;serif" w:hAnsi="Times New Roman;Times;serif"/>
          <w:sz w:val="15"/>
        </w:rPr>
        <w:t>vii</w:t>
      </w:r>
      <w:r>
        <w:rPr>
          <w:rFonts w:ascii="Times New Roman;Times;serif" w:hAnsi="Times New Roman;Times;serif"/>
          <w:sz w:val="20"/>
        </w:rPr>
        <w:t xml:space="preserve"> PTSD is frequently accompanied by Depression.  However, the hallmark of PTSD is recurrent memories of the traumatic event, often called “flashbacks,” that may lead to avoidance behavior, negative thoughts, hyperarousal, and suicidal ideation.  Although there are several serotonin-targeted medicines that are indicated for use in PTSD, no serotonin-targeted antidepressant has demonstrated an effect in extinction of fear memory in patients. Recently, Sala and coworkers demonstrated the extinction of fear memory in a rodent model of PTSD.</w:t>
      </w:r>
      <w:r>
        <w:rPr>
          <w:rFonts w:ascii="Times New Roman;Times;serif" w:hAnsi="Times New Roman;Times;serif"/>
          <w:sz w:val="15"/>
        </w:rPr>
        <w:t>viii</w:t>
      </w:r>
      <w:r>
        <w:rPr>
          <w:rFonts w:ascii="Times New Roman;Times;serif" w:hAnsi="Times New Roman;Times;serif"/>
          <w:sz w:val="20"/>
        </w:rPr>
        <w:t xml:space="preserve"> The same rodent model was implemented by NRx to study the effects of NRX-101 on fear memory extinction.  </w:t>
      </w:r>
    </w:p>
    <w:p>
      <w:pPr>
        <w:pStyle w:val="TextBody"/>
        <w:spacing w:before="161" w:after="240"/>
        <w:ind w:left="0" w:right="0" w:firstLine="399"/>
        <w:jc w:val="center"/>
        <w:rPr/>
      </w:pPr>
      <w:r>
        <w:rPr/>
        <w:drawing>
          <wp:inline distT="0" distB="0" distL="0" distR="0">
            <wp:extent cx="1517650" cy="1760855"/>
            <wp:effectExtent l="0" t="0" r="0" b="0"/>
            <wp:docPr id="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 descr=""/>
                    <pic:cNvPicPr>
                      <a:picLocks noChangeAspect="1" noChangeArrowheads="1"/>
                    </pic:cNvPicPr>
                  </pic:nvPicPr>
                  <pic:blipFill>
                    <a:blip r:embed="rId8"/>
                    <a:stretch>
                      <a:fillRect/>
                    </a:stretch>
                  </pic:blipFill>
                  <pic:spPr bwMode="auto">
                    <a:xfrm>
                      <a:off x="0" y="0"/>
                      <a:ext cx="1517650" cy="1760855"/>
                    </a:xfrm>
                    <a:prstGeom prst="rect">
                      <a:avLst/>
                    </a:prstGeom>
                  </pic:spPr>
                </pic:pic>
              </a:graphicData>
            </a:graphic>
          </wp:inline>
        </w:drawing>
      </w:r>
    </w:p>
    <w:p>
      <w:pPr>
        <w:pStyle w:val="TextBody"/>
        <w:spacing w:before="0" w:after="200"/>
        <w:ind w:left="0" w:right="0" w:hanging="0"/>
        <w:jc w:val="center"/>
        <w:rPr>
          <w:rFonts w:ascii="Times New Roman;Times;serif" w:hAnsi="Times New Roman;Times;serif"/>
          <w:i/>
          <w:color w:val="231F20"/>
          <w:sz w:val="18"/>
        </w:rPr>
      </w:pPr>
      <w:r>
        <w:rPr>
          <w:rFonts w:ascii="Times New Roman;Times;serif" w:hAnsi="Times New Roman;Times;serif"/>
          <w:i/>
          <w:color w:val="231F20"/>
          <w:sz w:val="18"/>
        </w:rPr>
        <w:t xml:space="preserve">Figure 6: Effect of DCS (dark blue) and NRX-101 (light blue) in extinction of Fear Memory in the WKY rodent model. </w:t>
        <w:br/>
        <w:t>Data on File, NRx Pharmaceuticals, Inc.</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 small clinical trial was conducted by de Kleine and coworkers in which a low dose of DCS (50 mg/day) demonstrated an augmentation of response to psychotherapy for PTSD.</w:t>
      </w:r>
      <w:r>
        <w:rPr>
          <w:rFonts w:ascii="Times New Roman;Times;serif" w:hAnsi="Times New Roman;Times;serif"/>
          <w:sz w:val="15"/>
        </w:rPr>
        <w:t>ix</w:t>
      </w:r>
      <w:r>
        <w:rPr>
          <w:rFonts w:ascii="Times New Roman;Times;serif" w:hAnsi="Times New Roman;Times;serif"/>
          <w:sz w:val="20"/>
        </w:rPr>
        <w:t xml:space="preserve"> In a related editorial, Krystal suggested, “some provocative findings suggest that when fear extinction takes place during D-cycloserine administration, usual forms of neuroplasticity are enhanced and additional forms of neuroplasticity are recruited that may enhance extinction and protect against reinstatement.</w:t>
      </w:r>
      <w:r>
        <w:rPr>
          <w:rFonts w:ascii="Times New Roman;Times;serif" w:hAnsi="Times New Roman;Times;serif"/>
          <w:sz w:val="15"/>
        </w:rPr>
        <w:t>x</w:t>
      </w:r>
    </w:p>
    <w:p>
      <w:pPr>
        <w:pStyle w:val="TextBody"/>
        <w:spacing w:before="0" w:after="240"/>
        <w:ind w:left="0" w:right="0" w:hanging="0"/>
        <w:jc w:val="center"/>
        <w:rPr/>
      </w:pPr>
      <w:r>
        <w:rPr/>
        <w:drawing>
          <wp:inline distT="0" distB="0" distL="0" distR="0">
            <wp:extent cx="1600200" cy="1828800"/>
            <wp:effectExtent l="0" t="0" r="0" b="0"/>
            <wp:docPr id="4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8" descr=""/>
                    <pic:cNvPicPr>
                      <a:picLocks noChangeAspect="1" noChangeArrowheads="1"/>
                    </pic:cNvPicPr>
                  </pic:nvPicPr>
                  <pic:blipFill>
                    <a:blip r:embed="rId9"/>
                    <a:stretch>
                      <a:fillRect/>
                    </a:stretch>
                  </pic:blipFill>
                  <pic:spPr bwMode="auto">
                    <a:xfrm>
                      <a:off x="0" y="0"/>
                      <a:ext cx="1600200" cy="1828800"/>
                    </a:xfrm>
                    <a:prstGeom prst="rect">
                      <a:avLst/>
                    </a:prstGeom>
                  </pic:spPr>
                </pic:pic>
              </a:graphicData>
            </a:graphic>
          </wp:inline>
        </w:drawing>
      </w:r>
    </w:p>
    <w:p>
      <w:pPr>
        <w:pStyle w:val="TextBody"/>
        <w:spacing w:before="0" w:after="200"/>
        <w:ind w:left="810" w:right="0" w:hanging="0"/>
        <w:jc w:val="center"/>
        <w:rPr>
          <w:rFonts w:ascii="Times New Roman;Times;serif" w:hAnsi="Times New Roman;Times;serif"/>
          <w:i/>
          <w:color w:val="000000"/>
          <w:sz w:val="18"/>
        </w:rPr>
      </w:pPr>
      <w:r>
        <w:rPr>
          <w:rFonts w:ascii="Times New Roman;Times;serif" w:hAnsi="Times New Roman;Times;serif"/>
          <w:i/>
          <w:color w:val="000000"/>
          <w:sz w:val="18"/>
        </w:rPr>
        <w:t>Figure 7 Estimated model means for self-reported posttraumatic stress disorder symptom scores (Posttraumatic Stress Symptom Scale—Self Report; PSS-SR) per completed session for the completer subgroups, with errors bars indicating standard errors. DCS, D-cycloserine (source: deKleine, et. al. 2012)</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Javitt demonstrated in animal models that for DCS to maximize its effect on fear memory, plasma dosages in excess of 25µg/mL, must be achieved, which represents an oral dose in excess of 500mg/day. As noted in US patent 10881665B2,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low dose DCS did not demonstrate a beneficial effect on fear memory (freezing behavior), while a dose of DCS sufficient to reach this plasma threshold did produce a significant reduction in freezing behavior.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2022 completion of phase 3/commercial-scale NRX-101 manufacturing enables clinical trials of NRX-101 for the treatment of PTSD under FDA Good Clinical Practices.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Potential application to treatment of Chronic Pain</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Chronic pain is commonly defined as pain that lasts beyond 3 months and extends past normal tissue healing time. Between 18% and 34% of Americans are believed to suffer from chronic pain.</w:t>
      </w:r>
      <w:r>
        <w:rPr>
          <w:rFonts w:ascii="Times New Roman;Times;serif" w:hAnsi="Times New Roman;Times;serif"/>
          <w:sz w:val="15"/>
        </w:rPr>
        <w:t>xi</w:t>
      </w:r>
      <w:r>
        <w:rPr>
          <w:rFonts w:ascii="Times New Roman;Times;serif" w:hAnsi="Times New Roman;Times;serif"/>
          <w:sz w:val="20"/>
        </w:rPr>
        <w:t xml:space="preserve"> The use of opiates to treat chronic pain has led to a national crisis resulting in widespread addiction and death. Few alternatives to opiates have emerged that both treat chronic pain and potentially decrease craving for opiates among chronic pain sufferers. Recent epidemiologic studies indicate that Chronic Back Pain is the leading cause of disability in the US and the seventh leading cause worldwide.</w:t>
      </w:r>
      <w:r>
        <w:rPr>
          <w:rFonts w:ascii="Times New Roman;Times;serif" w:hAnsi="Times New Roman;Times;serif"/>
          <w:sz w:val="15"/>
        </w:rPr>
        <w:t>xii</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Various non-clinical studies have suggested that NMDA antagonist drugs may be useful in treating animal pain models. Intravenous ketamine has been widely used off-label to treat chronic pain at doses similar to those used in depression studies. A meta-analysis of 7 studies representing 94 participants demonstrated a consistent improvement in pain score but a consistent finding of nausea and psychomimetic effects associated with ketamine administration.</w:t>
      </w:r>
      <w:r>
        <w:rPr>
          <w:rFonts w:ascii="Times New Roman;Times;serif" w:hAnsi="Times New Roman;Times;serif"/>
          <w:sz w:val="15"/>
        </w:rPr>
        <w:t>xiii</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 pilot study of D-cycloserine in the treatment of chronic pain was undertaken by Schnitzer and coworkers in patients with chronic low back pain.</w:t>
      </w:r>
      <w:r>
        <w:rPr>
          <w:rFonts w:ascii="Times New Roman;Times;serif" w:hAnsi="Times New Roman;Times;serif"/>
          <w:sz w:val="15"/>
        </w:rPr>
        <w:t>xiv</w:t>
      </w:r>
      <w:r>
        <w:rPr>
          <w:rFonts w:ascii="Times New Roman;Times;serif" w:hAnsi="Times New Roman;Times;serif"/>
          <w:sz w:val="20"/>
        </w:rPr>
        <w:t xml:space="preserve"> The study randomized 41 participants to a placebo-controlled dose-escalation study of 100mg, 200mg, and 400mg (each dose for two weeks) vs. placebo. The primary outcome measure was back pain intensity on a 1-10 numeric rating scale. The study was deemed not to have met its primary endpoint to detect a difference between DCS and placebo over 6 weeks. However, post-hoc analysis demonstrates a significant difference between baseline and six weeks (P&lt;0.01), which is the point in time that the 400mg DCS dose was reached. (see figure 8)</w:t>
      </w:r>
    </w:p>
    <w:p>
      <w:pPr>
        <w:pStyle w:val="TextBody"/>
        <w:spacing w:before="0" w:after="240"/>
        <w:ind w:left="0" w:right="0" w:hanging="0"/>
        <w:jc w:val="center"/>
        <w:rPr/>
      </w:pPr>
      <w:r>
        <w:rPr/>
        <w:drawing>
          <wp:inline distT="0" distB="0" distL="0" distR="0">
            <wp:extent cx="2505075" cy="1571625"/>
            <wp:effectExtent l="0" t="0" r="0" b="0"/>
            <wp:docPr id="4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9" descr=""/>
                    <pic:cNvPicPr>
                      <a:picLocks noChangeAspect="1" noChangeArrowheads="1"/>
                    </pic:cNvPicPr>
                  </pic:nvPicPr>
                  <pic:blipFill>
                    <a:blip r:embed="rId10"/>
                    <a:stretch>
                      <a:fillRect/>
                    </a:stretch>
                  </pic:blipFill>
                  <pic:spPr bwMode="auto">
                    <a:xfrm>
                      <a:off x="0" y="0"/>
                      <a:ext cx="2505075" cy="1571625"/>
                    </a:xfrm>
                    <a:prstGeom prst="rect">
                      <a:avLst/>
                    </a:prstGeom>
                  </pic:spPr>
                </pic:pic>
              </a:graphicData>
            </a:graphic>
          </wp:inline>
        </w:drawing>
      </w:r>
    </w:p>
    <w:p>
      <w:pPr>
        <w:pStyle w:val="TextBody"/>
        <w:spacing w:lineRule="auto" w:line="240" w:before="0" w:after="200"/>
        <w:ind w:left="450" w:right="0" w:hanging="0"/>
        <w:jc w:val="center"/>
        <w:rPr>
          <w:rFonts w:ascii="Times New Roman;Times;serif" w:hAnsi="Times New Roman;Times;serif"/>
          <w:i/>
          <w:color w:val="44546A"/>
          <w:sz w:val="18"/>
        </w:rPr>
      </w:pPr>
      <w:r>
        <w:rPr>
          <w:rFonts w:ascii="Times New Roman;Times;serif" w:hAnsi="Times New Roman;Times;serif"/>
          <w:i/>
          <w:color w:val="000000"/>
          <w:sz w:val="18"/>
        </w:rPr>
        <w:t>Figure 8: Back pain intensity ratings over a six-week, dose escalating, placebo or DCS treatment in CBP. (a) Across subject averageback pain, assessed on the primary outcome measure of 0–10 numeric rating scale. (b) Within subject change in pain, relative to baseline, using the 0–10 numeric rating scale. Error bars are SEMs. (Source Schnitzer 2016</w:t>
      </w:r>
      <w:r>
        <w:rPr>
          <w:rFonts w:ascii="Times New Roman;Times;serif" w:hAnsi="Times New Roman;Times;serif"/>
          <w:i/>
          <w:color w:val="000000"/>
          <w:sz w:val="14"/>
        </w:rPr>
        <w:t>xiv</w:t>
      </w:r>
      <w:r>
        <w:rPr>
          <w:rFonts w:ascii="Times New Roman;Times;serif" w:hAnsi="Times New Roman;Times;serif"/>
          <w:i/>
          <w:color w:val="000000"/>
          <w:sz w:val="18"/>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Although the authors expressed the post-hoc clinical effect in terms of time from baseline, the observation that DCS did not demonstrate an NMDA-antagonist effect until the critical threshold documented in the NRx patent portfolio was reached is consistent with our understanding of the DCS mechanism of action. In 2023 the Company may initiate a pilot study in the treatment of chronic pain using NRX-101 at daily dosages that exceed 500mg/day of DCS. The Company’s 2022 completion of phase 3/commercial-scale NRX-101 manufacturing enables clinical trials of NRX-101 for the treatment of chronic pain under FDA Good Clinical Practices.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NRX-100 (ketamine)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not initiated large-scale research involving the use of ketamine for rapid induction and has taken advice from FDA regarding the more straightforward development path that can be achieved if the Company pursues the labeling of NRX-101 in “recently suicidal patients following stabilization.”  However, the demonstration that ketamine can achieve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stabilization of those with acute suicidal ideation in bipolar depression provides potentially important insight into the potential value of oral NMDA antagonists in the treatment of this condition.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randomized controlled trial of ketamine in the treatment of suicidal ideation among patients with bipolar depression was conducted at Columbia University under NIH funding. A statistically significant and clinically meaningful improvement in suicidal ideation was seen on the Beck’s Scale for Suicidal Ideation within 24 hours of infusion with ketamine, compared to midazolam an active comparator.</w:t>
      </w:r>
    </w:p>
    <w:p>
      <w:pPr>
        <w:pStyle w:val="TextBody"/>
        <w:spacing w:before="0" w:after="240"/>
        <w:ind w:left="0" w:right="0" w:hanging="0"/>
        <w:jc w:val="center"/>
        <w:rPr/>
      </w:pPr>
      <w:r>
        <w:rPr/>
        <w:drawing>
          <wp:inline distT="0" distB="0" distL="0" distR="0">
            <wp:extent cx="1971675" cy="1933575"/>
            <wp:effectExtent l="0" t="0" r="0" b="0"/>
            <wp:docPr id="4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0" descr=""/>
                    <pic:cNvPicPr>
                      <a:picLocks noChangeAspect="1" noChangeArrowheads="1"/>
                    </pic:cNvPicPr>
                  </pic:nvPicPr>
                  <pic:blipFill>
                    <a:blip r:embed="rId11"/>
                    <a:stretch>
                      <a:fillRect/>
                    </a:stretch>
                  </pic:blipFill>
                  <pic:spPr bwMode="auto">
                    <a:xfrm>
                      <a:off x="0" y="0"/>
                      <a:ext cx="1971675" cy="1933575"/>
                    </a:xfrm>
                    <a:prstGeom prst="rect">
                      <a:avLst/>
                    </a:prstGeom>
                  </pic:spPr>
                </pic:pic>
              </a:graphicData>
            </a:graphic>
          </wp:inline>
        </w:drawing>
      </w:r>
    </w:p>
    <w:p>
      <w:pPr>
        <w:pStyle w:val="TextBody"/>
        <w:spacing w:lineRule="auto" w:line="240" w:before="0" w:after="200"/>
        <w:ind w:left="0" w:right="0" w:hanging="0"/>
        <w:jc w:val="center"/>
        <w:rPr>
          <w:rFonts w:ascii="Times New Roman;Times;serif" w:hAnsi="Times New Roman;Times;serif"/>
          <w:i/>
          <w:color w:val="44546A"/>
          <w:sz w:val="18"/>
        </w:rPr>
      </w:pPr>
      <w:r>
        <w:rPr>
          <w:rFonts w:ascii="Times New Roman;Times;serif" w:hAnsi="Times New Roman;Times;serif"/>
          <w:i/>
          <w:color w:val="000000"/>
          <w:sz w:val="18"/>
        </w:rPr>
        <w:t>Figure 9: Suicidal ideation severity during a randomized trial of sub-anesthetic intravenous ketamine or midazolam control infusion in bipolar depressed participants with clinically significant suicidal thoughts. The figure depicts change in severity measured using the Beck Scale for Suicidal Ideation (SSI) from baseline to 24 hours after infusion. Error bars represent ± one standard error of the mean (SEM). Source Grunebaum 2017</w:t>
      </w:r>
      <w:r>
        <w:rPr>
          <w:rFonts w:ascii="Times New Roman;Times;serif" w:hAnsi="Times New Roman;Times;serif"/>
          <w:i/>
          <w:color w:val="000000"/>
          <w:sz w:val="14"/>
        </w:rPr>
        <w:t>iv</w:t>
      </w:r>
      <w:r>
        <w:rPr>
          <w:rFonts w:ascii="Times New Roman;Times;serif" w:hAnsi="Times New Roman;Times;serif"/>
          <w:i/>
          <w:color w:val="000000"/>
          <w:sz w:val="18"/>
        </w:rPr>
        <w:t>.</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 randomized, controlled multicenter trial was conducted at 8 French hospitals by Abbar and coworkers.</w:t>
      </w:r>
      <w:r>
        <w:rPr>
          <w:rFonts w:ascii="Times New Roman;Times;serif" w:hAnsi="Times New Roman;Times;serif"/>
          <w:sz w:val="15"/>
        </w:rPr>
        <w:t>3</w:t>
      </w:r>
      <w:r>
        <w:rPr>
          <w:rFonts w:ascii="Times New Roman;Times;serif" w:hAnsi="Times New Roman;Times;serif"/>
          <w:sz w:val="20"/>
        </w:rPr>
        <w:t xml:space="preserve"> Participants with acute suicidal ideation associated with bipolar depression, major depressive disorder, and other disorders were randomized to receive either ketamine or placebo infusion. Overall, the study demonstrated that 63% of ketamine-infused participants vs. 31% of placebo-infused participants achieved remission from suicidal ideation at day 3 (P&lt;.01). However, the finding was most pronounced for the subset of participants with bipolar depression (85% vs. 28%; P&lt;.001) with an Odds Ratio of 14 for ketamine vs. placebo.</w:t>
      </w:r>
    </w:p>
    <w:p>
      <w:pPr>
        <w:pStyle w:val="TextBody"/>
        <w:spacing w:before="0" w:after="240"/>
        <w:ind w:left="0" w:right="0" w:hanging="0"/>
        <w:jc w:val="both"/>
        <w:rPr/>
      </w:pPr>
      <w:r>
        <w:rPr/>
        <w:t>​</w:t>
      </w:r>
    </w:p>
    <w:p>
      <w:pPr>
        <w:pStyle w:val="TextBody"/>
        <w:spacing w:before="0" w:after="240"/>
        <w:ind w:left="0" w:right="0" w:hanging="0"/>
        <w:jc w:val="center"/>
        <w:rPr/>
      </w:pPr>
      <w:r>
        <w:rPr/>
        <w:drawing>
          <wp:inline distT="0" distB="0" distL="0" distR="0">
            <wp:extent cx="2514600" cy="1971675"/>
            <wp:effectExtent l="0" t="0" r="0" b="0"/>
            <wp:docPr id="4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1" descr=""/>
                    <pic:cNvPicPr>
                      <a:picLocks noChangeAspect="1" noChangeArrowheads="1"/>
                    </pic:cNvPicPr>
                  </pic:nvPicPr>
                  <pic:blipFill>
                    <a:blip r:embed="rId12"/>
                    <a:stretch>
                      <a:fillRect/>
                    </a:stretch>
                  </pic:blipFill>
                  <pic:spPr bwMode="auto">
                    <a:xfrm>
                      <a:off x="0" y="0"/>
                      <a:ext cx="2514600" cy="1971675"/>
                    </a:xfrm>
                    <a:prstGeom prst="rect">
                      <a:avLst/>
                    </a:prstGeom>
                  </pic:spPr>
                </pic:pic>
              </a:graphicData>
            </a:graphic>
          </wp:inline>
        </w:drawing>
      </w:r>
    </w:p>
    <w:p>
      <w:pPr>
        <w:pStyle w:val="TextBody"/>
        <w:spacing w:before="0" w:after="200"/>
        <w:ind w:left="0" w:right="0" w:hanging="0"/>
        <w:jc w:val="center"/>
        <w:rPr>
          <w:rFonts w:ascii="Times New Roman;Times;serif" w:hAnsi="Times New Roman;Times;serif"/>
          <w:i/>
          <w:color w:val="000000"/>
          <w:sz w:val="18"/>
        </w:rPr>
      </w:pPr>
      <w:r>
        <w:rPr>
          <w:rFonts w:ascii="Times New Roman;Times;serif" w:hAnsi="Times New Roman;Times;serif"/>
          <w:i/>
          <w:color w:val="000000"/>
          <w:sz w:val="18"/>
        </w:rPr>
        <w:t>Summary of results from multicenter trial of ketamine vs. placebo in hospitalized patients with suicidal depression. The overall odds ratio of 3.7 (P&lt;0.001) was largely driven by the 14 fold increased odds of remission from suicidal ideation seen among the subgroup with bipolar depression (P&lt;.001). Source Abbar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providing a basis for developing ketamine as an induction drug for treatment of suicidal ideation in bipolar depression, the above clinical findings provide important clinical support for the use of NMDA-antagonist drugs in the treatment of this condition.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Additional Potential Psychiatry Products </w:t>
      </w:r>
    </w:p>
    <w:p>
      <w:pPr>
        <w:pStyle w:val="TextBody"/>
        <w:spacing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Our intellectual property estate enables us to pursue additional combinations of known molecules, including dextromethorphan, d-methadone, and other named NMDA antagonists. The majority of patients with depression have MDD. Additionally, PTSD is an area of high unmet need for which there are very few pharmacological treatment options. PTSD can also be associated with suicidality and depression, in particular severe PTSD. Whereas episodes of depression in bipolar disorder are episodic and tend to resolve in two to three months, depression is a chronic feature of MDD, and it can also be associated with PTSD. NRX-102, is a potential new product in which we expect to pair a fixed dose combination of DCS with Mirtazapine, a currently approved antidepressant. In the 2013 Phase II study, clinical data demonstrate the potential efficacy of DCS in combination with an SSRI antidepressant versus an SSRI antidepressant alone in treating patients with treatment resistant MDD. We expect to resume the exploratory preclinical development of NRX-102. Further, we have identified additional 5-HT2A antagonists that may be appropriately paired with DCS. We are also further guided by preclinical data disclosed in our patents and publications which demonstrates that DCS may inhibit the akathisia induced by SSRI antidepressants.</w:t>
      </w:r>
    </w:p>
    <w:p>
      <w:pPr>
        <w:pStyle w:val="TextBody"/>
        <w:spacing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Existing clinical data have shown DCS to be a useful initial therapeutic agent with which to target the glycine site on the NMDA receptor. However, DCS has mixed agonist/antagonist effects and its antagonist properties are only manifest at high doses of DCS. We have identified other small molecule NMDA antagonists that are effective at lower doses and may be paired with 5-HT2A antagonists in order to yield a dual-targeted pro-drug. Accordingly, we plan to explore design initiatives to develop candidate prodrugs that will expand on the dual-targeted properties of NRX-101 and NRX-102.</w:t>
      </w:r>
    </w:p>
    <w:p>
      <w:pPr>
        <w:pStyle w:val="TextBody"/>
        <w:spacing w:before="163"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NRX-201/202 will target bipolar depression and MDD/PTSD, respectively, and are anticipated to replace the DCS component of NRX-101/102 with a molecule that is more specifically targeted than DCS at the same glycine site target. Our patent portfolio includes issued and pending claims for many such dual- targeted combinations.</w:t>
      </w:r>
    </w:p>
    <w:p>
      <w:pPr>
        <w:pStyle w:val="TextBody"/>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References</w:t>
      </w:r>
    </w:p>
    <w:p>
      <w:pPr>
        <w:pStyle w:val="TextBody"/>
        <w:spacing w:before="0" w:after="0"/>
        <w:ind w:left="0" w:right="0" w:hanging="0"/>
        <w:rPr>
          <w:color w:val="231F20"/>
        </w:rPr>
      </w:pPr>
      <w:r>
        <w:rPr>
          <w:color w:val="231F20"/>
        </w:rPr>
        <w:t>​</w:t>
      </w:r>
    </w:p>
    <w:tbl>
      <w:tblPr>
        <w:tblW w:w="10205" w:type="dxa"/>
        <w:jc w:val="left"/>
        <w:tblInd w:w="0" w:type="dxa"/>
        <w:tblCellMar>
          <w:top w:w="0" w:type="dxa"/>
          <w:left w:w="0" w:type="dxa"/>
          <w:bottom w:w="0" w:type="dxa"/>
          <w:right w:w="0" w:type="dxa"/>
        </w:tblCellMar>
      </w:tblPr>
      <w:tblGrid>
        <w:gridCol w:w="124"/>
        <w:gridCol w:w="165"/>
        <w:gridCol w:w="9916"/>
      </w:tblGrid>
      <w:tr>
        <w:trPr/>
        <w:tc>
          <w:tcPr>
            <w:tcW w:w="12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i</w:t>
            </w:r>
            <w:r>
              <w:rPr>
                <w:rFonts w:ascii="Times New Roman;Times;serif" w:hAnsi="Times New Roman;Times;serif"/>
                <w:sz w:val="18"/>
              </w:rPr>
              <w:t xml:space="preserve"> </w:t>
            </w:r>
          </w:p>
        </w:tc>
        <w:tc>
          <w:tcPr>
            <w:tcW w:w="9916"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Nierenberg A, Lavin, Javitt DC, et. al. NRX-101 (D-cycloserine plus lurasidone) vs. lurasidone for the maintenance of initial stabilization after ketamine in patients with severe bipolar depression with acute suicidal ideation and behavior: A randomized prospective phase 2 trial. doi: https://doi.org/10.1101/2022.08.11.22278658</w:t>
            </w:r>
          </w:p>
        </w:tc>
      </w:tr>
    </w:tbl>
    <w:tbl>
      <w:tblPr>
        <w:tblW w:w="10205" w:type="dxa"/>
        <w:jc w:val="left"/>
        <w:tblInd w:w="0" w:type="dxa"/>
        <w:tblCellMar>
          <w:top w:w="0" w:type="dxa"/>
          <w:left w:w="0" w:type="dxa"/>
          <w:bottom w:w="0" w:type="dxa"/>
          <w:right w:w="0" w:type="dxa"/>
        </w:tblCellMar>
      </w:tblPr>
      <w:tblGrid>
        <w:gridCol w:w="124"/>
        <w:gridCol w:w="211"/>
        <w:gridCol w:w="9870"/>
      </w:tblGrid>
      <w:tr>
        <w:trPr/>
        <w:tc>
          <w:tcPr>
            <w:tcW w:w="1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ii</w:t>
            </w:r>
            <w:r>
              <w:rPr>
                <w:rFonts w:ascii="Times New Roman;Times;serif" w:hAnsi="Times New Roman;Times;serif"/>
                <w:sz w:val="18"/>
              </w:rPr>
              <w:t xml:space="preserve"> </w:t>
            </w:r>
          </w:p>
        </w:tc>
        <w:tc>
          <w:tcPr>
            <w:tcW w:w="9870"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Chen MH, Cheng CM., Gueorguieva R, et. al. Maintenance of antidepressant and antisuicidal effects by D-cycloserine among patients with treatment-resistant depression who responded to low-dose ketamine infusion: a double-blind randomized placebo-control study. Neuropsychopharm 2019;33:2112-2118.</w:t>
            </w:r>
          </w:p>
        </w:tc>
      </w:tr>
    </w:tbl>
    <w:tbl>
      <w:tblPr>
        <w:tblW w:w="10205" w:type="dxa"/>
        <w:jc w:val="left"/>
        <w:tblInd w:w="0" w:type="dxa"/>
        <w:tblCellMar>
          <w:top w:w="0" w:type="dxa"/>
          <w:left w:w="0" w:type="dxa"/>
          <w:bottom w:w="0" w:type="dxa"/>
          <w:right w:w="0" w:type="dxa"/>
        </w:tblCellMar>
      </w:tblPr>
      <w:tblGrid>
        <w:gridCol w:w="124"/>
        <w:gridCol w:w="264"/>
        <w:gridCol w:w="9817"/>
      </w:tblGrid>
      <w:tr>
        <w:trPr/>
        <w:tc>
          <w:tcPr>
            <w:tcW w:w="12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iii</w:t>
            </w:r>
            <w:r>
              <w:rPr>
                <w:rFonts w:ascii="Times New Roman;Times;serif" w:hAnsi="Times New Roman;Times;serif"/>
                <w:sz w:val="18"/>
              </w:rPr>
              <w:t xml:space="preserve"> </w:t>
            </w:r>
          </w:p>
        </w:tc>
        <w:tc>
          <w:tcPr>
            <w:tcW w:w="9817"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Abbar M, Demattei C, El-Hage W, et. al., Ketamine for acute treatment of severe suicidal ideation: double blind, randomized placebo-controlled trial. BMJ 2022;376:e067194 | doi: 10.1136/bmj-2021-067194</w:t>
            </w:r>
          </w:p>
        </w:tc>
      </w:tr>
    </w:tbl>
    <w:tbl>
      <w:tblPr>
        <w:tblW w:w="10205" w:type="dxa"/>
        <w:jc w:val="left"/>
        <w:tblInd w:w="0" w:type="dxa"/>
        <w:tblCellMar>
          <w:top w:w="0" w:type="dxa"/>
          <w:left w:w="0" w:type="dxa"/>
          <w:bottom w:w="0" w:type="dxa"/>
          <w:right w:w="0" w:type="dxa"/>
        </w:tblCellMar>
      </w:tblPr>
      <w:tblGrid>
        <w:gridCol w:w="124"/>
        <w:gridCol w:w="246"/>
        <w:gridCol w:w="9835"/>
      </w:tblGrid>
      <w:tr>
        <w:trPr/>
        <w:tc>
          <w:tcPr>
            <w:tcW w:w="12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iv</w:t>
            </w:r>
            <w:r>
              <w:rPr>
                <w:rFonts w:ascii="Times New Roman;Times;serif" w:hAnsi="Times New Roman;Times;serif"/>
                <w:sz w:val="18"/>
              </w:rPr>
              <w:t xml:space="preserve"> </w:t>
            </w:r>
          </w:p>
        </w:tc>
        <w:tc>
          <w:tcPr>
            <w:tcW w:w="9835" w:type="dxa"/>
            <w:tcBorders/>
            <w:shd w:fill="auto" w:val="clear"/>
            <w:vAlign w:val="center"/>
          </w:tcPr>
          <w:p>
            <w:pPr>
              <w:pStyle w:val="TableContents"/>
              <w:spacing w:before="0" w:after="60"/>
              <w:jc w:val="both"/>
              <w:rPr>
                <w:rFonts w:ascii="Times New Roman;Times;serif" w:hAnsi="Times New Roman;Times;serif"/>
                <w:sz w:val="18"/>
              </w:rPr>
            </w:pPr>
            <w:r>
              <w:rPr>
                <w:rFonts w:ascii="Times New Roman;Times;serif" w:hAnsi="Times New Roman;Times;serif"/>
                <w:sz w:val="20"/>
              </w:rPr>
              <w:t>Grunebaum MF, Ellis SP, Keilp JG., et al., Ketamine vs. midazolam in bipolar depression with suicidal thoughts: A pilot midazolam-controlled randomized clinical trial. Bipolar Disorders 2017;00:1-8. https://doi.org/10.1111/bdi.1248</w:t>
            </w:r>
            <w:r>
              <w:rPr>
                <w:rFonts w:ascii="Times New Roman;Times;serif" w:hAnsi="Times New Roman;Times;serif"/>
                <w:color w:val="767676"/>
                <w:sz w:val="20"/>
              </w:rPr>
              <w:t>7</w:t>
            </w:r>
          </w:p>
        </w:tc>
      </w:tr>
    </w:tbl>
    <w:tbl>
      <w:tblPr>
        <w:tblW w:w="10205" w:type="dxa"/>
        <w:jc w:val="left"/>
        <w:tblInd w:w="0" w:type="dxa"/>
        <w:tblCellMar>
          <w:top w:w="0" w:type="dxa"/>
          <w:left w:w="0" w:type="dxa"/>
          <w:bottom w:w="0" w:type="dxa"/>
          <w:right w:w="0" w:type="dxa"/>
        </w:tblCellMar>
      </w:tblPr>
      <w:tblGrid>
        <w:gridCol w:w="124"/>
        <w:gridCol w:w="202"/>
        <w:gridCol w:w="9879"/>
      </w:tblGrid>
      <w:tr>
        <w:trPr/>
        <w:tc>
          <w:tcPr>
            <w:tcW w:w="12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v</w:t>
            </w:r>
            <w:r>
              <w:rPr>
                <w:rFonts w:ascii="Times New Roman;Times;serif" w:hAnsi="Times New Roman;Times;serif"/>
                <w:sz w:val="18"/>
              </w:rPr>
              <w:t xml:space="preserve"> </w:t>
            </w:r>
          </w:p>
        </w:tc>
        <w:tc>
          <w:tcPr>
            <w:tcW w:w="9879"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Youssef JG, Lavin P, Schoenfeld DA, et. al. The use of IV Vasoactive Intestinal Peptide (Aviptadil) in patients with critical COVID-19 respiratory failure: Results of a 60-day randomized controlled trial. Cri Care Med 2022;50(11)1545-1554.</w:t>
            </w:r>
          </w:p>
        </w:tc>
      </w:tr>
    </w:tbl>
    <w:tbl>
      <w:tblPr>
        <w:tblW w:w="10205" w:type="dxa"/>
        <w:jc w:val="left"/>
        <w:tblInd w:w="0" w:type="dxa"/>
        <w:tblCellMar>
          <w:top w:w="0" w:type="dxa"/>
          <w:left w:w="0" w:type="dxa"/>
          <w:bottom w:w="0" w:type="dxa"/>
          <w:right w:w="0" w:type="dxa"/>
        </w:tblCellMar>
      </w:tblPr>
      <w:tblGrid>
        <w:gridCol w:w="124"/>
        <w:gridCol w:w="248"/>
        <w:gridCol w:w="9833"/>
      </w:tblGrid>
      <w:tr>
        <w:trPr/>
        <w:tc>
          <w:tcPr>
            <w:tcW w:w="12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vi</w:t>
            </w:r>
            <w:r>
              <w:rPr>
                <w:rFonts w:ascii="Times New Roman;Times;serif" w:hAnsi="Times New Roman;Times;serif"/>
                <w:sz w:val="18"/>
              </w:rPr>
              <w:t xml:space="preserve"> </w:t>
            </w:r>
          </w:p>
        </w:tc>
        <w:tc>
          <w:tcPr>
            <w:tcW w:w="9833"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Jordan W, Siegel R, Kumar R, Javitt J. NRX-101, a rapid-acting antidepressant does not cause neurotoxicity following ketamine administration in preclinical models.https://www.biorxiv.org/content/10.1101/2022.06.18.</w:t>
              <w:br/>
              <w:t>496662v1</w:t>
            </w:r>
          </w:p>
        </w:tc>
      </w:tr>
    </w:tbl>
    <w:tbl>
      <w:tblPr>
        <w:tblW w:w="9321" w:type="dxa"/>
        <w:jc w:val="left"/>
        <w:tblInd w:w="0" w:type="dxa"/>
        <w:tblCellMar>
          <w:top w:w="0" w:type="dxa"/>
          <w:left w:w="0" w:type="dxa"/>
          <w:bottom w:w="0" w:type="dxa"/>
          <w:right w:w="0" w:type="dxa"/>
        </w:tblCellMar>
      </w:tblPr>
      <w:tblGrid>
        <w:gridCol w:w="124"/>
        <w:gridCol w:w="271"/>
        <w:gridCol w:w="8926"/>
      </w:tblGrid>
      <w:tr>
        <w:trPr/>
        <w:tc>
          <w:tcPr>
            <w:tcW w:w="1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lineRule="auto" w:line="240" w:before="0" w:after="60"/>
              <w:jc w:val="both"/>
              <w:rPr>
                <w:rFonts w:ascii="Times New Roman;Times;serif" w:hAnsi="Times New Roman;Times;serif"/>
                <w:sz w:val="15"/>
              </w:rPr>
            </w:pPr>
            <w:r>
              <w:rPr>
                <w:rFonts w:ascii="Times New Roman;Times;serif" w:hAnsi="Times New Roman;Times;serif"/>
                <w:sz w:val="15"/>
              </w:rPr>
              <w:t>vii</w:t>
            </w:r>
          </w:p>
        </w:tc>
        <w:tc>
          <w:tcPr>
            <w:tcW w:w="8926"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https://www.ptsd.va.gov/understand/common/common_adults.asp#:~:text=About%205%20out%20of%20e</w:t>
              <w:br/>
              <w:t xml:space="preserve">very,some%20point%20in%20their%20life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316"/>
        <w:gridCol w:w="9765"/>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lineRule="auto" w:line="240" w:before="0" w:after="60"/>
              <w:jc w:val="both"/>
              <w:rPr>
                <w:rFonts w:ascii="Times New Roman;Times;serif" w:hAnsi="Times New Roman;Times;serif"/>
                <w:sz w:val="15"/>
              </w:rPr>
            </w:pPr>
            <w:r>
              <w:rPr>
                <w:rFonts w:ascii="Times New Roman;Times;serif" w:hAnsi="Times New Roman;Times;serif"/>
                <w:sz w:val="15"/>
              </w:rPr>
              <w:t>viii</w:t>
            </w:r>
          </w:p>
        </w:tc>
        <w:tc>
          <w:tcPr>
            <w:tcW w:w="9765"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Sala N, Paoli C, Bonifacino T., et. al., Acute ketamine facilitates fear memory extinction in a rat model of PTSD along with restoring glutaminergic alterations and dendritic atrophy in the prefrontal cortex. Front Pharmacol 2022;13: https://doi.org/10.3389/fphar.2022.759626</w:t>
            </w:r>
          </w:p>
        </w:tc>
      </w:tr>
    </w:tbl>
    <w:tbl>
      <w:tblPr>
        <w:tblW w:w="10205" w:type="dxa"/>
        <w:jc w:val="left"/>
        <w:tblInd w:w="0" w:type="dxa"/>
        <w:tblCellMar>
          <w:top w:w="0" w:type="dxa"/>
          <w:left w:w="0" w:type="dxa"/>
          <w:bottom w:w="0" w:type="dxa"/>
          <w:right w:w="0"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lineRule="auto" w:line="240" w:before="0" w:after="60"/>
              <w:jc w:val="both"/>
              <w:rPr>
                <w:rFonts w:ascii="Times New Roman;Times;serif" w:hAnsi="Times New Roman;Times;serif"/>
                <w:sz w:val="15"/>
              </w:rPr>
            </w:pPr>
            <w:r>
              <w:rPr>
                <w:rFonts w:ascii="Times New Roman;Times;serif" w:hAnsi="Times New Roman;Times;serif"/>
                <w:sz w:val="15"/>
              </w:rPr>
              <w:t>ix</w:t>
            </w:r>
          </w:p>
        </w:tc>
        <w:tc>
          <w:tcPr>
            <w:tcW w:w="9855"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Kleine RA, Hendriks GJ, Kusters WJ, Broekman TG, Minnen A. A randomized placebo-controlled trial of D-cycloserine to enhance exposure therapy for post-traumatic stress disorder. Biol Psychiatry 2012;71:962-968.</w:t>
            </w:r>
          </w:p>
        </w:tc>
      </w:tr>
    </w:tbl>
    <w:tbl>
      <w:tblPr>
        <w:tblW w:w="10205" w:type="dxa"/>
        <w:jc w:val="left"/>
        <w:tblInd w:w="0" w:type="dxa"/>
        <w:tblCellMar>
          <w:top w:w="0" w:type="dxa"/>
          <w:left w:w="0" w:type="dxa"/>
          <w:bottom w:w="0" w:type="dxa"/>
          <w:right w:w="0" w:type="dxa"/>
        </w:tblCellMar>
      </w:tblPr>
      <w:tblGrid>
        <w:gridCol w:w="124"/>
        <w:gridCol w:w="203"/>
        <w:gridCol w:w="9878"/>
      </w:tblGrid>
      <w:tr>
        <w:trPr/>
        <w:tc>
          <w:tcPr>
            <w:tcW w:w="12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x</w:t>
            </w:r>
            <w:r>
              <w:rPr>
                <w:rFonts w:ascii="Times New Roman;Times;serif" w:hAnsi="Times New Roman;Times;serif"/>
                <w:sz w:val="18"/>
              </w:rPr>
              <w:t xml:space="preserve"> </w:t>
            </w:r>
          </w:p>
        </w:tc>
        <w:tc>
          <w:tcPr>
            <w:tcW w:w="9878"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Krystal JH. Enhancing prolonged exposure therapy for posttraumatic stress disorder with D-cycloserine: further support for treatments that promote experience-dependent neuroplasticity. Biol Psych 212;71:932-934.</w:t>
            </w:r>
          </w:p>
        </w:tc>
      </w:tr>
    </w:tbl>
    <w:tbl>
      <w:tblPr>
        <w:tblW w:w="10205" w:type="dxa"/>
        <w:jc w:val="left"/>
        <w:tblInd w:w="0" w:type="dxa"/>
        <w:tblCellMar>
          <w:top w:w="0" w:type="dxa"/>
          <w:left w:w="0" w:type="dxa"/>
          <w:bottom w:w="0" w:type="dxa"/>
          <w:right w:w="0"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lineRule="auto" w:line="240" w:before="0" w:after="60"/>
              <w:jc w:val="both"/>
              <w:rPr>
                <w:rFonts w:ascii="Times New Roman;Times;serif" w:hAnsi="Times New Roman;Times;serif"/>
                <w:sz w:val="15"/>
              </w:rPr>
            </w:pPr>
            <w:r>
              <w:rPr>
                <w:rFonts w:ascii="Times New Roman;Times;serif" w:hAnsi="Times New Roman;Times;serif"/>
                <w:sz w:val="15"/>
              </w:rPr>
              <w:t>xi</w:t>
            </w:r>
          </w:p>
        </w:tc>
        <w:tc>
          <w:tcPr>
            <w:tcW w:w="9855"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Yong RJ, Mullins PM, Bhattacharyya N. Prevalence of Chronic Pain among adults in the United States. Pain 2022;163:e328-e363.</w:t>
            </w:r>
          </w:p>
        </w:tc>
      </w:tr>
    </w:tbl>
    <w:tbl>
      <w:tblPr>
        <w:tblW w:w="8481" w:type="dxa"/>
        <w:jc w:val="left"/>
        <w:tblInd w:w="0" w:type="dxa"/>
        <w:tblCellMar>
          <w:top w:w="0" w:type="dxa"/>
          <w:left w:w="0" w:type="dxa"/>
          <w:bottom w:w="0" w:type="dxa"/>
          <w:right w:w="0" w:type="dxa"/>
        </w:tblCellMar>
      </w:tblPr>
      <w:tblGrid>
        <w:gridCol w:w="124"/>
        <w:gridCol w:w="316"/>
        <w:gridCol w:w="804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xii</w:t>
            </w:r>
            <w:r>
              <w:rPr>
                <w:rFonts w:ascii="Times New Roman;Times;serif" w:hAnsi="Times New Roman;Times;serif"/>
                <w:sz w:val="18"/>
              </w:rPr>
              <w:t xml:space="preserve"> </w:t>
            </w:r>
          </w:p>
        </w:tc>
        <w:tc>
          <w:tcPr>
            <w:tcW w:w="8041"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Murray CJ, Lopez AD. Measuring the global burden of disease. N Engl J Med 2013;369:448-457.</w:t>
            </w:r>
          </w:p>
        </w:tc>
      </w:tr>
    </w:tbl>
    <w:tbl>
      <w:tblPr>
        <w:tblW w:w="10205" w:type="dxa"/>
        <w:jc w:val="left"/>
        <w:tblInd w:w="0" w:type="dxa"/>
        <w:tblCellMar>
          <w:top w:w="0" w:type="dxa"/>
          <w:left w:w="0" w:type="dxa"/>
          <w:bottom w:w="0" w:type="dxa"/>
          <w:right w:w="0" w:type="dxa"/>
        </w:tblCellMar>
      </w:tblPr>
      <w:tblGrid>
        <w:gridCol w:w="124"/>
        <w:gridCol w:w="342"/>
        <w:gridCol w:w="9739"/>
      </w:tblGrid>
      <w:tr>
        <w:trPr/>
        <w:tc>
          <w:tcPr>
            <w:tcW w:w="12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xiii</w:t>
            </w:r>
            <w:r>
              <w:rPr>
                <w:rFonts w:ascii="Times New Roman;Times;serif" w:hAnsi="Times New Roman;Times;serif"/>
                <w:sz w:val="18"/>
              </w:rPr>
              <w:t xml:space="preserve"> </w:t>
            </w:r>
          </w:p>
        </w:tc>
        <w:tc>
          <w:tcPr>
            <w:tcW w:w="9739"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Orhurhu V, Orhurhu MS, Bhatia A, Cohen SP. Ketamine infusions for chronic pain: A systemic review and meta-analysis of randomized controlled trials. Chron Pain Med 2019;129(1):241-254.</w:t>
            </w:r>
          </w:p>
        </w:tc>
      </w:tr>
    </w:tbl>
    <w:tbl>
      <w:tblPr>
        <w:tblW w:w="10205" w:type="dxa"/>
        <w:jc w:val="left"/>
        <w:tblInd w:w="0" w:type="dxa"/>
        <w:tblCellMar>
          <w:top w:w="0" w:type="dxa"/>
          <w:left w:w="0" w:type="dxa"/>
          <w:bottom w:w="0" w:type="dxa"/>
          <w:right w:w="0" w:type="dxa"/>
        </w:tblCellMar>
      </w:tblPr>
      <w:tblGrid>
        <w:gridCol w:w="124"/>
        <w:gridCol w:w="323"/>
        <w:gridCol w:w="9758"/>
      </w:tblGrid>
      <w:tr>
        <w:trPr/>
        <w:tc>
          <w:tcPr>
            <w:tcW w:w="12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lineRule="auto" w:line="240" w:before="0" w:after="60"/>
              <w:jc w:val="both"/>
              <w:rPr>
                <w:rFonts w:ascii="Times New Roman;Times;serif" w:hAnsi="Times New Roman;Times;serif"/>
                <w:sz w:val="18"/>
              </w:rPr>
            </w:pPr>
            <w:r>
              <w:rPr>
                <w:rFonts w:ascii="Times New Roman;Times;serif" w:hAnsi="Times New Roman;Times;serif"/>
                <w:sz w:val="15"/>
              </w:rPr>
              <w:t>xiv</w:t>
            </w:r>
            <w:r>
              <w:rPr>
                <w:rFonts w:ascii="Times New Roman;Times;serif" w:hAnsi="Times New Roman;Times;serif"/>
                <w:sz w:val="18"/>
              </w:rPr>
              <w:t xml:space="preserve"> </w:t>
            </w:r>
          </w:p>
        </w:tc>
        <w:tc>
          <w:tcPr>
            <w:tcW w:w="9758" w:type="dxa"/>
            <w:tcBorders/>
            <w:shd w:fill="auto" w:val="clear"/>
            <w:vAlign w:val="center"/>
          </w:tcPr>
          <w:p>
            <w:pPr>
              <w:pStyle w:val="TableContents"/>
              <w:spacing w:before="0" w:after="60"/>
              <w:jc w:val="both"/>
              <w:rPr>
                <w:rFonts w:ascii="Times New Roman;Times;serif" w:hAnsi="Times New Roman;Times;serif"/>
                <w:sz w:val="20"/>
              </w:rPr>
            </w:pPr>
            <w:r>
              <w:rPr>
                <w:rFonts w:ascii="Times New Roman;Times;serif" w:hAnsi="Times New Roman;Times;serif"/>
                <w:sz w:val="20"/>
              </w:rPr>
              <w:t>Schnitzer TJ, Torby S, Herrmann K, Kaushal G, Yeasted R, Apkarian AV. A randomized placebo-controlled pilot study of the efficacy and safety of D-cycloserine in people with chronic back pain. Mol Pain 2016;12:</w:t>
              <w:br/>
              <w:t>1-8.</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Summary of NRx Material In-licensing Obligations</w:t>
      </w:r>
    </w:p>
    <w:p>
      <w:pPr>
        <w:pStyle w:val="TextBody"/>
        <w:spacing w:before="0" w:after="0"/>
        <w:ind w:left="0" w:right="0" w:hanging="0"/>
        <w:jc w:val="both"/>
        <w:rPr>
          <w:color w:val="231F20"/>
        </w:rPr>
      </w:pPr>
      <w:r>
        <w:rPr>
          <w:color w:val="231F20"/>
        </w:rPr>
        <w:t>​</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NRX-100/101</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Glytech Development and License Agreement (“Glytech DLA”)</w:t>
      </w:r>
    </w:p>
    <w:p>
      <w:pPr>
        <w:pStyle w:val="TextBody"/>
        <w:spacing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Company was founded based upon a development agreement with Glytech, a Company founded by Daniel Javitt. The initial Glytech development agreement was signed on August 6, 2015, and subsequently amended on May 2, 2016, October 19, 2016, June 13, 2018, April 16, 2019, December 31, 2020, August 6, 2022, November 6, 2022 and January 31, 2023.</w:t>
      </w:r>
    </w:p>
    <w:p>
      <w:pPr>
        <w:pStyle w:val="TextBody"/>
        <w:spacing w:before="87"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The License</w:t>
      </w:r>
    </w:p>
    <w:p>
      <w:pPr>
        <w:pStyle w:val="TextBody"/>
        <w:spacing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Pursuant to the Glytech DLA, Glytech granted to NeuroRx an irrevocable, perpetual, exclusive (even as to Glytech) royalty-free license, with the right to sublicense, to use the Licensed Technology (as defined below) to develop, manufacture and offer for sale drug products for the treatment of depression and suicide associated with bipolar disorder in humans, including all products containing (a) DCS (including metabolites and structural variants thereof) combined with an antidepressant agent or an antipsychotic agent (including but not limited to lurasidone), or (b) DCS (including metabolites and structural variants thereof) for treatment of all types of bipolar, depressive and/or anxiety disorders and/or symptoms thereof. The key composition of matter patent (U.S. Patent No. 10,583,138) that supports NRx was assigned to us by Glytech in January 2021 and is no longer the subject of a license grant under the Glytech DLA; and (2) Glytech agreed to transfer and assign the remainder of the Licensed Technology and the Excluded Technology (as defined below) which are not essential for the manufacture or sale of NRX-101 to NRx for no additional consideration at any time upon receipt of written notice from us if, on or prior to March 31, 2023, (i) the value of the Glytech equity holdings in NRx (the “Glytech Equity”) has an aggregate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The Company is working with Glytech to extend this option. </w:t>
      </w:r>
    </w:p>
    <w:p>
      <w:pPr>
        <w:pStyle w:val="TextBody"/>
        <w:spacing w:lineRule="auto" w:line="290" w:before="16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Glytech also agreed to transfer and assign the Licensed Technology and the Excluded Technology to us for no additional consideration simultaneously with the closing of a merger, acquisition or other transaction involving NRx, where, as a result of such transaction, Glytech receives at the closing thereof, by virtue of its status as a stockholder of NRx, at least $50 million in cash proceeds.</w:t>
      </w:r>
    </w:p>
    <w:p>
      <w:pPr>
        <w:pStyle w:val="TextBody"/>
        <w:spacing w:lineRule="auto" w:line="290"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As used in this section of the Glytech DLA, the term “Aggregate Liquidity Value” for any given date means the sum of each trading day’s Daily Liquidity Value during the Eligible Measurement Period applicable for such date, and “Daily Liquidity Value” for any particular trading date means the aggregate proceeds Glytech would receive if it sold that number of shares of Glytech Equity on such trading date equal to 5% of the total number of shares of Common Stock or successor stock sold on such trading date. “Licensed Technology” means the patent rights and know how that disclose, describe or claim subject matter relating to use of DCS in combination with one or more antidepressants or one or more atypical antipsychotics (e.g., lurasidone) that are controlled by Glytech or its affiliates. “Excluded Technology” means any other patent right and knowhow owned by Glytech that does not relate specifically to compositions containing either DCS or lurasidone.</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NRx Obligations</w:t>
      </w:r>
    </w:p>
    <w:p>
      <w:pPr>
        <w:pStyle w:val="TextBody"/>
        <w:spacing w:lineRule="auto" w:line="292" w:before="16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Glytech DLA imposes certain obligations on NRx in connection with maintaining the Glytech License, which include:</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NRx is required to pay to Glytech a fixed annual support payment in the amount of $250,000 per year and to reimburse reasonable, documented travel expenses not exceeding $50,000 per year to support travel to meetings related to patent prosecutions.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NRx has assumed responsibility for the payment of ongoing patent prosecution costs and related costs required to perfect the Licensed Technology and related intellectual property rights.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Prior to the assignment of the Licensed Technology and Excluded Technology by Glytech to NRx (such date, the “Assignment Date”), NRx is required to pay or reimburse Glytech for the full costs of defending any patent rights included in the Licensed Technology and Excluded Technology.</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Prior to the Assignment Date, NRx has an obligation to institute, prosecute and control any action or proceeding with respect to any suspected or actual infringement or misappropriation by a third party of any Licensed Technology and Excluded Technology at its own expense. After the Assignment Date, NRx will be the owner of the Licensed Technology and the Excluded Technology, and as such will have full discretion in the institution and prosecution of any infringement action involving the Licensed Technology and the Excluded Technology.</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NRx has agreed to indemnify Glytech and certain related parties from and against any liability or expense (including attorneys’ fees) resulting from suits or claims by any third party arising out of (i) NRx’s, or its permitted sublicensee’s, sale or experimental use of products developed from any advice or assistance provided by Glytech hereunder; or (ii) the death of or injury to any person or any damage to property, arising from the development, manufacture, marketing, sale or use of any product developed from the Licensed Technology. NRx’s obligation to indemnify Glytech does not apply to any losses arising from the gross negligence or willful misconduct of Glytech or its related parties or any breach by Glytech of the Glytech DLA.</w:t>
            </w:r>
          </w:p>
        </w:tc>
      </w:tr>
    </w:tbl>
    <w:p>
      <w:pPr>
        <w:pStyle w:val="TextBody"/>
        <w:spacing w:before="201"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Glytech Termination Rights</w:t>
      </w:r>
    </w:p>
    <w:p>
      <w:pPr>
        <w:pStyle w:val="TextBody"/>
        <w:spacing w:lineRule="auto" w:line="288" w:before="148"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term of the Glytech DLA continues for an indefinite period unless terminated by one or both parties in accordance with its terms. Glytech has an independent right to terminate the Glytech DLA in the event that (a) NRx is in material breach of the Glytech DLA, including material breaches of the obligations set forth above, and does not rectify such breach within thirty (30) days of notification (unless such breach is not capable of rectification within such thirty (30) day period and NRx acts diligently in a commercially reasonable manner to correct such breach) or (b) if NRx becomes insolvent or has proceedings in voluntary or involuntary bankruptcy instituted against it.</w:t>
      </w:r>
    </w:p>
    <w:p>
      <w:pPr>
        <w:pStyle w:val="TextBody"/>
        <w:spacing w:lineRule="auto" w:line="288" w:before="16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If Glytech terminates the Glytech DLA, then the Glytech License is withdrawn and NRx is required to transfer and assign all of its assets to Glytech, including without limitation any inventions, patent rights and knowhow developed by NRx from the Licensed Technology and all data and research, in whatever format, relating to the Licensed Technologies and the products.</w:t>
      </w:r>
    </w:p>
    <w:p>
      <w:pPr>
        <w:pStyle w:val="TextBody"/>
        <w:spacing w:lineRule="auto" w:line="288" w:before="16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NRx is currently in compliance with its obligations under the Glytech DLA.</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Sarah Herzog Memorial Hospital License Agreement</w:t>
      </w:r>
    </w:p>
    <w:p>
      <w:pPr>
        <w:pStyle w:val="TextBody"/>
        <w:spacing w:before="13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initial clinical trial of D-cycloserine was conducted by Drs. Uri Hersco-Levy and Daniel Javitt at the Sarah Herzog Memorial Hospital (SHMH) in Jerusalem and resulted in a patent owned by SHMH in which Heresco-Levy and Javitt share inventorship. NeuroRx entered into an Exclusive License Agreement with SHMH, dated April 16, 2019 (the “SHMH License Agreement”).</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The License</w:t>
      </w:r>
    </w:p>
    <w:p>
      <w:pPr>
        <w:pStyle w:val="TextBody"/>
        <w:spacing w:before="14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SHMH License Agreement grants NeuroRx an exclusive, worldwide, royalty bearing license to U.S. Patent No. 9,789,093, certain patent applications pending at that time as well as subsequently filed patent applications in the same priority families, and patents issuing therefrom, including corresponding foreign patents and patent applications (together, the “Licensed Patents”), to develop, manufacture, offer for sale and otherwise commercialize drug products for the treatment of depression and suicide associated with bipolar disorder in humans, including certain products containing (a) DCS (including metabolites and structural variants thereof) combined with an antidepressant agent or an antipsychotic agent (including but not limited to lurasidone), or (b) DCS (including metabolites and structural variants thereof) ((a) and (b) collectively the “Licensed Products”) for treatment of all types of bipolar, depressive and/or anxiety disorders and/or symptoms thereof. We have the right to grant sub-licenses, subject to the agreed sub-licensing procedure, but are liable to SHMH for any breaches of a sub-license by a sub-licensee.</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NRx Obligations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are required to make certain payments in order to maintain the license, including:</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Milestone Payments</w:t>
      </w:r>
    </w:p>
    <w:p>
      <w:pPr>
        <w:pStyle w:val="TextBody"/>
        <w:spacing w:before="0" w:after="0"/>
        <w:ind w:left="0" w:right="0" w:hanging="0"/>
        <w:jc w:val="both"/>
        <w:rPr>
          <w:color w:val="231F20"/>
        </w:rPr>
      </w:pPr>
      <w:r>
        <w:rPr>
          <w:color w:val="231F20"/>
        </w:rPr>
        <w:t>​</w:t>
      </w:r>
    </w:p>
    <w:tbl>
      <w:tblPr>
        <w:tblW w:w="5984" w:type="dxa"/>
        <w:jc w:val="left"/>
        <w:tblInd w:w="0" w:type="dxa"/>
        <w:tblCellMar>
          <w:top w:w="0" w:type="dxa"/>
          <w:left w:w="0" w:type="dxa"/>
          <w:bottom w:w="0" w:type="dxa"/>
          <w:right w:w="0" w:type="dxa"/>
        </w:tblCellMar>
      </w:tblPr>
      <w:tblGrid>
        <w:gridCol w:w="4411"/>
        <w:gridCol w:w="146"/>
        <w:gridCol w:w="211"/>
        <w:gridCol w:w="390"/>
        <w:gridCol w:w="410"/>
        <w:gridCol w:w="24"/>
        <w:gridCol w:w="114"/>
        <w:gridCol w:w="114"/>
        <w:gridCol w:w="164"/>
      </w:tblGrid>
      <w:tr>
        <w:trPr/>
        <w:tc>
          <w:tcPr>
            <w:tcW w:w="5592" w:type="dxa"/>
            <w:gridSpan w:val="6"/>
            <w:tcBorders/>
            <w:shd w:fill="auto" w:val="clear"/>
            <w:vAlign w:val="center"/>
          </w:tcPr>
          <w:p>
            <w:pPr>
              <w:pStyle w:val="TableContents"/>
              <w:spacing w:before="0" w:after="1"/>
              <w:ind w:left="0" w:right="0" w:hanging="0"/>
              <w:jc w:val="both"/>
              <w:rPr>
                <w:color w:val="231F20"/>
              </w:rPr>
            </w:pPr>
            <w:r>
              <w:rPr>
                <w:color w:val="231F20"/>
              </w:rPr>
              <w:t>​</w:t>
            </w:r>
          </w:p>
        </w:tc>
        <w:tc>
          <w:tcPr>
            <w:tcW w:w="114" w:type="dxa"/>
            <w:tcBorders/>
            <w:shd w:fill="auto" w:val="clear"/>
            <w:vAlign w:val="center"/>
          </w:tcPr>
          <w:p>
            <w:pPr>
              <w:pStyle w:val="TableContents"/>
              <w:spacing w:before="0" w:after="1"/>
              <w:ind w:left="0" w:right="0" w:hanging="0"/>
              <w:jc w:val="both"/>
              <w:rPr>
                <w:color w:val="231F20"/>
              </w:rPr>
            </w:pPr>
            <w:r>
              <w:rPr>
                <w:color w:val="231F20"/>
              </w:rPr>
              <w:t>​</w:t>
            </w:r>
          </w:p>
        </w:tc>
        <w:tc>
          <w:tcPr>
            <w:tcW w:w="114" w:type="dxa"/>
            <w:tcBorders/>
            <w:shd w:fill="auto" w:val="clear"/>
            <w:vAlign w:val="center"/>
          </w:tcPr>
          <w:p>
            <w:pPr>
              <w:pStyle w:val="TableContents"/>
              <w:spacing w:before="0" w:after="1"/>
              <w:ind w:left="0" w:right="0" w:hanging="0"/>
              <w:jc w:val="both"/>
              <w:rPr>
                <w:color w:val="231F20"/>
              </w:rPr>
            </w:pPr>
            <w:r>
              <w:rPr>
                <w:color w:val="231F20"/>
              </w:rPr>
              <w:t>​</w:t>
            </w:r>
          </w:p>
        </w:tc>
        <w:tc>
          <w:tcPr>
            <w:tcW w:w="164" w:type="dxa"/>
            <w:tcBorders/>
            <w:shd w:fill="auto" w:val="clear"/>
            <w:vAlign w:val="center"/>
          </w:tcPr>
          <w:p>
            <w:pPr>
              <w:pStyle w:val="TableContents"/>
              <w:spacing w:before="0" w:after="1"/>
              <w:ind w:left="0" w:right="0" w:hanging="0"/>
              <w:jc w:val="both"/>
              <w:rPr>
                <w:color w:val="231F20"/>
              </w:rPr>
            </w:pPr>
            <w:r>
              <w:rPr>
                <w:color w:val="231F20"/>
              </w:rPr>
              <w:t>​</w:t>
            </w:r>
          </w:p>
        </w:tc>
      </w:tr>
      <w:tr>
        <w:trPr/>
        <w:tc>
          <w:tcPr>
            <w:tcW w:w="4411" w:type="dxa"/>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End of Phase I Clinical Trials of Licensed Product</w:t>
            </w:r>
          </w:p>
        </w:tc>
        <w:tc>
          <w:tcPr>
            <w:tcW w:w="146" w:type="dxa"/>
            <w:tcBorders/>
            <w:shd w:fill="CCEEFF" w:val="clear"/>
            <w:vAlign w:val="center"/>
          </w:tcPr>
          <w:p>
            <w:pPr>
              <w:pStyle w:val="TableContents"/>
              <w:spacing w:before="0" w:after="1"/>
              <w:ind w:left="0" w:right="0" w:hanging="0"/>
              <w:jc w:val="both"/>
              <w:rPr>
                <w:color w:val="231F20"/>
              </w:rPr>
            </w:pPr>
            <w:r>
              <w:rPr>
                <w:color w:val="231F20"/>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w:t>
            </w:r>
          </w:p>
        </w:tc>
        <w:tc>
          <w:tcPr>
            <w:tcW w:w="800" w:type="dxa"/>
            <w:gridSpan w:val="2"/>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100,000</w:t>
            </w:r>
          </w:p>
        </w:tc>
        <w:tc>
          <w:tcPr>
            <w:tcW w:w="416"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End of Phase II Clinical Trials of Licensed Product</w:t>
            </w:r>
          </w:p>
        </w:tc>
        <w:tc>
          <w:tcPr>
            <w:tcW w:w="146" w:type="dxa"/>
            <w:tcBorders/>
            <w:shd w:fill="auto" w:val="clear"/>
            <w:vAlign w:val="center"/>
          </w:tcPr>
          <w:p>
            <w:pPr>
              <w:pStyle w:val="TableContents"/>
              <w:spacing w:before="0" w:after="1"/>
              <w:ind w:left="0" w:right="0" w:hanging="0"/>
              <w:jc w:val="both"/>
              <w:rPr>
                <w:color w:val="231F20"/>
              </w:rPr>
            </w:pPr>
            <w:r>
              <w:rPr>
                <w:color w:val="231F20"/>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w:t>
            </w:r>
          </w:p>
        </w:tc>
        <w:tc>
          <w:tcPr>
            <w:tcW w:w="800" w:type="dxa"/>
            <w:gridSpan w:val="2"/>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250,000</w:t>
            </w:r>
          </w:p>
        </w:tc>
        <w:tc>
          <w:tcPr>
            <w:tcW w:w="416"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411" w:type="dxa"/>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End of Phase III Clinical Trials of Licensed Product</w:t>
            </w:r>
          </w:p>
        </w:tc>
        <w:tc>
          <w:tcPr>
            <w:tcW w:w="146" w:type="dxa"/>
            <w:tcBorders/>
            <w:shd w:fill="CCEEFF" w:val="clear"/>
            <w:vAlign w:val="center"/>
          </w:tcPr>
          <w:p>
            <w:pPr>
              <w:pStyle w:val="TableContents"/>
              <w:spacing w:before="0" w:after="1"/>
              <w:ind w:left="0" w:right="0" w:hanging="0"/>
              <w:jc w:val="both"/>
              <w:rPr>
                <w:color w:val="231F20"/>
              </w:rPr>
            </w:pPr>
            <w:r>
              <w:rPr>
                <w:color w:val="231F20"/>
              </w:rPr>
              <w:t> </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w:t>
            </w:r>
          </w:p>
        </w:tc>
        <w:tc>
          <w:tcPr>
            <w:tcW w:w="800" w:type="dxa"/>
            <w:gridSpan w:val="2"/>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250,000</w:t>
            </w:r>
          </w:p>
        </w:tc>
        <w:tc>
          <w:tcPr>
            <w:tcW w:w="416"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First Commercial Sale of Licensed Product in U.S.</w:t>
            </w:r>
          </w:p>
        </w:tc>
        <w:tc>
          <w:tcPr>
            <w:tcW w:w="146" w:type="dxa"/>
            <w:tcBorders/>
            <w:shd w:fill="auto" w:val="clear"/>
            <w:vAlign w:val="center"/>
          </w:tcPr>
          <w:p>
            <w:pPr>
              <w:pStyle w:val="TableContents"/>
              <w:spacing w:before="0" w:after="1"/>
              <w:ind w:left="0" w:right="0" w:hanging="0"/>
              <w:jc w:val="both"/>
              <w:rPr>
                <w:color w:val="231F20"/>
              </w:rPr>
            </w:pPr>
            <w:r>
              <w:rPr>
                <w:color w:val="231F20"/>
              </w:rPr>
              <w:t> </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w:t>
            </w:r>
          </w:p>
        </w:tc>
        <w:tc>
          <w:tcPr>
            <w:tcW w:w="800" w:type="dxa"/>
            <w:gridSpan w:val="2"/>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500,000</w:t>
            </w:r>
          </w:p>
        </w:tc>
        <w:tc>
          <w:tcPr>
            <w:tcW w:w="416"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411" w:type="dxa"/>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First Commercial Sale of Licensed Product in Europe</w:t>
            </w:r>
          </w:p>
        </w:tc>
        <w:tc>
          <w:tcPr>
            <w:tcW w:w="146" w:type="dxa"/>
            <w:tcBorders/>
            <w:shd w:fill="CCEEFF" w:val="clear"/>
            <w:vAlign w:val="center"/>
          </w:tcPr>
          <w:p>
            <w:pPr>
              <w:pStyle w:val="TableContents"/>
              <w:spacing w:before="0" w:after="1"/>
              <w:ind w:left="0" w:right="0" w:hanging="0"/>
              <w:jc w:val="both"/>
              <w:rPr>
                <w:color w:val="231F20"/>
              </w:rPr>
            </w:pPr>
            <w:r>
              <w:rPr>
                <w:color w:val="231F20"/>
              </w:rPr>
              <w:t> </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w:t>
            </w:r>
          </w:p>
        </w:tc>
        <w:tc>
          <w:tcPr>
            <w:tcW w:w="800" w:type="dxa"/>
            <w:gridSpan w:val="2"/>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500,000</w:t>
            </w:r>
          </w:p>
        </w:tc>
        <w:tc>
          <w:tcPr>
            <w:tcW w:w="416"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Annual Revenues Reach $100,000,000</w:t>
            </w:r>
          </w:p>
        </w:tc>
        <w:tc>
          <w:tcPr>
            <w:tcW w:w="146" w:type="dxa"/>
            <w:tcBorders/>
            <w:shd w:fill="auto" w:val="clear"/>
            <w:vAlign w:val="center"/>
          </w:tcPr>
          <w:p>
            <w:pPr>
              <w:pStyle w:val="TableContents"/>
              <w:spacing w:before="0" w:after="1"/>
              <w:ind w:left="0" w:right="0" w:hanging="0"/>
              <w:jc w:val="both"/>
              <w:rPr>
                <w:color w:val="231F20"/>
              </w:rPr>
            </w:pPr>
            <w:r>
              <w:rPr>
                <w:color w:val="231F20"/>
              </w:rPr>
              <w:t>​</w:t>
            </w:r>
          </w:p>
        </w:tc>
        <w:tc>
          <w:tcPr>
            <w:tcW w:w="601" w:type="dxa"/>
            <w:gridSpan w:val="2"/>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w:t>
            </w:r>
          </w:p>
        </w:tc>
        <w:tc>
          <w:tcPr>
            <w:tcW w:w="826" w:type="dxa"/>
            <w:gridSpan w:val="5"/>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750,000</w:t>
            </w:r>
          </w:p>
        </w:tc>
      </w:tr>
    </w:tbl>
    <w:p>
      <w:pPr>
        <w:pStyle w:val="TextBody"/>
        <w:spacing w:lineRule="auto" w:line="288"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milestone payments due above may be reduced by 25% in certain circumstances, and by the application of certain sub-license fees.</w:t>
      </w:r>
    </w:p>
    <w:p>
      <w:pPr>
        <w:pStyle w:val="TextBody"/>
        <w:spacing w:before="1"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Royalties</w:t>
      </w:r>
    </w:p>
    <w:p>
      <w:pPr>
        <w:pStyle w:val="TextBody"/>
        <w:spacing w:before="16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pStyle w:val="TextBody"/>
        <w:spacing w:lineRule="auto" w:line="288" w:before="15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Royalties shall also apply to any revenues generated by sub-licensees from sale of Licensed Products subject to a cap of 8.5% of the payments received by us from sub-licensees in connection with such sales.</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Annual Maintenance Fee</w:t>
      </w:r>
    </w:p>
    <w:p>
      <w:pPr>
        <w:pStyle w:val="TextBody"/>
        <w:spacing w:lineRule="auto" w:line="288"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 fixed amount of $100,000 was paid on April 16, 2021 and, thereafter, a fixed amount of $150,000 is due on the anniversary of such date during the term of the SHMH License Agreement.</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Costs of Licensed Patents</w:t>
      </w:r>
    </w:p>
    <w:p>
      <w:pPr>
        <w:pStyle w:val="TextBody"/>
        <w:spacing w:lineRule="auto" w:line="288" w:before="16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are required to reimburse SHMH for any costs incurred in filing and prosecuting the Licensed Patents during the term of the SHMH Agreement. We are also responsible for paying directly any ongoing costs associated with the maintenance of the Licensed Patents.</w:t>
      </w:r>
    </w:p>
    <w:p>
      <w:pPr>
        <w:pStyle w:val="TextBody"/>
        <w:spacing w:before="1"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Other Obligations</w:t>
      </w:r>
    </w:p>
    <w:p>
      <w:pPr>
        <w:pStyle w:val="TextBody"/>
        <w:spacing w:lineRule="auto" w:line="288" w:before="16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SHMH License Agreement imposes certain other obligations on us, including:</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use of commercially reasonable efforts to develop, test, manufacture, obtain regulatory approval for and actively market at least one product using the Licensed Patents.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indemnification of SHMH and certain of its affiliates against any claims, proceedings, and liabilities, including legal expenses, resulting from any third-party claims arising from (i) the development, manufacture, marketing, sale or use of Licensed Products or (ii) arising from any material breach of the SHMH License Agreement. The indemnification obligation does not apply to the extent of the gross negligence or misconduct of SHMH or its affiliates.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maintenance at Company expense of clinical trial and general commercial liability insurance in amounts not less than $1 million per occurrence/aggregate of $3 million for death or personal injury and $1 million per occurrence/aggregate of $3 million for property damage, with SHMH named as an additional insured under such policies.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041" w:type="dxa"/>
        <w:jc w:val="left"/>
        <w:tblInd w:w="0" w:type="dxa"/>
        <w:tblCellMar>
          <w:top w:w="28" w:type="dxa"/>
          <w:left w:w="28" w:type="dxa"/>
          <w:bottom w:w="28" w:type="dxa"/>
          <w:right w:w="28" w:type="dxa"/>
        </w:tblCellMar>
      </w:tblPr>
      <w:tblGrid>
        <w:gridCol w:w="124"/>
        <w:gridCol w:w="196"/>
        <w:gridCol w:w="372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7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Record keeping and reporting requirements.</w:t>
            </w:r>
          </w:p>
        </w:tc>
      </w:tr>
    </w:tbl>
    <w:p>
      <w:pPr>
        <w:pStyle w:val="TextBody"/>
        <w:spacing w:before="16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Our exclusive rights under the Licensed Patents are at risk if we fail to fulfill our payment and other obligations under the SHMH License Agreement, including the obligations described above. We are currently in compliance with our obligations under the SHMH License Agreement.</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SHMH Termination Rights</w:t>
      </w:r>
    </w:p>
    <w:p>
      <w:pPr>
        <w:pStyle w:val="TextBody"/>
        <w:spacing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term of the SHMH License Agreement continues until the expiration of the last-to-expire Licensed Patent or a final judgment of invalidity or unenforceability of the last Licensed Patent.</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SHMH has the independent right to terminate the SHMH License Agreement in the event that NRx (a) is in material breach and does not rectify such breach within sixty (60) days of written notification of such breach or (b) becomes insolvent, or has proceedings in voluntary or involuntary bankruptcy instituted against and such proceeding is not set aside within sixty (60) days. If we make an application or claim that challenges the validity, enforceability or scope of any of the Licensed Patents, SHMH also has the right to terminate the SHMH License Agreement in respect of the Licensed Patents that are included in such proceeding.</w:t>
      </w:r>
    </w:p>
    <w:p>
      <w:pPr>
        <w:pStyle w:val="TextBody"/>
        <w:spacing w:lineRule="auto" w:line="300" w:before="15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Upon termination of the SHMH License Agreement, the license to use the Licensed Patents will terminate, and all rights included therein shall revert to SHMH.</w:t>
      </w:r>
    </w:p>
    <w:p>
      <w:pPr>
        <w:pStyle w:val="TextBody"/>
        <w:spacing w:lineRule="auto" w:line="300" w:before="15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As of the date hereof, we have not received any notice from SHMH alleging any material breach of the SHMH License Agreement by NRx.</w:t>
      </w:r>
    </w:p>
    <w:p>
      <w:pPr>
        <w:pStyle w:val="TextBody"/>
        <w:spacing w:before="0" w:after="0"/>
        <w:ind w:left="0" w:right="0" w:hanging="0"/>
        <w:rPr>
          <w:color w:val="231F20"/>
        </w:rPr>
      </w:pPr>
      <w:r>
        <w:rPr>
          <w:color w:val="231F20"/>
        </w:rPr>
        <w:t>​</w:t>
      </w:r>
    </w:p>
    <w:p>
      <w:pPr>
        <w:pStyle w:val="TextBody"/>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NRx Patent Portfolio</w:t>
      </w:r>
    </w:p>
    <w:p>
      <w:pPr>
        <w:pStyle w:val="TextBody"/>
        <w:spacing w:before="0" w:after="0"/>
        <w:ind w:left="0" w:right="0" w:hanging="0"/>
        <w:rPr>
          <w:color w:val="231F20"/>
        </w:rPr>
      </w:pPr>
      <w:r>
        <w:rPr>
          <w:color w:val="231F20"/>
        </w:rPr>
        <w:t>​</w:t>
      </w:r>
    </w:p>
    <w:tbl>
      <w:tblPr>
        <w:tblW w:w="4157" w:type="dxa"/>
        <w:jc w:val="left"/>
        <w:tblInd w:w="0" w:type="dxa"/>
        <w:tblCellMar>
          <w:top w:w="0" w:type="dxa"/>
          <w:left w:w="0" w:type="dxa"/>
          <w:bottom w:w="0" w:type="dxa"/>
          <w:right w:w="0" w:type="dxa"/>
        </w:tblCellMar>
      </w:tblPr>
      <w:tblGrid>
        <w:gridCol w:w="241"/>
        <w:gridCol w:w="3916"/>
      </w:tblGrid>
      <w:tr>
        <w:trPr/>
        <w:tc>
          <w:tcPr>
            <w:tcW w:w="241" w:type="dxa"/>
            <w:tcBorders/>
            <w:shd w:fill="auto" w:val="clear"/>
            <w:vAlign w:val="center"/>
          </w:tcPr>
          <w:p>
            <w:pPr>
              <w:pStyle w:val="TableContents"/>
              <w:spacing w:before="0" w:after="283"/>
              <w:rPr>
                <w:rFonts w:ascii="Times New Roman;Times;serif" w:hAnsi="Times New Roman;Times;serif"/>
                <w:b/>
                <w:color w:val="231F20"/>
                <w:sz w:val="20"/>
              </w:rPr>
            </w:pPr>
            <w:r>
              <w:rPr>
                <w:rFonts w:ascii="Times New Roman;Times;serif" w:hAnsi="Times New Roman;Times;serif"/>
                <w:b/>
                <w:color w:val="231F20"/>
                <w:sz w:val="20"/>
              </w:rPr>
              <w:t>I.</w:t>
            </w:r>
          </w:p>
        </w:tc>
        <w:tc>
          <w:tcPr>
            <w:tcW w:w="3916" w:type="dxa"/>
            <w:tcBorders/>
            <w:shd w:fill="auto" w:val="clear"/>
            <w:vAlign w:val="center"/>
          </w:tcPr>
          <w:p>
            <w:pPr>
              <w:pStyle w:val="TableContents"/>
              <w:spacing w:before="0" w:after="283"/>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Glytech-licensed Patents/Patent Applications</w:t>
            </w:r>
          </w:p>
        </w:tc>
      </w:tr>
    </w:tbl>
    <w:p>
      <w:pPr>
        <w:pStyle w:val="TextBody"/>
        <w:spacing w:before="0" w:after="0"/>
        <w:ind w:left="0" w:right="0" w:hanging="0"/>
        <w:rPr>
          <w:color w:val="231F20"/>
        </w:rPr>
      </w:pPr>
      <w:r>
        <w:rPr>
          <w:color w:val="231F20"/>
        </w:rPr>
        <w:t>​</w:t>
      </w:r>
    </w:p>
    <w:tbl>
      <w:tblPr>
        <w:tblW w:w="10205" w:type="dxa"/>
        <w:jc w:val="left"/>
        <w:tblInd w:w="0" w:type="dxa"/>
        <w:tblCellMar>
          <w:top w:w="0" w:type="dxa"/>
          <w:left w:w="0" w:type="dxa"/>
          <w:bottom w:w="0" w:type="dxa"/>
          <w:right w:w="0" w:type="dxa"/>
        </w:tblCellMar>
      </w:tblPr>
      <w:tblGrid>
        <w:gridCol w:w="1010"/>
        <w:gridCol w:w="888"/>
        <w:gridCol w:w="190"/>
        <w:gridCol w:w="146"/>
        <w:gridCol w:w="216"/>
        <w:gridCol w:w="979"/>
        <w:gridCol w:w="186"/>
        <w:gridCol w:w="146"/>
        <w:gridCol w:w="836"/>
        <w:gridCol w:w="5608"/>
      </w:tblGrid>
      <w:tr>
        <w:trPr/>
        <w:tc>
          <w:tcPr>
            <w:tcW w:w="1010" w:type="dxa"/>
            <w:tcBorders/>
            <w:shd w:fill="auto" w:val="clear"/>
            <w:vAlign w:val="center"/>
          </w:tcPr>
          <w:p>
            <w:pPr>
              <w:pStyle w:val="TableContents"/>
              <w:spacing w:before="0" w:after="283"/>
              <w:ind w:left="0" w:right="0" w:hanging="0"/>
              <w:rPr>
                <w:sz w:val="4"/>
                <w:szCs w:val="4"/>
              </w:rPr>
            </w:pPr>
            <w:r>
              <w:rPr>
                <w:sz w:val="4"/>
                <w:szCs w:val="4"/>
              </w:rPr>
            </w:r>
          </w:p>
        </w:tc>
        <w:tc>
          <w:tcPr>
            <w:tcW w:w="888" w:type="dxa"/>
            <w:tcBorders/>
            <w:shd w:fill="auto" w:val="clear"/>
            <w:vAlign w:val="center"/>
          </w:tcPr>
          <w:p>
            <w:pPr>
              <w:pStyle w:val="TableContents"/>
              <w:spacing w:before="0" w:after="283"/>
              <w:ind w:left="0" w:right="0" w:hanging="0"/>
              <w:rPr>
                <w:sz w:val="4"/>
                <w:szCs w:val="4"/>
              </w:rPr>
            </w:pPr>
            <w:r>
              <w:rPr>
                <w:sz w:val="4"/>
                <w:szCs w:val="4"/>
              </w:rPr>
            </w:r>
          </w:p>
        </w:tc>
        <w:tc>
          <w:tcPr>
            <w:tcW w:w="552" w:type="dxa"/>
            <w:gridSpan w:val="3"/>
            <w:tcBorders/>
            <w:shd w:fill="auto" w:val="clear"/>
            <w:vAlign w:val="center"/>
          </w:tcPr>
          <w:p>
            <w:pPr>
              <w:pStyle w:val="TableContents"/>
              <w:spacing w:before="0" w:after="283"/>
              <w:ind w:left="0" w:right="0" w:hanging="0"/>
              <w:rPr>
                <w:sz w:val="4"/>
                <w:szCs w:val="4"/>
              </w:rPr>
            </w:pPr>
            <w:r>
              <w:rPr>
                <w:sz w:val="4"/>
                <w:szCs w:val="4"/>
              </w:rPr>
            </w:r>
          </w:p>
        </w:tc>
        <w:tc>
          <w:tcPr>
            <w:tcW w:w="979" w:type="dxa"/>
            <w:tcBorders/>
            <w:shd w:fill="auto" w:val="clear"/>
            <w:vAlign w:val="center"/>
          </w:tcPr>
          <w:p>
            <w:pPr>
              <w:pStyle w:val="TableContents"/>
              <w:spacing w:before="0" w:after="283"/>
              <w:ind w:left="0" w:right="0" w:hanging="0"/>
              <w:rPr>
                <w:sz w:val="4"/>
                <w:szCs w:val="4"/>
              </w:rPr>
            </w:pPr>
            <w:r>
              <w:rPr>
                <w:sz w:val="4"/>
                <w:szCs w:val="4"/>
              </w:rPr>
            </w:r>
          </w:p>
        </w:tc>
        <w:tc>
          <w:tcPr>
            <w:tcW w:w="1168" w:type="dxa"/>
            <w:gridSpan w:val="3"/>
            <w:tcBorders/>
            <w:shd w:fill="auto" w:val="clear"/>
            <w:vAlign w:val="center"/>
          </w:tcPr>
          <w:p>
            <w:pPr>
              <w:pStyle w:val="TableContents"/>
              <w:spacing w:before="0" w:after="283"/>
              <w:ind w:left="0" w:right="0" w:hanging="0"/>
              <w:rPr>
                <w:sz w:val="4"/>
                <w:szCs w:val="4"/>
              </w:rPr>
            </w:pPr>
            <w:r>
              <w:rPr>
                <w:sz w:val="4"/>
                <w:szCs w:val="4"/>
              </w:rPr>
            </w:r>
          </w:p>
        </w:tc>
        <w:tc>
          <w:tcPr>
            <w:tcW w:w="5608"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010" w:type="dxa"/>
            <w:tcBorders/>
            <w:shd w:fill="auto" w:val="clear"/>
            <w:vAlign w:val="center"/>
          </w:tcPr>
          <w:p>
            <w:pPr>
              <w:pStyle w:val="TableContents"/>
              <w:spacing w:before="0" w:after="0"/>
              <w:ind w:left="0" w:right="0" w:hanging="0"/>
              <w:rPr>
                <w:color w:val="231F20"/>
              </w:rPr>
            </w:pPr>
            <w:r>
              <w:rPr>
                <w:color w:val="231F20"/>
              </w:rPr>
              <w:t>​</w:t>
            </w:r>
          </w:p>
        </w:tc>
        <w:tc>
          <w:tcPr>
            <w:tcW w:w="888" w:type="dxa"/>
            <w:tcBorders/>
            <w:shd w:fill="auto" w:val="clear"/>
            <w:vAlign w:val="center"/>
          </w:tcPr>
          <w:p>
            <w:pPr>
              <w:pStyle w:val="TableContents"/>
              <w:spacing w:before="0" w:after="0"/>
              <w:ind w:left="0" w:right="0" w:hanging="0"/>
              <w:rPr>
                <w:color w:val="231F20"/>
              </w:rPr>
            </w:pPr>
            <w:r>
              <w:rPr>
                <w:color w:val="231F20"/>
              </w:rPr>
              <w:t>​</w:t>
            </w:r>
          </w:p>
        </w:tc>
        <w:tc>
          <w:tcPr>
            <w:tcW w:w="552" w:type="dxa"/>
            <w:gridSpan w:val="3"/>
            <w:tcBorders/>
            <w:shd w:fill="auto" w:val="clear"/>
            <w:vAlign w:val="center"/>
          </w:tcPr>
          <w:p>
            <w:pPr>
              <w:pStyle w:val="TableContents"/>
              <w:spacing w:before="0" w:after="0"/>
              <w:ind w:left="0" w:right="0" w:hanging="0"/>
              <w:rPr>
                <w:color w:val="231F20"/>
              </w:rPr>
            </w:pPr>
            <w:r>
              <w:rPr>
                <w:color w:val="231F20"/>
              </w:rPr>
              <w:t>​</w:t>
            </w:r>
          </w:p>
        </w:tc>
        <w:tc>
          <w:tcPr>
            <w:tcW w:w="979" w:type="dxa"/>
            <w:tcBorders/>
            <w:shd w:fill="auto" w:val="clear"/>
            <w:vAlign w:val="center"/>
          </w:tcPr>
          <w:p>
            <w:pPr>
              <w:pStyle w:val="TableContents"/>
              <w:spacing w:before="0" w:after="0"/>
              <w:ind w:left="0" w:right="0" w:hanging="0"/>
              <w:rPr>
                <w:color w:val="231F20"/>
              </w:rPr>
            </w:pPr>
            <w:r>
              <w:rPr>
                <w:color w:val="231F20"/>
              </w:rPr>
              <w:t>​</w:t>
            </w:r>
          </w:p>
        </w:tc>
        <w:tc>
          <w:tcPr>
            <w:tcW w:w="1168" w:type="dxa"/>
            <w:gridSpan w:val="3"/>
            <w:tcBorders/>
            <w:shd w:fill="auto" w:val="clear"/>
            <w:vAlign w:val="center"/>
          </w:tcPr>
          <w:p>
            <w:pPr>
              <w:pStyle w:val="TableContents"/>
              <w:spacing w:before="0" w:after="0"/>
              <w:ind w:left="0" w:right="0" w:hanging="0"/>
              <w:rPr>
                <w:color w:val="231F20"/>
              </w:rPr>
            </w:pPr>
            <w:r>
              <w:rPr>
                <w:color w:val="231F20"/>
              </w:rPr>
              <w:t>​</w:t>
            </w:r>
          </w:p>
        </w:tc>
        <w:tc>
          <w:tcPr>
            <w:tcW w:w="5608"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088" w:type="dxa"/>
            <w:gridSpan w:val="3"/>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Jurisdiction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81" w:type="dxa"/>
            <w:gridSpan w:val="3"/>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Patent/Appl. No.</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444"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Status/Notes</w:t>
            </w:r>
          </w:p>
        </w:tc>
      </w:tr>
      <w:tr>
        <w:trPr/>
        <w:tc>
          <w:tcPr>
            <w:tcW w:w="2088"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381"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9,737,531</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6444"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088"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81"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9,486,453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444"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088"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381"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10,660,887</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6444"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088"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European Patent Convention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81"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EP 2 872 139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444"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 validated in France, Germany, Ireland, Italy, Netherlands, Poland, Portugal, Spain, Great Britain</w:t>
            </w:r>
          </w:p>
        </w:tc>
      </w:tr>
      <w:tr>
        <w:trPr/>
        <w:tc>
          <w:tcPr>
            <w:tcW w:w="2088"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European Patent Convention</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381"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EP 3 263 108</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6444"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 validated in France, Germany, Ireland, Italy, Netherlands, Poland, Portugal, Spain, Great Britain</w:t>
            </w:r>
          </w:p>
        </w:tc>
      </w:tr>
      <w:tr>
        <w:trPr/>
        <w:tc>
          <w:tcPr>
            <w:tcW w:w="2088"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Japan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81"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JP 6416762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444"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088"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Australia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381"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AU 2013288827</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6444"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088"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Australia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81"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AU 2018203371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444"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088"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China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381"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CN 104507477</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6444"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088"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China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381" w:type="dxa"/>
            <w:gridSpan w:val="3"/>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CN 107875389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444"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530" w:type="dxa"/>
        <w:jc w:val="left"/>
        <w:tblInd w:w="0" w:type="dxa"/>
        <w:tblCellMar>
          <w:top w:w="0" w:type="dxa"/>
          <w:left w:w="0" w:type="dxa"/>
          <w:bottom w:w="0" w:type="dxa"/>
          <w:right w:w="0" w:type="dxa"/>
        </w:tblCellMar>
      </w:tblPr>
      <w:tblGrid>
        <w:gridCol w:w="2476"/>
        <w:gridCol w:w="146"/>
        <w:gridCol w:w="1936"/>
        <w:gridCol w:w="146"/>
        <w:gridCol w:w="826"/>
      </w:tblGrid>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16/166,101</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Israel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IL 271371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16/812,382</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European Patent Convention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EP 18731195.6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Japan</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JP 2019-568331</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Canada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 3,067,162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Australia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AU 2018284335</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Brazil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BR 11 2019 026449 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China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CN 201880051813.X</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Georgia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GE AP201815254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Mexico</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MX/a/2019/015120</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South Korea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KR 10-2020-7000844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South Africa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ZA 2019/08616</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New Zealand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NZ 760542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Israel</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IL 270916</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17/586,828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Japan</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JP 2019-564867</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Canada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 3,064,846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Australia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AU 2018274767</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Brazil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BR 11 2019 024802-1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China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CN 201880048653.3</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Georgia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GE AP201815247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Mexico</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MX/a/2019/014113</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South Korea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KR 10-2019-7038209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247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South Africa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93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ZA 2019/08617</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826"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New Zealand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3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NZ 760544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bl>
    <w:p>
      <w:pPr>
        <w:pStyle w:val="TextBody"/>
        <w:spacing w:before="0" w:after="0"/>
        <w:ind w:left="0" w:right="0" w:hanging="0"/>
        <w:rPr>
          <w:color w:val="231F20"/>
        </w:rPr>
      </w:pPr>
      <w:r>
        <w:rPr>
          <w:color w:val="231F20"/>
        </w:rPr>
        <w:t>​</w:t>
      </w:r>
    </w:p>
    <w:tbl>
      <w:tblPr>
        <w:tblW w:w="4502" w:type="dxa"/>
        <w:jc w:val="left"/>
        <w:tblInd w:w="0" w:type="dxa"/>
        <w:tblCellMar>
          <w:top w:w="0" w:type="dxa"/>
          <w:left w:w="0" w:type="dxa"/>
          <w:bottom w:w="0" w:type="dxa"/>
          <w:right w:w="0" w:type="dxa"/>
        </w:tblCellMar>
      </w:tblPr>
      <w:tblGrid>
        <w:gridCol w:w="316"/>
        <w:gridCol w:w="4186"/>
      </w:tblGrid>
      <w:tr>
        <w:trPr/>
        <w:tc>
          <w:tcPr>
            <w:tcW w:w="316" w:type="dxa"/>
            <w:tcBorders/>
            <w:shd w:fill="auto" w:val="clear"/>
            <w:vAlign w:val="center"/>
          </w:tcPr>
          <w:p>
            <w:pPr>
              <w:pStyle w:val="TableContents"/>
              <w:spacing w:before="0" w:after="283"/>
              <w:rPr>
                <w:rFonts w:ascii="Times New Roman;Times;serif" w:hAnsi="Times New Roman;Times;serif"/>
                <w:b/>
                <w:color w:val="231F20"/>
                <w:sz w:val="20"/>
              </w:rPr>
            </w:pPr>
            <w:r>
              <w:rPr>
                <w:rFonts w:ascii="Times New Roman;Times;serif" w:hAnsi="Times New Roman;Times;serif"/>
                <w:b/>
                <w:color w:val="231F20"/>
                <w:sz w:val="20"/>
              </w:rPr>
              <w:t>II.</w:t>
            </w:r>
          </w:p>
        </w:tc>
        <w:tc>
          <w:tcPr>
            <w:tcW w:w="4186" w:type="dxa"/>
            <w:tcBorders/>
            <w:shd w:fill="auto" w:val="clear"/>
            <w:vAlign w:val="center"/>
          </w:tcPr>
          <w:p>
            <w:pPr>
              <w:pStyle w:val="TableContents"/>
              <w:spacing w:before="0" w:after="283"/>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SHMH-licensed Patents and Patent Applications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color w:val="231F20"/>
        </w:rPr>
      </w:pPr>
      <w:r>
        <w:rPr>
          <w:color w:val="231F20"/>
        </w:rPr>
        <w:t>​</w:t>
      </w:r>
    </w:p>
    <w:tbl>
      <w:tblPr>
        <w:tblW w:w="10205" w:type="dxa"/>
        <w:jc w:val="left"/>
        <w:tblInd w:w="0" w:type="dxa"/>
        <w:tblCellMar>
          <w:top w:w="0" w:type="dxa"/>
          <w:left w:w="0" w:type="dxa"/>
          <w:bottom w:w="0" w:type="dxa"/>
          <w:right w:w="0" w:type="dxa"/>
        </w:tblCellMar>
      </w:tblPr>
      <w:tblGrid>
        <w:gridCol w:w="1081"/>
        <w:gridCol w:w="146"/>
        <w:gridCol w:w="954"/>
        <w:gridCol w:w="451"/>
        <w:gridCol w:w="73"/>
        <w:gridCol w:w="73"/>
        <w:gridCol w:w="1942"/>
        <w:gridCol w:w="5485"/>
      </w:tblGrid>
      <w:tr>
        <w:trPr/>
        <w:tc>
          <w:tcPr>
            <w:tcW w:w="10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54" w:type="dxa"/>
            <w:tcBorders/>
            <w:shd w:fill="auto" w:val="clear"/>
            <w:vAlign w:val="center"/>
          </w:tcPr>
          <w:p>
            <w:pPr>
              <w:pStyle w:val="TableContents"/>
              <w:spacing w:before="0" w:after="283"/>
              <w:ind w:left="0" w:right="0" w:hanging="0"/>
              <w:rPr>
                <w:sz w:val="4"/>
                <w:szCs w:val="4"/>
              </w:rPr>
            </w:pPr>
            <w:r>
              <w:rPr>
                <w:sz w:val="4"/>
                <w:szCs w:val="4"/>
              </w:rPr>
            </w:r>
          </w:p>
        </w:tc>
        <w:tc>
          <w:tcPr>
            <w:tcW w:w="524" w:type="dxa"/>
            <w:gridSpan w:val="2"/>
            <w:tcBorders/>
            <w:shd w:fill="auto" w:val="clear"/>
            <w:vAlign w:val="center"/>
          </w:tcPr>
          <w:p>
            <w:pPr>
              <w:pStyle w:val="TableContents"/>
              <w:spacing w:before="0" w:after="283"/>
              <w:ind w:left="0" w:right="0" w:hanging="0"/>
              <w:rPr>
                <w:sz w:val="4"/>
                <w:szCs w:val="4"/>
              </w:rPr>
            </w:pPr>
            <w:r>
              <w:rPr>
                <w:sz w:val="4"/>
                <w:szCs w:val="4"/>
              </w:rPr>
            </w:r>
          </w:p>
        </w:tc>
        <w:tc>
          <w:tcPr>
            <w:tcW w:w="2015" w:type="dxa"/>
            <w:gridSpan w:val="2"/>
            <w:tcBorders/>
            <w:shd w:fill="auto" w:val="clear"/>
            <w:vAlign w:val="center"/>
          </w:tcPr>
          <w:p>
            <w:pPr>
              <w:pStyle w:val="TableContents"/>
              <w:spacing w:before="0" w:after="283"/>
              <w:ind w:left="0" w:right="0" w:hanging="0"/>
              <w:rPr>
                <w:sz w:val="4"/>
                <w:szCs w:val="4"/>
              </w:rPr>
            </w:pPr>
            <w:r>
              <w:rPr>
                <w:sz w:val="4"/>
                <w:szCs w:val="4"/>
              </w:rPr>
            </w:r>
          </w:p>
        </w:tc>
        <w:tc>
          <w:tcPr>
            <w:tcW w:w="5485"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Jurisdiction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05"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Patent/Appl. No.</w:t>
            </w:r>
          </w:p>
        </w:tc>
        <w:tc>
          <w:tcPr>
            <w:tcW w:w="146" w:type="dxa"/>
            <w:gridSpan w:val="2"/>
            <w:tcBorders/>
            <w:shd w:fill="auto" w:val="clear"/>
            <w:vAlign w:val="center"/>
          </w:tcPr>
          <w:p>
            <w:pPr>
              <w:pStyle w:val="TableContents"/>
              <w:spacing w:before="0" w:after="283"/>
              <w:ind w:left="0" w:right="0" w:hanging="0"/>
              <w:rPr>
                <w:sz w:val="4"/>
                <w:szCs w:val="4"/>
              </w:rPr>
            </w:pPr>
            <w:r>
              <w:rPr>
                <w:sz w:val="4"/>
                <w:szCs w:val="4"/>
              </w:rPr>
            </w:r>
          </w:p>
        </w:tc>
        <w:tc>
          <w:tcPr>
            <w:tcW w:w="7427"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Status/Notes</w:t>
            </w:r>
          </w:p>
        </w:tc>
      </w:tr>
      <w:tr>
        <w:trPr/>
        <w:tc>
          <w:tcPr>
            <w:tcW w:w="1081"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405"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9,789,093</w:t>
            </w:r>
          </w:p>
        </w:tc>
        <w:tc>
          <w:tcPr>
            <w:tcW w:w="146" w:type="dxa"/>
            <w:gridSpan w:val="2"/>
            <w:tcBorders/>
            <w:shd w:fill="DDEBF7" w:val="clear"/>
            <w:vAlign w:val="center"/>
          </w:tcPr>
          <w:p>
            <w:pPr>
              <w:pStyle w:val="TableContents"/>
              <w:spacing w:before="0" w:after="0"/>
              <w:ind w:left="0" w:right="0" w:hanging="0"/>
              <w:jc w:val="center"/>
              <w:rPr>
                <w:color w:val="231F20"/>
              </w:rPr>
            </w:pPr>
            <w:r>
              <w:rPr>
                <w:color w:val="231F20"/>
              </w:rPr>
              <w:t> </w:t>
            </w:r>
          </w:p>
        </w:tc>
        <w:tc>
          <w:tcPr>
            <w:tcW w:w="7427"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Europe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05"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EP 2 670 409</w:t>
            </w:r>
          </w:p>
        </w:tc>
        <w:tc>
          <w:tcPr>
            <w:tcW w:w="146" w:type="dxa"/>
            <w:gridSpan w:val="2"/>
            <w:tcBorders/>
            <w:shd w:fill="auto" w:val="clear"/>
            <w:vAlign w:val="center"/>
          </w:tcPr>
          <w:p>
            <w:pPr>
              <w:pStyle w:val="TableContents"/>
              <w:spacing w:before="0" w:after="283"/>
              <w:ind w:left="0" w:right="0" w:hanging="0"/>
              <w:rPr>
                <w:sz w:val="4"/>
                <w:szCs w:val="4"/>
              </w:rPr>
            </w:pPr>
            <w:r>
              <w:rPr>
                <w:sz w:val="4"/>
                <w:szCs w:val="4"/>
              </w:rPr>
            </w:r>
          </w:p>
        </w:tc>
        <w:tc>
          <w:tcPr>
            <w:tcW w:w="7427"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Granted; validated in Switzerland, Germany, Spain, France, Great Britain, Ireland, Italy, Netherlands </w:t>
            </w:r>
          </w:p>
        </w:tc>
      </w:tr>
      <w:tr>
        <w:trPr/>
        <w:tc>
          <w:tcPr>
            <w:tcW w:w="1081"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405"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17/502,606</w:t>
            </w:r>
          </w:p>
        </w:tc>
        <w:tc>
          <w:tcPr>
            <w:tcW w:w="146" w:type="dxa"/>
            <w:gridSpan w:val="2"/>
            <w:tcBorders/>
            <w:shd w:fill="DDEBF7" w:val="clear"/>
            <w:vAlign w:val="center"/>
          </w:tcPr>
          <w:p>
            <w:pPr>
              <w:pStyle w:val="TableContents"/>
              <w:spacing w:before="0" w:after="0"/>
              <w:ind w:left="0" w:right="0" w:hanging="0"/>
              <w:jc w:val="center"/>
              <w:rPr>
                <w:color w:val="231F20"/>
              </w:rPr>
            </w:pPr>
            <w:r>
              <w:rPr>
                <w:color w:val="231F20"/>
              </w:rPr>
              <w:t> </w:t>
            </w:r>
          </w:p>
        </w:tc>
        <w:tc>
          <w:tcPr>
            <w:tcW w:w="7427"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Pending</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05"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11,013,721</w:t>
            </w:r>
          </w:p>
        </w:tc>
        <w:tc>
          <w:tcPr>
            <w:tcW w:w="146" w:type="dxa"/>
            <w:gridSpan w:val="2"/>
            <w:tcBorders/>
            <w:shd w:fill="auto" w:val="clear"/>
            <w:vAlign w:val="center"/>
          </w:tcPr>
          <w:p>
            <w:pPr>
              <w:pStyle w:val="TableContents"/>
              <w:spacing w:before="0" w:after="283"/>
              <w:ind w:left="0" w:right="0" w:hanging="0"/>
              <w:rPr>
                <w:sz w:val="4"/>
                <w:szCs w:val="4"/>
              </w:rPr>
            </w:pPr>
            <w:r>
              <w:rPr>
                <w:sz w:val="4"/>
                <w:szCs w:val="4"/>
              </w:rPr>
            </w:r>
          </w:p>
        </w:tc>
        <w:tc>
          <w:tcPr>
            <w:tcW w:w="7427"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1081"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Canada</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405"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 2,826,180</w:t>
            </w:r>
          </w:p>
        </w:tc>
        <w:tc>
          <w:tcPr>
            <w:tcW w:w="146" w:type="dxa"/>
            <w:gridSpan w:val="2"/>
            <w:tcBorders/>
            <w:shd w:fill="DDEBF7" w:val="clear"/>
            <w:vAlign w:val="center"/>
          </w:tcPr>
          <w:p>
            <w:pPr>
              <w:pStyle w:val="TableContents"/>
              <w:spacing w:before="0" w:after="0"/>
              <w:ind w:left="0" w:right="0" w:hanging="0"/>
              <w:jc w:val="center"/>
              <w:rPr>
                <w:color w:val="231F20"/>
              </w:rPr>
            </w:pPr>
            <w:r>
              <w:rPr>
                <w:color w:val="231F20"/>
              </w:rPr>
              <w:t> </w:t>
            </w:r>
          </w:p>
        </w:tc>
        <w:tc>
          <w:tcPr>
            <w:tcW w:w="7427"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Israel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05"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IL 227611</w:t>
            </w:r>
          </w:p>
        </w:tc>
        <w:tc>
          <w:tcPr>
            <w:tcW w:w="146" w:type="dxa"/>
            <w:gridSpan w:val="2"/>
            <w:tcBorders/>
            <w:shd w:fill="auto" w:val="clear"/>
            <w:vAlign w:val="center"/>
          </w:tcPr>
          <w:p>
            <w:pPr>
              <w:pStyle w:val="TableContents"/>
              <w:spacing w:before="0" w:after="283"/>
              <w:ind w:left="0" w:right="0" w:hanging="0"/>
              <w:rPr>
                <w:sz w:val="4"/>
                <w:szCs w:val="4"/>
              </w:rPr>
            </w:pPr>
            <w:r>
              <w:rPr>
                <w:sz w:val="4"/>
                <w:szCs w:val="4"/>
              </w:rPr>
            </w:r>
          </w:p>
        </w:tc>
        <w:tc>
          <w:tcPr>
            <w:tcW w:w="7427" w:type="dxa"/>
            <w:gridSpan w:val="2"/>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bl>
    <w:p>
      <w:pPr>
        <w:pStyle w:val="TextBody"/>
        <w:spacing w:before="0" w:after="0"/>
        <w:ind w:left="0" w:right="0" w:hanging="0"/>
        <w:rPr/>
      </w:pPr>
      <w:r>
        <w:rPr/>
        <w:t>​</w:t>
      </w:r>
    </w:p>
    <w:tbl>
      <w:tblPr>
        <w:tblW w:w="4622" w:type="dxa"/>
        <w:jc w:val="left"/>
        <w:tblInd w:w="0" w:type="dxa"/>
        <w:tblCellMar>
          <w:top w:w="0" w:type="dxa"/>
          <w:left w:w="0" w:type="dxa"/>
          <w:bottom w:w="0" w:type="dxa"/>
          <w:right w:w="0" w:type="dxa"/>
        </w:tblCellMar>
      </w:tblPr>
      <w:tblGrid>
        <w:gridCol w:w="391"/>
        <w:gridCol w:w="4231"/>
      </w:tblGrid>
      <w:tr>
        <w:trPr/>
        <w:tc>
          <w:tcPr>
            <w:tcW w:w="391" w:type="dxa"/>
            <w:tcBorders/>
            <w:shd w:fill="auto" w:val="clear"/>
            <w:vAlign w:val="center"/>
          </w:tcPr>
          <w:p>
            <w:pPr>
              <w:pStyle w:val="TableContents"/>
              <w:spacing w:before="0" w:after="283"/>
              <w:rPr>
                <w:rFonts w:ascii="Times New Roman;Times;serif" w:hAnsi="Times New Roman;Times;serif"/>
                <w:b/>
                <w:color w:val="231F20"/>
                <w:sz w:val="20"/>
              </w:rPr>
            </w:pPr>
            <w:r>
              <w:rPr>
                <w:rFonts w:ascii="Times New Roman;Times;serif" w:hAnsi="Times New Roman;Times;serif"/>
                <w:b/>
                <w:color w:val="231F20"/>
                <w:sz w:val="20"/>
              </w:rPr>
              <w:t>III.</w:t>
            </w:r>
          </w:p>
        </w:tc>
        <w:tc>
          <w:tcPr>
            <w:tcW w:w="4231" w:type="dxa"/>
            <w:tcBorders/>
            <w:shd w:fill="auto" w:val="clear"/>
            <w:vAlign w:val="center"/>
          </w:tcPr>
          <w:p>
            <w:pPr>
              <w:pStyle w:val="TableContents"/>
              <w:spacing w:before="0" w:after="283"/>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NeuroRx-owned Patents and Patent Applications</w:t>
            </w:r>
          </w:p>
        </w:tc>
      </w:tr>
    </w:tbl>
    <w:p>
      <w:pPr>
        <w:pStyle w:val="TextBody"/>
        <w:spacing w:before="0" w:after="0"/>
        <w:ind w:left="0" w:right="0" w:hanging="0"/>
        <w:rPr>
          <w:color w:val="231F20"/>
        </w:rPr>
      </w:pPr>
      <w:r>
        <w:rPr>
          <w:color w:val="231F20"/>
        </w:rPr>
        <w:t>​</w:t>
      </w:r>
    </w:p>
    <w:tbl>
      <w:tblPr>
        <w:tblW w:w="4014" w:type="dxa"/>
        <w:jc w:val="left"/>
        <w:tblInd w:w="0" w:type="dxa"/>
        <w:tblCellMar>
          <w:top w:w="0" w:type="dxa"/>
          <w:left w:w="0" w:type="dxa"/>
          <w:bottom w:w="0" w:type="dxa"/>
          <w:right w:w="0" w:type="dxa"/>
        </w:tblCellMar>
      </w:tblPr>
      <w:tblGrid>
        <w:gridCol w:w="1081"/>
        <w:gridCol w:w="109"/>
        <w:gridCol w:w="54"/>
        <w:gridCol w:w="426"/>
        <w:gridCol w:w="848"/>
        <w:gridCol w:w="180"/>
        <w:gridCol w:w="146"/>
        <w:gridCol w:w="150"/>
        <w:gridCol w:w="1020"/>
      </w:tblGrid>
      <w:tr>
        <w:trPr/>
        <w:tc>
          <w:tcPr>
            <w:tcW w:w="108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80" w:type="dxa"/>
            <w:gridSpan w:val="2"/>
            <w:tcBorders/>
            <w:shd w:fill="auto" w:val="clear"/>
            <w:vAlign w:val="center"/>
          </w:tcPr>
          <w:p>
            <w:pPr>
              <w:pStyle w:val="TableContents"/>
              <w:spacing w:before="0" w:after="283"/>
              <w:ind w:left="0" w:right="0" w:hanging="0"/>
              <w:rPr>
                <w:sz w:val="4"/>
                <w:szCs w:val="4"/>
              </w:rPr>
            </w:pPr>
            <w:r>
              <w:rPr>
                <w:sz w:val="4"/>
                <w:szCs w:val="4"/>
              </w:rPr>
            </w:r>
          </w:p>
        </w:tc>
        <w:tc>
          <w:tcPr>
            <w:tcW w:w="848" w:type="dxa"/>
            <w:tcBorders/>
            <w:shd w:fill="auto" w:val="clear"/>
            <w:vAlign w:val="center"/>
          </w:tcPr>
          <w:p>
            <w:pPr>
              <w:pStyle w:val="TableContents"/>
              <w:spacing w:before="0" w:after="283"/>
              <w:ind w:left="0" w:right="0" w:hanging="0"/>
              <w:rPr>
                <w:sz w:val="4"/>
                <w:szCs w:val="4"/>
              </w:rPr>
            </w:pPr>
            <w:r>
              <w:rPr>
                <w:sz w:val="4"/>
                <w:szCs w:val="4"/>
              </w:rPr>
            </w:r>
          </w:p>
        </w:tc>
        <w:tc>
          <w:tcPr>
            <w:tcW w:w="476" w:type="dxa"/>
            <w:gridSpan w:val="3"/>
            <w:tcBorders/>
            <w:shd w:fill="auto" w:val="clear"/>
            <w:vAlign w:val="center"/>
          </w:tcPr>
          <w:p>
            <w:pPr>
              <w:pStyle w:val="TableContents"/>
              <w:spacing w:before="0" w:after="283"/>
              <w:ind w:left="0" w:right="0" w:hanging="0"/>
              <w:rPr>
                <w:sz w:val="4"/>
                <w:szCs w:val="4"/>
              </w:rPr>
            </w:pPr>
            <w:r>
              <w:rPr>
                <w:sz w:val="4"/>
                <w:szCs w:val="4"/>
              </w:rPr>
            </w:r>
          </w:p>
        </w:tc>
        <w:tc>
          <w:tcPr>
            <w:tcW w:w="1020"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Jurisdiction</w:t>
            </w:r>
          </w:p>
        </w:tc>
        <w:tc>
          <w:tcPr>
            <w:tcW w:w="163"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54" w:type="dxa"/>
            <w:gridSpan w:val="3"/>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Patent/Appl. No.</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7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Status/Notes</w:t>
            </w:r>
          </w:p>
        </w:tc>
      </w:tr>
      <w:tr>
        <w:trPr/>
        <w:tc>
          <w:tcPr>
            <w:tcW w:w="1081" w:type="dxa"/>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USA</w:t>
            </w:r>
          </w:p>
        </w:tc>
        <w:tc>
          <w:tcPr>
            <w:tcW w:w="163" w:type="dxa"/>
            <w:gridSpan w:val="2"/>
            <w:tcBorders/>
            <w:shd w:fill="DDEBF7" w:val="clear"/>
            <w:vAlign w:val="center"/>
          </w:tcPr>
          <w:p>
            <w:pPr>
              <w:pStyle w:val="TableContents"/>
              <w:spacing w:before="0" w:after="0"/>
              <w:ind w:left="0" w:right="0" w:hanging="0"/>
              <w:jc w:val="center"/>
              <w:rPr>
                <w:color w:val="231F20"/>
              </w:rPr>
            </w:pPr>
            <w:r>
              <w:rPr>
                <w:color w:val="231F20"/>
              </w:rPr>
              <w:t> </w:t>
            </w:r>
          </w:p>
        </w:tc>
        <w:tc>
          <w:tcPr>
            <w:tcW w:w="1454" w:type="dxa"/>
            <w:gridSpan w:val="3"/>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10,583,138</w:t>
            </w:r>
          </w:p>
        </w:tc>
        <w:tc>
          <w:tcPr>
            <w:tcW w:w="146" w:type="dxa"/>
            <w:tcBorders/>
            <w:shd w:fill="DDEBF7" w:val="clear"/>
            <w:vAlign w:val="center"/>
          </w:tcPr>
          <w:p>
            <w:pPr>
              <w:pStyle w:val="TableContents"/>
              <w:spacing w:before="0" w:after="0"/>
              <w:ind w:left="0" w:right="0" w:hanging="0"/>
              <w:jc w:val="center"/>
              <w:rPr>
                <w:color w:val="231F20"/>
              </w:rPr>
            </w:pPr>
            <w:r>
              <w:rPr>
                <w:color w:val="231F20"/>
              </w:rPr>
              <w:t> </w:t>
            </w:r>
          </w:p>
        </w:tc>
        <w:tc>
          <w:tcPr>
            <w:tcW w:w="1170" w:type="dxa"/>
            <w:gridSpan w:val="2"/>
            <w:tcBorders/>
            <w:shd w:fill="DDEBF7"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Granted</w:t>
            </w:r>
          </w:p>
        </w:tc>
      </w:tr>
    </w:tbl>
    <w:p>
      <w:pPr>
        <w:pStyle w:val="TextBody"/>
        <w:spacing w:before="0" w:after="0"/>
        <w:ind w:left="0" w:right="0" w:hanging="0"/>
        <w:rPr>
          <w:color w:val="231F20"/>
        </w:rPr>
      </w:pPr>
      <w:r>
        <w:rPr>
          <w:color w:val="231F20"/>
        </w:rPr>
        <w:t>​</w:t>
      </w:r>
    </w:p>
    <w:p>
      <w:pPr>
        <w:pStyle w:val="TextBody"/>
        <w:spacing w:before="0" w:after="0"/>
        <w:ind w:left="0" w:right="0" w:hanging="0"/>
        <w:rPr>
          <w:color w:val="231F20"/>
        </w:rPr>
      </w:pPr>
      <w:r>
        <w:rPr>
          <w:color w:val="231F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Manufacturing Agreements</w:t>
      </w:r>
    </w:p>
    <w:p>
      <w:pPr>
        <w:pStyle w:val="TextBody"/>
        <w:spacing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As part of our agreement with Relief Therapeutics we have transferred all manufacturing rights and know-how that we acquired for ZYESAMI (aviptadil) to Relief, including our collaborations with Nephron Pharmaceuticals and Alcami as contract manufacturers, and with the Polypeptide Group as a supplier of active pharmaceutical ingredient (“API”). The ZYESAMI manufacturing contract with Alcami does not affect our ability to contract with Alcami for other purposes.</w:t>
      </w:r>
    </w:p>
    <w:p>
      <w:pPr>
        <w:pStyle w:val="TextBody"/>
        <w:spacing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The Company has established a manufacturing agreement with Alcami for the manufacturing of NRX-101. This enabled the technology transfer of manufacturing processes previously done in China to the U.S. In October of 2022 the Company submitted a Module 3 IND amendment to the FDA, allowing it to manufacture clinical supplies in the U.S. </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Cardinal Health Distribution Agreement</w:t>
      </w:r>
    </w:p>
    <w:p>
      <w:pPr>
        <w:pStyle w:val="TextBody"/>
        <w:spacing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have entered into an Exclusive Distribution Agreement with Cardinal Health 105, Inc. (“Cardinal Health”), with an effective date of September 25, 2020 (the “CHDA”). Under the CHDA, we appointed Cardinal Health as the exclusive third-party logistics distribution agent, and as an authorized distributor, of certain NRx’s products (the “Products”) in the U.S. and its territories, possessions, and commonwealths. Although this contract was initially signed in connection with the distribution of ZYESAMI, this agreement remains in place, as it could enable our distribution for NRX-101.</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The Services</w:t>
      </w:r>
    </w:p>
    <w:p>
      <w:pPr>
        <w:pStyle w:val="TextBody"/>
        <w:spacing w:lineRule="auto" w:line="300"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Under the CHDA, Cardinal Health will provide services to us including, without limitation, storage, distribution, returns, customer support, financial support, EDI and system access support (the “CHDA Services”). The CHDA Services are to be provided by Cardinal Health as set forth in one of two operating model guidelines: the Traditional Third-Party Logistics (“3PL”) Operating Guidelines (“OPG”), or the Title Model Operating Guidelines (“TMOPG”). Both the OPG and the TMOPG are attached to and incorporated by reference into the CHDA. NRx and Cardinal Health have not yet decided which of these two operating model guidelines will govern the delivery of the CHDA Services; that decision will be made closer to approval by the FDA of our first commercial product.</w:t>
      </w:r>
    </w:p>
    <w:p>
      <w:pPr>
        <w:pStyle w:val="TextBody"/>
        <w:spacing w:lineRule="auto" w:line="300"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OPG:</w:t>
      </w:r>
    </w:p>
    <w:tbl>
      <w:tblPr>
        <w:tblW w:w="7671" w:type="dxa"/>
        <w:jc w:val="left"/>
        <w:tblInd w:w="0" w:type="dxa"/>
        <w:tblCellMar>
          <w:top w:w="28" w:type="dxa"/>
          <w:left w:w="28" w:type="dxa"/>
          <w:bottom w:w="28" w:type="dxa"/>
          <w:right w:w="28" w:type="dxa"/>
        </w:tblCellMar>
      </w:tblPr>
      <w:tblGrid>
        <w:gridCol w:w="124"/>
        <w:gridCol w:w="196"/>
        <w:gridCol w:w="735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Identify written policies and procedures to be followed in delivering the CHDA Services;</w:t>
            </w:r>
          </w:p>
        </w:tc>
      </w:tr>
    </w:tbl>
    <w:tbl>
      <w:tblPr>
        <w:tblW w:w="5931" w:type="dxa"/>
        <w:jc w:val="left"/>
        <w:tblInd w:w="0" w:type="dxa"/>
        <w:tblCellMar>
          <w:top w:w="28" w:type="dxa"/>
          <w:left w:w="28" w:type="dxa"/>
          <w:bottom w:w="28" w:type="dxa"/>
          <w:right w:w="28" w:type="dxa"/>
        </w:tblCellMar>
      </w:tblPr>
      <w:tblGrid>
        <w:gridCol w:w="124"/>
        <w:gridCol w:w="19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Identify the deliverables from each Party required under the CHDA;</w:t>
            </w:r>
          </w:p>
        </w:tc>
      </w:tr>
    </w:tbl>
    <w:tbl>
      <w:tblPr>
        <w:tblW w:w="6066" w:type="dxa"/>
        <w:jc w:val="left"/>
        <w:tblInd w:w="0" w:type="dxa"/>
        <w:tblCellMar>
          <w:top w:w="28" w:type="dxa"/>
          <w:left w:w="28" w:type="dxa"/>
          <w:bottom w:w="28" w:type="dxa"/>
          <w:right w:w="28" w:type="dxa"/>
        </w:tblCellMar>
      </w:tblPr>
      <w:tblGrid>
        <w:gridCol w:w="124"/>
        <w:gridCol w:w="196"/>
        <w:gridCol w:w="574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Define the roles and responsibilities of each Party and key personnel;</w:t>
            </w:r>
          </w:p>
        </w:tc>
      </w:tr>
    </w:tbl>
    <w:tbl>
      <w:tblPr>
        <w:tblW w:w="3771" w:type="dxa"/>
        <w:jc w:val="left"/>
        <w:tblInd w:w="0" w:type="dxa"/>
        <w:tblCellMar>
          <w:top w:w="28" w:type="dxa"/>
          <w:left w:w="28" w:type="dxa"/>
          <w:bottom w:w="28" w:type="dxa"/>
          <w:right w:w="28" w:type="dxa"/>
        </w:tblCellMar>
      </w:tblPr>
      <w:tblGrid>
        <w:gridCol w:w="124"/>
        <w:gridCol w:w="196"/>
        <w:gridCol w:w="345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Define the reports and data required; 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Set the baseline for the OPG program for delivery of the CHDA Services, and manage future changes to the operating model.</w:t>
            </w:r>
          </w:p>
        </w:tc>
      </w:tr>
    </w:tbl>
    <w:p>
      <w:pPr>
        <w:pStyle w:val="TextBody"/>
        <w:spacing w:lineRule="auto" w:line="300"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Under the OPG, Cardinal Health will accept the Products from us on consignment, with the Products being transported by us or its shipping agent to Cardinal Health’s secured access 3PL warehousing facilities. Cardinal Health has established standard operating procedures for managing all activities at its warehousing facilities, which are approved and controlled by Cardinal Health’s centralized distribution management system. All Cardinal Health warehouse personnel are trained under documented programs that are compliant with applicable federal and state laws and regulations and with cGMP. Our Products are warehoused by Cardinal Health under controlled temperature conditions, with any temperature excursions lasting more than one hour being reported within two business days from the discovery of the excursion. The Products are picked from inventory in Cardinal Health’s warehouse on a “First-to-Expire, First-Out” basis.</w:t>
      </w:r>
    </w:p>
    <w:p>
      <w:pPr>
        <w:pStyle w:val="TextBody"/>
        <w:spacing w:lineRule="auto" w:line="300" w:before="171"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Pricing and conditions of sale are set by us. Cardinal Health publishes price lists for the Products to be sold to its customers. Cardinal Health sends invoices via email to customers on the day of shipment, or by mail on the morning following shipment, of the Products. Customers then remit payment to our bank lockbox via EFT, ACH or wire transfer,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and NRx’s bank then forwards information regarding payments to Cardinal Health which then reconciles and applies cash receipts to the accounts receivable.</w:t>
      </w:r>
    </w:p>
    <w:p>
      <w:pPr>
        <w:pStyle w:val="TextBody"/>
        <w:spacing w:lineRule="auto" w:line="300" w:before="15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Most of the logistical provisions in the TMOPG are identical to those of the OPG. The primary material difference between the TMOPG and the OPG is that under the TMOPG, title to and ownership of the Products pass from NRx to Cardinal Health upon purchase of the Products by Cardinal Health from NRx or its manufacturing agent. Cardinal Health handles all sales, shipment/distribution, customer service and AR activities in the same way as outlined for the OPG model, except that Cardinal Health maintains a bank lockbox for receipt of payments of invoices by customers, rather than that lockbox being maintained by NRx.</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Pricing and Payment; Forecast and Price List</w:t>
      </w:r>
    </w:p>
    <w:p>
      <w:pPr>
        <w:pStyle w:val="TextBody"/>
        <w:spacing w:lineRule="auto" w:line="300"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As compensation for the CHDA Services delivered by Cardinal Health, we are responsible for paying the fees set forth in the CHDA. The fees schedule is confidential to Cardinal Health and cannot be disclosed without permission from Cardinal Health. Fees are subject to adjustment not more than once per contract year (after the first contract year) by 3%, or if Cardinal Health can reasonably demonstrate a material increase in the cost of providing the CHDA Services.</w:t>
      </w:r>
    </w:p>
    <w:p>
      <w:pPr>
        <w:pStyle w:val="TextBody"/>
        <w:spacing w:lineRule="auto" w:line="300"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Under the CHDA, we are responsible for providing a forecast of volume of the Products to be handled by Cardinal Health. Any variances from the forecast, and any adjustments that may therefore be needed to the forecast going forward, are handled through good-faith negotiation by the parties. We are also responsible for providing to Cardinal Health a Product price list, setting prices to be charged to customers for the Products sold by or distributed by Cardinal Health. Any change to be implemented in pricing for the Products must be communicated by us to Cardinal Health at least 72 hours prior to the effective date of such price change.</w:t>
      </w:r>
    </w:p>
    <w:p>
      <w:pPr>
        <w:pStyle w:val="TextBody"/>
        <w:spacing w:before="0" w:after="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Term and Termination</w:t>
      </w:r>
    </w:p>
    <w:p>
      <w:pPr>
        <w:pStyle w:val="TextBody"/>
        <w:spacing w:lineRule="auto" w:line="290" w:before="87" w:after="240"/>
        <w:ind w:left="0" w:right="0" w:firstLine="450"/>
        <w:jc w:val="both"/>
        <w:rPr>
          <w:rFonts w:ascii="Times New Roman;Times;serif" w:hAnsi="Times New Roman;Times;serif"/>
          <w:color w:val="231F20"/>
          <w:sz w:val="20"/>
        </w:rPr>
      </w:pPr>
      <w:r>
        <w:rPr>
          <w:rFonts w:ascii="Times New Roman;Times;serif" w:hAnsi="Times New Roman;Times;serif"/>
          <w:color w:val="231F20"/>
          <w:sz w:val="20"/>
        </w:rPr>
        <w:t>The CHDA has an initial term of three (3) years following first shipment of an FDA-approved Product to a commercial customer (the “Initial Term”), and automatically renews for additional terms of one (1) year (each, a “Renewal Term”), unless the CHDA is earlier terminated during either the Initial Term or any Renewal Term by a written notice of termination given by either party to the other at least 90 days prior to the end of the Initial Term or any Renewal Term. The CHDA also can be immediately terminated by either party if: (1) the other party files for bankruptcy protection or enters into receivership or trusteeship, and if a bankruptcy or insolvency order is entered such order is not discharged within 30 days; or (2) the other party materially breaches any provision of the CHDA and such breach is not cured within 30 days of receiving notice of breach from the non-breaching party, except that Cardinal Health may terminate the CHDA if NRx fails to timely pay invoices from Cardinal Health within 15 days of having received written notice of non-payment from Cardinal Health. Following termination for any reason, each party’s rights and obligations that accrued prior to the date of termination shall survive the termination, and all Products warehoused at Cardinal Health’s 3PL facilities will be returned to NRx or its designee.</w:t>
      </w:r>
    </w:p>
    <w:p>
      <w:pPr>
        <w:pStyle w:val="TextBody"/>
        <w:spacing w:before="23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Government Regulation and Product Approval</w:t>
      </w:r>
    </w:p>
    <w:p>
      <w:pPr>
        <w:pStyle w:val="TextBody"/>
        <w:spacing w:lineRule="auto" w:line="288" w:before="15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Government authorities in the U.S. and in other countries, at the Federal, state and local level, extensively regulate, among other things, the research, development, testing, manufacture, packaging, storage, recordkeeping, labeling, advertising, promotion, distribution, marketing, import and export, pricing, and government contracting related to pharmaceutical products such as those we are developing. The processes for obtaining marketing approvals in the U.S. and in foreign countries, along with subsequent compliance with applicable statutes and regulations, require the expenditure of substantial time and financial resources.</w:t>
      </w:r>
    </w:p>
    <w:p>
      <w:pPr>
        <w:pStyle w:val="TextBody"/>
        <w:spacing w:before="87"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U.S. Government Regulation</w:t>
      </w:r>
    </w:p>
    <w:p>
      <w:pPr>
        <w:pStyle w:val="TextBody"/>
        <w:spacing w:lineRule="auto" w:line="300" w:before="173"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In the U.S., the FDA regulates drugs under the FFDCA and its implementing regulations. The process of obtaining marketing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applicant to a variety of administrative or judicial sanctions or other actions, such as the FDA’s delay in review of or refusal to approve a pending NDA, withdrawal of an approval, imposition of a clinical hold or study termination, issuance of Warning Letters or Untitled Letters, mandated modifications to promotional materials or issuance of corrective information, requests for product recalls, consent decrees, corporate integrity agreements, deferred prosecution agreements, product seizures or detentions, refusal to allow product import or export, total or partial suspension of or restriction of or imposition of other requirements relating to production or distribution, injunctions, fines, debarment from government contracts and refusal of future orders under existing contracts, exclusion from participation in federal and state healthcare programs, FDA debarment, restitution, disgorgement or civil or criminal penalties, including fines and imprisonment.</w:t>
      </w:r>
    </w:p>
    <w:p>
      <w:pPr>
        <w:pStyle w:val="TextBody"/>
        <w:spacing w:lineRule="auto" w:line="300" w:before="15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process required by the FDA before a new drug may be marketed in the U.S. generally involves the following:</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completion of preclinical laboratory tests, animal studies and formulation studies in compliance with the FDA’s good laboratory practice regulations;</w:t>
            </w:r>
          </w:p>
        </w:tc>
      </w:tr>
    </w:tbl>
    <w:tbl>
      <w:tblPr>
        <w:tblW w:w="9741" w:type="dxa"/>
        <w:jc w:val="left"/>
        <w:tblInd w:w="0" w:type="dxa"/>
        <w:tblCellMar>
          <w:top w:w="28" w:type="dxa"/>
          <w:left w:w="28" w:type="dxa"/>
          <w:bottom w:w="28" w:type="dxa"/>
          <w:right w:w="28" w:type="dxa"/>
        </w:tblCellMar>
      </w:tblPr>
      <w:tblGrid>
        <w:gridCol w:w="124"/>
        <w:gridCol w:w="196"/>
        <w:gridCol w:w="942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submission to the FDA of an IND application which must become effective before human clinical trials may begin;</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approval by local or central IRBs who are charged with protecting safety of research subjects before each clinical trial may be initiated;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performance of human studies that meet the legal standard of “adequate and well-controlled clinical trials”, in accordance with cGCP and other regulations in order to establish the safety and efficacy of the proposed drug product for each indication;</w:t>
            </w:r>
          </w:p>
        </w:tc>
      </w:tr>
    </w:tbl>
    <w:tbl>
      <w:tblPr>
        <w:tblW w:w="3276" w:type="dxa"/>
        <w:jc w:val="left"/>
        <w:tblInd w:w="0" w:type="dxa"/>
        <w:tblCellMar>
          <w:top w:w="28" w:type="dxa"/>
          <w:left w:w="28" w:type="dxa"/>
          <w:bottom w:w="28" w:type="dxa"/>
          <w:right w:w="28" w:type="dxa"/>
        </w:tblCellMar>
      </w:tblPr>
      <w:tblGrid>
        <w:gridCol w:w="124"/>
        <w:gridCol w:w="196"/>
        <w:gridCol w:w="29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9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submission to the FDA of an NDA;</w:t>
            </w:r>
          </w:p>
        </w:tc>
      </w:tr>
    </w:tbl>
    <w:tbl>
      <w:tblPr>
        <w:tblW w:w="6651" w:type="dxa"/>
        <w:jc w:val="left"/>
        <w:tblInd w:w="0" w:type="dxa"/>
        <w:tblCellMar>
          <w:top w:w="28" w:type="dxa"/>
          <w:left w:w="28" w:type="dxa"/>
          <w:bottom w:w="28" w:type="dxa"/>
          <w:right w:w="28" w:type="dxa"/>
        </w:tblCellMar>
      </w:tblPr>
      <w:tblGrid>
        <w:gridCol w:w="124"/>
        <w:gridCol w:w="19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satisfactory completion of an FDA advisory committee review, if applicable;</w:t>
            </w:r>
          </w:p>
        </w:tc>
      </w:tr>
    </w:tbl>
    <w:tbl>
      <w:tblPr>
        <w:tblW w:w="9036" w:type="dxa"/>
        <w:jc w:val="left"/>
        <w:tblInd w:w="0" w:type="dxa"/>
        <w:tblCellMar>
          <w:top w:w="28" w:type="dxa"/>
          <w:left w:w="28" w:type="dxa"/>
          <w:bottom w:w="28" w:type="dxa"/>
          <w:right w:w="28" w:type="dxa"/>
        </w:tblCellMar>
      </w:tblPr>
      <w:tblGrid>
        <w:gridCol w:w="124"/>
        <w:gridCol w:w="196"/>
        <w:gridCol w:w="871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satisfactory completion of an FDA inspection of selected clinical trial sites to determine GCP compliance;</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satisfactory completion of an FDA inspection of the manufacturing facility or facilities at which the product is produced to assess compliance with GMP regulations and to assure that the facilities, methods and controls are adequate to preserve the drug’s identity, strength, quality and purity; and</w:t>
            </w:r>
          </w:p>
        </w:tc>
      </w:tr>
    </w:tbl>
    <w:tbl>
      <w:tblPr>
        <w:tblW w:w="3546" w:type="dxa"/>
        <w:jc w:val="left"/>
        <w:tblInd w:w="0" w:type="dxa"/>
        <w:tblCellMar>
          <w:top w:w="28" w:type="dxa"/>
          <w:left w:w="28" w:type="dxa"/>
          <w:bottom w:w="28" w:type="dxa"/>
          <w:right w:w="28" w:type="dxa"/>
        </w:tblCellMar>
      </w:tblPr>
      <w:tblGrid>
        <w:gridCol w:w="124"/>
        <w:gridCol w:w="196"/>
        <w:gridCol w:w="322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FDA review and approval of the NDA.</w:t>
            </w:r>
          </w:p>
        </w:tc>
      </w:tr>
    </w:tbl>
    <w:p>
      <w:pPr>
        <w:pStyle w:val="TextBody"/>
        <w:spacing w:lineRule="auto" w:line="300" w:before="1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Additionally, if a drug is considered a controlled substance, prior to the commencement of marketing, the DEA must also determine the controlled substance schedule, taking into account the recommendation of the FDA.</w:t>
      </w:r>
    </w:p>
    <w:p>
      <w:pPr>
        <w:pStyle w:val="TextBody"/>
        <w:spacing w:before="1"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Preclinical Studies and IND Submission</w:t>
      </w:r>
    </w:p>
    <w:p>
      <w:pPr>
        <w:pStyle w:val="TextBody"/>
        <w:spacing w:lineRule="auto" w:line="300" w:before="1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Preclinical studies include laboratory evaluation of product chemistry, pharmacology,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Once the IND is submitted, the sponsor must wait 30 calendar days before initiating any clinical trials. During this time, among other things, the FDA has an opportunity to review the IND for safety to assure that research subjects will not be subjected to unreasonable risk. The FDA may raise concerns or questions related to one or more proposed clinical trials and place the clinical trial on a clinical hold. In such a case, the IND sponsor and the FDA must resolve any outstanding concerns before the clinical trial can begin. As a result, submission of an IND may not result in the FDA allowing clinical trials to commence.</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Implications for NRX-100/101</w:t>
      </w:r>
    </w:p>
    <w:p>
      <w:pPr>
        <w:pStyle w:val="TextBody"/>
        <w:spacing w:lineRule="auto" w:line="300" w:before="173"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We have filed INDs and the FDA has accepted INDs 134025 and 129194 for NRX-100 and NRX-101 respectively. The FDA has advised us that no further preclinical studies are needed for submission of an NDA for NRX-100. The FDA has advised us and we have agreed that a genotoxicity study and a non-clinical maternal/fetal study for potential fetal effects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are required prior to filing of an NDA for NRX-101. Furthermore, drugs that are potentially used chronic or chronic/intermittently do need to show preclinical carcinogenicity studies.  Based on our latest FDA interactions we may be required to do so, even if our initial target indication is for 6 weeks. However, FDA indicated that they would review our request for an exemption, which we intend to submit.</w:t>
      </w:r>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Clinical Trials</w:t>
      </w:r>
    </w:p>
    <w:p>
      <w:pPr>
        <w:pStyle w:val="TextBody"/>
        <w:spacing w:lineRule="auto" w:line="300" w:before="17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Clinical trials involve the administration of the IND to human subjects under the supervision of qualified investigators in accordance with cGCP requirements, which include the requirement that all research subjects provide their informed consent in writing for their participation in any clinical trial, and review and approval by an Institutional Review Board (IRB). Clinical trials are conducted under protocols detailing, among other things, the objectives of the trial, the trial procedures, the parameters to be used in monitoring safety and the effectiveness criteria to be evaluated, and a statistical analysis plan. A protocol for each clinical trial and any subsequent protocol amendments must be submitted to the FDA as part of the IND. In addition, a central or local IRB at each institution participating in the clinical trial must review and approve the plan for any clinical trial before it commences at that institution, and the IRB must continue to oversee the clinical trial, including any changes, while it is being conducted. Information about certain clinical trials, including a description of the study and study results, must be submitted within specific timeframes to the NIH for public dissemination on their clinicaltrials.gov website.</w:t>
      </w:r>
    </w:p>
    <w:p>
      <w:pPr>
        <w:pStyle w:val="TextBody"/>
        <w:spacing w:lineRule="auto" w:line="300" w:before="15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Human clinical trials are typically conducted in three sequential Phases, which may overlap or be combined. In Phase 1, the drug is initially introduced into healthy human subjects or subjects with the target disease or condition and tested for safety, dosage tolerance, absorption, metabolism, distribution, excretion and, if possible, to gain an early indication of its effectiveness. In Phase II, the drug typically is administered through well-controlled studies to a limited subject population with the target disease or condition to identify possible adverse effects and safety risks, to preliminarily evaluate the efficacy of the product for specific targeted diseases and to determine dosage tolerance and optimal dosage. In Phase III, the drug is administered to an expanded subject population, generally at geographically dispersed clinical trial sites, in two adequate and well-controlled clinical trials to generate enough data to statistically evaluate the efficacy and safety of the product for approval, to establish the overall risk-benefit profile of the product and to provide adequate information for the labeling of the product. Furthermore, depending on the expected use of a drug (e.g., acute, intermittent, chronic), regulatory requirements may include a safety database that goes beyond the number of subjects in the efficacy studies.</w:t>
      </w:r>
    </w:p>
    <w:p>
      <w:pPr>
        <w:pStyle w:val="TextBody"/>
        <w:spacing w:lineRule="auto" w:line="288"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manufacture of investigational drugs for the conduct of human clinical trials is subject to cGMP requirements. Investigational drugs and active pharmaceutical ingredients imported into the U.S. are also subject to regulation by the FDA relating to their labeling and distribution. Further, the export of investigational drug products outside of the U.S. is subject to regulatory requirements of the receiving country as well as U.S. export requirements under the FFDCA.</w:t>
      </w:r>
    </w:p>
    <w:p>
      <w:pPr>
        <w:pStyle w:val="TextBody"/>
        <w:spacing w:before="15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Progress reports and other summary information detailing the results of the clinical trials must be submitted at least annually to the FDA and more frequently if certain unexpected Serious Adverse Events occur or other significant safety information is found. Phase I, Phase II and Phase III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or the trial is not being conducted in accordance with the applicable regulatory requirements or the protocol. Similarly, an IRB can suspend or terminate approval of a clinical trial at its institution if the clinical trial is not being conducted in accordance with the IRB’s requirements or if the drug has been associated with unexpected serious harm to subjects. Additionally, some clinical trials are overseen by an independent group of qualified experts organized by the clinical trial sponsor, known as a data safety monitoring board (DSMB) or data monitoring committee (DMC).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and/or competitive climate.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Implications for NRX-100/101</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the case of NRX-100/101, the FDA has agreed with us in writing that the investigational product meets the standards for a 505.b.2 (commonly called drug-repurposing) pathway, whereby the extensive safety literature regarding the individual components of NRX-101 may be cited in lieu of repeating various preclinical and Phase I clinical studies.</w:t>
      </w:r>
    </w:p>
    <w:p>
      <w:pPr>
        <w:pStyle w:val="TextBody"/>
        <w:spacing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Because of examples in recent years where sponsors have received Complete Response Letters based on lack of agreement with the FDA regarding the research path required for NDA submission, we worked collaboratively with the FDA for one year in order to negotiate a Special Protocol Agreement (“SPA”) that would govern the development of NRX-101 and would define the Phase III trial required for the target indication., should the clinical trial be successful. This SPA was issued to us in April 2018 and defines the single clinical trial required for submission of NRX-101 for treatment of bipolar depression with acute suicidal ideation or behavior. In addition to the defined requirements in the SPA, FDA may require additional clinical safety data, especially if the use of the drug could be intermittent or chronic/intermittent as deemed by the FDA. As mentioned before, we recently received written guidance from the FDA that the Company is evaluating.</w:t>
      </w:r>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Marketing Approval</w:t>
      </w:r>
    </w:p>
    <w:p>
      <w:pPr>
        <w:pStyle w:val="TextBody"/>
        <w:spacing w:lineRule="auto" w:line="288"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These user fees must be filed at the time of the first submission of the application, even if the application is being submitted on a rolling basis. A waiver from the application user fee may be sought by an applicant. One basis for a waiver of the application user fee is if the applicant employs fewer than 500 employees, including employees of affiliates, the applicant does not have a drug product that has been approved under a human drug application and introduced or delivered for introduction into interstate commerce, and the applicant, including its affiliates, is submitting its first human drug application. Under the Prescription Drug User Fee Act (“PDUFA”) guidelines that are currently in effect, the FDA has agreed to certain performance goals regarding the timing of its review of an application. The FDA aims to review 90% of all standard review applications within ten months of acceptance for filing and six months of acceptance for filing for priority review applications.</w:t>
      </w:r>
    </w:p>
    <w:p>
      <w:pPr>
        <w:pStyle w:val="TextBody"/>
        <w:spacing w:lineRule="auto" w:line="288" w:before="15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addition, under the Pediatric Research Equity Act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pStyle w:val="TextBody"/>
        <w:spacing w:lineRule="auto" w:line="288" w:before="15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FDA may also require submission of a Risk Evaluation and Mitigation Strategies (“REMS”) program either during the application process or after the approval of the drug to ensure the benefits of the drug outweigh the risks. The REMS plan could include medication guides, physician communication plans, assessment plans, and elements to assure safe use, such as restricted distribution methods, patient registries or other risk tracking and minimization tools.</w:t>
      </w:r>
    </w:p>
    <w:p>
      <w:pPr>
        <w:pStyle w:val="TextBody"/>
        <w:spacing w:lineRule="auto" w:line="288" w:before="15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pStyle w:val="TextBody"/>
        <w:spacing w:lineRule="auto" w:line="288" w:before="151"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Under the FFDCA, before approving a drug for which no active ingredient (including any ester or salt of active ingredients) has previously been approved by the FDA, the FDA must either refer that drug to an external advisory committee or provide in an action letter, a summary of the reasons why the FDA did not refer the drug to an advisory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spacing w:lineRule="auto" w:line="288" w:before="15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by the manufacturer and all of its subcontractors and contract manufacturers. Additionally, before approving an NDA, the FDA will inspect one or more clinical trial sites to assure compliance with GCP regulations.</w:t>
      </w:r>
    </w:p>
    <w:p>
      <w:pPr>
        <w:pStyle w:val="TextBody"/>
        <w:spacing w:lineRule="auto" w:line="288" w:before="15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testing and approval process for an NDA requires substantial time, effort and financial resources, and each may take several years to complete. Data obtained from preclinical and clinical testing are not always conclusive and may be susceptible to varying interpretations, which could delay, limit or prevent marketing approval. The FDA may not grant approval of an NDA on a timely basis, or at all.</w:t>
      </w:r>
    </w:p>
    <w:p>
      <w:pPr>
        <w:pStyle w:val="TextBody"/>
        <w:spacing w:lineRule="auto" w:line="288" w:before="15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or other information, in order for FDA to reconsider the application. The FDA has a review goal of completing its review of 90% of resubmissions within two or six months after receipt, depending on the type of information included.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pStyle w:val="TextBody"/>
        <w:spacing w:lineRule="auto" w:line="288"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Even if the FDA approves a product, it may limit the approved indications for use of the product, require that contraindications, warnings or precautions be included in the product labeling, including a black boxed warning, require that post-approval studies, including Phase IV clinical trials, be conducted to further assess a drug’s safety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prevent or limit further marketing of a product based on the results of post- marketing studies or surveillance programs. After approval, certain circumstances may require FDA notification, review, or approval, as well as further testing. These may include some types of changes to the approved product, such as adding new indications, manufacturing changes, and additional labeling claims, or new safety information.</w:t>
      </w:r>
    </w:p>
    <w:p>
      <w:pPr>
        <w:pStyle w:val="TextBody"/>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Special FDA Expedited Review and Approval Programs</w:t>
      </w:r>
    </w:p>
    <w:p>
      <w:pPr>
        <w:pStyle w:val="TextBody"/>
        <w:spacing w:lineRule="auto" w:line="288" w:before="16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FDA has various programs, including Fast Track designation, accelerated approval, priority review and Breakthrough Therapy (as defined below) designation, that are intended to expedite or simplify the process for the development and FDA review of drugs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pStyle w:val="TextBody"/>
        <w:spacing w:lineRule="auto" w:line="290"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 In addition, the FDA may initiate review of sections of an NDA before the application is complete. This “rolling review” is available if the applicant provides and the FDA approves a schedule for the remaining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some cases, a Fast Track product may be eligible for accelerated approval or priority review.</w:t>
      </w:r>
    </w:p>
    <w:p>
      <w:pPr>
        <w:pStyle w:val="TextBody"/>
        <w:spacing w:lineRule="auto" w:line="290"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FDA may give a priority review designation to drugs that are intended to treat serious conditions and provide significant improvements in the safety or effectiveness of the treatment, diagnosis, or prevention of serious conditions. A priority review means that the goal for the FDA is to review an application in six months, rather than the standard review of ten months under current PDUFA guidelines. These six- and ten-month review periods are measured from the “filing” date rather than the receipt date for NDAs, which typically adds approximately two months to the timeline for review and decision from the date of submission. Products that are eligible for Fast Track designation may also be considered appropriate to receive a priority review.</w:t>
      </w:r>
    </w:p>
    <w:p>
      <w:pPr>
        <w:pStyle w:val="TextBody"/>
        <w:spacing w:lineRule="auto" w:line="290"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addition, products studied for their safety and effectiveness in treating serious or life-threatening illnesses or conditions and that fill an unmet medical need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endpoints, and the drug may be subject to accelerated withdrawal procedures.</w:t>
      </w:r>
    </w:p>
    <w:p>
      <w:pPr>
        <w:pStyle w:val="TextBody"/>
        <w:spacing w:lineRule="auto" w:line="290"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Moreover, under the provisions of the new Food and Drug Administration Safety and Innovation Act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I trials, and a commitment from the FDA to involve senior managers and experienced review staff in a proactive collaborative, cross-disciplinary review.</w:t>
      </w:r>
    </w:p>
    <w:p>
      <w:pPr>
        <w:pStyle w:val="TextBody"/>
        <w:spacing w:lineRule="auto" w:line="288" w:before="15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Even if a product qualifies for one or more of these programs, the FDA may later decide that the product no longer meets the conditions for qualification or decide that the time period for FDA review or approval will not be shortened.</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Implications for NRX-101</w:t>
      </w:r>
    </w:p>
    <w:p>
      <w:pPr>
        <w:pStyle w:val="TextBody"/>
        <w:spacing w:lineRule="auto" w:line="288" w:before="16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Subsequent to the issuance of the SPA, in November 2018, the FDA also issued a Breakthrough Therapy designation to NRX-101. Breakthrough Therapy designation is awarded to drugs that have demonstrated preliminary evidence of efficacy for the treatment of a serious medical condition for which there is an unmet medical need.</w:t>
      </w:r>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Post-Approval Requirements</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Drugs manufactured or distributed pursuant to FDA approvals are subject to pervasive and continuing regulation by the FDA, including, among other things, requirements relating to recordkeeping, manufacturing, periodic reporting, product sampling and distribution, advertising and promotion, and reporting of adverse experiences with the product and drug shortages.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pStyle w:val="TextBody"/>
        <w:spacing w:lineRule="auto" w:line="288"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FDA may impose a number of post-approval requirements as a condition of approval of an NDA. For example, the FDA may require post-marketing testing, including Phase IV clinical trials and surveillance to further assess and monitor the product’s safety and effectiveness after commercialization.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addition, drug manufacturers and other entities involved in the manufacture and distribution of approved drugs are required to register their establishments with the FDA and state agencies and list drugs manufactured at their facilities with the FDA. These facilities are further subject to periodic announced and unannounced inspections by the FDA and these state agencies for compliance with cGMP and other regulatory requirements. Changes to the manufacturing process are strictly regulated and may require prior approval by the FDA or notification to the FDA before or after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spacing w:lineRule="auto" w:line="288"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Once an approval is granted, the FDA may withdraw the approval if compliance with regulatory requirements and standards is not maintained or if problems occur after the product becomes available in the market.</w:t>
      </w:r>
    </w:p>
    <w:p>
      <w:pPr>
        <w:pStyle w:val="TextBody"/>
        <w:spacing w:lineRule="auto" w:line="288"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restrictions on the marketing or manufacturing of the product, complete withdrawal of the product from the market or product recalls;</w:t>
            </w:r>
          </w:p>
        </w:tc>
      </w:tr>
    </w:tbl>
    <w:tbl>
      <w:tblPr>
        <w:tblW w:w="9606" w:type="dxa"/>
        <w:jc w:val="left"/>
        <w:tblInd w:w="0" w:type="dxa"/>
        <w:tblCellMar>
          <w:top w:w="28" w:type="dxa"/>
          <w:left w:w="28" w:type="dxa"/>
          <w:bottom w:w="28" w:type="dxa"/>
          <w:right w:w="28" w:type="dxa"/>
        </w:tblCellMar>
      </w:tblPr>
      <w:tblGrid>
        <w:gridCol w:w="124"/>
        <w:gridCol w:w="196"/>
        <w:gridCol w:w="928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fines, Warning Letters or Untitled Letters, holds or termination of post-approval clinical trials or FDA debarment;</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delay or refusal of the FDA to approve pending NDAs or supplements to approved NDAs, or suspension or revocation of product license approvals;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regulatory authority, including the FDA, issued safety alerts, Dear Healthcare Provider letters, press releases or other communications containing warnings about such products;</w:t>
            </w:r>
          </w:p>
        </w:tc>
      </w:tr>
    </w:tbl>
    <w:tbl>
      <w:tblPr>
        <w:tblW w:w="7476" w:type="dxa"/>
        <w:jc w:val="left"/>
        <w:tblInd w:w="0" w:type="dxa"/>
        <w:tblCellMar>
          <w:top w:w="28" w:type="dxa"/>
          <w:left w:w="28" w:type="dxa"/>
          <w:bottom w:w="28" w:type="dxa"/>
          <w:right w:w="28" w:type="dxa"/>
        </w:tblCellMar>
      </w:tblPr>
      <w:tblGrid>
        <w:gridCol w:w="124"/>
        <w:gridCol w:w="196"/>
        <w:gridCol w:w="71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mandated modifications to promotional material or issuance of corrective information;</w:t>
            </w:r>
          </w:p>
        </w:tc>
      </w:tr>
    </w:tbl>
    <w:tbl>
      <w:tblPr>
        <w:tblW w:w="7266" w:type="dxa"/>
        <w:jc w:val="left"/>
        <w:tblInd w:w="0" w:type="dxa"/>
        <w:tblCellMar>
          <w:top w:w="28" w:type="dxa"/>
          <w:left w:w="28" w:type="dxa"/>
          <w:bottom w:w="28" w:type="dxa"/>
          <w:right w:w="28" w:type="dxa"/>
        </w:tblCellMar>
      </w:tblPr>
      <w:tblGrid>
        <w:gridCol w:w="124"/>
        <w:gridCol w:w="196"/>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product seizure or detention, or refusal to permit the import or export of products; or</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injunctions or the imposition of civil or criminal penalties, including imprisonment, disgorgement and restitution, as well as consent decrees, corporate integrity agreements, deferred prosecution agreements and exclusion from federal healthcare programs.</w:t>
            </w:r>
          </w:p>
        </w:tc>
      </w:tr>
    </w:tbl>
    <w:p>
      <w:pPr>
        <w:pStyle w:val="TextBody"/>
        <w:spacing w:lineRule="auto" w:line="288" w:before="15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FDA strictly regulates marketing, labeling, advertising and promotion of products that are placed on the market. Although physicians in the practice of medicine may prescribe approved drugs for unapproved indications, pharmaceutical companies are prohibited from marketing or promoting their drug products for uses outside of the approved indications in the approved prescribing information. The FDA and other agencies actively enforce the laws and regulations prohibiting the promotion of off-label uses, and a company that is found to have improperly marketed or promoted off-label uses may be subject to significant liability, including criminal and civil penalties under the FFDCA and False Claims Act, exclusion from participation in federal healthcare programs, debarment from government contracts and refusal of future orders under existing contracts, and mandatory compliance programs under corporate integrity agreements or deferred prosecution agreements.</w:t>
      </w:r>
    </w:p>
    <w:p>
      <w:pPr>
        <w:pStyle w:val="TextBody"/>
        <w:spacing w:lineRule="auto" w:line="288" w:before="16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addition, the distribution of prescription pharmaceutical products, including samples, is subject to the Prescription Drug Marketing Act (“PDMA”), which, among other things,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pStyle w:val="TextBody"/>
        <w:spacing w:lineRule="auto" w:line="288" w:before="164"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Moreover, the recently enacted Drug Quality and Security Act, imposes new obligations on manufacturers of pharmaceutical products related to product tracking and tracing. Among the requirements of this new legislation,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manufacturers will be required to provide certain information regarding drug products to individuals and entities to which product ownership is transferred, label drug products with a product identifier, and keep certain records regarding drug products.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manufactures will have drug product investigation, quarantine, disposition, and FDA and trading partner notification responsibilities related to counterfeit, diverted, stolen, and intentionally adulterated products such that they would result in serious adverse health consequences or death, as well as products that are the subject of fraudulent transactions or which are otherwise unfit for distribution such that they would be reasonably likely to result in serious health consequences or death.</w:t>
      </w:r>
    </w:p>
    <w:p>
      <w:pPr>
        <w:pStyle w:val="TextBody"/>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Regulation under the Drug Enforcement Administration</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are required to evaluate the abuse potential of our product candidates. If any of our product candidates are considered controlled substances, we will need to comply with additional regulatory requirements. NRX-100 (ketamine) is a controlled substance with high abuse potential. Both components of NRX-101 are approved drugs (DCS and lurasidone) and neither is a controlled substance. We have completed abuse liability studies for DCS and identified no abuse potential.</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Certain drug products may be regulated as “controlled substances” as defined in the Controlled Substances Act of 1970 and the DEA’s implementing regulations.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Schedule V substances the lowest relative risk of abuse among such substances. The FDA provides a recommendation to the DEA as to whether a drug should be classified as a controlled substance and the appropriate level of control. If DEA scheduling is required, a drug product may not be marketed until the scheduling process is completed, which could delay the launch of the product.</w:t>
      </w:r>
    </w:p>
    <w:p>
      <w:pPr>
        <w:pStyle w:val="TextBody"/>
        <w:spacing w:lineRule="auto" w:line="300"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and to distributors, prescribers and dispensers of controlled substances.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pStyle w:val="TextBody"/>
        <w:spacing w:lineRule="auto" w:line="292" w:before="15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pStyle w:val="TextBody"/>
        <w:spacing w:lineRule="auto" w:line="292"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Records must be maintained for the handling of all controlled substances, and periodic reports may be required to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Federal and State Healthcare related, Fraud and Abuse and Data Privacy and Security Laws and Regulations</w:t>
      </w:r>
    </w:p>
    <w:p>
      <w:pPr>
        <w:pStyle w:val="TextBody"/>
        <w:spacing w:lineRule="auto" w:line="292" w:before="169"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In addition to FDA restrictions on marketing of pharmaceutical products, federal and state fraud and abuse, and other laws regulations, and requirements restrict business practices in the biopharmaceutical industry. These laws include anti-kickback and false claims laws and regulations, state and federal transparency laws regarding payments or other items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2"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value provided to health care professionals, as well as data privacy and security laws and regulations and other requirements applicable to the healthcare industry, including pharmaceutical manufacturers. There are also laws, regulations, and requirements applicable to the award and performance of federal contracts and grants.</w:t>
      </w:r>
    </w:p>
    <w:p>
      <w:pPr>
        <w:pStyle w:val="TextBody"/>
        <w:spacing w:lineRule="auto" w:line="292"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Federal Anti-Kickback Statute prohibits, among other things, knowingly and willfully offering, paying, soliciting or receiving remuneration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narrowly drawn. Practices that involve remuneration that may be alleged to be intended to induce prescribing, purchases, or recommendations may be subject to scrutiny if they do not meet the requirements of a statutory or regulatory exception or safe harbor. Several courts have interpreted the statute’s intent requirement to mean that if any one purpose of an arrangement involving remuneration is to induce referrals of federal healthcare covered business, the statute has been violated.</w:t>
      </w:r>
    </w:p>
    <w:p>
      <w:pPr>
        <w:pStyle w:val="TextBody"/>
        <w:spacing w:lineRule="auto" w:line="290"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reach of the Anti-Kickback Statute was also broadened by the Affordable Care Act, which, among other things, amended the intent requirement of the Federal Anti-Kickback Statute and certain provisions of the criminal health care fraud statute (discussed below) such that a person or entity no longer needs to have actual knowledge of the statute or specific intent to violate it in order to have committed a violation. In addition, the Affordable Care Act provides that the government may assert that a claim for payment for items or services resulting from a violation of the Federal Anti-Kickback Statute constitutes a false or fraudulent claim for purposes of the civil False Claims Act. Penalties for violation of the Anti-Kickback Statute include criminal fines, imprisonment, civil penalties and damages, exclusion from participation in Federal healthcare programs and corporate integrity agreements or deferred prosecution agreements. Conviction or civil judgments are also grounds for debarment from government contracts.</w:t>
      </w:r>
    </w:p>
    <w:p>
      <w:pPr>
        <w:pStyle w:val="TextBody"/>
        <w:spacing w:lineRule="auto" w:line="290" w:before="16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Federal civil False Claims Act prohibits any person from knowingly presenting, or causing to be presented, a false claim for payment to the U.S. Government or knowingly making, using, or causing to be made or used a false record or statement material to a false or fraudulent claim to the federal government, including payments under a federal grant. A claim includes “any request or demand” for money or property presented to the U.S. Government. The False Claims Act also applies to false submissions that cause the government to be paid less than the amount to which it is entitled, such as a rebate. Intent to deceive is not required to establish liability under the civil False Claims Act. Several pharmaceutical and other healthcare companies have been sued under these laws for allegedly providing free product to customers with the expectation that the customers would bill Federal programs for the product. Companies have also been sued for causing false claims to be submitted because of the companies’ marketing of products for unapproved, or off-label, uses. In addition, Federal health care programs require drug manufacturers to report drug pricing information, which is used to quantify discounts and establish reimbursement rates. Several pharmaceutical and other healthcare companies have been sued for reporting allegedly false pricing information, which caused the manufacturer to understate rebates owed or, when used to determine reimbursement rates, caused overpayment to providers. Violations of the civil False Claims Act may result in civil penalties and damages as well as exclusion from Federal healthcare programs and corporate integrity agreements or deferred prosecution agreements. The U.S. Government may further prosecute conduct constituting a false claim under the criminal False Claims Act. The criminal False Claims Act prohibits the making or presenting of a claim to the U.S. Government knowing such claim to be false, fictitious, or fraudulent and, unlike the civil False Claims Act, requires proof of intent to submit a false claim. Violations of the criminal False Claims Act can result in criminal fines and/or imprisonment, as well as exclusion from participation in Federal healthcare programs. Conviction or civil judgments and other conduct are also grounds for debarment from U.S. Government contracts and grants.</w:t>
      </w:r>
    </w:p>
    <w:p>
      <w:pPr>
        <w:pStyle w:val="TextBody"/>
        <w:spacing w:lineRule="auto" w:line="292" w:before="158"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HIPAA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2"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items or services. As discussed above, the Affordable Care Act amended the intent standard for certain of HIPAA’s healthcare fraud provisions such that a person or entity no longer needs to have actual knowledge of the statute or specific intent to violate it in order to have committed a violation. Violations of HIPAA’s fraud and abuse provisions may result in fines or imprisonment, as well as exclusion from participation in Federal healthcare programs, depending on the conduct in question. Also, many states have similar fraud and abuse statutes or regulations that apply to items and services reimbursed under Medicaid and other state programs, or, in several states, apply regardless of the payor.</w:t>
      </w:r>
    </w:p>
    <w:p>
      <w:pPr>
        <w:pStyle w:val="TextBody"/>
        <w:spacing w:lineRule="auto" w:line="292"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spacing w:lineRule="auto" w:line="292"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Veterans Health Care Act requires manufacturers of covered drugs to offer them for sale on the Federal Supply Schedule, which requires compliance with applicable Federal procurement laws and regulations and subjects us to contractual remedies as well as administrative, civil and criminal sanctions.</w:t>
      </w:r>
    </w:p>
    <w:p>
      <w:pPr>
        <w:pStyle w:val="TextBody"/>
        <w:spacing w:lineRule="auto" w:line="288"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addition, there has been a recent trend of increased Federal and state regulation of payments made to physicians and other health care providers. The Affordable Care Act created new Federal requirements for reporting, by applicable manufacturers of covered drugs, payments and other transfers of value to physicians and teaching hospitals, and ownership and investment interests held by physicians and other healthcare providers and their immediate family members. Certain states also require implementation of commercial compliance programs and compliance with the pharmaceutical industry’s voluntary compliance guidelines and the applicable compliance guidance promulgated by the U.S. Government, or otherwise restrict payments or the provision of other items of value that may be made to healthcare providers and other potential referral sources; impose restrictions on marketing practices; and/or require drug manufacturers to track and report information related to payments, gifts and other items of value to physicians and other healthcare providers.</w:t>
      </w:r>
    </w:p>
    <w:p>
      <w:pPr>
        <w:pStyle w:val="TextBody"/>
        <w:spacing w:lineRule="auto" w:line="288" w:before="15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may also be subject to data privacy and security regulation by both the U.S. Government and the states in which we conduct our business. HIPAA, as amended by HITECH and its implementing regulations, imposes specified requirements relating to the privacy, security and transmission of individually identifiable health information. Penalties for violating HIPAA include civil penalties, criminal penalties and imprisonment. Among other things, HITECH, through its implementing regulations, makes HIPAA’s privacy and security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pStyle w:val="TextBody"/>
        <w:spacing w:lineRule="auto" w:line="288"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addition, other Federal and state laws govern the privacy and security of health and other information in certain circumstances, many of which differ from each other in significant ways and may not have the same requirements, thus complicating compliance efforts.</w:t>
      </w:r>
    </w:p>
    <w:p>
      <w:pPr>
        <w:pStyle w:val="TextBody"/>
        <w:spacing w:lineRule="auto" w:line="288"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pStyle w:val="TextBody"/>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Coverage and Reimbursement</w:t>
      </w:r>
    </w:p>
    <w:p>
      <w:pPr>
        <w:pStyle w:val="TextBody"/>
        <w:spacing w:lineRule="auto" w:line="288" w:before="165"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The commercial success of our product candidates and our ability to commercialize any approved product candidates successfully will depend in part on the extent to which governmental authorities, private health insurers and other third-party payers provide coverage for and establish adequate reimbursement levels for our therapeutic product candidates. In the U.S., the European Union and other potentially significant markets for our product candidates, government authorities and third-party payers are increasingly imposing additional requirements and restrictions on coverage, attempting to limit reimbursement levels or regulate the price of drugs and other medical products and services, particularly for new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innovative products and therapies, which often has resulted in average selling prices lower than they would otherwise be. For example, in the U.S., Federal and state governments reimburse covered prescription drugs at varying rates generally below average wholesale price. 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Moreover, the Medicare and Medicaid programs increasingly are used as models for how private payers and other governmental payers develop their coverage and reimbursement policies.</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addition,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coverage and reimbursement policies and pricing in general. The cost containment measures that healthcare payers and providers are instituting and any healthcare reform implemented in the future could significantly reduce our revenues from the sale of any approved product candidates. We cannot provide any assurances that we will be able to obtain and maintain third-party coverage or adequate reimbursement for our product candidates in whole or in part.</w:t>
      </w:r>
    </w:p>
    <w:p>
      <w:pPr>
        <w:pStyle w:val="TextBody"/>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Impact of Healthcare Reform on Coverage, Reimbursement, and Pricing</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Medicare Modernization Act imposed new requirements for the distribution and pricing of prescription drugs for Medicare beneficiaries. Under Part D, Medicare beneficiaries may enroll in prescription drug plans offered by private entities that provide coverage of outpatient prescription, pharmacy drugs pursuant to federal regulations. Part D plans include both standalone prescription drug benefit plans and prescription drug coverage as a supplement to Medicare Advantage plans. Unlike Medicare Part A and B, Part D coverage is not standardized. In general, Part D prescription drug plan sponsors have flexibility regarding coverage of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with certain exceptions. Any formulary used by a Part D prescription drug plan must be developed and reviewed by a pharmacy and therapeutic committee. Government payment for some of the costs of prescription drugs may increase demand for any products for which we receive marketing approval. However, any negotiated prices for our future products covered by a Part D prescription drug plan will likely be discounted, thereby lowering the net price realized on our sales to pharmacies. Moreover, while the Medicare Modernization Act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non-governmental payers.</w:t>
      </w:r>
    </w:p>
    <w:p>
      <w:pPr>
        <w:pStyle w:val="TextBody"/>
        <w:spacing w:lineRule="auto" w:line="290"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American Recovery and Reinvestment Act of 2009 provides funding for the U.S. Government to compare the effectiveness of different treatments for the same illness. A plan for the research will be developed by the Department of Health and Human Services, the Agency for Healthcare Research and Quality and the NIH, and periodic reports on the status of the research and related expenditures will be made to Congress.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pStyle w:val="TextBody"/>
        <w:spacing w:lineRule="auto" w:line="290" w:before="163"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The U.S. and some foreign jurisdictions are considering enacting or have enacted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systems with the stated goals of containing healthcare costs, improving quality and expanding access. In the U.S., the pharmaceutical industry has been a particular focus of these efforts and has been significantly affected by major legislative initiatives, including, most recently, the Affordable Care Act, which became law in March 2010 and substantially changes the way healthcare is financed by both governmental and private insurers. Among other cost containment measures, the Affordable Care Act establishes an annual, nondeductible fee on any entity that manufactures or imports specified branded prescription drugs and biologic agents; a new Medicare Part D coverage gap discount program; expansion of Medicaid benefits and a new formula that increases the rebates a manufacturer must pay under the Medicaid Drug Rebate Program; and expansion of the 340B drug discount program that mandates discounts to certain hospitals, community centers and other qualifying providers. In the future, there may continue to be additional proposals relating to the reform of the U.S. healthcare system, some of which could further limit the prices we are able to charge or the amounts of reimbursement available for our product candidates once they are approved.</w:t>
      </w:r>
    </w:p>
    <w:p>
      <w:pPr>
        <w:pStyle w:val="TextBody"/>
        <w:spacing w:before="87"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The Foreign Corrupt Practices Act</w:t>
      </w:r>
    </w:p>
    <w:p>
      <w:pPr>
        <w:pStyle w:val="TextBody"/>
        <w:spacing w:lineRule="auto" w:line="288" w:before="16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government contracts.</w:t>
      </w:r>
    </w:p>
    <w:p>
      <w:pPr>
        <w:pStyle w:val="TextBody"/>
        <w:spacing w:before="23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Exclusivity and Approval of Competing Products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Hatch-Waxman Patent Exclusivity</w:t>
      </w:r>
    </w:p>
    <w:p>
      <w:pPr>
        <w:pStyle w:val="TextBody"/>
        <w:spacing w:lineRule="auto" w:line="288" w:before="163"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seeking approval for a drug through an NDA, applicants are required to list with the FDA each patent with claims that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abbreviated new drug application (“ANDA”) or 505(b)(2) NDA. Generally, an ANDA provides for marketing of a drug product that has the same active ingredients in the same strengths, dosage form and route of administration as the listed drug and has been shown to be bioequivalent through in vitro or in vivo testing or otherwise to the listed drug. ANDA applicants are not required to conduct or submit results of preclinical or clinical tests to prove the safety or effectiveness of their drug product, other than the requirement for bioequivalence testing. Drugs approved in this way are commonly referred to as “generic equivalents” to the listed drug, and can often be substituted by pharmacists under prescriptions written for the reference listed drug. 505(b)(2) NDAs generally are submitted for changes to a previously approved drug product, such as a new dosage form or indication.</w:t>
      </w:r>
    </w:p>
    <w:p>
      <w:pPr>
        <w:pStyle w:val="TextBody"/>
        <w:spacing w:lineRule="auto" w:line="288"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ANDA or 505(b)(2) NDA applicant is required to provide a certification to the FDA in the product application concerning any patents listed for the approved product in the FDA’s Orange Book, except for patents covering methods of use for which the applicant is not seeking approval. Specifically, the applicant must certify with respect to each patent that:</w:t>
      </w:r>
    </w:p>
    <w:tbl>
      <w:tblPr>
        <w:tblW w:w="4551" w:type="dxa"/>
        <w:jc w:val="left"/>
        <w:tblInd w:w="0" w:type="dxa"/>
        <w:tblCellMar>
          <w:top w:w="28" w:type="dxa"/>
          <w:left w:w="28" w:type="dxa"/>
          <w:bottom w:w="28" w:type="dxa"/>
          <w:right w:w="28" w:type="dxa"/>
        </w:tblCellMar>
      </w:tblPr>
      <w:tblGrid>
        <w:gridCol w:w="124"/>
        <w:gridCol w:w="196"/>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required patent information has not been filed;</w:t>
            </w:r>
          </w:p>
        </w:tc>
      </w:tr>
    </w:tbl>
    <w:tbl>
      <w:tblPr>
        <w:tblW w:w="2811" w:type="dxa"/>
        <w:jc w:val="left"/>
        <w:tblInd w:w="0" w:type="dxa"/>
        <w:tblCellMar>
          <w:top w:w="28" w:type="dxa"/>
          <w:left w:w="28" w:type="dxa"/>
          <w:bottom w:w="28" w:type="dxa"/>
          <w:right w:w="28" w:type="dxa"/>
        </w:tblCellMar>
      </w:tblPr>
      <w:tblGrid>
        <w:gridCol w:w="124"/>
        <w:gridCol w:w="196"/>
        <w:gridCol w:w="249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4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listed patent has expired;</w:t>
            </w:r>
          </w:p>
        </w:tc>
      </w:tr>
    </w:tbl>
    <w:tbl>
      <w:tblPr>
        <w:tblW w:w="9951" w:type="dxa"/>
        <w:jc w:val="left"/>
        <w:tblInd w:w="0" w:type="dxa"/>
        <w:tblCellMar>
          <w:top w:w="28" w:type="dxa"/>
          <w:left w:w="28" w:type="dxa"/>
          <w:bottom w:w="28" w:type="dxa"/>
          <w:right w:w="28" w:type="dxa"/>
        </w:tblCellMar>
      </w:tblPr>
      <w:tblGrid>
        <w:gridCol w:w="124"/>
        <w:gridCol w:w="196"/>
        <w:gridCol w:w="963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listed patent has not expired, but will expire on a particular date and approval is sought after patent expiration; or</w:t>
            </w:r>
          </w:p>
        </w:tc>
      </w:tr>
    </w:tbl>
    <w:tbl>
      <w:tblPr>
        <w:tblW w:w="7446" w:type="dxa"/>
        <w:jc w:val="left"/>
        <w:tblInd w:w="0" w:type="dxa"/>
        <w:tblCellMar>
          <w:top w:w="28" w:type="dxa"/>
          <w:left w:w="28" w:type="dxa"/>
          <w:bottom w:w="28" w:type="dxa"/>
          <w:right w:w="28" w:type="dxa"/>
        </w:tblCellMar>
      </w:tblPr>
      <w:tblGrid>
        <w:gridCol w:w="124"/>
        <w:gridCol w:w="196"/>
        <w:gridCol w:w="712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listed patent is invalid, unenforceable, or will not be infringed by the new product.</w:t>
            </w:r>
          </w:p>
        </w:tc>
      </w:tr>
    </w:tbl>
    <w:p>
      <w:pPr>
        <w:pStyle w:val="TextBody"/>
        <w:spacing w:lineRule="auto" w:line="288" w:before="165"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Generally, the ANDA or 505(b)(2) NDA cannot be approved until all listed patents have expired, except when the ANDA or 505(b)(2) NDA applicant challenges a listed patent or if the listed patent is a patented method of use for which approval is not being sought. A certification that the proposed product will not infringe the already approved product’s listed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patents or that such patents are invalid or unenforceable is called a Paragraph IV certification. We may seek Paragraph IV Certification for our product candidates. If the applicant does not challenge the listed patents or does not indicate that it is not seeking approval of a patented method of use, the ANDA or 505(b)(2) NDA application will not be approved until all the listed patents claiming the referenced product have expired.</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If the ANDA or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certification. The filing of a patent infringement lawsuit within 45 days after the receipt of notice of the Paragraph IV certification automatically prevents the FDA from approving the ANDA or 505(b)(2) NDA until the earlier of 30 months, expiration of the patent, settlement of the lawsuit, a decision in the infringement case that is favorable to the ANDA applicant or other period determined by a court.</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Hatch-Waxman Non-Patent Exclusivity</w:t>
      </w:r>
    </w:p>
    <w:p>
      <w:pPr>
        <w:pStyle w:val="TextBody"/>
        <w:spacing w:lineRule="auto" w:line="288"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Market and data exclusivity provisions under the FFDCA also can delay the submission or the approval of certain applications for competing products. The FFDCA provides a five-year period of non- patent data exclusivity within the U.S. to the first applicant to gain approval of an NDA for a new chemical entity.</w:t>
      </w:r>
    </w:p>
    <w:p>
      <w:pPr>
        <w:pStyle w:val="TextBody"/>
        <w:spacing w:lineRule="auto" w:line="288"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 infringement.</w:t>
      </w:r>
    </w:p>
    <w:p>
      <w:pPr>
        <w:pStyle w:val="TextBody"/>
        <w:spacing w:lineRule="auto" w:line="288"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FFDCA also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effectiveness.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Pediatric Exclusivity</w:t>
      </w:r>
    </w:p>
    <w:p>
      <w:pPr>
        <w:pStyle w:val="TextBody"/>
        <w:spacing w:lineRule="auto" w:line="290" w:before="168"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Pediatric exclusivity is another type of non-patent marketing exclusivity in the U.S. and, if granted, provides for the attachment of an additional six months of marketing protection to the term of any existing regulatory exclusivity, including the non-patent exclusivity period described above.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Orange Book listed patent protection that cover the drug are extended by six months. This is not a patent term extension, but it effectively extends the regulatory period during which the FDA cannot approve an ANDA or 505(b)(2) application owing to regulatory exclusivity or listed patents.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Orphan Drug Designation and Exclusivity</w:t>
      </w:r>
    </w:p>
    <w:p>
      <w:pPr>
        <w:pStyle w:val="TextBody"/>
        <w:spacing w:lineRule="auto" w:line="290" w:before="167"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The Orphan Drug Act provides incentives for the development of drugs intended to treat rare diseases or conditions, which generally are diseases or conditions affecting less than 200,000 individuals annually in the U.S., or affecting more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than 200,000 in the U.S. and for which there is no reasonable expectation that the cost of developing and making the drug available in the U.S. will be recovered from U.S. sales.</w:t>
      </w:r>
    </w:p>
    <w:p>
      <w:pPr>
        <w:pStyle w:val="TextBody"/>
        <w:spacing w:lineRule="auto" w:line="290"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Additionally, sponsors must present a plausible hypothesis for clinical superiority to obtain orphan drug designation if there is a drug already approved by the FDA that is intended for the same indication and that is considered by the FDA to be the same drug as the already approved drug. This hypothesis must be demonstrated to obtain orphan drug exclusivity. Orphan drug designation entitles a party to financial incentives such as opportunities for grant funding towards clinical study costs, tax advantages, and user fee waivers. In addition, if a product receives FDA approval for the indication for which it has orphan drug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pStyle w:val="TextBody"/>
        <w:spacing w:before="1"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Foreign Regulation</w:t>
      </w:r>
    </w:p>
    <w:p>
      <w:pPr>
        <w:pStyle w:val="TextBody"/>
        <w:spacing w:lineRule="auto" w:line="290"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order to market any product outside of the U.S., we would need to comply with numerous and varying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in each member state in which we intend to conduct a clinical trial.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European Union Drug Approval Process</w:t>
      </w:r>
    </w:p>
    <w:p>
      <w:pPr>
        <w:pStyle w:val="TextBody"/>
        <w:spacing w:lineRule="auto" w:line="290"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To obtain marketing authorization of a drug in the European Union, we may submit MAAs either under the so-called centralized or national authorization procedures.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Centralized procedure</w:t>
      </w:r>
    </w:p>
    <w:p>
      <w:pPr>
        <w:pStyle w:val="TextBody"/>
        <w:spacing w:lineRule="auto" w:line="292"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centralized procedure provides for the grant of a single marketing authorization following a favorable opinion by the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pStyle w:val="TextBody"/>
        <w:spacing w:before="226" w:after="240"/>
        <w:ind w:left="0" w:right="0" w:hanging="0"/>
        <w:rPr>
          <w:rFonts w:ascii="Times New Roman;Times;serif" w:hAnsi="Times New Roman;Times;serif"/>
          <w:b/>
          <w:i/>
          <w:color w:val="231F20"/>
          <w:sz w:val="20"/>
        </w:rPr>
      </w:pPr>
      <w:r>
        <w:rPr>
          <w:rFonts w:ascii="Times New Roman;Times;serif" w:hAnsi="Times New Roman;Times;serif"/>
          <w:b/>
          <w:i/>
          <w:color w:val="231F20"/>
          <w:sz w:val="20"/>
        </w:rPr>
        <w:t>National authorization procedures</w:t>
      </w:r>
    </w:p>
    <w:p>
      <w:pPr>
        <w:pStyle w:val="TextBody"/>
        <w:spacing w:lineRule="auto" w:line="292" w:before="169" w:after="240"/>
        <w:ind w:left="0" w:right="0" w:firstLine="399"/>
        <w:rPr>
          <w:rFonts w:ascii="Times New Roman;Times;serif" w:hAnsi="Times New Roman;Times;serif"/>
          <w:color w:val="231F20"/>
          <w:sz w:val="20"/>
        </w:rPr>
      </w:pPr>
      <w:r>
        <w:rPr>
          <w:rFonts w:ascii="Times New Roman;Times;serif" w:hAnsi="Times New Roman;Times;serif"/>
          <w:color w:val="231F20"/>
          <w:sz w:val="20"/>
        </w:rPr>
        <w:t>There are also two other possible routes to authorize medicinal products in several European Union countries, which are available for investigational medicinal products that fall outside the scope of the centralized procedure:</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tc>
      </w:tr>
    </w:tbl>
    <w:p>
      <w:pPr>
        <w:pStyle w:val="TextBody"/>
        <w:spacing w:lineRule="auto" w:line="292" w:before="16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the European Union, new products authorized for marketing (i.e.,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data on which the reference product was first authorized in the European Union. The market exclusivity period prevents a successful generic applicant from commercializing its product in the European Union until ten years have elapsed from the initial authorization of the reference product in the European Union.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pStyle w:val="TextBody"/>
        <w:spacing w:lineRule="auto" w:line="292" w:before="121" w:after="0"/>
        <w:ind w:left="0" w:right="1620" w:hanging="0"/>
        <w:rPr>
          <w:color w:val="231F20"/>
        </w:rPr>
      </w:pPr>
      <w:r>
        <w:rPr>
          <w:color w:val="231F20"/>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7" w:name="Item1A_RiskFactors"/>
      <w:bookmarkStart w:id="38" w:name="_947c475c_d599_48c1_8715_9846b20709d2"/>
      <w:bookmarkEnd w:id="37"/>
      <w:bookmarkEnd w:id="38"/>
      <w:r>
        <w:rPr>
          <w:rFonts w:ascii="Times New Roman;Times;serif" w:hAnsi="Times New Roman;Times;serif"/>
          <w:b/>
          <w:sz w:val="20"/>
        </w:rPr>
        <w:t>Item 1A. Risk Factors</w:t>
      </w:r>
    </w:p>
    <w:p>
      <w:pPr>
        <w:pStyle w:val="TextBody"/>
        <w:spacing w:before="180" w:after="0"/>
        <w:ind w:left="0" w:right="0" w:hanging="0"/>
        <w:jc w:val="both"/>
        <w:rPr>
          <w:rFonts w:ascii="Times New Roman;Times;serif" w:hAnsi="Times New Roman;Times;serif"/>
          <w:sz w:val="20"/>
        </w:rPr>
      </w:pPr>
      <w:r>
        <w:rPr>
          <w:rFonts w:ascii="Times New Roman;Times;serif" w:hAnsi="Times New Roman;Times;serif"/>
          <w:i/>
          <w:color w:val="231F20"/>
          <w:sz w:val="20"/>
        </w:rPr>
        <w:t xml:space="preserve">We are an early-stage company with a history of losses and our business faces significant risks and uncertainties, which are summarized below and are more fully described in the following section. Our business, prospects, financial condition, and results of operations could be materially and adversely affected if one or more of these risks </w:t>
      </w:r>
      <w:r>
        <w:rPr>
          <w:rFonts w:ascii="Times New Roman;Times;serif" w:hAnsi="Times New Roman;Times;serif"/>
          <w:i/>
          <w:color w:val="231F20"/>
          <w:spacing w:val="-3"/>
          <w:sz w:val="20"/>
        </w:rPr>
        <w:t>occurs</w:t>
      </w:r>
      <w:r>
        <w:rPr>
          <w:rFonts w:ascii="Times New Roman;Times;serif" w:hAnsi="Times New Roman;Times;serif"/>
          <w:i/>
          <w:color w:val="231F20"/>
          <w:sz w:val="20"/>
        </w:rPr>
        <w:t>.</w:t>
      </w:r>
      <w:r>
        <w:rPr>
          <w:rFonts w:ascii="Times New Roman;Times;serif" w:hAnsi="Times New Roman;Times;serif"/>
          <w:color w:val="231F20"/>
          <w:spacing w:val="-3"/>
          <w:sz w:val="20"/>
        </w:rPr>
        <w:t xml:space="preserve"> </w:t>
      </w:r>
      <w:r>
        <w:rPr>
          <w:rFonts w:ascii="Times New Roman;Times;serif" w:hAnsi="Times New Roman;Times;serif"/>
          <w:i/>
          <w:color w:val="231F20"/>
          <w:spacing w:val="-3"/>
          <w:sz w:val="20"/>
        </w:rPr>
        <w:t>In addition, other events that we do not currently anticipate, or that we currently deem immaterial, may also affect our business, prospects, financial condition and results of operations. Accordingly, in evaluating our business, we encourage you to consider the following discussion of risk factors, in its entirety, in addition to other information contained in or incorporated by reference into this annual report and our other public filings with the SEC. The following summary of the Risk Factors is subject to the full description of the Risk Factors set forth in this Item 1A.</w:t>
      </w:r>
    </w:p>
    <w:p>
      <w:pPr>
        <w:pStyle w:val="TextBody"/>
        <w:spacing w:before="0" w:after="0"/>
        <w:ind w:left="0" w:right="0" w:hanging="0"/>
        <w:rPr>
          <w:color w:val="231F20"/>
        </w:rPr>
      </w:pPr>
      <w:r>
        <w:rPr>
          <w:color w:val="231F20"/>
        </w:rPr>
        <w:t>​</w:t>
      </w:r>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Risk Factors Summary</w:t>
      </w:r>
    </w:p>
    <w:p>
      <w:pPr>
        <w:pStyle w:val="TextBody"/>
        <w:spacing w:lineRule="atLeast" w:line="141" w:before="4"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24"/>
        <w:gridCol w:w="241"/>
        <w:gridCol w:w="9840"/>
      </w:tblGrid>
      <w:tr>
        <w:trPr/>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lineRule="auto" w:line="300" w:before="0" w:after="0"/>
              <w:jc w:val="both"/>
              <w:rPr/>
            </w:pPr>
            <w:r>
              <w:rPr/>
              <w:t>•</w:t>
            </w:r>
            <w:r>
              <w:rPr>
                <w:spacing w:val="-44"/>
              </w:rPr>
              <w:t xml:space="preserve"> </w:t>
            </w:r>
          </w:p>
        </w:tc>
        <w:tc>
          <w:tcPr>
            <w:tcW w:w="9840"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We have a limited operating history upon which to base an investment decision. We have not been profitable historically and may not achieve or maintain profitability in the future.</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33"/>
        <w:gridCol w:w="9848"/>
      </w:tblGrid>
      <w:tr>
        <w:trPr/>
        <w:tc>
          <w:tcPr>
            <w:tcW w:w="12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lineRule="auto" w:line="300" w:before="0" w:after="0"/>
              <w:jc w:val="both"/>
              <w:rPr/>
            </w:pPr>
            <w:r>
              <w:rPr/>
              <w:t xml:space="preserve">• </w:t>
            </w:r>
          </w:p>
        </w:tc>
        <w:tc>
          <w:tcPr>
            <w:tcW w:w="9848"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 xml:space="preserve">We need to raise additional capital to operate our business. If we fail to obtain the capital necessary to fund our operations, we will be unable to continue as a going concern or complete our product development. </w:t>
            </w:r>
          </w:p>
        </w:tc>
      </w:tr>
    </w:tbl>
    <w:p>
      <w:pPr>
        <w:pStyle w:val="TextBody"/>
        <w:pBdr/>
        <w:spacing w:lineRule="auto" w:line="300" w:before="0" w:after="0"/>
        <w:ind w:left="667" w:right="0" w:hanging="438"/>
        <w:jc w:val="both"/>
        <w:rPr/>
      </w:pPr>
      <w:r>
        <w:rPr/>
        <w:t>​</w:t>
      </w:r>
    </w:p>
    <w:tbl>
      <w:tblPr>
        <w:tblW w:w="10026" w:type="dxa"/>
        <w:jc w:val="left"/>
        <w:tblInd w:w="0" w:type="dxa"/>
        <w:tblCellMar>
          <w:top w:w="0" w:type="dxa"/>
          <w:left w:w="0" w:type="dxa"/>
          <w:bottom w:w="0" w:type="dxa"/>
          <w:right w:w="0" w:type="dxa"/>
        </w:tblCellMar>
      </w:tblPr>
      <w:tblGrid>
        <w:gridCol w:w="124"/>
        <w:gridCol w:w="256"/>
        <w:gridCol w:w="9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9646"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NRX-101 is in clinical testing and we cannot predict with any certainty if or when we might submit an NDA for regulatory approval.  </w:t>
            </w:r>
          </w:p>
        </w:tc>
      </w:tr>
    </w:tbl>
    <w:p>
      <w:pPr>
        <w:pStyle w:val="TextBody"/>
        <w:pBdr/>
        <w:spacing w:lineRule="auto" w:line="300" w:before="0" w:after="0"/>
        <w:ind w:left="667" w:right="0" w:hanging="438"/>
        <w:jc w:val="both"/>
        <w:rPr/>
      </w:pPr>
      <w:r>
        <w:rPr/>
        <w:t>​</w:t>
      </w:r>
    </w:p>
    <w:tbl>
      <w:tblPr>
        <w:tblW w:w="7941" w:type="dxa"/>
        <w:jc w:val="left"/>
        <w:tblInd w:w="0" w:type="dxa"/>
        <w:tblCellMar>
          <w:top w:w="0" w:type="dxa"/>
          <w:left w:w="0" w:type="dxa"/>
          <w:bottom w:w="0" w:type="dxa"/>
          <w:right w:w="0" w:type="dxa"/>
        </w:tblCellMar>
      </w:tblPr>
      <w:tblGrid>
        <w:gridCol w:w="124"/>
        <w:gridCol w:w="256"/>
        <w:gridCol w:w="7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7561"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We have not yet scaled manufacturing of our drug products to levels that are required for sustained sales.</w:t>
            </w:r>
          </w:p>
        </w:tc>
      </w:tr>
    </w:tbl>
    <w:p>
      <w:pPr>
        <w:pStyle w:val="TextBody"/>
        <w:pBdr/>
        <w:spacing w:lineRule="auto" w:line="300" w:before="0" w:after="0"/>
        <w:ind w:left="667" w:right="0" w:hanging="438"/>
        <w:jc w:val="both"/>
        <w:rPr/>
      </w:pPr>
      <w:r>
        <w:rPr/>
        <w:t>​</w:t>
      </w:r>
    </w:p>
    <w:tbl>
      <w:tblPr>
        <w:tblW w:w="7341" w:type="dxa"/>
        <w:jc w:val="left"/>
        <w:tblInd w:w="0" w:type="dxa"/>
        <w:tblCellMar>
          <w:top w:w="0" w:type="dxa"/>
          <w:left w:w="0" w:type="dxa"/>
          <w:bottom w:w="0" w:type="dxa"/>
          <w:right w:w="0" w:type="dxa"/>
        </w:tblCellMar>
      </w:tblPr>
      <w:tblGrid>
        <w:gridCol w:w="124"/>
        <w:gridCol w:w="256"/>
        <w:gridCol w:w="6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6961"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The Company has been, and may become involved in, disputes, claims, arbitration and litigation.</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35"/>
        <w:gridCol w:w="9846"/>
      </w:tblGrid>
      <w:tr>
        <w:trPr/>
        <w:tc>
          <w:tcPr>
            <w:tcW w:w="12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lineRule="auto" w:line="300" w:before="0" w:after="0"/>
              <w:jc w:val="both"/>
              <w:rPr/>
            </w:pPr>
            <w:r>
              <w:rPr/>
              <w:t xml:space="preserve">• </w:t>
            </w:r>
          </w:p>
        </w:tc>
        <w:tc>
          <w:tcPr>
            <w:tcW w:w="9846"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If we fail to obtain or maintain FDA and other regulatory clearances for our products, or if such clearances are delayed, we will be unable to commercially distribute and market our products in the U.S.</w:t>
            </w:r>
          </w:p>
        </w:tc>
      </w:tr>
    </w:tbl>
    <w:p>
      <w:pPr>
        <w:pStyle w:val="TextBody"/>
        <w:spacing w:lineRule="auto" w:line="300"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24"/>
        <w:gridCol w:w="222"/>
        <w:gridCol w:w="9859"/>
      </w:tblGrid>
      <w:tr>
        <w:trPr/>
        <w:tc>
          <w:tcPr>
            <w:tcW w:w="12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lineRule="auto" w:line="300" w:before="0" w:after="0"/>
              <w:jc w:val="both"/>
              <w:rPr/>
            </w:pPr>
            <w:r>
              <w:rPr/>
              <w:t xml:space="preserve">• </w:t>
            </w:r>
          </w:p>
        </w:tc>
        <w:tc>
          <w:tcPr>
            <w:tcW w:w="9859"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Our products will face significant competition in the markets for such products and future products may never achieve market acceptance. We are faced with rapid technological change and developments by competitors may render our products or technologies obsolete or non-competitive.</w:t>
            </w:r>
          </w:p>
        </w:tc>
      </w:tr>
    </w:tbl>
    <w:p>
      <w:pPr>
        <w:pStyle w:val="TextBody"/>
        <w:pBdr/>
        <w:spacing w:lineRule="auto" w:line="300" w:before="0" w:after="0"/>
        <w:ind w:left="667" w:right="0" w:hanging="438"/>
        <w:jc w:val="both"/>
        <w:rPr/>
      </w:pPr>
      <w:r>
        <w:rPr/>
        <w:t>​</w:t>
      </w:r>
    </w:p>
    <w:p>
      <w:pPr>
        <w:pStyle w:val="TextBody"/>
        <w:pBdr/>
        <w:spacing w:lineRule="auto" w:line="300" w:before="0" w:after="0"/>
        <w:ind w:left="667" w:right="0" w:hanging="0"/>
        <w:jc w:val="left"/>
        <w:rPr/>
      </w:pPr>
      <w:r>
        <w:rPr>
          <w:caps w:val="false"/>
          <w:smallCaps w:val="false"/>
        </w:rPr>
        <w:t xml:space="preserve">• </w:t>
      </w:r>
      <w:r>
        <w:rPr>
          <w:rFonts w:ascii="Times New Roman;Times;serif" w:hAnsi="Times New Roman;Times;serif"/>
          <w:sz w:val="18"/>
        </w:rPr>
        <w:t xml:space="preserve">We are currently operating in a period of economic uncertainty and capital markets disruption, which has been significantly impacted by geopolitical instability due to the ongoing military conflict between Russia and Ukraine. </w:t>
      </w:r>
    </w:p>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22"/>
        <w:gridCol w:w="9859"/>
      </w:tblGrid>
      <w:tr>
        <w:trPr/>
        <w:tc>
          <w:tcPr>
            <w:tcW w:w="12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lineRule="auto" w:line="300" w:before="0" w:after="0"/>
              <w:jc w:val="both"/>
              <w:rPr/>
            </w:pPr>
            <w:r>
              <w:rPr/>
              <w:t xml:space="preserve">• </w:t>
            </w:r>
          </w:p>
        </w:tc>
        <w:tc>
          <w:tcPr>
            <w:tcW w:w="9859"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Our relationships with customers and payors will be subject to applicable anti-kickback, fraud and abuse, transparency, and other healthcare laws and regulations, which could expose us to criminal sanctions, civil penalties, contractual damages, reputational harm, and administrative burdens.</w:t>
            </w:r>
          </w:p>
        </w:tc>
      </w:tr>
    </w:tbl>
    <w:p>
      <w:pPr>
        <w:pStyle w:val="TextBody"/>
        <w:pBdr/>
        <w:spacing w:lineRule="auto" w:line="300" w:before="0" w:after="0"/>
        <w:ind w:left="667" w:right="0" w:hanging="438"/>
        <w:jc w:val="both"/>
        <w:rPr/>
      </w:pPr>
      <w:r>
        <w:rPr/>
        <w:t>​</w:t>
      </w:r>
    </w:p>
    <w:tbl>
      <w:tblPr>
        <w:tblW w:w="5751" w:type="dxa"/>
        <w:jc w:val="left"/>
        <w:tblInd w:w="0" w:type="dxa"/>
        <w:tblCellMar>
          <w:top w:w="0" w:type="dxa"/>
          <w:left w:w="0" w:type="dxa"/>
          <w:bottom w:w="0" w:type="dxa"/>
          <w:right w:w="0"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5371"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 xml:space="preserve">Managing our growth as we expand operations may strain our resources. </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21"/>
        <w:gridCol w:w="9860"/>
      </w:tblGrid>
      <w:tr>
        <w:trPr/>
        <w:tc>
          <w:tcPr>
            <w:tcW w:w="12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lineRule="auto" w:line="300" w:before="0" w:after="0"/>
              <w:jc w:val="both"/>
              <w:rPr/>
            </w:pPr>
            <w:r>
              <w:rPr/>
              <w:t xml:space="preserve">• </w:t>
            </w:r>
          </w:p>
        </w:tc>
        <w:tc>
          <w:tcPr>
            <w:tcW w:w="9860"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 xml:space="preserve">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 </w:t>
            </w:r>
          </w:p>
        </w:tc>
      </w:tr>
    </w:tbl>
    <w:p>
      <w:pPr>
        <w:pStyle w:val="TextBody"/>
        <w:pBdr/>
        <w:spacing w:lineRule="auto" w:line="300" w:before="0" w:after="0"/>
        <w:ind w:left="667" w:right="0" w:hanging="438"/>
        <w:jc w:val="both"/>
        <w:rPr/>
      </w:pPr>
      <w:r>
        <w:rPr/>
        <w:t>​</w:t>
      </w:r>
    </w:p>
    <w:tbl>
      <w:tblPr>
        <w:tblW w:w="8631" w:type="dxa"/>
        <w:jc w:val="left"/>
        <w:tblInd w:w="0" w:type="dxa"/>
        <w:tblCellMar>
          <w:top w:w="0" w:type="dxa"/>
          <w:left w:w="0" w:type="dxa"/>
          <w:bottom w:w="0" w:type="dxa"/>
          <w:right w:w="0" w:type="dxa"/>
        </w:tblCellMar>
      </w:tblPr>
      <w:tblGrid>
        <w:gridCol w:w="124"/>
        <w:gridCol w:w="256"/>
        <w:gridCol w:w="82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8251"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Even if a drug product is approved, the regulators may impose limitations on the use or marketing of such product.</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22"/>
        <w:gridCol w:w="9859"/>
      </w:tblGrid>
      <w:tr>
        <w:trPr/>
        <w:tc>
          <w:tcPr>
            <w:tcW w:w="12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lineRule="auto" w:line="300" w:before="0" w:after="0"/>
              <w:jc w:val="both"/>
              <w:rPr/>
            </w:pPr>
            <w:r>
              <w:rPr/>
              <w:t xml:space="preserve">• </w:t>
            </w:r>
          </w:p>
        </w:tc>
        <w:tc>
          <w:tcPr>
            <w:tcW w:w="9859"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If we are unable to design, conduct and complete clinical trials successfully, our drug candidates will not be able to receive regulatory approval. We cannot predict whether regulatory agencies will determine that the data from our clinical trials of our product candidates supports marketing approval.</w:t>
            </w:r>
          </w:p>
        </w:tc>
      </w:tr>
    </w:tbl>
    <w:p>
      <w:pPr>
        <w:pStyle w:val="TextBody"/>
        <w:pBdr/>
        <w:spacing w:lineRule="auto" w:line="300" w:before="0" w:after="0"/>
        <w:ind w:left="667" w:right="0" w:hanging="438"/>
        <w:jc w:val="both"/>
        <w:rPr/>
      </w:pPr>
      <w:r>
        <w:rPr/>
        <w:t>​</w:t>
      </w:r>
    </w:p>
    <w:tbl>
      <w:tblPr>
        <w:tblW w:w="8016" w:type="dxa"/>
        <w:jc w:val="left"/>
        <w:tblInd w:w="0" w:type="dxa"/>
        <w:tblCellMar>
          <w:top w:w="0" w:type="dxa"/>
          <w:left w:w="0" w:type="dxa"/>
          <w:bottom w:w="0" w:type="dxa"/>
          <w:right w:w="0" w:type="dxa"/>
        </w:tblCellMar>
      </w:tblPr>
      <w:tblGrid>
        <w:gridCol w:w="124"/>
        <w:gridCol w:w="256"/>
        <w:gridCol w:w="7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7636"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There is no guarantee that regulators will grant NDA approval of our current or future product candidates.</w:t>
            </w:r>
          </w:p>
        </w:tc>
      </w:tr>
    </w:tbl>
    <w:p>
      <w:pPr>
        <w:pStyle w:val="TextBody"/>
        <w:pBdr/>
        <w:spacing w:lineRule="auto" w:line="300" w:before="0" w:after="0"/>
        <w:ind w:left="667" w:right="0" w:hanging="438"/>
        <w:jc w:val="both"/>
        <w:rPr/>
      </w:pPr>
      <w:r>
        <w:rPr/>
        <w:t>​</w:t>
      </w:r>
    </w:p>
    <w:tbl>
      <w:tblPr>
        <w:tblW w:w="9171" w:type="dxa"/>
        <w:jc w:val="left"/>
        <w:tblInd w:w="0" w:type="dxa"/>
        <w:tblCellMar>
          <w:top w:w="0" w:type="dxa"/>
          <w:left w:w="0" w:type="dxa"/>
          <w:bottom w:w="0" w:type="dxa"/>
          <w:right w:w="0" w:type="dxa"/>
        </w:tblCellMar>
      </w:tblPr>
      <w:tblGrid>
        <w:gridCol w:w="124"/>
        <w:gridCol w:w="256"/>
        <w:gridCol w:w="8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8791"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If an adverse event occurs during a clinical trial, the regulators or an internal review board may delay or terminate the trial. </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25"/>
        <w:gridCol w:w="9856"/>
      </w:tblGrid>
      <w:tr>
        <w:trPr/>
        <w:tc>
          <w:tcPr>
            <w:tcW w:w="12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lineRule="auto" w:line="300" w:before="0" w:after="0"/>
              <w:jc w:val="both"/>
              <w:rPr/>
            </w:pPr>
            <w:r>
              <w:rPr/>
              <w:t xml:space="preserve">• </w:t>
            </w:r>
          </w:p>
        </w:tc>
        <w:tc>
          <w:tcPr>
            <w:tcW w:w="9856"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Discussions and guidance of clinical trials are not binding obligations on the part of regulatory authorities. The results of our current or future clinical trials may not support our product candidate claims or may result in the discovery of unexpected adverse side effects.</w:t>
            </w:r>
          </w:p>
        </w:tc>
      </w:tr>
    </w:tbl>
    <w:p>
      <w:pPr>
        <w:pStyle w:val="TextBody"/>
        <w:pBdr/>
        <w:spacing w:lineRule="auto" w:line="300" w:before="0" w:after="0"/>
        <w:ind w:left="667" w:right="0" w:hanging="438"/>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234"/>
        <w:gridCol w:w="9847"/>
      </w:tblGrid>
      <w:tr>
        <w:trPr/>
        <w:tc>
          <w:tcPr>
            <w:tcW w:w="12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lineRule="auto" w:line="300" w:before="0" w:after="0"/>
              <w:jc w:val="both"/>
              <w:rPr/>
            </w:pPr>
            <w:r>
              <w:rPr/>
              <w:t xml:space="preserve">• </w:t>
            </w:r>
          </w:p>
        </w:tc>
        <w:tc>
          <w:tcPr>
            <w:tcW w:w="9847"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Delays in the commencement or completion of pharmaceutical development, manufacturing or clinical efficacy and safety testing could result in increased costs to us and delay our ability to generate revenues.</w:t>
            </w:r>
          </w:p>
        </w:tc>
      </w:tr>
    </w:tbl>
    <w:p>
      <w:pPr>
        <w:pStyle w:val="TextBody"/>
        <w:spacing w:lineRule="auto" w:line="300" w:before="0" w:after="0"/>
        <w:ind w:left="667" w:right="0" w:hanging="0"/>
        <w:jc w:val="both"/>
        <w:rPr/>
      </w:pPr>
      <w:r>
        <w:rPr/>
        <w:t>​</w:t>
      </w:r>
    </w:p>
    <w:tbl>
      <w:tblPr>
        <w:tblW w:w="10205" w:type="dxa"/>
        <w:jc w:val="left"/>
        <w:tblInd w:w="0" w:type="dxa"/>
        <w:tblCellMar>
          <w:top w:w="0" w:type="dxa"/>
          <w:left w:w="0" w:type="dxa"/>
          <w:bottom w:w="0" w:type="dxa"/>
          <w:right w:w="0"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lineRule="auto" w:line="300" w:before="0" w:after="0"/>
              <w:jc w:val="both"/>
              <w:rPr/>
            </w:pPr>
            <w:r>
              <w:rPr/>
              <w:t xml:space="preserve">• </w:t>
            </w:r>
          </w:p>
        </w:tc>
        <w:tc>
          <w:tcPr>
            <w:tcW w:w="9855"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Even if our products are approved by regulatory authorities, if we or our suppliers fail to comply with ongoing FDA regulation or if we experience unanticipated problems with our products, these products could be subject to market restrictions or withdrawals.</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30"/>
        <w:gridCol w:w="9851"/>
      </w:tblGrid>
      <w:tr>
        <w:trPr/>
        <w:tc>
          <w:tcPr>
            <w:tcW w:w="12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lineRule="auto" w:line="300" w:before="0" w:after="0"/>
              <w:jc w:val="both"/>
              <w:rPr/>
            </w:pPr>
            <w:r>
              <w:rPr/>
              <w:t xml:space="preserve">• </w:t>
            </w:r>
          </w:p>
        </w:tc>
        <w:tc>
          <w:tcPr>
            <w:tcW w:w="9851"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Conducting clinical trials of our drug candidates or commercial sales of a drug candidate may expose us to expensive product liability claims and we may not be able to maintain product liability insurance on reasonable terms or at all.</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17"/>
        <w:gridCol w:w="9864"/>
      </w:tblGrid>
      <w:tr>
        <w:trPr/>
        <w:tc>
          <w:tcPr>
            <w:tcW w:w="12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lineRule="auto" w:line="300" w:before="0" w:after="0"/>
              <w:jc w:val="both"/>
              <w:rPr/>
            </w:pPr>
            <w:r>
              <w:rPr/>
              <w:t xml:space="preserve">• </w:t>
            </w:r>
          </w:p>
        </w:tc>
        <w:tc>
          <w:tcPr>
            <w:tcW w:w="9864"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If the Company pursues development of our NRX-100 drug candidate, the use of a controlled substance subjects us to DEA scrutiny and compliance, which may result in additional expense and clinical delays, and may generate controversy. In addition, the use of controlled substances may limit the availability of the active ingredients needed for NRX-100.  </w:t>
            </w:r>
          </w:p>
        </w:tc>
      </w:tr>
    </w:tbl>
    <w:p>
      <w:pPr>
        <w:pStyle w:val="TextBody"/>
        <w:spacing w:lineRule="auto" w:line="300"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24"/>
        <w:gridCol w:w="246"/>
        <w:gridCol w:w="9835"/>
      </w:tblGrid>
      <w:tr>
        <w:trPr/>
        <w:tc>
          <w:tcPr>
            <w:tcW w:w="12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lineRule="auto" w:line="300" w:before="0" w:after="0"/>
              <w:jc w:val="both"/>
              <w:rPr/>
            </w:pPr>
            <w:r>
              <w:rPr/>
              <w:t xml:space="preserve">• </w:t>
            </w:r>
          </w:p>
        </w:tc>
        <w:tc>
          <w:tcPr>
            <w:tcW w:w="9835"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Modifications to our products may require new NDA approvals and some of our other product candidates will require Risk Evaluation and Mitigation Strategies.</w:t>
            </w:r>
          </w:p>
        </w:tc>
      </w:tr>
    </w:tbl>
    <w:p>
      <w:pPr>
        <w:pStyle w:val="TextBody"/>
        <w:pBdr/>
        <w:spacing w:lineRule="auto" w:line="300" w:before="0" w:after="0"/>
        <w:ind w:left="667" w:right="0" w:hanging="438"/>
        <w:jc w:val="both"/>
        <w:rPr/>
      </w:pPr>
      <w:r>
        <w:rPr/>
        <w:t>​</w:t>
      </w:r>
    </w:p>
    <w:tbl>
      <w:tblPr>
        <w:tblW w:w="7101" w:type="dxa"/>
        <w:jc w:val="left"/>
        <w:tblInd w:w="0" w:type="dxa"/>
        <w:tblCellMar>
          <w:top w:w="0" w:type="dxa"/>
          <w:left w:w="0" w:type="dxa"/>
          <w:bottom w:w="0" w:type="dxa"/>
          <w:right w:w="0" w:type="dxa"/>
        </w:tblCellMar>
      </w:tblPr>
      <w:tblGrid>
        <w:gridCol w:w="124"/>
        <w:gridCol w:w="256"/>
        <w:gridCol w:w="6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6721"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Our business relies on certain licensing rights that can be terminated in certain circumstances.</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20"/>
        <w:gridCol w:w="9861"/>
      </w:tblGrid>
      <w:tr>
        <w:trPr/>
        <w:tc>
          <w:tcPr>
            <w:tcW w:w="12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lineRule="auto" w:line="300" w:before="0" w:after="0"/>
              <w:jc w:val="both"/>
              <w:rPr/>
            </w:pPr>
            <w:r>
              <w:rPr/>
              <w:t xml:space="preserve">• </w:t>
            </w:r>
          </w:p>
        </w:tc>
        <w:tc>
          <w:tcPr>
            <w:tcW w:w="9861"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 xml:space="preserve">Our business depends upon securing and protecting critical intellectual property. If we are found to be infringing on patents or trade secrets owned by others, we may be forced to cease or alter our product development efforts, obtain a license to continue development or sale of our products, and/or pay damages. </w:t>
            </w:r>
          </w:p>
        </w:tc>
      </w:tr>
    </w:tbl>
    <w:p>
      <w:pPr>
        <w:pStyle w:val="TextBody"/>
        <w:pBdr/>
        <w:spacing w:lineRule="auto" w:line="300" w:before="0" w:after="0"/>
        <w:ind w:left="667" w:right="0" w:hanging="438"/>
        <w:jc w:val="both"/>
        <w:rPr/>
      </w:pPr>
      <w:r>
        <w:rPr/>
        <w:t>​</w:t>
      </w:r>
    </w:p>
    <w:tbl>
      <w:tblPr>
        <w:tblW w:w="8256" w:type="dxa"/>
        <w:jc w:val="left"/>
        <w:tblInd w:w="0" w:type="dxa"/>
        <w:tblCellMar>
          <w:top w:w="0" w:type="dxa"/>
          <w:left w:w="0" w:type="dxa"/>
          <w:bottom w:w="0" w:type="dxa"/>
          <w:right w:w="0" w:type="dxa"/>
        </w:tblCellMar>
      </w:tblPr>
      <w:tblGrid>
        <w:gridCol w:w="124"/>
        <w:gridCol w:w="256"/>
        <w:gridCol w:w="7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lineRule="auto" w:line="300" w:before="0" w:after="0"/>
              <w:jc w:val="both"/>
              <w:rPr/>
            </w:pPr>
            <w:r>
              <w:rPr/>
              <w:t xml:space="preserve">• </w:t>
            </w:r>
          </w:p>
        </w:tc>
        <w:tc>
          <w:tcPr>
            <w:tcW w:w="7876"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Breaches by our employees or other parties may allow our trade secrets to become known to our competitors.</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45"/>
        <w:gridCol w:w="9836"/>
      </w:tblGrid>
      <w:tr>
        <w:trPr/>
        <w:tc>
          <w:tcPr>
            <w:tcW w:w="12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lineRule="auto" w:line="300" w:before="0" w:after="0"/>
              <w:jc w:val="both"/>
              <w:rPr/>
            </w:pPr>
            <w:r>
              <w:rPr/>
              <w:t xml:space="preserve">• </w:t>
            </w:r>
          </w:p>
        </w:tc>
        <w:tc>
          <w:tcPr>
            <w:tcW w:w="9836"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We may not receive royalty or milestone revenue relating to our product candidates under our collaboration and future license agreements for several years, or at all.</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28"/>
        <w:gridCol w:w="9853"/>
      </w:tblGrid>
      <w:tr>
        <w:trPr/>
        <w:tc>
          <w:tcPr>
            <w:tcW w:w="1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lineRule="auto" w:line="300" w:before="0" w:after="0"/>
              <w:jc w:val="both"/>
              <w:rPr/>
            </w:pPr>
            <w:r>
              <w:rPr/>
              <w:t xml:space="preserve">• </w:t>
            </w:r>
          </w:p>
        </w:tc>
        <w:tc>
          <w:tcPr>
            <w:tcW w:w="9853"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We do not have direct control of third parties performing preclinical and clinical trials. If such third parties do not perform as contractually required or expected, we may not be able to obtain regulatory approval for or commercialize our products.</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36"/>
        <w:gridCol w:w="9845"/>
      </w:tblGrid>
      <w:tr>
        <w:trPr/>
        <w:tc>
          <w:tcPr>
            <w:tcW w:w="12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lineRule="auto" w:line="300" w:before="0" w:after="0"/>
              <w:jc w:val="both"/>
              <w:rPr/>
            </w:pPr>
            <w:r>
              <w:rPr/>
              <w:t xml:space="preserve">• </w:t>
            </w:r>
          </w:p>
        </w:tc>
        <w:tc>
          <w:tcPr>
            <w:tcW w:w="9845"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We have no manufacturing capabilities and depend on other parties for manufacturing operations. These manufacturers may fail to satisfy our requirements and applicable regulatory requirements.</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16"/>
        <w:gridCol w:w="9865"/>
      </w:tblGrid>
      <w:tr>
        <w:trPr/>
        <w:tc>
          <w:tcPr>
            <w:tcW w:w="12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lineRule="auto" w:line="300" w:before="0" w:after="0"/>
              <w:jc w:val="both"/>
              <w:rPr/>
            </w:pPr>
            <w:r>
              <w:rPr/>
              <w:t xml:space="preserve">• </w:t>
            </w:r>
          </w:p>
        </w:tc>
        <w:tc>
          <w:tcPr>
            <w:tcW w:w="9865"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Our issuance of additional shares of Common Stock or convertible securities could make it difficult for another company to acquire us, may dilute your ownership of us and could adversely affect our stock price. Future sales, or the perception of sales, of our Common Stock by us or our existing stockholders could cause the market price for our Common Stock to decline.</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34"/>
        <w:gridCol w:w="9847"/>
      </w:tblGrid>
      <w:tr>
        <w:trPr/>
        <w:tc>
          <w:tcPr>
            <w:tcW w:w="12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lineRule="auto" w:line="300" w:before="0" w:after="0"/>
              <w:jc w:val="both"/>
              <w:rPr/>
            </w:pPr>
            <w:r>
              <w:rPr/>
              <w:t xml:space="preserve">• </w:t>
            </w:r>
          </w:p>
        </w:tc>
        <w:tc>
          <w:tcPr>
            <w:tcW w:w="9847"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We qualify as a “smaller reporting company” within the meaning of the Securities Act, which could make our securities less attractive to investors and may make it more difficult to evaluate our performance.</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lineRule="auto" w:line="300" w:before="0" w:after="0"/>
              <w:jc w:val="both"/>
              <w:rPr/>
            </w:pPr>
            <w:r>
              <w:rPr/>
              <w:t xml:space="preserve">• </w:t>
            </w:r>
          </w:p>
        </w:tc>
        <w:tc>
          <w:tcPr>
            <w:tcW w:w="9855"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Anti-takeover provisions in our governing documents and under Delaware law could make an acquisition of us more difficult, limit attempts by our stockholders to replace or remove our current management and limit the market price of our Common Stock.</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21"/>
        <w:gridCol w:w="9860"/>
      </w:tblGrid>
      <w:tr>
        <w:trPr/>
        <w:tc>
          <w:tcPr>
            <w:tcW w:w="12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lineRule="auto" w:line="300" w:before="0" w:after="0"/>
              <w:jc w:val="both"/>
              <w:rPr/>
            </w:pPr>
            <w:r>
              <w:rPr/>
              <w:t xml:space="preserve">• </w:t>
            </w:r>
          </w:p>
        </w:tc>
        <w:tc>
          <w:tcPr>
            <w:tcW w:w="9860"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Certain of our stockholders have effective control of NRx, and their interests may conflict with NRx’s or yours in the future. We are no longer a “controlled company” under the corporate governance rules of Nasdaq. However, we continue to rely on certain exceptions from corporate governance standards.</w:t>
            </w:r>
          </w:p>
        </w:tc>
      </w:tr>
    </w:tbl>
    <w:p>
      <w:pPr>
        <w:pStyle w:val="TextBody"/>
        <w:pBdr/>
        <w:spacing w:lineRule="auto" w:line="300" w:before="0" w:after="0"/>
        <w:ind w:left="667" w:right="0" w:hanging="438"/>
        <w:jc w:val="both"/>
        <w:rPr/>
      </w:pPr>
      <w:r>
        <w:rPr/>
        <w:t>​</w:t>
      </w:r>
    </w:p>
    <w:tbl>
      <w:tblPr>
        <w:tblW w:w="10205" w:type="dxa"/>
        <w:jc w:val="left"/>
        <w:tblInd w:w="0" w:type="dxa"/>
        <w:tblCellMar>
          <w:top w:w="0" w:type="dxa"/>
          <w:left w:w="0" w:type="dxa"/>
          <w:bottom w:w="0" w:type="dxa"/>
          <w:right w:w="0" w:type="dxa"/>
        </w:tblCellMar>
      </w:tblPr>
      <w:tblGrid>
        <w:gridCol w:w="124"/>
        <w:gridCol w:w="232"/>
        <w:gridCol w:w="9849"/>
      </w:tblGrid>
      <w:tr>
        <w:trPr/>
        <w:tc>
          <w:tcPr>
            <w:tcW w:w="1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lineRule="auto" w:line="300" w:before="0" w:after="0"/>
              <w:jc w:val="both"/>
              <w:rPr/>
            </w:pPr>
            <w:r>
              <w:rPr/>
              <w:t xml:space="preserve">• </w:t>
            </w:r>
          </w:p>
        </w:tc>
        <w:tc>
          <w:tcPr>
            <w:tcW w:w="9849" w:type="dxa"/>
            <w:tcBorders/>
            <w:shd w:fill="auto" w:val="clear"/>
            <w:vAlign w:val="center"/>
          </w:tcPr>
          <w:p>
            <w:pPr>
              <w:pStyle w:val="TableContents"/>
              <w:spacing w:lineRule="auto" w:line="300" w:before="0" w:after="0"/>
              <w:jc w:val="both"/>
              <w:rPr>
                <w:rFonts w:ascii="Times New Roman;Times;serif" w:hAnsi="Times New Roman;Times;serif"/>
                <w:sz w:val="18"/>
              </w:rPr>
            </w:pPr>
            <w:r>
              <w:rPr>
                <w:rFonts w:ascii="Times New Roman;Times;serif" w:hAnsi="Times New Roman;Times;serif"/>
                <w:sz w:val="18"/>
              </w:rPr>
              <w:t>If we fail to meet the applicable continued listing requirements of NASDAQ Global Market, NASDAQ may delist our common stock, in which case the liquidity and market price of our common stock could decline.</w:t>
            </w:r>
          </w:p>
        </w:tc>
      </w:tr>
    </w:tbl>
    <w:p>
      <w:pPr>
        <w:pStyle w:val="TextBody"/>
        <w:pBdr/>
        <w:spacing w:lineRule="auto" w:line="300" w:before="0" w:after="0"/>
        <w:ind w:left="667" w:right="0" w:hanging="438"/>
        <w:jc w:val="both"/>
        <w:rPr/>
      </w:pPr>
      <w:r>
        <w:rPr/>
        <w:t>​</w:t>
      </w:r>
    </w:p>
    <w:p>
      <w:pPr>
        <w:pStyle w:val="TextBody"/>
        <w:pBdr/>
        <w:spacing w:lineRule="auto" w:line="300" w:before="0" w:after="0"/>
        <w:ind w:left="667" w:right="0" w:hanging="0"/>
        <w:jc w:val="left"/>
        <w:rPr/>
      </w:pPr>
      <w:r>
        <w:rPr>
          <w:caps w:val="false"/>
          <w:smallCaps w:val="false"/>
        </w:rPr>
        <w:t xml:space="preserve">• </w:t>
      </w:r>
      <w:r>
        <w:rPr>
          <w:rFonts w:ascii="Times New Roman;Times;serif" w:hAnsi="Times New Roman;Times;serif"/>
          <w:sz w:val="18"/>
        </w:rPr>
        <w:t>We do not intend to pay dividends on our Common Stock for the foreseeable future.</w:t>
      </w:r>
    </w:p>
    <w:p>
      <w:pPr>
        <w:pStyle w:val="TextBody"/>
        <w:spacing w:before="0" w:after="0"/>
        <w:ind w:left="0" w:right="0" w:hanging="0"/>
        <w:rPr>
          <w:color w:val="231F20"/>
          <w:spacing w:val="-3"/>
        </w:rPr>
      </w:pPr>
      <w:r>
        <w:rPr>
          <w:color w:val="231F20"/>
          <w:spacing w:val="-3"/>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Risks Related to an Early-Stage Company</w:t>
      </w:r>
    </w:p>
    <w:p>
      <w:pPr>
        <w:pStyle w:val="TextBody"/>
        <w:spacing w:before="162" w:after="240"/>
        <w:ind w:left="0" w:right="0" w:hanging="0"/>
        <w:rPr>
          <w:rFonts w:ascii="Times New Roman;Times;serif" w:hAnsi="Times New Roman;Times;serif"/>
          <w:b/>
          <w:i/>
          <w:color w:val="231F20"/>
          <w:sz w:val="20"/>
        </w:rPr>
      </w:pPr>
      <w:r>
        <w:rPr>
          <w:rFonts w:ascii="Times New Roman;Times;serif" w:hAnsi="Times New Roman;Times;serif"/>
          <w:b/>
          <w:i/>
          <w:color w:val="231F20"/>
          <w:sz w:val="20"/>
        </w:rPr>
        <w:t>We are an early-stage company with a history of losses. We have not been profitable historically and may not achieve or maintain profitability in the future.</w:t>
      </w:r>
    </w:p>
    <w:p>
      <w:pPr>
        <w:pStyle w:val="TextBody"/>
        <w:spacing w:before="12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experienced net losses in each year since inception, including net losses of $93.1 million and $39.8 million for the years ended, December 31, 2021, and 2022, respectively. We believe we will continue to incur operating losses and negative cash flow in the near-term as we continue to invest significantly in our business, in particular across our research and development efforts, clinical trial programs and future sales and marketing efforts.</w:t>
      </w:r>
    </w:p>
    <w:p>
      <w:pPr>
        <w:pStyle w:val="TextBody"/>
        <w:spacing w:before="122" w:after="240"/>
        <w:ind w:left="0" w:right="0" w:firstLine="399"/>
        <w:jc w:val="both"/>
        <w:rPr>
          <w:rFonts w:ascii="Times New Roman;Times;serif" w:hAnsi="Times New Roman;Times;serif"/>
          <w:sz w:val="20"/>
        </w:rPr>
      </w:pPr>
      <w:r>
        <w:rPr>
          <w:rFonts w:ascii="Times New Roman;Times;serif" w:hAnsi="Times New Roman;Times;serif"/>
          <w:color w:val="231F20"/>
          <w:sz w:val="20"/>
        </w:rPr>
        <w:t>These</w:t>
      </w:r>
      <w:r>
        <w:rPr>
          <w:rFonts w:ascii="Times New Roman;Times;serif" w:hAnsi="Times New Roman;Times;serif"/>
          <w:color w:val="231F20"/>
          <w:spacing w:val="-7"/>
          <w:sz w:val="20"/>
        </w:rPr>
        <w:t xml:space="preserve"> </w:t>
      </w:r>
      <w:r>
        <w:rPr>
          <w:rFonts w:ascii="Times New Roman;Times;serif" w:hAnsi="Times New Roman;Times;serif"/>
          <w:color w:val="231F20"/>
          <w:sz w:val="20"/>
        </w:rPr>
        <w:t>investments</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7"/>
          <w:sz w:val="20"/>
        </w:rPr>
        <w:t xml:space="preserve"> </w:t>
      </w:r>
      <w:r>
        <w:rPr>
          <w:rFonts w:ascii="Times New Roman;Times;serif" w:hAnsi="Times New Roman;Times;serif"/>
          <w:color w:val="231F20"/>
          <w:sz w:val="20"/>
        </w:rPr>
        <w:t>not</w:t>
      </w:r>
      <w:r>
        <w:rPr>
          <w:rFonts w:ascii="Times New Roman;Times;serif" w:hAnsi="Times New Roman;Times;serif"/>
          <w:color w:val="231F20"/>
          <w:spacing w:val="-7"/>
          <w:sz w:val="20"/>
        </w:rPr>
        <w:t xml:space="preserve"> </w:t>
      </w:r>
      <w:r>
        <w:rPr>
          <w:rFonts w:ascii="Times New Roman;Times;serif" w:hAnsi="Times New Roman;Times;serif"/>
          <w:color w:val="231F20"/>
          <w:sz w:val="20"/>
        </w:rPr>
        <w:t>result</w:t>
      </w:r>
      <w:r>
        <w:rPr>
          <w:rFonts w:ascii="Times New Roman;Times;serif" w:hAnsi="Times New Roman;Times;serif"/>
          <w:color w:val="231F20"/>
          <w:spacing w:val="-6"/>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revenue</w:t>
      </w:r>
      <w:r>
        <w:rPr>
          <w:rFonts w:ascii="Times New Roman;Times;serif" w:hAnsi="Times New Roman;Times;serif"/>
          <w:color w:val="231F20"/>
          <w:spacing w:val="-7"/>
          <w:sz w:val="20"/>
        </w:rPr>
        <w:t xml:space="preserve"> </w:t>
      </w:r>
      <w:r>
        <w:rPr>
          <w:rFonts w:ascii="Times New Roman;Times;serif" w:hAnsi="Times New Roman;Times;serif"/>
          <w:color w:val="231F20"/>
          <w:sz w:val="20"/>
        </w:rPr>
        <w:t>or</w:t>
      </w:r>
      <w:r>
        <w:rPr>
          <w:rFonts w:ascii="Times New Roman;Times;serif" w:hAnsi="Times New Roman;Times;serif"/>
          <w:color w:val="231F20"/>
          <w:spacing w:val="-6"/>
          <w:sz w:val="20"/>
        </w:rPr>
        <w:t xml:space="preserve"> </w:t>
      </w:r>
      <w:r>
        <w:rPr>
          <w:rFonts w:ascii="Times New Roman;Times;serif" w:hAnsi="Times New Roman;Times;serif"/>
          <w:color w:val="231F20"/>
          <w:spacing w:val="-3"/>
          <w:sz w:val="20"/>
        </w:rPr>
        <w:t>growth</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7"/>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6"/>
          <w:sz w:val="20"/>
        </w:rPr>
        <w:t xml:space="preserve"> </w:t>
      </w:r>
      <w:r>
        <w:rPr>
          <w:rFonts w:ascii="Times New Roman;Times;serif" w:hAnsi="Times New Roman;Times;serif"/>
          <w:color w:val="231F20"/>
          <w:sz w:val="20"/>
        </w:rPr>
        <w:t>addition,</w:t>
      </w:r>
      <w:r>
        <w:rPr>
          <w:rFonts w:ascii="Times New Roman;Times;serif" w:hAnsi="Times New Roman;Times;serif"/>
          <w:color w:val="231F20"/>
          <w:spacing w:val="-7"/>
          <w:sz w:val="20"/>
        </w:rPr>
        <w:t xml:space="preserve"> </w:t>
      </w:r>
      <w:r>
        <w:rPr>
          <w:rFonts w:ascii="Times New Roman;Times;serif" w:hAnsi="Times New Roman;Times;serif"/>
          <w:color w:val="231F20"/>
          <w:sz w:val="20"/>
        </w:rPr>
        <w:t>as</w:t>
      </w:r>
      <w:r>
        <w:rPr>
          <w:rFonts w:ascii="Times New Roman;Times;serif" w:hAnsi="Times New Roman;Times;serif"/>
          <w:color w:val="231F20"/>
          <w:spacing w:val="-7"/>
          <w:sz w:val="20"/>
        </w:rPr>
        <w:t xml:space="preserve"> </w:t>
      </w:r>
      <w:r>
        <w:rPr>
          <w:rFonts w:ascii="Times New Roman;Times;serif" w:hAnsi="Times New Roman;Times;serif"/>
          <w:color w:val="231F20"/>
          <w:sz w:val="20"/>
        </w:rPr>
        <w:t>a</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 xml:space="preserve">newly- </w:t>
      </w:r>
      <w:r>
        <w:rPr>
          <w:rFonts w:ascii="Times New Roman;Times;serif" w:hAnsi="Times New Roman;Times;serif"/>
          <w:color w:val="231F20"/>
          <w:sz w:val="20"/>
        </w:rPr>
        <w:t xml:space="preserve">public </w:t>
      </w:r>
      <w:r>
        <w:rPr>
          <w:rFonts w:ascii="Times New Roman;Times;serif" w:hAnsi="Times New Roman;Times;serif"/>
          <w:color w:val="231F20"/>
          <w:spacing w:val="-4"/>
          <w:sz w:val="20"/>
        </w:rPr>
        <w:t xml:space="preserve">company, </w:t>
      </w:r>
      <w:r>
        <w:rPr>
          <w:rFonts w:ascii="Times New Roman;Times;serif" w:hAnsi="Times New Roman;Times;serif"/>
          <w:color w:val="231F20"/>
          <w:sz w:val="20"/>
        </w:rPr>
        <w:t xml:space="preserve">we incur significant additional legal, accounting and other expenses that we did not incur as a private </w:t>
      </w:r>
      <w:r>
        <w:rPr>
          <w:rFonts w:ascii="Times New Roman;Times;serif" w:hAnsi="Times New Roman;Times;serif"/>
          <w:color w:val="231F20"/>
          <w:spacing w:val="-4"/>
          <w:sz w:val="20"/>
        </w:rPr>
        <w:t xml:space="preserve">company. </w:t>
      </w:r>
      <w:r>
        <w:rPr>
          <w:rFonts w:ascii="Times New Roman;Times;serif" w:hAnsi="Times New Roman;Times;serif"/>
          <w:color w:val="231F20"/>
          <w:sz w:val="20"/>
        </w:rPr>
        <w:t xml:space="preserve">These increased expenditures </w:t>
      </w:r>
      <w:r>
        <w:rPr>
          <w:rFonts w:ascii="Times New Roman;Times;serif" w:hAnsi="Times New Roman;Times;serif"/>
          <w:color w:val="231F20"/>
          <w:spacing w:val="-3"/>
          <w:sz w:val="20"/>
        </w:rPr>
        <w:t xml:space="preserve">may </w:t>
      </w:r>
      <w:r>
        <w:rPr>
          <w:rFonts w:ascii="Times New Roman;Times;serif" w:hAnsi="Times New Roman;Times;serif"/>
          <w:color w:val="231F20"/>
          <w:spacing w:val="-4"/>
          <w:sz w:val="20"/>
        </w:rPr>
        <w:t xml:space="preserve">make </w:t>
      </w:r>
      <w:r>
        <w:rPr>
          <w:rFonts w:ascii="Times New Roman;Times;serif" w:hAnsi="Times New Roman;Times;serif"/>
          <w:color w:val="231F20"/>
          <w:sz w:val="20"/>
        </w:rPr>
        <w:t xml:space="preserve">it harder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us to achieve and maintain future </w:t>
      </w:r>
      <w:r>
        <w:rPr>
          <w:rFonts w:ascii="Times New Roman;Times;serif" w:hAnsi="Times New Roman;Times;serif"/>
          <w:color w:val="231F20"/>
          <w:spacing w:val="-3"/>
          <w:sz w:val="20"/>
        </w:rPr>
        <w:t xml:space="preserve">profitability. </w:t>
      </w:r>
      <w:r>
        <w:rPr>
          <w:rFonts w:ascii="Times New Roman;Times;serif" w:hAnsi="Times New Roman;Times;serif"/>
          <w:color w:val="231F20"/>
          <w:sz w:val="20"/>
        </w:rPr>
        <w:t xml:space="preserve">Until we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a product candidate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 xml:space="preserve">by the </w:t>
      </w:r>
      <w:r>
        <w:rPr>
          <w:rFonts w:ascii="Times New Roman;Times;serif" w:hAnsi="Times New Roman;Times;serif"/>
          <w:color w:val="231F20"/>
          <w:spacing w:val="-3"/>
          <w:sz w:val="20"/>
        </w:rPr>
        <w:t xml:space="preserve">FDA, </w:t>
      </w:r>
      <w:r>
        <w:rPr>
          <w:rFonts w:ascii="Times New Roman;Times;serif" w:hAnsi="Times New Roman;Times;serif"/>
          <w:color w:val="231F20"/>
          <w:sz w:val="20"/>
        </w:rPr>
        <w:t xml:space="preserve">which could </w:t>
      </w:r>
      <w:r>
        <w:rPr>
          <w:rFonts w:ascii="Times New Roman;Times;serif" w:hAnsi="Times New Roman;Times;serif"/>
          <w:color w:val="231F20"/>
          <w:spacing w:val="-4"/>
          <w:sz w:val="20"/>
        </w:rPr>
        <w:t xml:space="preserve">take </w:t>
      </w:r>
      <w:r>
        <w:rPr>
          <w:rFonts w:ascii="Times New Roman;Times;serif" w:hAnsi="Times New Roman;Times;serif"/>
          <w:color w:val="231F20"/>
          <w:spacing w:val="-3"/>
          <w:sz w:val="20"/>
        </w:rPr>
        <w:t xml:space="preserve">several </w:t>
      </w:r>
      <w:r>
        <w:rPr>
          <w:rFonts w:ascii="Times New Roman;Times;serif" w:hAnsi="Times New Roman;Times;serif"/>
          <w:color w:val="231F20"/>
          <w:sz w:val="20"/>
        </w:rPr>
        <w:t xml:space="preserve">years, </w:t>
      </w:r>
      <w:r>
        <w:rPr>
          <w:rFonts w:ascii="Times New Roman;Times;serif" w:hAnsi="Times New Roman;Times;serif"/>
          <w:color w:val="231F20"/>
          <w:spacing w:val="-3"/>
          <w:sz w:val="20"/>
        </w:rPr>
        <w:t>revenue</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growth</w:t>
      </w:r>
      <w:r>
        <w:rPr>
          <w:rFonts w:ascii="Times New Roman;Times;serif" w:hAnsi="Times New Roman;Times;serif"/>
          <w:color w:val="231F20"/>
          <w:spacing w:val="-8"/>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9"/>
          <w:sz w:val="20"/>
        </w:rPr>
        <w:t xml:space="preserve"> </w:t>
      </w:r>
      <w:r>
        <w:rPr>
          <w:rFonts w:ascii="Times New Roman;Times;serif" w:hAnsi="Times New Roman;Times;serif"/>
          <w:color w:val="231F20"/>
          <w:sz w:val="20"/>
        </w:rPr>
        <w:t>not</w:t>
      </w:r>
      <w:r>
        <w:rPr>
          <w:rFonts w:ascii="Times New Roman;Times;serif" w:hAnsi="Times New Roman;Times;serif"/>
          <w:color w:val="231F20"/>
          <w:spacing w:val="-8"/>
          <w:sz w:val="20"/>
        </w:rPr>
        <w:t xml:space="preserve"> </w:t>
      </w:r>
      <w:r>
        <w:rPr>
          <w:rFonts w:ascii="Times New Roman;Times;serif" w:hAnsi="Times New Roman;Times;serif"/>
          <w:color w:val="231F20"/>
          <w:sz w:val="20"/>
        </w:rPr>
        <w:t>be</w:t>
      </w:r>
      <w:r>
        <w:rPr>
          <w:rFonts w:ascii="Times New Roman;Times;serif" w:hAnsi="Times New Roman;Times;serif"/>
          <w:color w:val="231F20"/>
          <w:spacing w:val="-8"/>
          <w:sz w:val="20"/>
        </w:rPr>
        <w:t xml:space="preserve"> </w:t>
      </w:r>
      <w:r>
        <w:rPr>
          <w:rFonts w:ascii="Times New Roman;Times;serif" w:hAnsi="Times New Roman;Times;serif"/>
          <w:color w:val="231F20"/>
          <w:sz w:val="20"/>
        </w:rPr>
        <w:t>possible,</w:t>
      </w:r>
      <w:r>
        <w:rPr>
          <w:rFonts w:ascii="Times New Roman;Times;serif" w:hAnsi="Times New Roman;Times;serif"/>
          <w:color w:val="231F20"/>
          <w:spacing w:val="-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we</w:t>
      </w:r>
      <w:r>
        <w:rPr>
          <w:rFonts w:ascii="Times New Roman;Times;serif" w:hAnsi="Times New Roman;Times;serif"/>
          <w:color w:val="231F20"/>
          <w:spacing w:val="-9"/>
          <w:sz w:val="20"/>
        </w:rPr>
        <w:t xml:space="preserve"> </w:t>
      </w:r>
      <w:r>
        <w:rPr>
          <w:rFonts w:ascii="Times New Roman;Times;serif" w:hAnsi="Times New Roman;Times;serif"/>
          <w:color w:val="231F20"/>
          <w:sz w:val="20"/>
        </w:rPr>
        <w:t>are</w:t>
      </w:r>
      <w:r>
        <w:rPr>
          <w:rFonts w:ascii="Times New Roman;Times;serif" w:hAnsi="Times New Roman;Times;serif"/>
          <w:color w:val="231F20"/>
          <w:spacing w:val="-8"/>
          <w:sz w:val="20"/>
        </w:rPr>
        <w:t xml:space="preserve"> </w:t>
      </w:r>
      <w:r>
        <w:rPr>
          <w:rFonts w:ascii="Times New Roman;Times;serif" w:hAnsi="Times New Roman;Times;serif"/>
          <w:color w:val="231F20"/>
          <w:sz w:val="20"/>
        </w:rPr>
        <w:t>unlikely</w:t>
      </w:r>
      <w:r>
        <w:rPr>
          <w:rFonts w:ascii="Times New Roman;Times;serif" w:hAnsi="Times New Roman;Times;serif"/>
          <w:color w:val="231F20"/>
          <w:spacing w:val="-8"/>
          <w:sz w:val="20"/>
        </w:rPr>
        <w:t xml:space="preserve"> </w:t>
      </w:r>
      <w:r>
        <w:rPr>
          <w:rFonts w:ascii="Times New Roman;Times;serif" w:hAnsi="Times New Roman;Times;serif"/>
          <w:color w:val="231F20"/>
          <w:sz w:val="20"/>
        </w:rPr>
        <w:t>to</w:t>
      </w:r>
      <w:r>
        <w:rPr>
          <w:rFonts w:ascii="Times New Roman;Times;serif" w:hAnsi="Times New Roman;Times;serif"/>
          <w:color w:val="231F20"/>
          <w:spacing w:val="-9"/>
          <w:sz w:val="20"/>
        </w:rPr>
        <w:t xml:space="preserve"> </w:t>
      </w:r>
      <w:r>
        <w:rPr>
          <w:rFonts w:ascii="Times New Roman;Times;serif" w:hAnsi="Times New Roman;Times;serif"/>
          <w:color w:val="231F20"/>
          <w:sz w:val="20"/>
        </w:rPr>
        <w:t>achieve</w:t>
      </w:r>
      <w:r>
        <w:rPr>
          <w:rFonts w:ascii="Times New Roman;Times;serif" w:hAnsi="Times New Roman;Times;serif"/>
          <w:color w:val="231F20"/>
          <w:spacing w:val="-8"/>
          <w:sz w:val="20"/>
        </w:rPr>
        <w:t xml:space="preserve"> </w:t>
      </w:r>
      <w:r>
        <w:rPr>
          <w:rFonts w:ascii="Times New Roman;Times;serif" w:hAnsi="Times New Roman;Times;serif"/>
          <w:color w:val="231F20"/>
          <w:sz w:val="20"/>
        </w:rPr>
        <w:t>or</w:t>
      </w:r>
      <w:r>
        <w:rPr>
          <w:rFonts w:ascii="Times New Roman;Times;serif" w:hAnsi="Times New Roman;Times;serif"/>
          <w:color w:val="231F20"/>
          <w:spacing w:val="-8"/>
          <w:sz w:val="20"/>
        </w:rPr>
        <w:t xml:space="preserve"> </w:t>
      </w:r>
      <w:r>
        <w:rPr>
          <w:rFonts w:ascii="Times New Roman;Times;serif" w:hAnsi="Times New Roman;Times;serif"/>
          <w:color w:val="231F20"/>
          <w:sz w:val="20"/>
        </w:rPr>
        <w:t>maintain</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profitability.</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Further,</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there</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can be no assurance that the products under development by us will be </w:t>
      </w:r>
      <w:r>
        <w:rPr>
          <w:rFonts w:ascii="Times New Roman;Times;serif" w:hAnsi="Times New Roman;Times;serif"/>
          <w:color w:val="231F20"/>
          <w:spacing w:val="-3"/>
          <w:sz w:val="20"/>
        </w:rPr>
        <w:t xml:space="preserve">approved for </w:t>
      </w:r>
      <w:r>
        <w:rPr>
          <w:rFonts w:ascii="Times New Roman;Times;serif" w:hAnsi="Times New Roman;Times;serif"/>
          <w:color w:val="231F20"/>
          <w:sz w:val="20"/>
        </w:rPr>
        <w:t xml:space="preserve">sales in the </w:t>
      </w:r>
      <w:r>
        <w:rPr>
          <w:rFonts w:ascii="Times New Roman;Times;serif" w:hAnsi="Times New Roman;Times;serif"/>
          <w:color w:val="231F20"/>
          <w:spacing w:val="-7"/>
          <w:sz w:val="20"/>
        </w:rPr>
        <w:t xml:space="preserve">U.S. </w:t>
      </w:r>
      <w:r>
        <w:rPr>
          <w:rFonts w:ascii="Times New Roman;Times;serif" w:hAnsi="Times New Roman;Times;serif"/>
          <w:color w:val="231F20"/>
          <w:sz w:val="20"/>
        </w:rPr>
        <w:t xml:space="preserve">or </w:t>
      </w:r>
      <w:r>
        <w:rPr>
          <w:rFonts w:ascii="Times New Roman;Times;serif" w:hAnsi="Times New Roman;Times;serif"/>
          <w:color w:val="231F20"/>
          <w:spacing w:val="-3"/>
          <w:sz w:val="20"/>
        </w:rPr>
        <w:t>elsewhere.</w:t>
      </w:r>
    </w:p>
    <w:p>
      <w:pPr>
        <w:pStyle w:val="TextBody"/>
        <w:spacing w:before="121"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We expect a substantial portion of our revenue going forward to be generated from the sale and distribution of our product candidates, but until one of our product candidates is approved for sale, it is difficult for us to predict our future operating results. Even if we succeed in developing and commercializing one or more of our product candidates, we expect to incur substantial net losses and negative cash flows </w:t>
      </w:r>
      <w:r>
        <w:rPr>
          <w:rFonts w:ascii="Times New Roman;Times;serif" w:hAnsi="Times New Roman;Times;serif"/>
          <w:color w:val="231F20"/>
          <w:spacing w:val="-3"/>
          <w:sz w:val="20"/>
        </w:rPr>
        <w:t>for</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foreseeable</w:t>
      </w:r>
      <w:r>
        <w:rPr>
          <w:rFonts w:ascii="Times New Roman;Times;serif" w:hAnsi="Times New Roman;Times;serif"/>
          <w:color w:val="231F20"/>
          <w:spacing w:val="-13"/>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13"/>
          <w:sz w:val="20"/>
        </w:rPr>
        <w:t xml:space="preserve"> </w:t>
      </w:r>
      <w:r>
        <w:rPr>
          <w:rFonts w:ascii="Times New Roman;Times;serif" w:hAnsi="Times New Roman;Times;serif"/>
          <w:color w:val="231F20"/>
          <w:sz w:val="20"/>
        </w:rPr>
        <w:t>due</w:t>
      </w:r>
      <w:r>
        <w:rPr>
          <w:rFonts w:ascii="Times New Roman;Times;serif" w:hAnsi="Times New Roman;Times;serif"/>
          <w:color w:val="231F20"/>
          <w:spacing w:val="-13"/>
          <w:sz w:val="20"/>
        </w:rPr>
        <w:t xml:space="preserve"> </w:t>
      </w:r>
      <w:r>
        <w:rPr>
          <w:rFonts w:ascii="Times New Roman;Times;serif" w:hAnsi="Times New Roman;Times;serif"/>
          <w:color w:val="231F20"/>
          <w:sz w:val="20"/>
        </w:rPr>
        <w:t>in</w:t>
      </w:r>
      <w:r>
        <w:rPr>
          <w:rFonts w:ascii="Times New Roman;Times;serif" w:hAnsi="Times New Roman;Times;serif"/>
          <w:color w:val="231F20"/>
          <w:spacing w:val="-13"/>
          <w:sz w:val="20"/>
        </w:rPr>
        <w:t xml:space="preserve"> </w:t>
      </w:r>
      <w:r>
        <w:rPr>
          <w:rFonts w:ascii="Times New Roman;Times;serif" w:hAnsi="Times New Roman;Times;serif"/>
          <w:color w:val="231F20"/>
          <w:sz w:val="20"/>
        </w:rPr>
        <w:t>part</w:t>
      </w:r>
      <w:r>
        <w:rPr>
          <w:rFonts w:ascii="Times New Roman;Times;serif" w:hAnsi="Times New Roman;Times;serif"/>
          <w:color w:val="231F20"/>
          <w:spacing w:val="-13"/>
          <w:sz w:val="20"/>
        </w:rPr>
        <w:t xml:space="preserve"> </w:t>
      </w:r>
      <w:r>
        <w:rPr>
          <w:rFonts w:ascii="Times New Roman;Times;serif" w:hAnsi="Times New Roman;Times;serif"/>
          <w:color w:val="231F20"/>
          <w:sz w:val="20"/>
        </w:rPr>
        <w:t>to</w:t>
      </w:r>
      <w:r>
        <w:rPr>
          <w:rFonts w:ascii="Times New Roman;Times;serif" w:hAnsi="Times New Roman;Times;serif"/>
          <w:color w:val="231F20"/>
          <w:spacing w:val="-14"/>
          <w:sz w:val="20"/>
        </w:rPr>
        <w:t xml:space="preserve"> </w:t>
      </w:r>
      <w:r>
        <w:rPr>
          <w:rFonts w:ascii="Times New Roman;Times;serif" w:hAnsi="Times New Roman;Times;serif"/>
          <w:color w:val="231F20"/>
          <w:sz w:val="20"/>
        </w:rPr>
        <w:t>increasing</w:t>
      </w:r>
      <w:r>
        <w:rPr>
          <w:rFonts w:ascii="Times New Roman;Times;serif" w:hAnsi="Times New Roman;Times;serif"/>
          <w:color w:val="231F20"/>
          <w:spacing w:val="-13"/>
          <w:sz w:val="20"/>
        </w:rPr>
        <w:t xml:space="preserve"> </w:t>
      </w:r>
      <w:r>
        <w:rPr>
          <w:rFonts w:ascii="Times New Roman;Times;serif" w:hAnsi="Times New Roman;Times;serif"/>
          <w:color w:val="231F20"/>
          <w:sz w:val="20"/>
        </w:rPr>
        <w:t>research</w:t>
      </w:r>
      <w:r>
        <w:rPr>
          <w:rFonts w:ascii="Times New Roman;Times;serif" w:hAnsi="Times New Roman;Times;serif"/>
          <w:color w:val="231F20"/>
          <w:spacing w:val="-1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3"/>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13"/>
          <w:sz w:val="20"/>
        </w:rPr>
        <w:t xml:space="preserve"> </w:t>
      </w:r>
      <w:r>
        <w:rPr>
          <w:rFonts w:ascii="Times New Roman;Times;serif" w:hAnsi="Times New Roman;Times;serif"/>
          <w:color w:val="231F20"/>
          <w:sz w:val="20"/>
        </w:rPr>
        <w:t>expenses,</w:t>
      </w:r>
      <w:r>
        <w:rPr>
          <w:rFonts w:ascii="Times New Roman;Times;serif" w:hAnsi="Times New Roman;Times;serif"/>
          <w:color w:val="231F20"/>
          <w:spacing w:val="-13"/>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13"/>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 xml:space="preserve">trials, </w:t>
      </w:r>
      <w:r>
        <w:rPr>
          <w:rFonts w:ascii="Times New Roman;Times;serif" w:hAnsi="Times New Roman;Times;serif"/>
          <w:color w:val="231F20"/>
          <w:sz w:val="20"/>
        </w:rPr>
        <w:t xml:space="preserve">and increasing expenses from leasing additional facilities and hiring additional personnel. As a result, we will need to generate significant </w:t>
      </w:r>
      <w:r>
        <w:rPr>
          <w:rFonts w:ascii="Times New Roman;Times;serif" w:hAnsi="Times New Roman;Times;serif"/>
          <w:color w:val="231F20"/>
          <w:spacing w:val="-3"/>
          <w:sz w:val="20"/>
        </w:rPr>
        <w:t xml:space="preserve">revenues </w:t>
      </w:r>
      <w:r>
        <w:rPr>
          <w:rFonts w:ascii="Times New Roman;Times;serif" w:hAnsi="Times New Roman;Times;serif"/>
          <w:color w:val="231F20"/>
          <w:sz w:val="20"/>
        </w:rPr>
        <w:t xml:space="preserve">in order to achieve and maintain </w:t>
      </w:r>
      <w:r>
        <w:rPr>
          <w:rFonts w:ascii="Times New Roman;Times;serif" w:hAnsi="Times New Roman;Times;serif"/>
          <w:color w:val="231F20"/>
          <w:spacing w:val="-3"/>
          <w:sz w:val="20"/>
        </w:rPr>
        <w:t xml:space="preserve">profitability.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generate these </w:t>
      </w:r>
      <w:r>
        <w:rPr>
          <w:rFonts w:ascii="Times New Roman;Times;serif" w:hAnsi="Times New Roman;Times;serif"/>
          <w:color w:val="231F20"/>
          <w:spacing w:val="-3"/>
          <w:sz w:val="20"/>
        </w:rPr>
        <w:t xml:space="preserve">revenues </w:t>
      </w:r>
      <w:r>
        <w:rPr>
          <w:rFonts w:ascii="Times New Roman;Times;serif" w:hAnsi="Times New Roman;Times;serif"/>
          <w:color w:val="231F20"/>
          <w:sz w:val="20"/>
        </w:rPr>
        <w:t xml:space="preserve">or achieve profitability in the </w:t>
      </w:r>
      <w:r>
        <w:rPr>
          <w:rFonts w:ascii="Times New Roman;Times;serif" w:hAnsi="Times New Roman;Times;serif"/>
          <w:color w:val="231F20"/>
          <w:spacing w:val="-3"/>
          <w:sz w:val="20"/>
        </w:rPr>
        <w:t xml:space="preserve">future. </w:t>
      </w:r>
      <w:r>
        <w:rPr>
          <w:rFonts w:ascii="Times New Roman;Times;serif" w:hAnsi="Times New Roman;Times;serif"/>
          <w:color w:val="231F20"/>
          <w:sz w:val="20"/>
        </w:rPr>
        <w:t xml:space="preserve">Even if we do achieve </w:t>
      </w:r>
      <w:r>
        <w:rPr>
          <w:rFonts w:ascii="Times New Roman;Times;serif" w:hAnsi="Times New Roman;Times;serif"/>
          <w:color w:val="231F20"/>
          <w:spacing w:val="-3"/>
          <w:sz w:val="20"/>
        </w:rPr>
        <w:t>profitability,</w:t>
      </w:r>
      <w:r>
        <w:rPr>
          <w:rFonts w:ascii="Times New Roman;Times;serif" w:hAnsi="Times New Roman;Times;serif"/>
          <w:color w:val="231F20"/>
          <w:spacing w:val="-27"/>
          <w:sz w:val="20"/>
        </w:rPr>
        <w:t xml:space="preserve"> </w:t>
      </w:r>
      <w:r>
        <w:rPr>
          <w:rFonts w:ascii="Times New Roman;Times;serif" w:hAnsi="Times New Roman;Times;serif"/>
          <w:color w:val="231F20"/>
          <w:sz w:val="20"/>
        </w:rPr>
        <w:t>we may not be able to sustain or increase profitability.</w:t>
      </w:r>
    </w:p>
    <w:p>
      <w:pPr>
        <w:pStyle w:val="TextBody"/>
        <w:spacing w:before="120"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incur significant losses in the future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a number of reasons, and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encounter</w:t>
      </w:r>
      <w:r>
        <w:rPr>
          <w:rFonts w:ascii="Times New Roman;Times;serif" w:hAnsi="Times New Roman;Times;serif"/>
          <w:color w:val="231F20"/>
          <w:spacing w:val="-20"/>
          <w:sz w:val="20"/>
        </w:rPr>
        <w:t xml:space="preserve"> </w:t>
      </w:r>
      <w:r>
        <w:rPr>
          <w:rFonts w:ascii="Times New Roman;Times;serif" w:hAnsi="Times New Roman;Times;serif"/>
          <w:color w:val="231F20"/>
          <w:sz w:val="20"/>
        </w:rPr>
        <w:t xml:space="preserve">unforeseen expenses, difficulties, complications and delays and other unknown </w:t>
      </w:r>
      <w:r>
        <w:rPr>
          <w:rFonts w:ascii="Times New Roman;Times;serif" w:hAnsi="Times New Roman;Times;serif"/>
          <w:color w:val="231F20"/>
          <w:spacing w:val="-3"/>
          <w:sz w:val="20"/>
        </w:rPr>
        <w:t xml:space="preserve">events. </w:t>
      </w:r>
      <w:r>
        <w:rPr>
          <w:rFonts w:ascii="Times New Roman;Times;serif" w:hAnsi="Times New Roman;Times;serif"/>
          <w:color w:val="231F20"/>
          <w:sz w:val="20"/>
        </w:rPr>
        <w:t xml:space="preserve">As a result, our losses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larger than anticipated,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incur significant losses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w:t>
      </w:r>
      <w:r>
        <w:rPr>
          <w:rFonts w:ascii="Times New Roman;Times;serif" w:hAnsi="Times New Roman;Times;serif"/>
          <w:color w:val="231F20"/>
          <w:spacing w:val="-3"/>
          <w:sz w:val="20"/>
        </w:rPr>
        <w:t xml:space="preserve">foreseeable </w:t>
      </w:r>
      <w:r>
        <w:rPr>
          <w:rFonts w:ascii="Times New Roman;Times;serif" w:hAnsi="Times New Roman;Times;serif"/>
          <w:color w:val="231F20"/>
          <w:sz w:val="20"/>
        </w:rPr>
        <w:t xml:space="preserve">future, and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not achieve profitability</w:t>
      </w:r>
      <w:r>
        <w:rPr>
          <w:rFonts w:ascii="Times New Roman;Times;serif" w:hAnsi="Times New Roman;Times;serif"/>
          <w:color w:val="231F20"/>
          <w:spacing w:val="-15"/>
          <w:sz w:val="20"/>
        </w:rPr>
        <w:t xml:space="preserve"> </w:t>
      </w:r>
      <w:r>
        <w:rPr>
          <w:rFonts w:ascii="Times New Roman;Times;serif" w:hAnsi="Times New Roman;Times;serif"/>
          <w:color w:val="231F20"/>
          <w:sz w:val="20"/>
        </w:rPr>
        <w:t>when</w:t>
      </w:r>
      <w:r>
        <w:rPr>
          <w:rFonts w:ascii="Times New Roman;Times;serif" w:hAnsi="Times New Roman;Times;serif"/>
          <w:color w:val="231F20"/>
          <w:spacing w:val="-15"/>
          <w:sz w:val="20"/>
        </w:rPr>
        <w:t xml:space="preserve"> </w:t>
      </w:r>
      <w:r>
        <w:rPr>
          <w:rFonts w:ascii="Times New Roman;Times;serif" w:hAnsi="Times New Roman;Times;serif"/>
          <w:color w:val="231F20"/>
          <w:sz w:val="20"/>
        </w:rPr>
        <w:t>expected,</w:t>
      </w:r>
      <w:r>
        <w:rPr>
          <w:rFonts w:ascii="Times New Roman;Times;serif" w:hAnsi="Times New Roman;Times;serif"/>
          <w:color w:val="231F20"/>
          <w:spacing w:val="-15"/>
          <w:sz w:val="20"/>
        </w:rPr>
        <w:t xml:space="preserve"> </w:t>
      </w:r>
      <w:r>
        <w:rPr>
          <w:rFonts w:ascii="Times New Roman;Times;serif" w:hAnsi="Times New Roman;Times;serif"/>
          <w:color w:val="231F20"/>
          <w:sz w:val="20"/>
        </w:rPr>
        <w:t>or</w:t>
      </w:r>
      <w:r>
        <w:rPr>
          <w:rFonts w:ascii="Times New Roman;Times;serif" w:hAnsi="Times New Roman;Times;serif"/>
          <w:color w:val="231F20"/>
          <w:spacing w:val="-14"/>
          <w:sz w:val="20"/>
        </w:rPr>
        <w:t xml:space="preserve"> </w:t>
      </w:r>
      <w:r>
        <w:rPr>
          <w:rFonts w:ascii="Times New Roman;Times;serif" w:hAnsi="Times New Roman;Times;serif"/>
          <w:color w:val="231F20"/>
          <w:spacing w:val="-4"/>
          <w:sz w:val="20"/>
        </w:rPr>
        <w:t>at</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all,</w:t>
      </w:r>
      <w:r>
        <w:rPr>
          <w:rFonts w:ascii="Times New Roman;Times;serif" w:hAnsi="Times New Roman;Times;serif"/>
          <w:color w:val="231F20"/>
          <w:spacing w:val="-1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even</w:t>
      </w:r>
      <w:r>
        <w:rPr>
          <w:rFonts w:ascii="Times New Roman;Times;serif" w:hAnsi="Times New Roman;Times;serif"/>
          <w:color w:val="231F20"/>
          <w:spacing w:val="-14"/>
          <w:sz w:val="20"/>
        </w:rPr>
        <w:t xml:space="preserve"> </w:t>
      </w:r>
      <w:r>
        <w:rPr>
          <w:rFonts w:ascii="Times New Roman;Times;serif" w:hAnsi="Times New Roman;Times;serif"/>
          <w:color w:val="231F20"/>
          <w:sz w:val="20"/>
        </w:rPr>
        <w:t>if</w:t>
      </w:r>
      <w:r>
        <w:rPr>
          <w:rFonts w:ascii="Times New Roman;Times;serif" w:hAnsi="Times New Roman;Times;serif"/>
          <w:color w:val="231F20"/>
          <w:spacing w:val="4"/>
          <w:sz w:val="20"/>
        </w:rPr>
        <w:t xml:space="preserve"> </w:t>
      </w:r>
      <w:r>
        <w:rPr>
          <w:rFonts w:ascii="Times New Roman;Times;serif" w:hAnsi="Times New Roman;Times;serif"/>
          <w:color w:val="231F20"/>
          <w:sz w:val="20"/>
        </w:rPr>
        <w:t>we</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do,</w:t>
      </w:r>
      <w:r>
        <w:rPr>
          <w:rFonts w:ascii="Times New Roman;Times;serif" w:hAnsi="Times New Roman;Times;serif"/>
          <w:color w:val="231F20"/>
          <w:spacing w:val="-15"/>
          <w:sz w:val="20"/>
        </w:rPr>
        <w:t xml:space="preserve"> </w:t>
      </w:r>
      <w:r>
        <w:rPr>
          <w:rFonts w:ascii="Times New Roman;Times;serif" w:hAnsi="Times New Roman;Times;serif"/>
          <w:color w:val="231F20"/>
          <w:sz w:val="20"/>
        </w:rPr>
        <w:t>we</w:t>
      </w:r>
      <w:r>
        <w:rPr>
          <w:rFonts w:ascii="Times New Roman;Times;serif" w:hAnsi="Times New Roman;Times;serif"/>
          <w:color w:val="231F20"/>
          <w:spacing w:val="-14"/>
          <w:sz w:val="20"/>
        </w:rPr>
        <w:t xml:space="preserve"> </w:t>
      </w:r>
      <w:r>
        <w:rPr>
          <w:rFonts w:ascii="Times New Roman;Times;serif" w:hAnsi="Times New Roman;Times;serif"/>
          <w:color w:val="231F20"/>
          <w:spacing w:val="-4"/>
          <w:sz w:val="20"/>
        </w:rPr>
        <w:t>may</w:t>
      </w:r>
      <w:r>
        <w:rPr>
          <w:rFonts w:ascii="Times New Roman;Times;serif" w:hAnsi="Times New Roman;Times;serif"/>
          <w:color w:val="231F20"/>
          <w:spacing w:val="-15"/>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5"/>
          <w:sz w:val="20"/>
        </w:rPr>
        <w:t xml:space="preserve"> </w:t>
      </w:r>
      <w:r>
        <w:rPr>
          <w:rFonts w:ascii="Times New Roman;Times;serif" w:hAnsi="Times New Roman;Times;serif"/>
          <w:color w:val="231F20"/>
          <w:sz w:val="20"/>
        </w:rPr>
        <w:t>be</w:t>
      </w:r>
      <w:r>
        <w:rPr>
          <w:rFonts w:ascii="Times New Roman;Times;serif" w:hAnsi="Times New Roman;Times;serif"/>
          <w:color w:val="231F20"/>
          <w:spacing w:val="-15"/>
          <w:sz w:val="20"/>
        </w:rPr>
        <w:t xml:space="preserve"> </w:t>
      </w:r>
      <w:r>
        <w:rPr>
          <w:rFonts w:ascii="Times New Roman;Times;serif" w:hAnsi="Times New Roman;Times;serif"/>
          <w:color w:val="231F20"/>
          <w:spacing w:val="-4"/>
          <w:sz w:val="20"/>
        </w:rPr>
        <w:t>able</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5"/>
          <w:sz w:val="20"/>
        </w:rPr>
        <w:t xml:space="preserve"> </w:t>
      </w:r>
      <w:r>
        <w:rPr>
          <w:rFonts w:ascii="Times New Roman;Times;serif" w:hAnsi="Times New Roman;Times;serif"/>
          <w:color w:val="231F20"/>
          <w:sz w:val="20"/>
        </w:rPr>
        <w:t>maintain</w:t>
      </w:r>
      <w:r>
        <w:rPr>
          <w:rFonts w:ascii="Times New Roman;Times;serif" w:hAnsi="Times New Roman;Times;serif"/>
          <w:color w:val="231F20"/>
          <w:spacing w:val="-15"/>
          <w:sz w:val="20"/>
        </w:rPr>
        <w:t xml:space="preserve"> </w:t>
      </w:r>
      <w:r>
        <w:rPr>
          <w:rFonts w:ascii="Times New Roman;Times;serif" w:hAnsi="Times New Roman;Times;serif"/>
          <w:color w:val="231F20"/>
          <w:sz w:val="20"/>
        </w:rPr>
        <w:t>or</w:t>
      </w:r>
      <w:r>
        <w:rPr>
          <w:rFonts w:ascii="Times New Roman;Times;serif" w:hAnsi="Times New Roman;Times;serif"/>
          <w:color w:val="231F20"/>
          <w:spacing w:val="-15"/>
          <w:sz w:val="20"/>
        </w:rPr>
        <w:t xml:space="preserve"> </w:t>
      </w:r>
      <w:r>
        <w:rPr>
          <w:rFonts w:ascii="Times New Roman;Times;serif" w:hAnsi="Times New Roman;Times;serif"/>
          <w:color w:val="231F20"/>
          <w:sz w:val="20"/>
        </w:rPr>
        <w:t>increase</w:t>
      </w:r>
      <w:r>
        <w:rPr>
          <w:rFonts w:ascii="Times New Roman;Times;serif" w:hAnsi="Times New Roman;Times;serif"/>
          <w:color w:val="231F20"/>
          <w:spacing w:val="-14"/>
          <w:sz w:val="20"/>
        </w:rPr>
        <w:t xml:space="preserve"> </w:t>
      </w:r>
      <w:r>
        <w:rPr>
          <w:rFonts w:ascii="Times New Roman;Times;serif" w:hAnsi="Times New Roman;Times;serif"/>
          <w:color w:val="231F20"/>
          <w:spacing w:val="-4"/>
          <w:sz w:val="20"/>
        </w:rPr>
        <w:t xml:space="preserve">profitability. </w:t>
      </w:r>
      <w:r>
        <w:rPr>
          <w:rFonts w:ascii="Times New Roman;Times;serif" w:hAnsi="Times New Roman;Times;serif"/>
          <w:color w:val="231F20"/>
          <w:sz w:val="20"/>
        </w:rPr>
        <w:t xml:space="preserve">Furthermore, if our future </w:t>
      </w:r>
      <w:r>
        <w:rPr>
          <w:rFonts w:ascii="Times New Roman;Times;serif" w:hAnsi="Times New Roman;Times;serif"/>
          <w:color w:val="231F20"/>
          <w:spacing w:val="-3"/>
          <w:sz w:val="20"/>
        </w:rPr>
        <w:t xml:space="preserve">growth </w:t>
      </w:r>
      <w:r>
        <w:rPr>
          <w:rFonts w:ascii="Times New Roman;Times;serif" w:hAnsi="Times New Roman;Times;serif"/>
          <w:color w:val="231F20"/>
          <w:sz w:val="20"/>
        </w:rPr>
        <w:t xml:space="preserve">and operating performance fail to meet investor or analyst expectations, or if we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future negative cash flow or losses resulting from our investment in acquiring customers or expanding our operations, this could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a material adverse effect on our business, financial</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condition and results of operations.</w:t>
      </w:r>
    </w:p>
    <w:p>
      <w:pPr>
        <w:pStyle w:val="TextBody"/>
        <w:spacing w:before="183" w:after="240"/>
        <w:ind w:left="0" w:right="0" w:hanging="0"/>
        <w:rPr>
          <w:rFonts w:ascii="Times New Roman;Times;serif" w:hAnsi="Times New Roman;Times;serif"/>
          <w:b/>
          <w:i/>
          <w:color w:val="231F20"/>
          <w:sz w:val="20"/>
        </w:rPr>
      </w:pPr>
      <w:r>
        <w:rPr>
          <w:rFonts w:ascii="Times New Roman;Times;serif" w:hAnsi="Times New Roman;Times;serif"/>
          <w:b/>
          <w:i/>
          <w:color w:val="231F20"/>
          <w:sz w:val="20"/>
        </w:rPr>
        <w:t>Our operating results and financial condition may fluctuate from period to period.</w:t>
      </w:r>
    </w:p>
    <w:p>
      <w:pPr>
        <w:pStyle w:val="TextBody"/>
        <w:spacing w:before="112"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If and when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of product candidates are successfully commercialized, we anticipate that our operating</w:t>
      </w:r>
      <w:r>
        <w:rPr>
          <w:rFonts w:ascii="Times New Roman;Times;serif" w:hAnsi="Times New Roman;Times;serif"/>
          <w:color w:val="231F20"/>
          <w:spacing w:val="-19"/>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1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condition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9"/>
          <w:sz w:val="20"/>
        </w:rPr>
        <w:t xml:space="preserve"> </w:t>
      </w:r>
      <w:r>
        <w:rPr>
          <w:rFonts w:ascii="Times New Roman;Times;serif" w:hAnsi="Times New Roman;Times;serif"/>
          <w:color w:val="231F20"/>
          <w:sz w:val="20"/>
        </w:rPr>
        <w:t>fluctuate</w:t>
      </w:r>
      <w:r>
        <w:rPr>
          <w:rFonts w:ascii="Times New Roman;Times;serif" w:hAnsi="Times New Roman;Times;serif"/>
          <w:color w:val="231F20"/>
          <w:spacing w:val="-19"/>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18"/>
          <w:sz w:val="20"/>
        </w:rPr>
        <w:t xml:space="preserve"> </w:t>
      </w:r>
      <w:r>
        <w:rPr>
          <w:rFonts w:ascii="Times New Roman;Times;serif" w:hAnsi="Times New Roman;Times;serif"/>
          <w:color w:val="231F20"/>
          <w:sz w:val="20"/>
        </w:rPr>
        <w:t>quarter-to-quarter</w:t>
      </w:r>
      <w:r>
        <w:rPr>
          <w:rFonts w:ascii="Times New Roman;Times;serif" w:hAnsi="Times New Roman;Times;serif"/>
          <w:color w:val="231F20"/>
          <w:spacing w:val="-1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year-to-year</w:t>
      </w:r>
      <w:r>
        <w:rPr>
          <w:rFonts w:ascii="Times New Roman;Times;serif" w:hAnsi="Times New Roman;Times;serif"/>
          <w:color w:val="231F20"/>
          <w:spacing w:val="-18"/>
          <w:sz w:val="20"/>
        </w:rPr>
        <w:t xml:space="preserve"> </w:t>
      </w:r>
      <w:r>
        <w:rPr>
          <w:rFonts w:ascii="Times New Roman;Times;serif" w:hAnsi="Times New Roman;Times;serif"/>
          <w:color w:val="231F20"/>
          <w:sz w:val="20"/>
        </w:rPr>
        <w:t>due</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a number</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w:t>
      </w:r>
      <w:r>
        <w:rPr>
          <w:rFonts w:ascii="Times New Roman;Times;serif" w:hAnsi="Times New Roman;Times;serif"/>
          <w:color w:val="231F20"/>
          <w:spacing w:val="-9"/>
          <w:sz w:val="20"/>
        </w:rPr>
        <w:t xml:space="preserve"> </w:t>
      </w:r>
      <w:r>
        <w:rPr>
          <w:rFonts w:ascii="Times New Roman;Times;serif" w:hAnsi="Times New Roman;Times;serif"/>
          <w:color w:val="231F20"/>
          <w:sz w:val="20"/>
        </w:rPr>
        <w:t>factors,</w:t>
      </w:r>
      <w:r>
        <w:rPr>
          <w:rFonts w:ascii="Times New Roman;Times;serif" w:hAnsi="Times New Roman;Times;serif"/>
          <w:color w:val="231F20"/>
          <w:spacing w:val="-22"/>
          <w:sz w:val="20"/>
        </w:rPr>
        <w:t xml:space="preserve"> </w:t>
      </w:r>
      <w:r>
        <w:rPr>
          <w:rFonts w:ascii="Times New Roman;Times;serif" w:hAnsi="Times New Roman;Times;serif"/>
          <w:color w:val="231F20"/>
          <w:sz w:val="20"/>
        </w:rPr>
        <w:t>many</w:t>
      </w:r>
      <w:r>
        <w:rPr>
          <w:rFonts w:ascii="Times New Roman;Times;serif" w:hAnsi="Times New Roman;Times;serif"/>
          <w:color w:val="231F20"/>
          <w:spacing w:val="-22"/>
          <w:sz w:val="20"/>
        </w:rPr>
        <w:t xml:space="preserve"> </w:t>
      </w:r>
      <w:r>
        <w:rPr>
          <w:rFonts w:ascii="Times New Roman;Times;serif" w:hAnsi="Times New Roman;Times;serif"/>
          <w:color w:val="231F20"/>
          <w:sz w:val="20"/>
        </w:rPr>
        <w:t>of</w:t>
      </w:r>
      <w:r>
        <w:rPr>
          <w:rFonts w:ascii="Times New Roman;Times;serif" w:hAnsi="Times New Roman;Times;serif"/>
          <w:color w:val="231F20"/>
          <w:spacing w:val="-9"/>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22"/>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22"/>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3"/>
          <w:sz w:val="20"/>
        </w:rPr>
        <w:t xml:space="preserve"> </w:t>
      </w:r>
      <w:r>
        <w:rPr>
          <w:rFonts w:ascii="Times New Roman;Times;serif" w:hAnsi="Times New Roman;Times;serif"/>
          <w:color w:val="231F20"/>
          <w:sz w:val="20"/>
        </w:rPr>
        <w:t>be</w:t>
      </w:r>
      <w:r>
        <w:rPr>
          <w:rFonts w:ascii="Times New Roman;Times;serif" w:hAnsi="Times New Roman;Times;serif"/>
          <w:color w:val="231F20"/>
          <w:spacing w:val="-22"/>
          <w:sz w:val="20"/>
        </w:rPr>
        <w:t xml:space="preserve"> </w:t>
      </w:r>
      <w:r>
        <w:rPr>
          <w:rFonts w:ascii="Times New Roman;Times;serif" w:hAnsi="Times New Roman;Times;serif"/>
          <w:color w:val="231F20"/>
          <w:sz w:val="20"/>
        </w:rPr>
        <w:t>within</w:t>
      </w:r>
      <w:r>
        <w:rPr>
          <w:rFonts w:ascii="Times New Roman;Times;serif" w:hAnsi="Times New Roman;Times;serif"/>
          <w:color w:val="231F20"/>
          <w:spacing w:val="-2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control.</w:t>
      </w:r>
      <w:r>
        <w:rPr>
          <w:rFonts w:ascii="Times New Roman;Times;serif" w:hAnsi="Times New Roman;Times;serif"/>
          <w:color w:val="231F20"/>
          <w:spacing w:val="-22"/>
          <w:sz w:val="20"/>
        </w:rPr>
        <w:t xml:space="preserve"> </w:t>
      </w:r>
      <w:r>
        <w:rPr>
          <w:rFonts w:ascii="Times New Roman;Times;serif" w:hAnsi="Times New Roman;Times;serif"/>
          <w:color w:val="231F20"/>
          <w:sz w:val="20"/>
        </w:rPr>
        <w:t>Both</w:t>
      </w:r>
      <w:r>
        <w:rPr>
          <w:rFonts w:ascii="Times New Roman;Times;serif" w:hAnsi="Times New Roman;Times;serif"/>
          <w:color w:val="231F20"/>
          <w:spacing w:val="-2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2"/>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2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2"/>
          <w:sz w:val="20"/>
        </w:rPr>
        <w:t xml:space="preserve"> </w:t>
      </w:r>
      <w:r>
        <w:rPr>
          <w:rFonts w:ascii="Times New Roman;Times;serif" w:hAnsi="Times New Roman;Times;serif"/>
          <w:color w:val="231F20"/>
          <w:sz w:val="20"/>
        </w:rPr>
        <w:t>pharmaceutical industry</w:t>
      </w:r>
      <w:r>
        <w:rPr>
          <w:rFonts w:ascii="Times New Roman;Times;serif" w:hAnsi="Times New Roman;Times;serif"/>
          <w:color w:val="231F20"/>
          <w:spacing w:val="-20"/>
          <w:sz w:val="20"/>
        </w:rPr>
        <w:t xml:space="preserve"> </w:t>
      </w:r>
      <w:r>
        <w:rPr>
          <w:rFonts w:ascii="Times New Roman;Times;serif" w:hAnsi="Times New Roman;Times;serif"/>
          <w:color w:val="231F20"/>
          <w:sz w:val="20"/>
        </w:rPr>
        <w:t>are</w:t>
      </w:r>
      <w:r>
        <w:rPr>
          <w:rFonts w:ascii="Times New Roman;Times;serif" w:hAnsi="Times New Roman;Times;serif"/>
          <w:color w:val="231F20"/>
          <w:spacing w:val="-20"/>
          <w:sz w:val="20"/>
        </w:rPr>
        <w:t xml:space="preserve"> </w:t>
      </w:r>
      <w:r>
        <w:rPr>
          <w:rFonts w:ascii="Times New Roman;Times;serif" w:hAnsi="Times New Roman;Times;serif"/>
          <w:color w:val="231F20"/>
          <w:sz w:val="20"/>
        </w:rPr>
        <w:t>changing</w:t>
      </w:r>
      <w:r>
        <w:rPr>
          <w:rFonts w:ascii="Times New Roman;Times;serif" w:hAnsi="Times New Roman;Times;serif"/>
          <w:color w:val="231F20"/>
          <w:spacing w:val="-2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0"/>
          <w:sz w:val="20"/>
        </w:rPr>
        <w:t xml:space="preserve"> </w:t>
      </w:r>
      <w:r>
        <w:rPr>
          <w:rFonts w:ascii="Times New Roman;Times;serif" w:hAnsi="Times New Roman;Times;serif"/>
          <w:color w:val="231F20"/>
          <w:sz w:val="20"/>
        </w:rPr>
        <w:t>evolving</w:t>
      </w:r>
      <w:r>
        <w:rPr>
          <w:rFonts w:ascii="Times New Roman;Times;serif" w:hAnsi="Times New Roman;Times;serif"/>
          <w:color w:val="231F20"/>
          <w:spacing w:val="-19"/>
          <w:sz w:val="20"/>
        </w:rPr>
        <w:t xml:space="preserve"> </w:t>
      </w:r>
      <w:r>
        <w:rPr>
          <w:rFonts w:ascii="Times New Roman;Times;serif" w:hAnsi="Times New Roman;Times;serif"/>
          <w:color w:val="231F20"/>
          <w:spacing w:val="-4"/>
          <w:sz w:val="20"/>
        </w:rPr>
        <w:t>rapidly,</w:t>
      </w:r>
      <w:r>
        <w:rPr>
          <w:rFonts w:ascii="Times New Roman;Times;serif" w:hAnsi="Times New Roman;Times;serif"/>
          <w:color w:val="231F20"/>
          <w:spacing w:val="-2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0"/>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0"/>
          <w:sz w:val="20"/>
        </w:rPr>
        <w:t xml:space="preserve"> </w:t>
      </w:r>
      <w:r>
        <w:rPr>
          <w:rFonts w:ascii="Times New Roman;Times;serif" w:hAnsi="Times New Roman;Times;serif"/>
          <w:color w:val="231F20"/>
          <w:sz w:val="20"/>
        </w:rPr>
        <w:t>operating</w:t>
      </w:r>
      <w:r>
        <w:rPr>
          <w:rFonts w:ascii="Times New Roman;Times;serif" w:hAnsi="Times New Roman;Times;serif"/>
          <w:color w:val="231F20"/>
          <w:spacing w:val="-20"/>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0"/>
          <w:sz w:val="20"/>
        </w:rPr>
        <w:t xml:space="preserve"> </w:t>
      </w:r>
      <w:r>
        <w:rPr>
          <w:rFonts w:ascii="Times New Roman;Times;serif" w:hAnsi="Times New Roman;Times;serif"/>
          <w:color w:val="231F20"/>
          <w:sz w:val="20"/>
        </w:rPr>
        <w:t>given</w:t>
      </w:r>
      <w:r>
        <w:rPr>
          <w:rFonts w:ascii="Times New Roman;Times;serif" w:hAnsi="Times New Roman;Times;serif"/>
          <w:color w:val="231F20"/>
          <w:spacing w:val="-20"/>
          <w:sz w:val="20"/>
        </w:rPr>
        <w:t xml:space="preserve"> </w:t>
      </w:r>
      <w:r>
        <w:rPr>
          <w:rFonts w:ascii="Times New Roman;Times;serif" w:hAnsi="Times New Roman;Times;serif"/>
          <w:color w:val="231F20"/>
          <w:sz w:val="20"/>
        </w:rPr>
        <w:t>year</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9"/>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0"/>
          <w:sz w:val="20"/>
        </w:rPr>
        <w:t xml:space="preserve"> </w:t>
      </w:r>
      <w:r>
        <w:rPr>
          <w:rFonts w:ascii="Times New Roman;Times;serif" w:hAnsi="Times New Roman;Times;serif"/>
          <w:color w:val="231F20"/>
          <w:sz w:val="20"/>
        </w:rPr>
        <w:t>be</w:t>
      </w:r>
      <w:r>
        <w:rPr>
          <w:rFonts w:ascii="Times New Roman;Times;serif" w:hAnsi="Times New Roman;Times;serif"/>
          <w:color w:val="231F20"/>
          <w:spacing w:val="-20"/>
          <w:sz w:val="20"/>
        </w:rPr>
        <w:t xml:space="preserve"> </w:t>
      </w:r>
      <w:r>
        <w:rPr>
          <w:rFonts w:ascii="Times New Roman;Times;serif" w:hAnsi="Times New Roman;Times;serif"/>
          <w:color w:val="231F20"/>
          <w:sz w:val="20"/>
        </w:rPr>
        <w:t>useful in</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predicting</w:t>
      </w:r>
      <w:r>
        <w:rPr>
          <w:rFonts w:ascii="Times New Roman;Times;serif" w:hAnsi="Times New Roman;Times;serif"/>
          <w:color w:val="231F20"/>
          <w:spacing w:val="-21"/>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1"/>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20"/>
          <w:sz w:val="20"/>
        </w:rPr>
        <w:t xml:space="preserve"> </w:t>
      </w:r>
      <w:r>
        <w:rPr>
          <w:rFonts w:ascii="Times New Roman;Times;serif" w:hAnsi="Times New Roman;Times;serif"/>
          <w:color w:val="231F20"/>
          <w:sz w:val="20"/>
        </w:rPr>
        <w:t>operating</w:t>
      </w:r>
      <w:r>
        <w:rPr>
          <w:rFonts w:ascii="Times New Roman;Times;serif" w:hAnsi="Times New Roman;Times;serif"/>
          <w:color w:val="231F20"/>
          <w:spacing w:val="-21"/>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21"/>
          <w:sz w:val="20"/>
        </w:rPr>
        <w:t xml:space="preserve"> </w:t>
      </w:r>
      <w:r>
        <w:rPr>
          <w:rFonts w:ascii="Times New Roman;Times;serif" w:hAnsi="Times New Roman;Times;serif"/>
          <w:color w:val="231F20"/>
          <w:sz w:val="20"/>
        </w:rPr>
        <w:t>If</w:t>
      </w:r>
      <w:r>
        <w:rPr>
          <w:rFonts w:ascii="Times New Roman;Times;serif" w:hAnsi="Times New Roman;Times;serif"/>
          <w:color w:val="231F20"/>
          <w:spacing w:val="-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1"/>
          <w:sz w:val="20"/>
        </w:rPr>
        <w:t xml:space="preserve"> </w:t>
      </w:r>
      <w:r>
        <w:rPr>
          <w:rFonts w:ascii="Times New Roman;Times;serif" w:hAnsi="Times New Roman;Times;serif"/>
          <w:color w:val="231F20"/>
          <w:sz w:val="20"/>
        </w:rPr>
        <w:t>operating</w:t>
      </w:r>
      <w:r>
        <w:rPr>
          <w:rFonts w:ascii="Times New Roman;Times;serif" w:hAnsi="Times New Roman;Times;serif"/>
          <w:color w:val="231F20"/>
          <w:spacing w:val="-21"/>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20"/>
          <w:sz w:val="20"/>
        </w:rPr>
        <w:t xml:space="preserve"> </w:t>
      </w:r>
      <w:r>
        <w:rPr>
          <w:rFonts w:ascii="Times New Roman;Times;serif" w:hAnsi="Times New Roman;Times;serif"/>
          <w:color w:val="231F20"/>
          <w:sz w:val="20"/>
        </w:rPr>
        <w:t>do</w:t>
      </w:r>
      <w:r>
        <w:rPr>
          <w:rFonts w:ascii="Times New Roman;Times;serif" w:hAnsi="Times New Roman;Times;serif"/>
          <w:color w:val="231F20"/>
          <w:spacing w:val="-21"/>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1"/>
          <w:sz w:val="20"/>
        </w:rPr>
        <w:t xml:space="preserve"> </w:t>
      </w:r>
      <w:r>
        <w:rPr>
          <w:rFonts w:ascii="Times New Roman;Times;serif" w:hAnsi="Times New Roman;Times;serif"/>
          <w:color w:val="231F20"/>
          <w:sz w:val="20"/>
        </w:rPr>
        <w:t>meet</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guidance</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1"/>
          <w:sz w:val="20"/>
        </w:rPr>
        <w:t xml:space="preserve"> </w:t>
      </w:r>
      <w:r>
        <w:rPr>
          <w:rFonts w:ascii="Times New Roman;Times;serif" w:hAnsi="Times New Roman;Times;serif"/>
          <w:color w:val="231F20"/>
          <w:sz w:val="20"/>
        </w:rPr>
        <w:t>we</w:t>
      </w:r>
      <w:r>
        <w:rPr>
          <w:rFonts w:ascii="Times New Roman;Times;serif" w:hAnsi="Times New Roman;Times;serif"/>
          <w:color w:val="231F20"/>
          <w:spacing w:val="-20"/>
          <w:sz w:val="20"/>
        </w:rPr>
        <w:t xml:space="preserve"> </w:t>
      </w:r>
      <w:r>
        <w:rPr>
          <w:rFonts w:ascii="Times New Roman;Times;serif" w:hAnsi="Times New Roman;Times;serif"/>
          <w:color w:val="231F20"/>
          <w:sz w:val="20"/>
        </w:rPr>
        <w:t>provide to</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2"/>
          <w:sz w:val="20"/>
        </w:rPr>
        <w:t xml:space="preserve"> </w:t>
      </w:r>
      <w:r>
        <w:rPr>
          <w:rFonts w:ascii="Times New Roman;Times;serif" w:hAnsi="Times New Roman;Times;serif"/>
          <w:color w:val="231F20"/>
          <w:sz w:val="20"/>
        </w:rPr>
        <w:t>marketplace</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1"/>
          <w:sz w:val="20"/>
        </w:rPr>
        <w:t xml:space="preserve"> </w:t>
      </w:r>
      <w:r>
        <w:rPr>
          <w:rFonts w:ascii="Times New Roman;Times;serif" w:hAnsi="Times New Roman;Times;serif"/>
          <w:color w:val="231F20"/>
          <w:sz w:val="20"/>
        </w:rPr>
        <w:t>expectations</w:t>
      </w:r>
      <w:r>
        <w:rPr>
          <w:rFonts w:ascii="Times New Roman;Times;serif" w:hAnsi="Times New Roman;Times;serif"/>
          <w:color w:val="231F20"/>
          <w:spacing w:val="-22"/>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securities</w:t>
      </w:r>
      <w:r>
        <w:rPr>
          <w:rFonts w:ascii="Times New Roman;Times;serif" w:hAnsi="Times New Roman;Times;serif"/>
          <w:color w:val="231F20"/>
          <w:spacing w:val="-22"/>
          <w:sz w:val="20"/>
        </w:rPr>
        <w:t xml:space="preserve"> </w:t>
      </w:r>
      <w:r>
        <w:rPr>
          <w:rFonts w:ascii="Times New Roman;Times;serif" w:hAnsi="Times New Roman;Times;serif"/>
          <w:color w:val="231F20"/>
          <w:sz w:val="20"/>
        </w:rPr>
        <w:t>analysts</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w:t>
      </w:r>
      <w:r>
        <w:rPr>
          <w:rFonts w:ascii="Times New Roman;Times;serif" w:hAnsi="Times New Roman;Times;serif"/>
          <w:color w:val="231F20"/>
          <w:spacing w:val="-22"/>
          <w:sz w:val="20"/>
        </w:rPr>
        <w:t xml:space="preserve"> </w:t>
      </w:r>
      <w:r>
        <w:rPr>
          <w:rFonts w:ascii="Times New Roman;Times;serif" w:hAnsi="Times New Roman;Times;serif"/>
          <w:color w:val="231F20"/>
          <w:spacing w:val="-3"/>
          <w:sz w:val="20"/>
        </w:rPr>
        <w:t>investors,</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2"/>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22"/>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Common Stock</w:t>
      </w:r>
      <w:r>
        <w:rPr>
          <w:rFonts w:ascii="Times New Roman;Times;serif" w:hAnsi="Times New Roman;Times;serif"/>
          <w:color w:val="231F20"/>
          <w:spacing w:val="-25"/>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25"/>
          <w:sz w:val="20"/>
        </w:rPr>
        <w:t xml:space="preserve"> </w:t>
      </w:r>
      <w:r>
        <w:rPr>
          <w:rFonts w:ascii="Times New Roman;Times;serif" w:hAnsi="Times New Roman;Times;serif"/>
          <w:color w:val="231F20"/>
          <w:spacing w:val="-3"/>
          <w:sz w:val="20"/>
        </w:rPr>
        <w:t>likely</w:t>
      </w:r>
      <w:r>
        <w:rPr>
          <w:rFonts w:ascii="Times New Roman;Times;serif" w:hAnsi="Times New Roman;Times;serif"/>
          <w:color w:val="231F20"/>
          <w:spacing w:val="-25"/>
          <w:sz w:val="20"/>
        </w:rPr>
        <w:t xml:space="preserve"> </w:t>
      </w:r>
      <w:r>
        <w:rPr>
          <w:rFonts w:ascii="Times New Roman;Times;serif" w:hAnsi="Times New Roman;Times;serif"/>
          <w:color w:val="231F20"/>
          <w:sz w:val="20"/>
        </w:rPr>
        <w:t>decline.</w:t>
      </w:r>
      <w:r>
        <w:rPr>
          <w:rFonts w:ascii="Times New Roman;Times;serif" w:hAnsi="Times New Roman;Times;serif"/>
          <w:color w:val="231F20"/>
          <w:spacing w:val="-25"/>
          <w:sz w:val="20"/>
        </w:rPr>
        <w:t xml:space="preserve"> </w:t>
      </w:r>
      <w:r>
        <w:rPr>
          <w:rFonts w:ascii="Times New Roman;Times;serif" w:hAnsi="Times New Roman;Times;serif"/>
          <w:color w:val="231F20"/>
          <w:sz w:val="20"/>
        </w:rPr>
        <w:t>Fluctuations</w:t>
      </w:r>
      <w:r>
        <w:rPr>
          <w:rFonts w:ascii="Times New Roman;Times;serif" w:hAnsi="Times New Roman;Times;serif"/>
          <w:color w:val="231F20"/>
          <w:spacing w:val="-25"/>
          <w:sz w:val="20"/>
        </w:rPr>
        <w:t xml:space="preserve"> </w:t>
      </w:r>
      <w:r>
        <w:rPr>
          <w:rFonts w:ascii="Times New Roman;Times;serif" w:hAnsi="Times New Roman;Times;serif"/>
          <w:color w:val="231F20"/>
          <w:sz w:val="20"/>
        </w:rPr>
        <w:t>in</w:t>
      </w:r>
      <w:r>
        <w:rPr>
          <w:rFonts w:ascii="Times New Roman;Times;serif" w:hAnsi="Times New Roman;Times;serif"/>
          <w:color w:val="231F20"/>
          <w:spacing w:val="-2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5"/>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25"/>
          <w:sz w:val="20"/>
        </w:rPr>
        <w:t xml:space="preserve"> </w:t>
      </w:r>
      <w:r>
        <w:rPr>
          <w:rFonts w:ascii="Times New Roman;Times;serif" w:hAnsi="Times New Roman;Times;serif"/>
          <w:color w:val="231F20"/>
          <w:sz w:val="20"/>
        </w:rPr>
        <w:t>operating</w:t>
      </w:r>
      <w:r>
        <w:rPr>
          <w:rFonts w:ascii="Times New Roman;Times;serif" w:hAnsi="Times New Roman;Times;serif"/>
          <w:color w:val="231F20"/>
          <w:spacing w:val="-25"/>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2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5"/>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25"/>
          <w:sz w:val="20"/>
        </w:rPr>
        <w:t xml:space="preserve"> </w:t>
      </w:r>
      <w:r>
        <w:rPr>
          <w:rFonts w:ascii="Times New Roman;Times;serif" w:hAnsi="Times New Roman;Times;serif"/>
          <w:color w:val="231F20"/>
          <w:sz w:val="20"/>
        </w:rPr>
        <w:t>condition</w:t>
      </w:r>
      <w:r>
        <w:rPr>
          <w:rFonts w:ascii="Times New Roman;Times;serif" w:hAnsi="Times New Roman;Times;serif"/>
          <w:color w:val="231F20"/>
          <w:spacing w:val="-25"/>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5"/>
          <w:sz w:val="20"/>
        </w:rPr>
        <w:t xml:space="preserve"> </w:t>
      </w:r>
      <w:r>
        <w:rPr>
          <w:rFonts w:ascii="Times New Roman;Times;serif" w:hAnsi="Times New Roman;Times;serif"/>
          <w:color w:val="231F20"/>
          <w:sz w:val="20"/>
        </w:rPr>
        <w:t>be</w:t>
      </w:r>
      <w:r>
        <w:rPr>
          <w:rFonts w:ascii="Times New Roman;Times;serif" w:hAnsi="Times New Roman;Times;serif"/>
          <w:color w:val="231F20"/>
          <w:spacing w:val="-25"/>
          <w:sz w:val="20"/>
        </w:rPr>
        <w:t xml:space="preserve"> </w:t>
      </w:r>
      <w:r>
        <w:rPr>
          <w:rFonts w:ascii="Times New Roman;Times;serif" w:hAnsi="Times New Roman;Times;serif"/>
          <w:color w:val="231F20"/>
          <w:sz w:val="20"/>
        </w:rPr>
        <w:t>due</w:t>
      </w:r>
      <w:r>
        <w:rPr>
          <w:rFonts w:ascii="Times New Roman;Times;serif" w:hAnsi="Times New Roman;Times;serif"/>
          <w:color w:val="231F20"/>
          <w:spacing w:val="-25"/>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a number of factors,</w:t>
      </w:r>
      <w:r>
        <w:rPr>
          <w:rFonts w:ascii="Times New Roman;Times;serif" w:hAnsi="Times New Roman;Times;serif"/>
          <w:color w:val="231F20"/>
          <w:spacing w:val="-2"/>
          <w:sz w:val="20"/>
        </w:rPr>
        <w:t xml:space="preserve"> </w:t>
      </w:r>
      <w:r>
        <w:rPr>
          <w:rFonts w:ascii="Times New Roman;Times;serif" w:hAnsi="Times New Roman;Times;serif"/>
          <w:color w:val="231F20"/>
          <w:sz w:val="20"/>
        </w:rPr>
        <w:t>including:</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our</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ability</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manufacture</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products</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28"/>
              </w:rPr>
              <w:t xml:space="preserve"> </w:t>
            </w:r>
            <w:r>
              <w:rPr>
                <w:rFonts w:ascii="Times New Roman;Times;serif" w:hAnsi="Times New Roman;Times;serif"/>
                <w:b w:val="false"/>
                <w:i w:val="false"/>
                <w:caps w:val="false"/>
                <w:smallCaps w:val="false"/>
                <w:color w:val="231F20"/>
                <w:sz w:val="20"/>
              </w:rPr>
              <w:t>sufficient</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quantities</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with</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chemical</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manufacturing controls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(“CMC”)</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that</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meet</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governmental</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regulatory</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standards;</w:t>
            </w:r>
          </w:p>
        </w:tc>
      </w:tr>
    </w:tbl>
    <w:tbl>
      <w:tblPr>
        <w:tblW w:w="9186" w:type="dxa"/>
        <w:jc w:val="left"/>
        <w:tblInd w:w="0" w:type="dxa"/>
        <w:tblCellMar>
          <w:top w:w="28" w:type="dxa"/>
          <w:left w:w="28" w:type="dxa"/>
          <w:bottom w:w="28" w:type="dxa"/>
          <w:right w:w="28" w:type="dxa"/>
        </w:tblCellMar>
      </w:tblPr>
      <w:tblGrid>
        <w:gridCol w:w="124"/>
        <w:gridCol w:w="196"/>
        <w:gridCol w:w="886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86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 degree of acceptance and differentiation of our products and services in the broader healthcare</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industry;</w:t>
            </w:r>
          </w:p>
        </w:tc>
      </w:tr>
    </w:tbl>
    <w:tbl>
      <w:tblPr>
        <w:tblW w:w="6681" w:type="dxa"/>
        <w:jc w:val="left"/>
        <w:tblInd w:w="0" w:type="dxa"/>
        <w:tblCellMar>
          <w:top w:w="28" w:type="dxa"/>
          <w:left w:w="28" w:type="dxa"/>
          <w:bottom w:w="28" w:type="dxa"/>
          <w:right w:w="28" w:type="dxa"/>
        </w:tblCellMar>
      </w:tblPr>
      <w:tblGrid>
        <w:gridCol w:w="124"/>
        <w:gridCol w:w="196"/>
        <w:gridCol w:w="636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36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our</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ability</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compete</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with</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competitors</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new</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entrants</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into</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markets;</w:t>
            </w:r>
          </w:p>
        </w:tc>
      </w:tr>
    </w:tbl>
    <w:tbl>
      <w:tblPr>
        <w:tblW w:w="6081" w:type="dxa"/>
        <w:jc w:val="left"/>
        <w:tblInd w:w="0" w:type="dxa"/>
        <w:tblCellMar>
          <w:top w:w="28" w:type="dxa"/>
          <w:left w:w="28" w:type="dxa"/>
          <w:bottom w:w="28" w:type="dxa"/>
          <w:right w:w="28" w:type="dxa"/>
        </w:tblCellMar>
      </w:tblPr>
      <w:tblGrid>
        <w:gridCol w:w="124"/>
        <w:gridCol w:w="196"/>
        <w:gridCol w:w="576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76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products</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services</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that</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we</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are</w:t>
            </w:r>
            <w:r>
              <w:rPr>
                <w:caps w:val="false"/>
                <w:smallCaps w:val="false"/>
                <w:color w:val="231F20"/>
                <w:spacing w:val="-8"/>
              </w:rPr>
              <w:t xml:space="preserve"> </w:t>
            </w:r>
            <w:r>
              <w:rPr>
                <w:rFonts w:ascii="Times New Roman;Times;serif" w:hAnsi="Times New Roman;Times;serif"/>
                <w:b w:val="false"/>
                <w:i w:val="false"/>
                <w:caps w:val="false"/>
                <w:smallCaps w:val="false"/>
                <w:color w:val="231F20"/>
                <w:spacing w:val="-3"/>
                <w:sz w:val="20"/>
              </w:rPr>
              <w:t>able</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sell</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during</w:t>
            </w:r>
            <w:r>
              <w:rPr>
                <w:caps w:val="false"/>
                <w:smallCaps w:val="false"/>
                <w:color w:val="231F20"/>
                <w:spacing w:val="-8"/>
              </w:rPr>
              <w:t xml:space="preserve"> </w:t>
            </w:r>
            <w:r>
              <w:rPr>
                <w:rFonts w:ascii="Times New Roman;Times;serif" w:hAnsi="Times New Roman;Times;serif"/>
                <w:b w:val="false"/>
                <w:i w:val="false"/>
                <w:caps w:val="false"/>
                <w:smallCaps w:val="false"/>
                <w:color w:val="231F20"/>
                <w:spacing w:val="-3"/>
                <w:sz w:val="20"/>
              </w:rPr>
              <w:t>any</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period;</w:t>
            </w:r>
          </w:p>
        </w:tc>
      </w:tr>
    </w:tbl>
    <w:tbl>
      <w:tblPr>
        <w:tblW w:w="6186" w:type="dxa"/>
        <w:jc w:val="left"/>
        <w:tblInd w:w="0" w:type="dxa"/>
        <w:tblCellMar>
          <w:top w:w="28" w:type="dxa"/>
          <w:left w:w="28" w:type="dxa"/>
          <w:bottom w:w="28" w:type="dxa"/>
          <w:right w:w="28" w:type="dxa"/>
        </w:tblCellMar>
      </w:tblPr>
      <w:tblGrid>
        <w:gridCol w:w="124"/>
        <w:gridCol w:w="196"/>
        <w:gridCol w:w="586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86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timing</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11"/>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sales</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distribution</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products</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customers;</w:t>
            </w:r>
          </w:p>
        </w:tc>
      </w:tr>
    </w:tbl>
    <w:tbl>
      <w:tblPr>
        <w:tblW w:w="3726" w:type="dxa"/>
        <w:jc w:val="left"/>
        <w:tblInd w:w="0" w:type="dxa"/>
        <w:tblCellMar>
          <w:top w:w="28" w:type="dxa"/>
          <w:left w:w="28" w:type="dxa"/>
          <w:bottom w:w="28" w:type="dxa"/>
          <w:right w:w="28" w:type="dxa"/>
        </w:tblCellMar>
      </w:tblPr>
      <w:tblGrid>
        <w:gridCol w:w="124"/>
        <w:gridCol w:w="196"/>
        <w:gridCol w:w="34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40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 geographic distribution of our</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sales;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934" w:type="dxa"/>
        <w:jc w:val="left"/>
        <w:tblInd w:w="0" w:type="dxa"/>
        <w:tblCellMar>
          <w:top w:w="28" w:type="dxa"/>
          <w:left w:w="28" w:type="dxa"/>
          <w:bottom w:w="28" w:type="dxa"/>
          <w:right w:w="28" w:type="dxa"/>
        </w:tblCellMar>
      </w:tblPr>
      <w:tblGrid>
        <w:gridCol w:w="124"/>
        <w:gridCol w:w="196"/>
        <w:gridCol w:w="8614"/>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614"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changes in our pricing policies on those of our competitors, including our response to </w:t>
            </w:r>
            <w:r>
              <w:rPr>
                <w:rFonts w:ascii="Times New Roman;Times;serif" w:hAnsi="Times New Roman;Times;serif"/>
                <w:b w:val="false"/>
                <w:i w:val="false"/>
                <w:caps w:val="false"/>
                <w:smallCaps w:val="false"/>
                <w:color w:val="231F20"/>
                <w:spacing w:val="-3"/>
                <w:sz w:val="20"/>
              </w:rPr>
              <w:t xml:space="preserve">price </w:t>
            </w:r>
            <w:r>
              <w:rPr>
                <w:rFonts w:ascii="Times New Roman;Times;serif" w:hAnsi="Times New Roman;Times;serif"/>
                <w:b w:val="false"/>
                <w:i w:val="false"/>
                <w:caps w:val="false"/>
                <w:smallCaps w:val="false"/>
                <w:color w:val="231F20"/>
                <w:sz w:val="20"/>
              </w:rPr>
              <w:t>competition;</w:t>
            </w:r>
          </w:p>
        </w:tc>
      </w:tr>
    </w:tbl>
    <w:tbl>
      <w:tblPr>
        <w:tblW w:w="7926" w:type="dxa"/>
        <w:jc w:val="left"/>
        <w:tblInd w:w="0" w:type="dxa"/>
        <w:tblCellMar>
          <w:top w:w="28" w:type="dxa"/>
          <w:left w:w="28" w:type="dxa"/>
          <w:bottom w:w="28" w:type="dxa"/>
          <w:right w:w="28" w:type="dxa"/>
        </w:tblCellMar>
      </w:tblPr>
      <w:tblGrid>
        <w:gridCol w:w="124"/>
        <w:gridCol w:w="19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60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changes in the amount that we spend to research and develop new products or</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technologies;</w:t>
            </w:r>
          </w:p>
        </w:tc>
      </w:tr>
    </w:tbl>
    <w:tbl>
      <w:tblPr>
        <w:tblW w:w="4671" w:type="dxa"/>
        <w:jc w:val="left"/>
        <w:tblInd w:w="0" w:type="dxa"/>
        <w:tblCellMar>
          <w:top w:w="28" w:type="dxa"/>
          <w:left w:w="28" w:type="dxa"/>
          <w:bottom w:w="28" w:type="dxa"/>
          <w:right w:w="28" w:type="dxa"/>
        </w:tblCellMar>
      </w:tblPr>
      <w:tblGrid>
        <w:gridCol w:w="124"/>
        <w:gridCol w:w="19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35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expenses and/or liabilities resulting from</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litigation;</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delays between our expenditures to research and develop new or enhanced products or</w:t>
            </w:r>
            <w:r>
              <w:rPr>
                <w:caps w:val="false"/>
                <w:smallCaps w:val="false"/>
                <w:color w:val="231F20"/>
                <w:spacing w:val="-29"/>
              </w:rPr>
              <w:t xml:space="preserve"> </w:t>
            </w:r>
            <w:r>
              <w:rPr>
                <w:rFonts w:ascii="Times New Roman;Times;serif" w:hAnsi="Times New Roman;Times;serif"/>
                <w:b w:val="false"/>
                <w:i w:val="false"/>
                <w:caps w:val="false"/>
                <w:smallCaps w:val="false"/>
                <w:color w:val="231F20"/>
                <w:sz w:val="20"/>
              </w:rPr>
              <w:t xml:space="preserve">technologies, the necessary regulatory </w:t>
            </w:r>
            <w:r>
              <w:rPr>
                <w:rFonts w:ascii="Times New Roman;Times;serif" w:hAnsi="Times New Roman;Times;serif"/>
                <w:b w:val="false"/>
                <w:i w:val="false"/>
                <w:caps w:val="false"/>
                <w:smallCaps w:val="false"/>
                <w:color w:val="231F20"/>
                <w:spacing w:val="-4"/>
                <w:sz w:val="20"/>
              </w:rPr>
              <w:t xml:space="preserve">approvals </w:t>
            </w:r>
            <w:r>
              <w:rPr>
                <w:rFonts w:ascii="Times New Roman;Times;serif" w:hAnsi="Times New Roman;Times;serif"/>
                <w:b w:val="false"/>
                <w:i w:val="false"/>
                <w:caps w:val="false"/>
                <w:smallCaps w:val="false"/>
                <w:color w:val="231F20"/>
                <w:sz w:val="20"/>
              </w:rPr>
              <w:t xml:space="preserve">and the generation of </w:t>
            </w:r>
            <w:r>
              <w:rPr>
                <w:rFonts w:ascii="Times New Roman;Times;serif" w:hAnsi="Times New Roman;Times;serif"/>
                <w:b w:val="false"/>
                <w:i w:val="false"/>
                <w:caps w:val="false"/>
                <w:smallCaps w:val="false"/>
                <w:color w:val="231F20"/>
                <w:spacing w:val="-3"/>
                <w:sz w:val="20"/>
              </w:rPr>
              <w:t xml:space="preserve">revenue </w:t>
            </w:r>
            <w:r>
              <w:rPr>
                <w:rFonts w:ascii="Times New Roman;Times;serif" w:hAnsi="Times New Roman;Times;serif"/>
                <w:b w:val="false"/>
                <w:i w:val="false"/>
                <w:caps w:val="false"/>
                <w:smallCaps w:val="false"/>
                <w:color w:val="231F20"/>
                <w:sz w:val="20"/>
              </w:rPr>
              <w:t>from those products or technologies;</w:t>
            </w:r>
          </w:p>
        </w:tc>
      </w:tr>
    </w:tbl>
    <w:tbl>
      <w:tblPr>
        <w:tblW w:w="8055" w:type="dxa"/>
        <w:jc w:val="left"/>
        <w:tblInd w:w="0" w:type="dxa"/>
        <w:tblCellMar>
          <w:top w:w="28" w:type="dxa"/>
          <w:left w:w="28" w:type="dxa"/>
          <w:bottom w:w="28" w:type="dxa"/>
          <w:right w:w="28" w:type="dxa"/>
        </w:tblCellMar>
      </w:tblPr>
      <w:tblGrid>
        <w:gridCol w:w="124"/>
        <w:gridCol w:w="196"/>
        <w:gridCol w:w="773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73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unforeseen</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liabilities</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difficulties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integrating</w:t>
            </w:r>
            <w:r>
              <w:rPr>
                <w:caps w:val="false"/>
                <w:smallCaps w:val="false"/>
                <w:color w:val="231F20"/>
                <w:spacing w:val="-4"/>
              </w:rPr>
              <w:t xml:space="preserve"> </w:t>
            </w:r>
            <w:r>
              <w:rPr>
                <w:rFonts w:ascii="Times New Roman;Times;serif" w:hAnsi="Times New Roman;Times;serif"/>
                <w:b w:val="false"/>
                <w:i w:val="false"/>
                <w:caps w:val="false"/>
                <w:smallCaps w:val="false"/>
                <w:color w:val="231F20"/>
                <w:spacing w:val="-3"/>
                <w:sz w:val="20"/>
              </w:rPr>
              <w:t>any</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businesses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that</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we</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choose</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acquire;</w:t>
            </w:r>
          </w:p>
        </w:tc>
      </w:tr>
    </w:tbl>
    <w:tbl>
      <w:tblPr>
        <w:tblW w:w="8106" w:type="dxa"/>
        <w:jc w:val="left"/>
        <w:tblInd w:w="0" w:type="dxa"/>
        <w:tblCellMar>
          <w:top w:w="28" w:type="dxa"/>
          <w:left w:w="28" w:type="dxa"/>
          <w:bottom w:w="28" w:type="dxa"/>
          <w:right w:w="28" w:type="dxa"/>
        </w:tblCellMar>
      </w:tblPr>
      <w:tblGrid>
        <w:gridCol w:w="124"/>
        <w:gridCol w:w="196"/>
        <w:gridCol w:w="778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78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disruptions</w:t>
            </w:r>
            <w:r>
              <w:rPr>
                <w:caps w:val="false"/>
                <w:smallCaps w:val="false"/>
                <w:color w:val="231F20"/>
                <w:spacing w:val="-11"/>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11"/>
              </w:rPr>
              <w:t xml:space="preserve"> </w:t>
            </w:r>
            <w:r>
              <w:rPr>
                <w:rFonts w:ascii="Times New Roman;Times;serif" w:hAnsi="Times New Roman;Times;serif"/>
                <w:b w:val="false"/>
                <w:i w:val="false"/>
                <w:caps w:val="false"/>
                <w:smallCaps w:val="false"/>
                <w:color w:val="231F20"/>
                <w:sz w:val="20"/>
              </w:rPr>
              <w:t>information</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technology</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systems</w:t>
            </w:r>
            <w:r>
              <w:rPr>
                <w:caps w:val="false"/>
                <w:smallCaps w:val="false"/>
                <w:color w:val="231F20"/>
                <w:spacing w:val="-11"/>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third-party</w:t>
            </w:r>
            <w:r>
              <w:rPr>
                <w:caps w:val="false"/>
                <w:smallCaps w:val="false"/>
                <w:color w:val="231F20"/>
                <w:spacing w:val="-11"/>
              </w:rPr>
              <w:t xml:space="preserve"> </w:t>
            </w:r>
            <w:r>
              <w:rPr>
                <w:rFonts w:ascii="Times New Roman;Times;serif" w:hAnsi="Times New Roman;Times;serif"/>
                <w:b w:val="false"/>
                <w:i w:val="false"/>
                <w:caps w:val="false"/>
                <w:smallCaps w:val="false"/>
                <w:color w:val="231F20"/>
                <w:sz w:val="20"/>
              </w:rPr>
              <w:t>contract</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manufacturers;</w:t>
            </w:r>
          </w:p>
        </w:tc>
      </w:tr>
    </w:tbl>
    <w:tbl>
      <w:tblPr>
        <w:tblW w:w="6291" w:type="dxa"/>
        <w:jc w:val="left"/>
        <w:tblInd w:w="0" w:type="dxa"/>
        <w:tblCellMar>
          <w:top w:w="28" w:type="dxa"/>
          <w:left w:w="28" w:type="dxa"/>
          <w:bottom w:w="28" w:type="dxa"/>
          <w:right w:w="28" w:type="dxa"/>
        </w:tblCellMar>
      </w:tblPr>
      <w:tblGrid>
        <w:gridCol w:w="124"/>
        <w:gridCol w:w="196"/>
        <w:gridCol w:w="597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9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general economic and industry conditions that affect customer</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demand;</w:t>
            </w:r>
          </w:p>
        </w:tc>
      </w:tr>
    </w:tbl>
    <w:tbl>
      <w:tblPr>
        <w:tblW w:w="8556" w:type="dxa"/>
        <w:jc w:val="left"/>
        <w:tblInd w:w="0" w:type="dxa"/>
        <w:tblCellMar>
          <w:top w:w="28" w:type="dxa"/>
          <w:left w:w="28" w:type="dxa"/>
          <w:bottom w:w="28" w:type="dxa"/>
          <w:right w:w="28" w:type="dxa"/>
        </w:tblCellMar>
      </w:tblPr>
      <w:tblGrid>
        <w:gridCol w:w="124"/>
        <w:gridCol w:w="196"/>
        <w:gridCol w:w="823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23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w:t>
            </w:r>
            <w:r>
              <w:rPr>
                <w:caps w:val="false"/>
                <w:smallCaps w:val="false"/>
                <w:color w:val="231F20"/>
                <w:spacing w:val="-28"/>
              </w:rPr>
              <w:t xml:space="preserve"> </w:t>
            </w:r>
            <w:r>
              <w:rPr>
                <w:rFonts w:ascii="Times New Roman;Times;serif" w:hAnsi="Times New Roman;Times;serif"/>
                <w:b w:val="false"/>
                <w:i w:val="false"/>
                <w:caps w:val="false"/>
                <w:smallCaps w:val="false"/>
                <w:color w:val="231F20"/>
                <w:sz w:val="20"/>
              </w:rPr>
              <w:t>impact</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28"/>
              </w:rPr>
              <w:t xml:space="preserve"> </w:t>
            </w:r>
            <w:r>
              <w:rPr>
                <w:rFonts w:ascii="Times New Roman;Times;serif" w:hAnsi="Times New Roman;Times;serif"/>
                <w:b w:val="false"/>
                <w:i w:val="false"/>
                <w:caps w:val="false"/>
                <w:smallCaps w:val="false"/>
                <w:color w:val="231F20"/>
                <w:sz w:val="20"/>
              </w:rPr>
              <w:t>COVID-19</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pandemic</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on</w:t>
            </w:r>
            <w:r>
              <w:rPr>
                <w:caps w:val="false"/>
                <w:smallCaps w:val="false"/>
                <w:color w:val="231F20"/>
                <w:spacing w:val="-28"/>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customers,</w:t>
            </w:r>
            <w:r>
              <w:rPr>
                <w:caps w:val="false"/>
                <w:smallCaps w:val="false"/>
                <w:color w:val="231F20"/>
                <w:spacing w:val="-28"/>
              </w:rPr>
              <w:t xml:space="preserve"> </w:t>
            </w:r>
            <w:r>
              <w:rPr>
                <w:rFonts w:ascii="Times New Roman;Times;serif" w:hAnsi="Times New Roman;Times;serif"/>
                <w:b w:val="false"/>
                <w:i w:val="false"/>
                <w:caps w:val="false"/>
                <w:smallCaps w:val="false"/>
                <w:color w:val="231F20"/>
                <w:sz w:val="20"/>
              </w:rPr>
              <w:t>suppliers,</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manufacturers</w:t>
            </w:r>
            <w:r>
              <w:rPr>
                <w:caps w:val="false"/>
                <w:smallCaps w:val="false"/>
                <w:color w:val="231F20"/>
                <w:spacing w:val="-28"/>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operations;</w:t>
            </w:r>
          </w:p>
        </w:tc>
      </w:tr>
    </w:tbl>
    <w:tbl>
      <w:tblPr>
        <w:tblW w:w="4170" w:type="dxa"/>
        <w:jc w:val="left"/>
        <w:tblInd w:w="0" w:type="dxa"/>
        <w:tblCellMar>
          <w:top w:w="28" w:type="dxa"/>
          <w:left w:w="28" w:type="dxa"/>
          <w:bottom w:w="28" w:type="dxa"/>
          <w:right w:w="28" w:type="dxa"/>
        </w:tblCellMar>
      </w:tblPr>
      <w:tblGrid>
        <w:gridCol w:w="124"/>
        <w:gridCol w:w="196"/>
        <w:gridCol w:w="3850"/>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850"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changes in accounting rules and tax</w:t>
            </w:r>
            <w:r>
              <w:rPr>
                <w:caps w:val="false"/>
                <w:smallCaps w:val="false"/>
                <w:color w:val="231F20"/>
                <w:spacing w:val="-20"/>
              </w:rPr>
              <w:t xml:space="preserve"> </w:t>
            </w:r>
            <w:r>
              <w:rPr>
                <w:rFonts w:ascii="Times New Roman;Times;serif" w:hAnsi="Times New Roman;Times;serif"/>
                <w:b w:val="false"/>
                <w:i w:val="false"/>
                <w:caps w:val="false"/>
                <w:smallCaps w:val="false"/>
                <w:color w:val="231F20"/>
                <w:spacing w:val="-6"/>
                <w:sz w:val="20"/>
              </w:rPr>
              <w:t>laws; and</w:t>
            </w:r>
          </w:p>
        </w:tc>
      </w:tr>
    </w:tbl>
    <w:tbl>
      <w:tblPr>
        <w:tblW w:w="2835" w:type="dxa"/>
        <w:jc w:val="left"/>
        <w:tblInd w:w="0" w:type="dxa"/>
        <w:tblCellMar>
          <w:top w:w="28" w:type="dxa"/>
          <w:left w:w="28" w:type="dxa"/>
          <w:bottom w:w="28" w:type="dxa"/>
          <w:right w:w="28" w:type="dxa"/>
        </w:tblCellMar>
      </w:tblPr>
      <w:tblGrid>
        <w:gridCol w:w="124"/>
        <w:gridCol w:w="196"/>
        <w:gridCol w:w="251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51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pacing w:val="-6"/>
                <w:sz w:val="20"/>
              </w:rPr>
            </w:pPr>
            <w:r>
              <w:rPr>
                <w:rFonts w:ascii="Times New Roman;Times;serif" w:hAnsi="Times New Roman;Times;serif"/>
                <w:b w:val="false"/>
                <w:i w:val="false"/>
                <w:caps w:val="false"/>
                <w:smallCaps w:val="false"/>
                <w:color w:val="231F20"/>
                <w:spacing w:val="-6"/>
                <w:sz w:val="20"/>
              </w:rPr>
              <w:t>global geopolitical conditions.</w:t>
            </w:r>
          </w:p>
        </w:tc>
      </w:tr>
    </w:tbl>
    <w:p>
      <w:pPr>
        <w:pStyle w:val="TextBody"/>
        <w:spacing w:before="240" w:after="240"/>
        <w:ind w:left="0" w:right="0" w:hanging="0"/>
        <w:rPr>
          <w:rFonts w:ascii="Times New Roman;Times;serif" w:hAnsi="Times New Roman;Times;serif"/>
          <w:b/>
          <w:i/>
          <w:color w:val="231F20"/>
          <w:sz w:val="20"/>
        </w:rPr>
      </w:pPr>
      <w:r>
        <w:rPr>
          <w:rFonts w:ascii="Times New Roman;Times;serif" w:hAnsi="Times New Roman;Times;serif"/>
          <w:b/>
          <w:i/>
          <w:color w:val="231F20"/>
          <w:sz w:val="20"/>
        </w:rPr>
        <w:t>We have a limited operating history upon which to base an investment decision.</w:t>
      </w:r>
    </w:p>
    <w:p>
      <w:pPr>
        <w:pStyle w:val="TextBody"/>
        <w:spacing w:before="165"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Our limited operating history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hinder your ability to </w:t>
      </w:r>
      <w:r>
        <w:rPr>
          <w:rFonts w:ascii="Times New Roman;Times;serif" w:hAnsi="Times New Roman;Times;serif"/>
          <w:color w:val="231F20"/>
          <w:spacing w:val="-3"/>
          <w:sz w:val="20"/>
        </w:rPr>
        <w:t xml:space="preserve">evaluate </w:t>
      </w:r>
      <w:r>
        <w:rPr>
          <w:rFonts w:ascii="Times New Roman;Times;serif" w:hAnsi="Times New Roman;Times;serif"/>
          <w:color w:val="231F20"/>
          <w:sz w:val="20"/>
        </w:rPr>
        <w:t xml:space="preserve">our prospects due to a lack of historical financial data and our </w:t>
      </w:r>
      <w:r>
        <w:rPr>
          <w:rFonts w:ascii="Times New Roman;Times;serif" w:hAnsi="Times New Roman;Times;serif"/>
          <w:color w:val="231F20"/>
          <w:spacing w:val="-3"/>
          <w:sz w:val="20"/>
        </w:rPr>
        <w:t xml:space="preserve">unproven </w:t>
      </w:r>
      <w:r>
        <w:rPr>
          <w:rFonts w:ascii="Times New Roman;Times;serif" w:hAnsi="Times New Roman;Times;serif"/>
          <w:color w:val="231F20"/>
          <w:sz w:val="20"/>
        </w:rPr>
        <w:t xml:space="preserve">potential to generate </w:t>
      </w:r>
      <w:r>
        <w:rPr>
          <w:rFonts w:ascii="Times New Roman;Times;serif" w:hAnsi="Times New Roman;Times;serif"/>
          <w:color w:val="231F20"/>
          <w:spacing w:val="-3"/>
          <w:sz w:val="20"/>
        </w:rPr>
        <w:t xml:space="preserve">profits. </w:t>
      </w:r>
      <w:r>
        <w:rPr>
          <w:rFonts w:ascii="Times New Roman;Times;serif" w:hAnsi="Times New Roman;Times;serif"/>
          <w:color w:val="231F20"/>
          <w:spacing w:val="-10"/>
          <w:sz w:val="20"/>
        </w:rPr>
        <w:t xml:space="preserve">You </w:t>
      </w:r>
      <w:r>
        <w:rPr>
          <w:rFonts w:ascii="Times New Roman;Times;serif" w:hAnsi="Times New Roman;Times;serif"/>
          <w:color w:val="231F20"/>
          <w:sz w:val="20"/>
        </w:rPr>
        <w:t xml:space="preserve">should </w:t>
      </w:r>
      <w:r>
        <w:rPr>
          <w:rFonts w:ascii="Times New Roman;Times;serif" w:hAnsi="Times New Roman;Times;serif"/>
          <w:color w:val="231F20"/>
          <w:spacing w:val="-3"/>
          <w:sz w:val="20"/>
        </w:rPr>
        <w:t xml:space="preserve">evaluate </w:t>
      </w:r>
      <w:r>
        <w:rPr>
          <w:rFonts w:ascii="Times New Roman;Times;serif" w:hAnsi="Times New Roman;Times;serif"/>
          <w:color w:val="231F20"/>
          <w:sz w:val="20"/>
        </w:rPr>
        <w:t xml:space="preserve">the likelihood of financial and operational success in light of the risks, uncertainties, expenses and difficulties associated with an early-stage business, many of which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 beyond our control,</w:t>
      </w:r>
      <w:r>
        <w:rPr>
          <w:rFonts w:ascii="Times New Roman;Times;serif" w:hAnsi="Times New Roman;Times;serif"/>
          <w:color w:val="231F20"/>
          <w:spacing w:val="-23"/>
          <w:sz w:val="20"/>
        </w:rPr>
        <w:t xml:space="preserve"> </w:t>
      </w:r>
      <w:r>
        <w:rPr>
          <w:rFonts w:ascii="Times New Roman;Times;serif" w:hAnsi="Times New Roman;Times;serif"/>
          <w:color w:val="231F20"/>
          <w:sz w:val="20"/>
        </w:rPr>
        <w:t>including:</w:t>
      </w:r>
    </w:p>
    <w:tbl>
      <w:tblPr>
        <w:tblW w:w="9786" w:type="dxa"/>
        <w:jc w:val="left"/>
        <w:tblInd w:w="0" w:type="dxa"/>
        <w:tblCellMar>
          <w:top w:w="28" w:type="dxa"/>
          <w:left w:w="28" w:type="dxa"/>
          <w:bottom w:w="28" w:type="dxa"/>
          <w:right w:w="28" w:type="dxa"/>
        </w:tblCellMar>
      </w:tblPr>
      <w:tblGrid>
        <w:gridCol w:w="124"/>
        <w:gridCol w:w="196"/>
        <w:gridCol w:w="946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46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our potential inability to continue to undertake preclinical studies, pharmaceutical development and clinical</w:t>
            </w:r>
            <w:r>
              <w:rPr>
                <w:caps w:val="false"/>
                <w:smallCaps w:val="false"/>
                <w:color w:val="231F20"/>
                <w:spacing w:val="-4"/>
              </w:rPr>
              <w:t xml:space="preserve"> </w:t>
            </w:r>
            <w:r>
              <w:rPr>
                <w:rFonts w:ascii="Times New Roman;Times;serif" w:hAnsi="Times New Roman;Times;serif"/>
                <w:b w:val="false"/>
                <w:i w:val="false"/>
                <w:caps w:val="false"/>
                <w:smallCaps w:val="false"/>
                <w:color w:val="231F20"/>
                <w:spacing w:val="-3"/>
                <w:sz w:val="20"/>
              </w:rPr>
              <w:t>trials,</w:t>
            </w:r>
          </w:p>
        </w:tc>
      </w:tr>
    </w:tbl>
    <w:tbl>
      <w:tblPr>
        <w:tblW w:w="5231" w:type="dxa"/>
        <w:jc w:val="left"/>
        <w:tblInd w:w="0" w:type="dxa"/>
        <w:tblCellMar>
          <w:top w:w="28" w:type="dxa"/>
          <w:left w:w="28" w:type="dxa"/>
          <w:bottom w:w="28" w:type="dxa"/>
          <w:right w:w="28" w:type="dxa"/>
        </w:tblCellMar>
      </w:tblPr>
      <w:tblGrid>
        <w:gridCol w:w="124"/>
        <w:gridCol w:w="196"/>
        <w:gridCol w:w="491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91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our</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potential</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inability</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obtain</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regulatory</w:t>
            </w:r>
            <w:r>
              <w:rPr>
                <w:caps w:val="false"/>
                <w:smallCaps w:val="false"/>
                <w:color w:val="231F20"/>
                <w:spacing w:val="-7"/>
              </w:rPr>
              <w:t xml:space="preserve"> </w:t>
            </w:r>
            <w:r>
              <w:rPr>
                <w:rFonts w:ascii="Times New Roman;Times;serif" w:hAnsi="Times New Roman;Times;serif"/>
                <w:b w:val="false"/>
                <w:i w:val="false"/>
                <w:caps w:val="false"/>
                <w:smallCaps w:val="false"/>
                <w:color w:val="231F20"/>
                <w:spacing w:val="-5"/>
                <w:sz w:val="20"/>
              </w:rPr>
              <w:t>approvals,</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and</w:t>
            </w:r>
          </w:p>
        </w:tc>
      </w:tr>
    </w:tbl>
    <w:tbl>
      <w:tblPr>
        <w:tblW w:w="6072" w:type="dxa"/>
        <w:jc w:val="left"/>
        <w:tblInd w:w="0" w:type="dxa"/>
        <w:tblCellMar>
          <w:top w:w="28" w:type="dxa"/>
          <w:left w:w="28" w:type="dxa"/>
          <w:bottom w:w="28" w:type="dxa"/>
          <w:right w:w="28" w:type="dxa"/>
        </w:tblCellMar>
      </w:tblPr>
      <w:tblGrid>
        <w:gridCol w:w="124"/>
        <w:gridCol w:w="196"/>
        <w:gridCol w:w="5752"/>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75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our</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potential</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inability</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manufacture,</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sell</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market</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7"/>
              </w:rPr>
              <w:t xml:space="preserve"> </w:t>
            </w:r>
            <w:r>
              <w:rPr>
                <w:rFonts w:ascii="Times New Roman;Times;serif" w:hAnsi="Times New Roman;Times;serif"/>
                <w:b w:val="false"/>
                <w:i w:val="false"/>
                <w:caps w:val="false"/>
                <w:smallCaps w:val="false"/>
                <w:color w:val="231F20"/>
                <w:spacing w:val="-3"/>
                <w:sz w:val="20"/>
              </w:rPr>
              <w:t>products.</w:t>
            </w:r>
          </w:p>
        </w:tc>
      </w:tr>
    </w:tbl>
    <w:p>
      <w:pPr>
        <w:pStyle w:val="TextBody"/>
        <w:spacing w:lineRule="auto" w:line="288" w:before="16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Our operations have been limited to organizing and staffing our company, acquiring, developing and securing our proprietary technology and intellectual property and undertaking preclinical studies and early-stage clinical trials of our principal product candidates. These operations provide a limited basis for you to assess our ability to commercialize our product candidates. Further, the pro forma condensed combined financial information included in this registration statement may not be a good prediction of our future results of operations and financial condition.</w:t>
      </w:r>
    </w:p>
    <w:p>
      <w:pPr>
        <w:pStyle w:val="TextBody"/>
        <w:spacing w:lineRule="auto" w:line="288"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need to raise additional capital to operate our business. If we fail to obtain the capital necessary to fund our operations, we will be unable to continue or complete our product development and we may not be able to continue as a going concern.</w:t>
      </w:r>
    </w:p>
    <w:p>
      <w:pPr>
        <w:pStyle w:val="TextBody"/>
        <w:spacing w:lineRule="auto" w:line="288" w:before="166" w:after="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are a company focused on product development and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not generated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product </w:t>
      </w:r>
      <w:r>
        <w:rPr>
          <w:rFonts w:ascii="Times New Roman;Times;serif" w:hAnsi="Times New Roman;Times;serif"/>
          <w:color w:val="231F20"/>
          <w:spacing w:val="-3"/>
          <w:sz w:val="20"/>
        </w:rPr>
        <w:t xml:space="preserve">revenues </w:t>
      </w:r>
      <w:r>
        <w:rPr>
          <w:rFonts w:ascii="Times New Roman;Times;serif" w:hAnsi="Times New Roman;Times;serif"/>
          <w:color w:val="231F20"/>
          <w:sz w:val="20"/>
        </w:rPr>
        <w:t xml:space="preserve">to </w:t>
      </w:r>
      <w:r>
        <w:rPr>
          <w:rFonts w:ascii="Times New Roman;Times;serif" w:hAnsi="Times New Roman;Times;serif"/>
          <w:color w:val="231F20"/>
          <w:spacing w:val="-4"/>
          <w:sz w:val="20"/>
        </w:rPr>
        <w:t xml:space="preserve">date. </w:t>
      </w:r>
      <w:r>
        <w:rPr>
          <w:rFonts w:ascii="Times New Roman;Times;serif" w:hAnsi="Times New Roman;Times;serif"/>
          <w:color w:val="231F20"/>
          <w:sz w:val="20"/>
        </w:rPr>
        <w:t xml:space="preserve">Until, and if, we receive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from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and other regulatory authorities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our product candidates, we cannot sell our drugs and will not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product </w:t>
      </w:r>
      <w:r>
        <w:rPr>
          <w:rFonts w:ascii="Times New Roman;Times;serif" w:hAnsi="Times New Roman;Times;serif"/>
          <w:color w:val="231F20"/>
          <w:spacing w:val="-4"/>
          <w:sz w:val="20"/>
        </w:rPr>
        <w:t xml:space="preserve">revenues.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had cash and cash equivalents of approximately $20.1 million as of December 31, 2022, and the Company raised an additional $2.9 million, before fees and other costs, through an offering in March 2023. However, we will need to continue to seek capital from time to time to continue the development and potential commercialization of our product candidates, including any expansion of our clinical programs to facilitate a larger safety database for the use of NRX-101 as a chronic, or chronic-intermittent, treatment as advised by FDA in our recent Type B meeting, and to acquire and</w:t>
      </w:r>
      <w:r>
        <w:rPr>
          <w:rFonts w:ascii="Times New Roman;Times;serif" w:hAnsi="Times New Roman;Times;serif"/>
          <w:color w:val="231F20"/>
          <w:spacing w:val="-15"/>
          <w:sz w:val="20"/>
        </w:rPr>
        <w:t xml:space="preserve"> </w:t>
      </w:r>
      <w:r>
        <w:rPr>
          <w:rFonts w:ascii="Times New Roman;Times;serif" w:hAnsi="Times New Roman;Times;serif"/>
          <w:color w:val="231F20"/>
          <w:sz w:val="20"/>
        </w:rPr>
        <w:t>develop</w:t>
      </w:r>
      <w:r>
        <w:rPr>
          <w:rFonts w:ascii="Times New Roman;Times;serif" w:hAnsi="Times New Roman;Times;serif"/>
          <w:color w:val="231F20"/>
          <w:spacing w:val="-14"/>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4"/>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candidates.</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Accordingly,</w:t>
      </w:r>
      <w:r>
        <w:rPr>
          <w:rFonts w:ascii="Times New Roman;Times;serif" w:hAnsi="Times New Roman;Times;serif"/>
          <w:color w:val="231F20"/>
          <w:spacing w:val="-14"/>
          <w:sz w:val="20"/>
        </w:rPr>
        <w:t xml:space="preserve"> </w:t>
      </w:r>
      <w:r>
        <w:rPr>
          <w:rFonts w:ascii="Times New Roman;Times;serif" w:hAnsi="Times New Roman;Times;serif"/>
          <w:color w:val="231F20"/>
          <w:sz w:val="20"/>
        </w:rPr>
        <w:t>we</w:t>
      </w:r>
      <w:r>
        <w:rPr>
          <w:rFonts w:ascii="Times New Roman;Times;serif" w:hAnsi="Times New Roman;Times;serif"/>
          <w:color w:val="231F20"/>
          <w:spacing w:val="-14"/>
          <w:sz w:val="20"/>
        </w:rPr>
        <w:t xml:space="preserve"> </w:t>
      </w:r>
      <w:r>
        <w:rPr>
          <w:rFonts w:ascii="Times New Roman;Times;serif" w:hAnsi="Times New Roman;Times;serif"/>
          <w:color w:val="231F20"/>
          <w:sz w:val="20"/>
        </w:rPr>
        <w:t>believe</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15"/>
          <w:sz w:val="20"/>
        </w:rPr>
        <w:t xml:space="preserve"> </w:t>
      </w:r>
      <w:r>
        <w:rPr>
          <w:rFonts w:ascii="Times New Roman;Times;serif" w:hAnsi="Times New Roman;Times;serif"/>
          <w:color w:val="231F20"/>
          <w:sz w:val="20"/>
        </w:rPr>
        <w:t>we</w:t>
      </w:r>
      <w:r>
        <w:rPr>
          <w:rFonts w:ascii="Times New Roman;Times;serif" w:hAnsi="Times New Roman;Times;serif"/>
          <w:color w:val="231F20"/>
          <w:spacing w:val="-14"/>
          <w:sz w:val="20"/>
        </w:rPr>
        <w:t xml:space="preserve"> will </w:t>
      </w:r>
      <w:r>
        <w:rPr>
          <w:rFonts w:ascii="Times New Roman;Times;serif" w:hAnsi="Times New Roman;Times;serif"/>
          <w:color w:val="231F20"/>
          <w:sz w:val="20"/>
        </w:rPr>
        <w:t>need</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5"/>
          <w:sz w:val="20"/>
        </w:rPr>
        <w:t xml:space="preserve"> </w:t>
      </w:r>
      <w:r>
        <w:rPr>
          <w:rFonts w:ascii="Times New Roman;Times;serif" w:hAnsi="Times New Roman;Times;serif"/>
          <w:color w:val="231F20"/>
          <w:sz w:val="20"/>
        </w:rPr>
        <w:t>raise</w:t>
      </w:r>
      <w:r>
        <w:rPr>
          <w:rFonts w:ascii="Times New Roman;Times;serif" w:hAnsi="Times New Roman;Times;serif"/>
          <w:color w:val="231F20"/>
          <w:spacing w:val="-14"/>
          <w:sz w:val="20"/>
        </w:rPr>
        <w:t xml:space="preserve"> </w:t>
      </w:r>
      <w:r>
        <w:rPr>
          <w:rFonts w:ascii="Times New Roman;Times;serif" w:hAnsi="Times New Roman;Times;serif"/>
          <w:color w:val="231F20"/>
          <w:sz w:val="20"/>
        </w:rPr>
        <w:t>substantial</w:t>
      </w:r>
      <w:r>
        <w:rPr>
          <w:rFonts w:ascii="Times New Roman;Times;serif" w:hAnsi="Times New Roman;Times;serif"/>
          <w:color w:val="231F20"/>
          <w:spacing w:val="-14"/>
          <w:sz w:val="20"/>
        </w:rPr>
        <w:t xml:space="preserve"> </w:t>
      </w:r>
      <w:r>
        <w:rPr>
          <w:rFonts w:ascii="Times New Roman;Times;serif" w:hAnsi="Times New Roman;Times;serif"/>
          <w:color w:val="231F20"/>
          <w:sz w:val="20"/>
        </w:rPr>
        <w:t xml:space="preserve">additional capital to fund our continuing operations and the development and potential commercialization of our product candidates during calendar year 2023.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raise capital through future share offerings, the issuance of debt</w:t>
      </w:r>
      <w:r>
        <w:rPr>
          <w:rFonts w:ascii="Times New Roman;Times;serif" w:hAnsi="Times New Roman;Times;serif"/>
          <w:color w:val="231F20"/>
          <w:spacing w:val="-9"/>
          <w:sz w:val="20"/>
        </w:rPr>
        <w:t xml:space="preserve"> </w:t>
      </w:r>
      <w:r>
        <w:rPr>
          <w:rFonts w:ascii="Times New Roman;Times;serif" w:hAnsi="Times New Roman;Times;serif"/>
          <w:color w:val="231F20"/>
          <w:sz w:val="20"/>
        </w:rPr>
        <w:t>instruments</w:t>
      </w:r>
      <w:r>
        <w:rPr>
          <w:rFonts w:ascii="Times New Roman;Times;serif" w:hAnsi="Times New Roman;Times;serif"/>
          <w:color w:val="231F20"/>
          <w:spacing w:val="-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grant</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monies.</w:t>
      </w:r>
      <w:r>
        <w:rPr>
          <w:rFonts w:ascii="Times New Roman;Times;serif" w:hAnsi="Times New Roman;Times;serif"/>
          <w:color w:val="231F20"/>
          <w:spacing w:val="-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actual</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capital</w:t>
      </w:r>
      <w:r>
        <w:rPr>
          <w:rFonts w:ascii="Times New Roman;Times;serif" w:hAnsi="Times New Roman;Times;serif"/>
          <w:color w:val="231F20"/>
          <w:spacing w:val="-8"/>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9"/>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8"/>
          <w:sz w:val="20"/>
        </w:rPr>
        <w:t xml:space="preserve"> </w:t>
      </w:r>
      <w:r>
        <w:rPr>
          <w:rFonts w:ascii="Times New Roman;Times;serif" w:hAnsi="Times New Roman;Times;serif"/>
          <w:color w:val="231F20"/>
          <w:sz w:val="20"/>
        </w:rPr>
        <w:t>depend</w:t>
      </w:r>
      <w:r>
        <w:rPr>
          <w:rFonts w:ascii="Times New Roman;Times;serif" w:hAnsi="Times New Roman;Times;serif"/>
          <w:color w:val="231F20"/>
          <w:spacing w:val="-8"/>
          <w:sz w:val="20"/>
        </w:rPr>
        <w:t xml:space="preserve"> </w:t>
      </w:r>
      <w:r>
        <w:rPr>
          <w:rFonts w:ascii="Times New Roman;Times;serif" w:hAnsi="Times New Roman;Times;serif"/>
          <w:color w:val="231F20"/>
          <w:sz w:val="20"/>
        </w:rPr>
        <w:t>on</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many</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factors.</w:t>
      </w:r>
      <w:r>
        <w:rPr>
          <w:rFonts w:ascii="Times New Roman;Times;serif" w:hAnsi="Times New Roman;Times;serif"/>
          <w:color w:val="231F20"/>
          <w:spacing w:val="-8"/>
          <w:sz w:val="20"/>
        </w:rPr>
        <w:t xml:space="preserve"> </w:t>
      </w:r>
      <w:r>
        <w:rPr>
          <w:rFonts w:ascii="Times New Roman;Times;serif" w:hAnsi="Times New Roman;Times;serif"/>
          <w:color w:val="231F20"/>
          <w:spacing w:val="-6"/>
          <w:sz w:val="20"/>
        </w:rPr>
        <w:t>For</w:t>
      </w:r>
      <w:r>
        <w:rPr>
          <w:rFonts w:ascii="Times New Roman;Times;serif" w:hAnsi="Times New Roman;Times;serif"/>
          <w:color w:val="231F20"/>
          <w:spacing w:val="-8"/>
          <w:sz w:val="20"/>
        </w:rPr>
        <w:t xml:space="preserve"> </w:t>
      </w:r>
      <w:r>
        <w:rPr>
          <w:rFonts w:ascii="Times New Roman;Times;serif" w:hAnsi="Times New Roman;Times;serif"/>
          <w:color w:val="231F20"/>
          <w:spacing w:val="-2"/>
          <w:sz w:val="20"/>
        </w:rPr>
        <w:t xml:space="preserve">instance, </w:t>
      </w:r>
      <w:r>
        <w:rPr>
          <w:rFonts w:ascii="Times New Roman;Times;serif" w:hAnsi="Times New Roman;Times;serif"/>
          <w:color w:val="231F20"/>
          <w:sz w:val="20"/>
        </w:rPr>
        <w:t xml:space="preserve">our business or operations may change in a manner that would consume available funds more rapidly than anticipated and substantial additional funding may be required to maintain operations, fund expansion, develop new or enhanced products, acquire complementary products, business or technologies or otherwise respond to competitive pressures and opportunities, such as a change in the regulatory environment or a change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in preferred depression treatment. If we experience unanticipated cash requirements, we may need to seek additional sources of financing, which may not be available on favorable terms, if at all.</w:t>
      </w:r>
    </w:p>
    <w:p>
      <w:pPr>
        <w:pStyle w:val="TextBody"/>
        <w:spacing w:before="153"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secure funding when we need it or on </w:t>
      </w:r>
      <w:r>
        <w:rPr>
          <w:rFonts w:ascii="Times New Roman;Times;serif" w:hAnsi="Times New Roman;Times;serif"/>
          <w:color w:val="231F20"/>
          <w:spacing w:val="-4"/>
          <w:sz w:val="20"/>
        </w:rPr>
        <w:t xml:space="preserve">favorable </w:t>
      </w:r>
      <w:r>
        <w:rPr>
          <w:rFonts w:ascii="Times New Roman;Times;serif" w:hAnsi="Times New Roman;Times;serif"/>
          <w:color w:val="231F20"/>
          <w:sz w:val="20"/>
        </w:rPr>
        <w:t xml:space="preserve">terms. If we cannot raise adequate funds to satisfy our capital requirements, we will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to </w:t>
      </w:r>
      <w:r>
        <w:rPr>
          <w:rFonts w:ascii="Times New Roman;Times;serif" w:hAnsi="Times New Roman;Times;serif"/>
          <w:color w:val="231F20"/>
          <w:spacing w:val="-5"/>
          <w:sz w:val="20"/>
        </w:rPr>
        <w:t xml:space="preserve">delay, </w:t>
      </w:r>
      <w:r>
        <w:rPr>
          <w:rFonts w:ascii="Times New Roman;Times;serif" w:hAnsi="Times New Roman;Times;serif"/>
          <w:color w:val="231F20"/>
          <w:sz w:val="20"/>
        </w:rPr>
        <w:t>scale-back or eliminate our research</w:t>
      </w:r>
      <w:r>
        <w:rPr>
          <w:rFonts w:ascii="Times New Roman;Times;serif" w:hAnsi="Times New Roman;Times;serif"/>
          <w:color w:val="231F20"/>
          <w:spacing w:val="-2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8"/>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28"/>
          <w:sz w:val="20"/>
        </w:rPr>
        <w:t xml:space="preserve"> </w:t>
      </w:r>
      <w:r>
        <w:rPr>
          <w:rFonts w:ascii="Times New Roman;Times;serif" w:hAnsi="Times New Roman;Times;serif"/>
          <w:color w:val="231F20"/>
          <w:sz w:val="20"/>
        </w:rPr>
        <w:t>activities,</w:t>
      </w:r>
      <w:r>
        <w:rPr>
          <w:rFonts w:ascii="Times New Roman;Times;serif" w:hAnsi="Times New Roman;Times;serif"/>
          <w:color w:val="231F20"/>
          <w:spacing w:val="-28"/>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8"/>
          <w:sz w:val="20"/>
        </w:rPr>
        <w:t xml:space="preserve"> </w:t>
      </w:r>
      <w:r>
        <w:rPr>
          <w:rFonts w:ascii="Times New Roman;Times;serif" w:hAnsi="Times New Roman;Times;serif"/>
          <w:color w:val="231F20"/>
          <w:sz w:val="20"/>
        </w:rPr>
        <w:t>studies</w:t>
      </w:r>
      <w:r>
        <w:rPr>
          <w:rFonts w:ascii="Times New Roman;Times;serif" w:hAnsi="Times New Roman;Times;serif"/>
          <w:color w:val="231F20"/>
          <w:spacing w:val="-28"/>
          <w:sz w:val="20"/>
        </w:rPr>
        <w:t xml:space="preserve"> </w:t>
      </w:r>
      <w:r>
        <w:rPr>
          <w:rFonts w:ascii="Times New Roman;Times;serif" w:hAnsi="Times New Roman;Times;serif"/>
          <w:color w:val="231F20"/>
          <w:sz w:val="20"/>
        </w:rPr>
        <w:t>or</w:t>
      </w:r>
      <w:r>
        <w:rPr>
          <w:rFonts w:ascii="Times New Roman;Times;serif" w:hAnsi="Times New Roman;Times;serif"/>
          <w:color w:val="231F20"/>
          <w:spacing w:val="-27"/>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28"/>
          <w:sz w:val="20"/>
        </w:rPr>
        <w:t xml:space="preserve"> </w:t>
      </w:r>
      <w:r>
        <w:rPr>
          <w:rFonts w:ascii="Times New Roman;Times;serif" w:hAnsi="Times New Roman;Times;serif"/>
          <w:color w:val="231F20"/>
          <w:sz w:val="20"/>
        </w:rPr>
        <w:t>operations</w:t>
      </w:r>
      <w:r>
        <w:rPr>
          <w:rFonts w:ascii="Times New Roman;Times;serif" w:hAnsi="Times New Roman;Times;serif"/>
          <w:color w:val="231F20"/>
          <w:spacing w:val="-2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8"/>
          <w:sz w:val="20"/>
        </w:rPr>
        <w:t xml:space="preserve"> </w:t>
      </w:r>
      <w:r>
        <w:rPr>
          <w:rFonts w:ascii="Times New Roman;Times;serif" w:hAnsi="Times New Roman;Times;serif"/>
          <w:color w:val="231F20"/>
          <w:sz w:val="20"/>
        </w:rPr>
        <w:t>we</w:t>
      </w:r>
      <w:r>
        <w:rPr>
          <w:rFonts w:ascii="Times New Roman;Times;serif" w:hAnsi="Times New Roman;Times;serif"/>
          <w:color w:val="231F20"/>
          <w:spacing w:val="-28"/>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8"/>
          <w:sz w:val="20"/>
        </w:rPr>
        <w:t xml:space="preserve"> </w:t>
      </w:r>
      <w:r>
        <w:rPr>
          <w:rFonts w:ascii="Times New Roman;Times;serif" w:hAnsi="Times New Roman;Times;serif"/>
          <w:color w:val="231F20"/>
          <w:sz w:val="20"/>
        </w:rPr>
        <w:t>be</w:t>
      </w:r>
      <w:r>
        <w:rPr>
          <w:rFonts w:ascii="Times New Roman;Times;serif" w:hAnsi="Times New Roman;Times;serif"/>
          <w:color w:val="231F20"/>
          <w:spacing w:val="-28"/>
          <w:sz w:val="20"/>
        </w:rPr>
        <w:t xml:space="preserve"> </w:t>
      </w:r>
      <w:r>
        <w:rPr>
          <w:rFonts w:ascii="Times New Roman;Times;serif" w:hAnsi="Times New Roman;Times;serif"/>
          <w:color w:val="231F20"/>
          <w:sz w:val="20"/>
        </w:rPr>
        <w:t>unable</w:t>
      </w:r>
      <w:r>
        <w:rPr>
          <w:rFonts w:ascii="Times New Roman;Times;serif" w:hAnsi="Times New Roman;Times;serif"/>
          <w:color w:val="231F20"/>
          <w:spacing w:val="-27"/>
          <w:sz w:val="20"/>
        </w:rPr>
        <w:t xml:space="preserve"> </w:t>
      </w:r>
      <w:r>
        <w:rPr>
          <w:rFonts w:ascii="Times New Roman;Times;serif" w:hAnsi="Times New Roman;Times;serif"/>
          <w:color w:val="231F20"/>
          <w:sz w:val="20"/>
        </w:rPr>
        <w:t>to</w:t>
      </w:r>
      <w:r>
        <w:rPr>
          <w:rFonts w:ascii="Times New Roman;Times;serif" w:hAnsi="Times New Roman;Times;serif"/>
          <w:color w:val="231F20"/>
          <w:spacing w:val="-28"/>
          <w:sz w:val="20"/>
        </w:rPr>
        <w:t xml:space="preserve"> </w:t>
      </w:r>
      <w:r>
        <w:rPr>
          <w:rFonts w:ascii="Times New Roman;Times;serif" w:hAnsi="Times New Roman;Times;serif"/>
          <w:color w:val="231F20"/>
          <w:sz w:val="20"/>
        </w:rPr>
        <w:t>complete planned</w:t>
      </w:r>
      <w:r>
        <w:rPr>
          <w:rFonts w:ascii="Times New Roman;Times;serif" w:hAnsi="Times New Roman;Times;serif"/>
          <w:color w:val="231F20"/>
          <w:spacing w:val="-18"/>
          <w:sz w:val="20"/>
        </w:rPr>
        <w:t xml:space="preserve"> </w:t>
      </w:r>
      <w:r>
        <w:rPr>
          <w:rFonts w:ascii="Times New Roman;Times;serif" w:hAnsi="Times New Roman;Times;serif"/>
          <w:color w:val="231F20"/>
          <w:sz w:val="20"/>
        </w:rPr>
        <w:t>nonclinical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studies</w:t>
      </w:r>
      <w:r>
        <w:rPr>
          <w:rFonts w:ascii="Times New Roman;Times;serif" w:hAnsi="Times New Roman;Times;serif"/>
          <w:color w:val="231F20"/>
          <w:spacing w:val="-1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8"/>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7"/>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obtain</w:t>
      </w:r>
      <w:r>
        <w:rPr>
          <w:rFonts w:ascii="Times New Roman;Times;serif" w:hAnsi="Times New Roman;Times;serif"/>
          <w:color w:val="231F20"/>
          <w:spacing w:val="-17"/>
          <w:sz w:val="20"/>
        </w:rPr>
        <w:t xml:space="preserve"> </w:t>
      </w:r>
      <w:r>
        <w:rPr>
          <w:rFonts w:ascii="Times New Roman;Times;serif" w:hAnsi="Times New Roman;Times;serif"/>
          <w:color w:val="231F20"/>
          <w:spacing w:val="-4"/>
          <w:sz w:val="20"/>
        </w:rPr>
        <w:t>approval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17"/>
          <w:sz w:val="20"/>
        </w:rPr>
        <w:t xml:space="preserve"> </w:t>
      </w:r>
      <w:r>
        <w:rPr>
          <w:rFonts w:ascii="Times New Roman;Times;serif" w:hAnsi="Times New Roman;Times;serif"/>
          <w:color w:val="231F20"/>
          <w:sz w:val="20"/>
        </w:rPr>
        <w:t>candidates</w:t>
      </w:r>
      <w:r>
        <w:rPr>
          <w:rFonts w:ascii="Times New Roman;Times;serif" w:hAnsi="Times New Roman;Times;serif"/>
          <w:color w:val="231F20"/>
          <w:spacing w:val="-18"/>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1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and</w:t>
      </w:r>
      <w:r>
        <w:rPr>
          <w:rFonts w:ascii="Times New Roman;Times;serif" w:hAnsi="Times New Roman;Times;serif"/>
          <w:color w:val="231F20"/>
          <w:spacing w:val="-32"/>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31"/>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32"/>
          <w:sz w:val="20"/>
        </w:rPr>
        <w:t xml:space="preserve"> </w:t>
      </w:r>
      <w:r>
        <w:rPr>
          <w:rFonts w:ascii="Times New Roman;Times;serif" w:hAnsi="Times New Roman;Times;serif"/>
          <w:color w:val="231F20"/>
          <w:sz w:val="20"/>
        </w:rPr>
        <w:t>authorities.</w:t>
      </w:r>
      <w:r>
        <w:rPr>
          <w:rFonts w:ascii="Times New Roman;Times;serif" w:hAnsi="Times New Roman;Times;serif"/>
          <w:color w:val="231F20"/>
          <w:spacing w:val="-31"/>
          <w:sz w:val="20"/>
        </w:rPr>
        <w:t xml:space="preserve"> </w:t>
      </w:r>
      <w:r>
        <w:rPr>
          <w:rFonts w:ascii="Times New Roman;Times;serif" w:hAnsi="Times New Roman;Times;serif"/>
          <w:color w:val="231F20"/>
          <w:sz w:val="20"/>
        </w:rPr>
        <w:t>In</w:t>
      </w:r>
      <w:r>
        <w:rPr>
          <w:rFonts w:ascii="Times New Roman;Times;serif" w:hAnsi="Times New Roman;Times;serif"/>
          <w:color w:val="231F20"/>
          <w:spacing w:val="-31"/>
          <w:sz w:val="20"/>
        </w:rPr>
        <w:t xml:space="preserve"> </w:t>
      </w:r>
      <w:r>
        <w:rPr>
          <w:rFonts w:ascii="Times New Roman;Times;serif" w:hAnsi="Times New Roman;Times;serif"/>
          <w:color w:val="231F20"/>
          <w:sz w:val="20"/>
        </w:rPr>
        <w:t>addition,</w:t>
      </w:r>
      <w:r>
        <w:rPr>
          <w:rFonts w:ascii="Times New Roman;Times;serif" w:hAnsi="Times New Roman;Times;serif"/>
          <w:color w:val="231F20"/>
          <w:spacing w:val="-32"/>
          <w:sz w:val="20"/>
        </w:rPr>
        <w:t xml:space="preserve"> </w:t>
      </w:r>
      <w:r>
        <w:rPr>
          <w:rFonts w:ascii="Times New Roman;Times;serif" w:hAnsi="Times New Roman;Times;serif"/>
          <w:color w:val="231F20"/>
          <w:sz w:val="20"/>
        </w:rPr>
        <w:t>we</w:t>
      </w:r>
      <w:r>
        <w:rPr>
          <w:rFonts w:ascii="Times New Roman;Times;serif" w:hAnsi="Times New Roman;Times;serif"/>
          <w:color w:val="231F20"/>
          <w:spacing w:val="-31"/>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32"/>
          <w:sz w:val="20"/>
        </w:rPr>
        <w:t xml:space="preserve"> </w:t>
      </w:r>
      <w:r>
        <w:rPr>
          <w:rFonts w:ascii="Times New Roman;Times;serif" w:hAnsi="Times New Roman;Times;serif"/>
          <w:color w:val="231F20"/>
          <w:sz w:val="20"/>
        </w:rPr>
        <w:t>be</w:t>
      </w:r>
      <w:r>
        <w:rPr>
          <w:rFonts w:ascii="Times New Roman;Times;serif" w:hAnsi="Times New Roman;Times;serif"/>
          <w:color w:val="231F20"/>
          <w:spacing w:val="-31"/>
          <w:sz w:val="20"/>
        </w:rPr>
        <w:t xml:space="preserve"> </w:t>
      </w:r>
      <w:r>
        <w:rPr>
          <w:rFonts w:ascii="Times New Roman;Times;serif" w:hAnsi="Times New Roman;Times;serif"/>
          <w:color w:val="231F20"/>
          <w:sz w:val="20"/>
        </w:rPr>
        <w:t>forced</w:t>
      </w:r>
      <w:r>
        <w:rPr>
          <w:rFonts w:ascii="Times New Roman;Times;serif" w:hAnsi="Times New Roman;Times;serif"/>
          <w:color w:val="231F20"/>
          <w:spacing w:val="-31"/>
          <w:sz w:val="20"/>
        </w:rPr>
        <w:t xml:space="preserve"> </w:t>
      </w:r>
      <w:r>
        <w:rPr>
          <w:rFonts w:ascii="Times New Roman;Times;serif" w:hAnsi="Times New Roman;Times;serif"/>
          <w:color w:val="231F20"/>
          <w:sz w:val="20"/>
        </w:rPr>
        <w:t>to</w:t>
      </w:r>
      <w:r>
        <w:rPr>
          <w:rFonts w:ascii="Times New Roman;Times;serif" w:hAnsi="Times New Roman;Times;serif"/>
          <w:color w:val="231F20"/>
          <w:spacing w:val="-32"/>
          <w:sz w:val="20"/>
        </w:rPr>
        <w:t xml:space="preserve"> </w:t>
      </w:r>
      <w:r>
        <w:rPr>
          <w:rFonts w:ascii="Times New Roman;Times;serif" w:hAnsi="Times New Roman;Times;serif"/>
          <w:color w:val="231F20"/>
          <w:sz w:val="20"/>
        </w:rPr>
        <w:t>discontinue</w:t>
      </w:r>
      <w:r>
        <w:rPr>
          <w:rFonts w:ascii="Times New Roman;Times;serif" w:hAnsi="Times New Roman;Times;serif"/>
          <w:color w:val="231F20"/>
          <w:spacing w:val="-31"/>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32"/>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31"/>
          <w:sz w:val="20"/>
        </w:rPr>
        <w:t xml:space="preserve"> </w:t>
      </w:r>
      <w:r>
        <w:rPr>
          <w:rFonts w:ascii="Times New Roman;Times;serif" w:hAnsi="Times New Roman;Times;serif"/>
          <w:color w:val="231F20"/>
          <w:sz w:val="20"/>
        </w:rPr>
        <w:t>reduce or</w:t>
      </w:r>
      <w:r>
        <w:rPr>
          <w:rFonts w:ascii="Times New Roman;Times;serif" w:hAnsi="Times New Roman;Times;serif"/>
          <w:color w:val="231F20"/>
          <w:spacing w:val="-30"/>
          <w:sz w:val="20"/>
        </w:rPr>
        <w:t xml:space="preserve"> </w:t>
      </w:r>
      <w:r>
        <w:rPr>
          <w:rFonts w:ascii="Times New Roman;Times;serif" w:hAnsi="Times New Roman;Times;serif"/>
          <w:color w:val="231F20"/>
          <w:sz w:val="20"/>
        </w:rPr>
        <w:t>forego</w:t>
      </w:r>
      <w:r>
        <w:rPr>
          <w:rFonts w:ascii="Times New Roman;Times;serif" w:hAnsi="Times New Roman;Times;serif"/>
          <w:color w:val="231F20"/>
          <w:spacing w:val="-29"/>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2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9"/>
          <w:sz w:val="20"/>
        </w:rPr>
        <w:t xml:space="preserve"> </w:t>
      </w:r>
      <w:r>
        <w:rPr>
          <w:rFonts w:ascii="Times New Roman;Times;serif" w:hAnsi="Times New Roman;Times;serif"/>
          <w:color w:val="231F20"/>
          <w:sz w:val="20"/>
        </w:rPr>
        <w:t>marketing</w:t>
      </w:r>
      <w:r>
        <w:rPr>
          <w:rFonts w:ascii="Times New Roman;Times;serif" w:hAnsi="Times New Roman;Times;serif"/>
          <w:color w:val="231F20"/>
          <w:spacing w:val="-29"/>
          <w:sz w:val="20"/>
        </w:rPr>
        <w:t xml:space="preserve"> </w:t>
      </w:r>
      <w:r>
        <w:rPr>
          <w:rFonts w:ascii="Times New Roman;Times;serif" w:hAnsi="Times New Roman;Times;serif"/>
          <w:color w:val="231F20"/>
          <w:sz w:val="20"/>
        </w:rPr>
        <w:t>efforts</w:t>
      </w:r>
      <w:r>
        <w:rPr>
          <w:rFonts w:ascii="Times New Roman;Times;serif" w:hAnsi="Times New Roman;Times;serif"/>
          <w:color w:val="231F20"/>
          <w:spacing w:val="-3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9"/>
          <w:sz w:val="20"/>
        </w:rPr>
        <w:t xml:space="preserve"> </w:t>
      </w:r>
      <w:r>
        <w:rPr>
          <w:rFonts w:ascii="Times New Roman;Times;serif" w:hAnsi="Times New Roman;Times;serif"/>
          <w:color w:val="231F20"/>
          <w:sz w:val="20"/>
        </w:rPr>
        <w:t>attractive</w:t>
      </w:r>
      <w:r>
        <w:rPr>
          <w:rFonts w:ascii="Times New Roman;Times;serif" w:hAnsi="Times New Roman;Times;serif"/>
          <w:color w:val="231F20"/>
          <w:spacing w:val="-29"/>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29"/>
          <w:sz w:val="20"/>
        </w:rPr>
        <w:t xml:space="preserve"> </w:t>
      </w:r>
      <w:r>
        <w:rPr>
          <w:rFonts w:ascii="Times New Roman;Times;serif" w:hAnsi="Times New Roman;Times;serif"/>
          <w:color w:val="231F20"/>
          <w:sz w:val="20"/>
        </w:rPr>
        <w:t>opportunities,</w:t>
      </w:r>
      <w:r>
        <w:rPr>
          <w:rFonts w:ascii="Times New Roman;Times;serif" w:hAnsi="Times New Roman;Times;serif"/>
          <w:color w:val="231F20"/>
          <w:spacing w:val="-29"/>
          <w:sz w:val="20"/>
        </w:rPr>
        <w:t xml:space="preserve"> </w:t>
      </w:r>
      <w:r>
        <w:rPr>
          <w:rFonts w:ascii="Times New Roman;Times;serif" w:hAnsi="Times New Roman;Times;serif"/>
          <w:color w:val="231F20"/>
          <w:sz w:val="20"/>
        </w:rPr>
        <w:t>reduce</w:t>
      </w:r>
      <w:r>
        <w:rPr>
          <w:rFonts w:ascii="Times New Roman;Times;serif" w:hAnsi="Times New Roman;Times;serif"/>
          <w:color w:val="231F20"/>
          <w:spacing w:val="-30"/>
          <w:sz w:val="20"/>
        </w:rPr>
        <w:t xml:space="preserve"> </w:t>
      </w:r>
      <w:r>
        <w:rPr>
          <w:rFonts w:ascii="Times New Roman;Times;serif" w:hAnsi="Times New Roman;Times;serif"/>
          <w:color w:val="231F20"/>
          <w:sz w:val="20"/>
        </w:rPr>
        <w:t>overhead,</w:t>
      </w:r>
      <w:r>
        <w:rPr>
          <w:rFonts w:ascii="Times New Roman;Times;serif" w:hAnsi="Times New Roman;Times;serif"/>
          <w:color w:val="231F20"/>
          <w:spacing w:val="-29"/>
          <w:sz w:val="20"/>
        </w:rPr>
        <w:t xml:space="preserve"> </w:t>
      </w:r>
      <w:r>
        <w:rPr>
          <w:rFonts w:ascii="Times New Roman;Times;serif" w:hAnsi="Times New Roman;Times;serif"/>
          <w:color w:val="231F20"/>
          <w:sz w:val="20"/>
        </w:rPr>
        <w:t xml:space="preserve">or be unable to continue as a going concern.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also </w:t>
      </w:r>
      <w:r>
        <w:rPr>
          <w:rFonts w:ascii="Times New Roman;Times;serif" w:hAnsi="Times New Roman;Times;serif"/>
          <w:color w:val="231F20"/>
          <w:sz w:val="20"/>
        </w:rPr>
        <w:t>be required to obtain funds through arrangements with collaborators, which arrangements</w:t>
      </w:r>
      <w:r>
        <w:rPr>
          <w:rFonts w:ascii="Times New Roman;Times;serif" w:hAnsi="Times New Roman;Times;serif"/>
          <w:color w:val="231F20"/>
          <w:spacing w:val="-32"/>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31"/>
          <w:sz w:val="20"/>
        </w:rPr>
        <w:t xml:space="preserve"> </w:t>
      </w:r>
      <w:r>
        <w:rPr>
          <w:rFonts w:ascii="Times New Roman;Times;serif" w:hAnsi="Times New Roman;Times;serif"/>
          <w:color w:val="231F20"/>
          <w:sz w:val="20"/>
        </w:rPr>
        <w:t>require</w:t>
      </w:r>
      <w:r>
        <w:rPr>
          <w:rFonts w:ascii="Times New Roman;Times;serif" w:hAnsi="Times New Roman;Times;serif"/>
          <w:color w:val="231F20"/>
          <w:spacing w:val="-31"/>
          <w:sz w:val="20"/>
        </w:rPr>
        <w:t xml:space="preserve"> </w:t>
      </w:r>
      <w:r>
        <w:rPr>
          <w:rFonts w:ascii="Times New Roman;Times;serif" w:hAnsi="Times New Roman;Times;serif"/>
          <w:color w:val="231F20"/>
          <w:sz w:val="20"/>
        </w:rPr>
        <w:t>us</w:t>
      </w:r>
      <w:r>
        <w:rPr>
          <w:rFonts w:ascii="Times New Roman;Times;serif" w:hAnsi="Times New Roman;Times;serif"/>
          <w:color w:val="231F20"/>
          <w:spacing w:val="-32"/>
          <w:sz w:val="20"/>
        </w:rPr>
        <w:t xml:space="preserve"> </w:t>
      </w:r>
      <w:r>
        <w:rPr>
          <w:rFonts w:ascii="Times New Roman;Times;serif" w:hAnsi="Times New Roman;Times;serif"/>
          <w:color w:val="231F20"/>
          <w:sz w:val="20"/>
        </w:rPr>
        <w:t>to</w:t>
      </w:r>
      <w:r>
        <w:rPr>
          <w:rFonts w:ascii="Times New Roman;Times;serif" w:hAnsi="Times New Roman;Times;serif"/>
          <w:color w:val="231F20"/>
          <w:spacing w:val="-31"/>
          <w:sz w:val="20"/>
        </w:rPr>
        <w:t xml:space="preserve"> </w:t>
      </w:r>
      <w:r>
        <w:rPr>
          <w:rFonts w:ascii="Times New Roman;Times;serif" w:hAnsi="Times New Roman;Times;serif"/>
          <w:color w:val="231F20"/>
          <w:sz w:val="20"/>
        </w:rPr>
        <w:t>relinquish</w:t>
      </w:r>
      <w:r>
        <w:rPr>
          <w:rFonts w:ascii="Times New Roman;Times;serif" w:hAnsi="Times New Roman;Times;serif"/>
          <w:color w:val="231F20"/>
          <w:spacing w:val="-31"/>
          <w:sz w:val="20"/>
        </w:rPr>
        <w:t xml:space="preserve"> </w:t>
      </w:r>
      <w:r>
        <w:rPr>
          <w:rFonts w:ascii="Times New Roman;Times;serif" w:hAnsi="Times New Roman;Times;serif"/>
          <w:color w:val="231F20"/>
          <w:sz w:val="20"/>
        </w:rPr>
        <w:t>rights</w:t>
      </w:r>
      <w:r>
        <w:rPr>
          <w:rFonts w:ascii="Times New Roman;Times;serif" w:hAnsi="Times New Roman;Times;serif"/>
          <w:color w:val="231F20"/>
          <w:spacing w:val="-32"/>
          <w:sz w:val="20"/>
        </w:rPr>
        <w:t xml:space="preserve"> </w:t>
      </w:r>
      <w:r>
        <w:rPr>
          <w:rFonts w:ascii="Times New Roman;Times;serif" w:hAnsi="Times New Roman;Times;serif"/>
          <w:color w:val="231F20"/>
          <w:sz w:val="20"/>
        </w:rPr>
        <w:t>to</w:t>
      </w:r>
      <w:r>
        <w:rPr>
          <w:rFonts w:ascii="Times New Roman;Times;serif" w:hAnsi="Times New Roman;Times;serif"/>
          <w:color w:val="231F20"/>
          <w:spacing w:val="-31"/>
          <w:sz w:val="20"/>
        </w:rPr>
        <w:t xml:space="preserve"> </w:t>
      </w:r>
      <w:r>
        <w:rPr>
          <w:rFonts w:ascii="Times New Roman;Times;serif" w:hAnsi="Times New Roman;Times;serif"/>
          <w:color w:val="231F20"/>
          <w:sz w:val="20"/>
        </w:rPr>
        <w:t>certain</w:t>
      </w:r>
      <w:r>
        <w:rPr>
          <w:rFonts w:ascii="Times New Roman;Times;serif" w:hAnsi="Times New Roman;Times;serif"/>
          <w:color w:val="231F20"/>
          <w:spacing w:val="-31"/>
          <w:sz w:val="20"/>
        </w:rPr>
        <w:t xml:space="preserve"> </w:t>
      </w:r>
      <w:r>
        <w:rPr>
          <w:rFonts w:ascii="Times New Roman;Times;serif" w:hAnsi="Times New Roman;Times;serif"/>
          <w:color w:val="231F20"/>
          <w:sz w:val="20"/>
        </w:rPr>
        <w:t>technologies</w:t>
      </w:r>
      <w:r>
        <w:rPr>
          <w:rFonts w:ascii="Times New Roman;Times;serif" w:hAnsi="Times New Roman;Times;serif"/>
          <w:color w:val="231F20"/>
          <w:spacing w:val="-32"/>
          <w:sz w:val="20"/>
        </w:rPr>
        <w:t xml:space="preserve"> </w:t>
      </w:r>
      <w:r>
        <w:rPr>
          <w:rFonts w:ascii="Times New Roman;Times;serif" w:hAnsi="Times New Roman;Times;serif"/>
          <w:color w:val="231F20"/>
          <w:sz w:val="20"/>
        </w:rPr>
        <w:t>or</w:t>
      </w:r>
      <w:r>
        <w:rPr>
          <w:rFonts w:ascii="Times New Roman;Times;serif" w:hAnsi="Times New Roman;Times;serif"/>
          <w:color w:val="231F20"/>
          <w:spacing w:val="-31"/>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31"/>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32"/>
          <w:sz w:val="20"/>
        </w:rPr>
        <w:t xml:space="preserve"> </w:t>
      </w:r>
      <w:r>
        <w:rPr>
          <w:rFonts w:ascii="Times New Roman;Times;serif" w:hAnsi="Times New Roman;Times;serif"/>
          <w:color w:val="231F20"/>
          <w:sz w:val="20"/>
        </w:rPr>
        <w:t>we</w:t>
      </w:r>
      <w:r>
        <w:rPr>
          <w:rFonts w:ascii="Times New Roman;Times;serif" w:hAnsi="Times New Roman;Times;serif"/>
          <w:color w:val="231F20"/>
          <w:spacing w:val="-31"/>
          <w:sz w:val="20"/>
        </w:rPr>
        <w:t xml:space="preserve"> </w:t>
      </w:r>
      <w:r>
        <w:rPr>
          <w:rFonts w:ascii="Times New Roman;Times;serif" w:hAnsi="Times New Roman;Times;serif"/>
          <w:color w:val="231F20"/>
          <w:sz w:val="20"/>
        </w:rPr>
        <w:t>otherwise</w:t>
      </w:r>
      <w:r>
        <w:rPr>
          <w:rFonts w:ascii="Times New Roman;Times;serif" w:hAnsi="Times New Roman;Times;serif"/>
          <w:color w:val="231F20"/>
          <w:spacing w:val="-31"/>
          <w:sz w:val="20"/>
        </w:rPr>
        <w:t xml:space="preserve"> </w:t>
      </w:r>
      <w:r>
        <w:rPr>
          <w:rFonts w:ascii="Times New Roman;Times;serif" w:hAnsi="Times New Roman;Times;serif"/>
          <w:color w:val="231F20"/>
          <w:sz w:val="20"/>
        </w:rPr>
        <w:t xml:space="preserve">would not consider relinquishing, including rights to future product candidates or certain major geographic </w:t>
      </w:r>
      <w:r>
        <w:rPr>
          <w:rFonts w:ascii="Times New Roman;Times;serif" w:hAnsi="Times New Roman;Times;serif"/>
          <w:color w:val="231F20"/>
          <w:spacing w:val="-3"/>
          <w:sz w:val="20"/>
        </w:rPr>
        <w:t xml:space="preserve">markets.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further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to license our technology to others. This could result in sharing </w:t>
      </w:r>
      <w:r>
        <w:rPr>
          <w:rFonts w:ascii="Times New Roman;Times;serif" w:hAnsi="Times New Roman;Times;serif"/>
          <w:color w:val="231F20"/>
          <w:spacing w:val="-3"/>
          <w:sz w:val="20"/>
        </w:rPr>
        <w:t xml:space="preserve">revenues </w:t>
      </w:r>
      <w:r>
        <w:rPr>
          <w:rFonts w:ascii="Times New Roman;Times;serif" w:hAnsi="Times New Roman;Times;serif"/>
          <w:color w:val="231F20"/>
          <w:sz w:val="20"/>
        </w:rPr>
        <w:t xml:space="preserve">which we might otherwise retain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ourselves.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of these actions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harm our business, financial condition and results of</w:t>
      </w:r>
      <w:r>
        <w:rPr>
          <w:rFonts w:ascii="Times New Roman;Times;serif" w:hAnsi="Times New Roman;Times;serif"/>
          <w:color w:val="231F20"/>
          <w:spacing w:val="-8"/>
          <w:sz w:val="20"/>
        </w:rPr>
        <w:t xml:space="preserve"> </w:t>
      </w:r>
      <w:r>
        <w:rPr>
          <w:rFonts w:ascii="Times New Roman;Times;serif" w:hAnsi="Times New Roman;Times;serif"/>
          <w:color w:val="231F20"/>
          <w:sz w:val="20"/>
        </w:rPr>
        <w:t>operations.</w:t>
      </w:r>
    </w:p>
    <w:p>
      <w:pPr>
        <w:pStyle w:val="TextBody"/>
        <w:spacing w:before="156"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amount of capital we may need depends on many factors, including the progress, timing and scope of our product development programs; the progress, timing and scope of our nonclinical studies and clinical trials; the time and cost necessary to obtain regulatory approvals; the time and cost necessary to further develop manufacturing processes and arrange for contract manufacturing; our ability to enter into and maintain collaborative, licensing and other commercial relationships; and our partners’ commitment of time and resources to the development and commercialization of our products.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 xml:space="preserve">We </w:t>
      </w:r>
      <w:r>
        <w:rPr>
          <w:rFonts w:ascii="Times New Roman;Times;serif" w:hAnsi="Times New Roman;Times;serif"/>
          <w:b/>
          <w:i/>
          <w:color w:val="231F20"/>
          <w:sz w:val="20"/>
        </w:rPr>
        <w:t xml:space="preserve">may be unable to access the capital markets and even if </w:t>
      </w:r>
      <w:r>
        <w:rPr>
          <w:rFonts w:ascii="Times New Roman;Times;serif" w:hAnsi="Times New Roman;Times;serif"/>
          <w:b/>
          <w:i/>
          <w:color w:val="231F20"/>
          <w:spacing w:val="-4"/>
          <w:sz w:val="20"/>
        </w:rPr>
        <w:t xml:space="preserve">we </w:t>
      </w:r>
      <w:r>
        <w:rPr>
          <w:rFonts w:ascii="Times New Roman;Times;serif" w:hAnsi="Times New Roman;Times;serif"/>
          <w:b/>
          <w:i/>
          <w:color w:val="231F20"/>
          <w:sz w:val="20"/>
        </w:rPr>
        <w:t xml:space="preserve">can raise additional funding, </w:t>
      </w:r>
      <w:r>
        <w:rPr>
          <w:rFonts w:ascii="Times New Roman;Times;serif" w:hAnsi="Times New Roman;Times;serif"/>
          <w:b/>
          <w:i/>
          <w:color w:val="231F20"/>
          <w:spacing w:val="-4"/>
          <w:sz w:val="20"/>
        </w:rPr>
        <w:t xml:space="preserve">we </w:t>
      </w:r>
      <w:r>
        <w:rPr>
          <w:rFonts w:ascii="Times New Roman;Times;serif" w:hAnsi="Times New Roman;Times;serif"/>
          <w:b/>
          <w:i/>
          <w:color w:val="231F20"/>
          <w:sz w:val="20"/>
        </w:rPr>
        <w:t>may be required to do so on terms that are dilutive.</w:t>
      </w:r>
    </w:p>
    <w:p>
      <w:pPr>
        <w:pStyle w:val="TextBody"/>
        <w:spacing w:before="156"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 capital markets have been unpredictable in the recent past for unprofitable companies such as ours. In addition, it is generally difficult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companies to raise capital under current market conditions. The amount</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capital</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3"/>
          <w:sz w:val="20"/>
        </w:rPr>
        <w:t xml:space="preserve"> </w:t>
      </w:r>
      <w:r>
        <w:rPr>
          <w:rFonts w:ascii="Times New Roman;Times;serif" w:hAnsi="Times New Roman;Times;serif"/>
          <w:color w:val="231F20"/>
          <w:sz w:val="20"/>
        </w:rPr>
        <w:t>a</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company</w:t>
      </w:r>
      <w:r>
        <w:rPr>
          <w:rFonts w:ascii="Times New Roman;Times;serif" w:hAnsi="Times New Roman;Times;serif"/>
          <w:color w:val="231F20"/>
          <w:spacing w:val="-23"/>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23"/>
          <w:sz w:val="20"/>
        </w:rPr>
        <w:t xml:space="preserve"> </w:t>
      </w:r>
      <w:r>
        <w:rPr>
          <w:rFonts w:ascii="Times New Roman;Times;serif" w:hAnsi="Times New Roman;Times;serif"/>
          <w:color w:val="231F20"/>
          <w:sz w:val="20"/>
        </w:rPr>
        <w:t>as</w:t>
      </w:r>
      <w:r>
        <w:rPr>
          <w:rFonts w:ascii="Times New Roman;Times;serif" w:hAnsi="Times New Roman;Times;serif"/>
          <w:color w:val="231F20"/>
          <w:spacing w:val="-23"/>
          <w:sz w:val="20"/>
        </w:rPr>
        <w:t xml:space="preserve"> </w:t>
      </w:r>
      <w:r>
        <w:rPr>
          <w:rFonts w:ascii="Times New Roman;Times;serif" w:hAnsi="Times New Roman;Times;serif"/>
          <w:color w:val="231F20"/>
          <w:sz w:val="20"/>
        </w:rPr>
        <w:t>ours</w:t>
      </w:r>
      <w:r>
        <w:rPr>
          <w:rFonts w:ascii="Times New Roman;Times;serif" w:hAnsi="Times New Roman;Times;serif"/>
          <w:color w:val="231F20"/>
          <w:spacing w:val="-24"/>
          <w:sz w:val="20"/>
        </w:rPr>
        <w:t xml:space="preserve"> </w:t>
      </w:r>
      <w:r>
        <w:rPr>
          <w:rFonts w:ascii="Times New Roman;Times;serif" w:hAnsi="Times New Roman;Times;serif"/>
          <w:color w:val="231F20"/>
          <w:sz w:val="20"/>
        </w:rPr>
        <w:t>is</w:t>
      </w:r>
      <w:r>
        <w:rPr>
          <w:rFonts w:ascii="Times New Roman;Times;serif" w:hAnsi="Times New Roman;Times;serif"/>
          <w:color w:val="231F20"/>
          <w:spacing w:val="-23"/>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23"/>
          <w:sz w:val="20"/>
        </w:rPr>
        <w:t xml:space="preserve"> </w:t>
      </w:r>
      <w:r>
        <w:rPr>
          <w:rFonts w:ascii="Times New Roman;Times;serif" w:hAnsi="Times New Roman;Times;serif"/>
          <w:color w:val="231F20"/>
          <w:sz w:val="20"/>
        </w:rPr>
        <w:t>to</w:t>
      </w:r>
      <w:r>
        <w:rPr>
          <w:rFonts w:ascii="Times New Roman;Times;serif" w:hAnsi="Times New Roman;Times;serif"/>
          <w:color w:val="231F20"/>
          <w:spacing w:val="-23"/>
          <w:sz w:val="20"/>
        </w:rPr>
        <w:t xml:space="preserve"> </w:t>
      </w:r>
      <w:r>
        <w:rPr>
          <w:rFonts w:ascii="Times New Roman;Times;serif" w:hAnsi="Times New Roman;Times;serif"/>
          <w:color w:val="231F20"/>
          <w:sz w:val="20"/>
        </w:rPr>
        <w:t>raise</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often</w:t>
      </w:r>
      <w:r>
        <w:rPr>
          <w:rFonts w:ascii="Times New Roman;Times;serif" w:hAnsi="Times New Roman;Times;serif"/>
          <w:color w:val="231F20"/>
          <w:spacing w:val="-23"/>
          <w:sz w:val="20"/>
        </w:rPr>
        <w:t xml:space="preserve"> </w:t>
      </w:r>
      <w:r>
        <w:rPr>
          <w:rFonts w:ascii="Times New Roman;Times;serif" w:hAnsi="Times New Roman;Times;serif"/>
          <w:color w:val="231F20"/>
          <w:sz w:val="20"/>
        </w:rPr>
        <w:t>depends</w:t>
      </w:r>
      <w:r>
        <w:rPr>
          <w:rFonts w:ascii="Times New Roman;Times;serif" w:hAnsi="Times New Roman;Times;serif"/>
          <w:color w:val="231F20"/>
          <w:spacing w:val="-23"/>
          <w:sz w:val="20"/>
        </w:rPr>
        <w:t xml:space="preserve"> </w:t>
      </w:r>
      <w:r>
        <w:rPr>
          <w:rFonts w:ascii="Times New Roman;Times;serif" w:hAnsi="Times New Roman;Times;serif"/>
          <w:color w:val="231F20"/>
          <w:sz w:val="20"/>
        </w:rPr>
        <w:t>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variables</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23"/>
          <w:sz w:val="20"/>
        </w:rPr>
        <w:t xml:space="preserve"> </w:t>
      </w:r>
      <w:r>
        <w:rPr>
          <w:rFonts w:ascii="Times New Roman;Times;serif" w:hAnsi="Times New Roman;Times;serif"/>
          <w:color w:val="231F20"/>
          <w:sz w:val="20"/>
        </w:rPr>
        <w:t>beyond</w:t>
      </w:r>
      <w:r>
        <w:rPr>
          <w:rFonts w:ascii="Times New Roman;Times;serif" w:hAnsi="Times New Roman;Times;serif"/>
          <w:color w:val="231F20"/>
          <w:spacing w:val="-23"/>
          <w:sz w:val="20"/>
        </w:rPr>
        <w:t xml:space="preserve"> </w:t>
      </w:r>
      <w:r>
        <w:rPr>
          <w:rFonts w:ascii="Times New Roman;Times;serif" w:hAnsi="Times New Roman;Times;serif"/>
          <w:color w:val="231F20"/>
          <w:sz w:val="20"/>
        </w:rPr>
        <w:t>our control.</w:t>
      </w:r>
      <w:r>
        <w:rPr>
          <w:rFonts w:ascii="Times New Roman;Times;serif" w:hAnsi="Times New Roman;Times;serif"/>
          <w:color w:val="231F20"/>
          <w:spacing w:val="-20"/>
          <w:sz w:val="20"/>
        </w:rPr>
        <w:t xml:space="preserve"> </w:t>
      </w:r>
      <w:r>
        <w:rPr>
          <w:rFonts w:ascii="Times New Roman;Times;serif" w:hAnsi="Times New Roman;Times;serif"/>
          <w:color w:val="231F20"/>
          <w:sz w:val="20"/>
        </w:rPr>
        <w:t>As</w:t>
      </w:r>
      <w:r>
        <w:rPr>
          <w:rFonts w:ascii="Times New Roman;Times;serif" w:hAnsi="Times New Roman;Times;serif"/>
          <w:color w:val="231F20"/>
          <w:spacing w:val="-19"/>
          <w:sz w:val="20"/>
        </w:rPr>
        <w:t xml:space="preserve"> </w:t>
      </w:r>
      <w:r>
        <w:rPr>
          <w:rFonts w:ascii="Times New Roman;Times;serif" w:hAnsi="Times New Roman;Times;serif"/>
          <w:color w:val="231F20"/>
          <w:sz w:val="20"/>
        </w:rPr>
        <w:t>a</w:t>
      </w:r>
      <w:r>
        <w:rPr>
          <w:rFonts w:ascii="Times New Roman;Times;serif" w:hAnsi="Times New Roman;Times;serif"/>
          <w:color w:val="231F20"/>
          <w:spacing w:val="-19"/>
          <w:sz w:val="20"/>
        </w:rPr>
        <w:t xml:space="preserve"> </w:t>
      </w:r>
      <w:r>
        <w:rPr>
          <w:rFonts w:ascii="Times New Roman;Times;serif" w:hAnsi="Times New Roman;Times;serif"/>
          <w:color w:val="231F20"/>
          <w:sz w:val="20"/>
        </w:rPr>
        <w:t>result,</w:t>
      </w:r>
      <w:r>
        <w:rPr>
          <w:rFonts w:ascii="Times New Roman;Times;serif" w:hAnsi="Times New Roman;Times;serif"/>
          <w:color w:val="231F20"/>
          <w:spacing w:val="-19"/>
          <w:sz w:val="20"/>
        </w:rPr>
        <w:t xml:space="preserve"> </w:t>
      </w:r>
      <w:r>
        <w:rPr>
          <w:rFonts w:ascii="Times New Roman;Times;serif" w:hAnsi="Times New Roman;Times;serif"/>
          <w:color w:val="231F20"/>
          <w:sz w:val="20"/>
        </w:rPr>
        <w:t>we</w:t>
      </w:r>
      <w:r>
        <w:rPr>
          <w:rFonts w:ascii="Times New Roman;Times;serif" w:hAnsi="Times New Roman;Times;serif"/>
          <w:color w:val="231F20"/>
          <w:spacing w:val="-20"/>
          <w:sz w:val="20"/>
        </w:rPr>
        <w:t xml:space="preserve"> </w:t>
      </w:r>
      <w:r>
        <w:rPr>
          <w:rFonts w:ascii="Times New Roman;Times;serif" w:hAnsi="Times New Roman;Times;serif"/>
          <w:color w:val="231F20"/>
          <w:sz w:val="20"/>
        </w:rPr>
        <w:t>cannot</w:t>
      </w:r>
      <w:r>
        <w:rPr>
          <w:rFonts w:ascii="Times New Roman;Times;serif" w:hAnsi="Times New Roman;Times;serif"/>
          <w:color w:val="231F20"/>
          <w:spacing w:val="-19"/>
          <w:sz w:val="20"/>
        </w:rPr>
        <w:t xml:space="preserve"> </w:t>
      </w:r>
      <w:r>
        <w:rPr>
          <w:rFonts w:ascii="Times New Roman;Times;serif" w:hAnsi="Times New Roman;Times;serif"/>
          <w:color w:val="231F20"/>
          <w:sz w:val="20"/>
        </w:rPr>
        <w:t>assure</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you</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19"/>
          <w:sz w:val="20"/>
        </w:rPr>
        <w:t xml:space="preserve"> </w:t>
      </w:r>
      <w:r>
        <w:rPr>
          <w:rFonts w:ascii="Times New Roman;Times;serif" w:hAnsi="Times New Roman;Times;serif"/>
          <w:color w:val="231F20"/>
          <w:sz w:val="20"/>
        </w:rPr>
        <w:t>we</w:t>
      </w:r>
      <w:r>
        <w:rPr>
          <w:rFonts w:ascii="Times New Roman;Times;serif" w:hAnsi="Times New Roman;Times;serif"/>
          <w:color w:val="231F20"/>
          <w:spacing w:val="-20"/>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9"/>
          <w:sz w:val="20"/>
        </w:rPr>
        <w:t xml:space="preserve"> </w:t>
      </w:r>
      <w:r>
        <w:rPr>
          <w:rFonts w:ascii="Times New Roman;Times;serif" w:hAnsi="Times New Roman;Times;serif"/>
          <w:color w:val="231F20"/>
          <w:sz w:val="20"/>
        </w:rPr>
        <w:t>be</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secure</w:t>
      </w:r>
      <w:r>
        <w:rPr>
          <w:rFonts w:ascii="Times New Roman;Times;serif" w:hAnsi="Times New Roman;Times;serif"/>
          <w:color w:val="231F20"/>
          <w:spacing w:val="-20"/>
          <w:sz w:val="20"/>
        </w:rPr>
        <w:t xml:space="preserve"> </w:t>
      </w:r>
      <w:r>
        <w:rPr>
          <w:rFonts w:ascii="Times New Roman;Times;serif" w:hAnsi="Times New Roman;Times;serif"/>
          <w:color w:val="231F20"/>
          <w:sz w:val="20"/>
        </w:rPr>
        <w:t>financing</w:t>
      </w:r>
      <w:r>
        <w:rPr>
          <w:rFonts w:ascii="Times New Roman;Times;serif" w:hAnsi="Times New Roman;Times;serif"/>
          <w:color w:val="231F20"/>
          <w:spacing w:val="-19"/>
          <w:sz w:val="20"/>
        </w:rPr>
        <w:t xml:space="preserve"> </w:t>
      </w:r>
      <w:r>
        <w:rPr>
          <w:rFonts w:ascii="Times New Roman;Times;serif" w:hAnsi="Times New Roman;Times;serif"/>
          <w:color w:val="231F20"/>
          <w:sz w:val="20"/>
        </w:rPr>
        <w:t>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terms</w:t>
      </w:r>
      <w:r>
        <w:rPr>
          <w:rFonts w:ascii="Times New Roman;Times;serif" w:hAnsi="Times New Roman;Times;serif"/>
          <w:color w:val="231F20"/>
          <w:spacing w:val="-19"/>
          <w:sz w:val="20"/>
        </w:rPr>
        <w:t xml:space="preserve"> </w:t>
      </w:r>
      <w:r>
        <w:rPr>
          <w:rFonts w:ascii="Times New Roman;Times;serif" w:hAnsi="Times New Roman;Times;serif"/>
          <w:color w:val="231F20"/>
          <w:sz w:val="20"/>
        </w:rPr>
        <w:t>attractive</w:t>
      </w:r>
      <w:r>
        <w:rPr>
          <w:rFonts w:ascii="Times New Roman;Times;serif" w:hAnsi="Times New Roman;Times;serif"/>
          <w:color w:val="231F20"/>
          <w:spacing w:val="-20"/>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pacing w:val="-4"/>
          <w:sz w:val="20"/>
        </w:rPr>
        <w:t xml:space="preserve">us, </w:t>
      </w:r>
      <w:r>
        <w:rPr>
          <w:rFonts w:ascii="Times New Roman;Times;serif" w:hAnsi="Times New Roman;Times;serif"/>
          <w:color w:val="231F20"/>
          <w:sz w:val="20"/>
        </w:rPr>
        <w:t>or</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all.</w:t>
      </w:r>
      <w:r>
        <w:rPr>
          <w:rFonts w:ascii="Times New Roman;Times;serif" w:hAnsi="Times New Roman;Times;serif"/>
          <w:color w:val="231F20"/>
          <w:spacing w:val="-16"/>
          <w:sz w:val="20"/>
        </w:rPr>
        <w:t xml:space="preserve"> </w:t>
      </w:r>
      <w:r>
        <w:rPr>
          <w:rFonts w:ascii="Times New Roman;Times;serif" w:hAnsi="Times New Roman;Times;serif"/>
          <w:color w:val="231F20"/>
          <w:sz w:val="20"/>
        </w:rPr>
        <w:t>If</w:t>
      </w:r>
      <w:r>
        <w:rPr>
          <w:rFonts w:ascii="Times New Roman;Times;serif" w:hAnsi="Times New Roman;Times;serif"/>
          <w:color w:val="231F20"/>
          <w:spacing w:val="-2"/>
          <w:sz w:val="20"/>
        </w:rPr>
        <w:t xml:space="preserve"> </w:t>
      </w:r>
      <w:r>
        <w:rPr>
          <w:rFonts w:ascii="Times New Roman;Times;serif" w:hAnsi="Times New Roman;Times;serif"/>
          <w:color w:val="231F20"/>
          <w:sz w:val="20"/>
        </w:rPr>
        <w:t>we</w:t>
      </w:r>
      <w:r>
        <w:rPr>
          <w:rFonts w:ascii="Times New Roman;Times;serif" w:hAnsi="Times New Roman;Times;serif"/>
          <w:color w:val="231F20"/>
          <w:spacing w:val="-15"/>
          <w:sz w:val="20"/>
        </w:rPr>
        <w:t xml:space="preserve"> </w:t>
      </w:r>
      <w:r>
        <w:rPr>
          <w:rFonts w:ascii="Times New Roman;Times;serif" w:hAnsi="Times New Roman;Times;serif"/>
          <w:color w:val="231F20"/>
          <w:sz w:val="20"/>
        </w:rPr>
        <w:t>are</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16"/>
          <w:sz w:val="20"/>
        </w:rPr>
        <w:t xml:space="preserve"> </w:t>
      </w:r>
      <w:r>
        <w:rPr>
          <w:rFonts w:ascii="Times New Roman;Times;serif" w:hAnsi="Times New Roman;Times;serif"/>
          <w:color w:val="231F20"/>
          <w:sz w:val="20"/>
        </w:rPr>
        <w:t>to</w:t>
      </w:r>
      <w:r>
        <w:rPr>
          <w:rFonts w:ascii="Times New Roman;Times;serif" w:hAnsi="Times New Roman;Times;serif"/>
          <w:color w:val="231F20"/>
          <w:spacing w:val="-16"/>
          <w:sz w:val="20"/>
        </w:rPr>
        <w:t xml:space="preserve"> </w:t>
      </w:r>
      <w:r>
        <w:rPr>
          <w:rFonts w:ascii="Times New Roman;Times;serif" w:hAnsi="Times New Roman;Times;serif"/>
          <w:color w:val="231F20"/>
          <w:sz w:val="20"/>
        </w:rPr>
        <w:t>consummate</w:t>
      </w:r>
      <w:r>
        <w:rPr>
          <w:rFonts w:ascii="Times New Roman;Times;serif" w:hAnsi="Times New Roman;Times;serif"/>
          <w:color w:val="231F20"/>
          <w:spacing w:val="-15"/>
          <w:sz w:val="20"/>
        </w:rPr>
        <w:t xml:space="preserve"> </w:t>
      </w:r>
      <w:r>
        <w:rPr>
          <w:rFonts w:ascii="Times New Roman;Times;serif" w:hAnsi="Times New Roman;Times;serif"/>
          <w:color w:val="231F20"/>
          <w:sz w:val="20"/>
        </w:rPr>
        <w:t>a</w:t>
      </w:r>
      <w:r>
        <w:rPr>
          <w:rFonts w:ascii="Times New Roman;Times;serif" w:hAnsi="Times New Roman;Times;serif"/>
          <w:color w:val="231F20"/>
          <w:spacing w:val="-16"/>
          <w:sz w:val="20"/>
        </w:rPr>
        <w:t xml:space="preserve"> </w:t>
      </w:r>
      <w:r>
        <w:rPr>
          <w:rFonts w:ascii="Times New Roman;Times;serif" w:hAnsi="Times New Roman;Times;serif"/>
          <w:color w:val="231F20"/>
          <w:sz w:val="20"/>
        </w:rPr>
        <w:t>financing</w:t>
      </w:r>
      <w:r>
        <w:rPr>
          <w:rFonts w:ascii="Times New Roman;Times;serif" w:hAnsi="Times New Roman;Times;serif"/>
          <w:color w:val="231F20"/>
          <w:spacing w:val="-16"/>
          <w:sz w:val="20"/>
        </w:rPr>
        <w:t xml:space="preserve"> </w:t>
      </w:r>
      <w:r>
        <w:rPr>
          <w:rFonts w:ascii="Times New Roman;Times;serif" w:hAnsi="Times New Roman;Times;serif"/>
          <w:color w:val="231F20"/>
          <w:sz w:val="20"/>
        </w:rPr>
        <w:t>arrangement,</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5"/>
          <w:sz w:val="20"/>
        </w:rPr>
        <w:t xml:space="preserve"> </w:t>
      </w:r>
      <w:r>
        <w:rPr>
          <w:rFonts w:ascii="Times New Roman;Times;serif" w:hAnsi="Times New Roman;Times;serif"/>
          <w:color w:val="231F20"/>
          <w:sz w:val="20"/>
        </w:rPr>
        <w:t>amount</w:t>
      </w:r>
      <w:r>
        <w:rPr>
          <w:rFonts w:ascii="Times New Roman;Times;serif" w:hAnsi="Times New Roman;Times;serif"/>
          <w:color w:val="231F20"/>
          <w:spacing w:val="-16"/>
          <w:sz w:val="20"/>
        </w:rPr>
        <w:t xml:space="preserve"> </w:t>
      </w:r>
      <w:r>
        <w:rPr>
          <w:rFonts w:ascii="Times New Roman;Times;serif" w:hAnsi="Times New Roman;Times;serif"/>
          <w:color w:val="231F20"/>
          <w:sz w:val="20"/>
        </w:rPr>
        <w:t>raised</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6"/>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5"/>
          <w:sz w:val="20"/>
        </w:rPr>
        <w:t xml:space="preserve"> </w:t>
      </w:r>
      <w:r>
        <w:rPr>
          <w:rFonts w:ascii="Times New Roman;Times;serif" w:hAnsi="Times New Roman;Times;serif"/>
          <w:color w:val="231F20"/>
          <w:sz w:val="20"/>
        </w:rPr>
        <w:t>be</w:t>
      </w:r>
      <w:r>
        <w:rPr>
          <w:rFonts w:ascii="Times New Roman;Times;serif" w:hAnsi="Times New Roman;Times;serif"/>
          <w:color w:val="231F20"/>
          <w:spacing w:val="-16"/>
          <w:sz w:val="20"/>
        </w:rPr>
        <w:t xml:space="preserve"> </w:t>
      </w:r>
      <w:r>
        <w:rPr>
          <w:rFonts w:ascii="Times New Roman;Times;serif" w:hAnsi="Times New Roman;Times;serif"/>
          <w:color w:val="231F20"/>
          <w:sz w:val="20"/>
        </w:rPr>
        <w:t>sufficient</w:t>
      </w:r>
      <w:r>
        <w:rPr>
          <w:rFonts w:ascii="Times New Roman;Times;serif" w:hAnsi="Times New Roman;Times;serif"/>
          <w:color w:val="231F20"/>
          <w:spacing w:val="-16"/>
          <w:sz w:val="20"/>
        </w:rPr>
        <w:t xml:space="preserve"> </w:t>
      </w:r>
      <w:r>
        <w:rPr>
          <w:rFonts w:ascii="Times New Roman;Times;serif" w:hAnsi="Times New Roman;Times;serif"/>
          <w:color w:val="231F20"/>
          <w:sz w:val="20"/>
        </w:rPr>
        <w:t xml:space="preserve">to meet our future </w:t>
      </w:r>
      <w:r>
        <w:rPr>
          <w:rFonts w:ascii="Times New Roman;Times;serif" w:hAnsi="Times New Roman;Times;serif"/>
          <w:color w:val="231F20"/>
          <w:spacing w:val="-3"/>
          <w:sz w:val="20"/>
        </w:rPr>
        <w:t xml:space="preserve">needs. </w:t>
      </w:r>
      <w:r>
        <w:rPr>
          <w:rFonts w:ascii="Times New Roman;Times;serif" w:hAnsi="Times New Roman;Times;serif"/>
          <w:color w:val="231F20"/>
          <w:sz w:val="20"/>
        </w:rPr>
        <w:t xml:space="preserve">If adequate funds are not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 xml:space="preserve">on acceptable terms, or </w:t>
      </w:r>
      <w:r>
        <w:rPr>
          <w:rFonts w:ascii="Times New Roman;Times;serif" w:hAnsi="Times New Roman;Times;serif"/>
          <w:color w:val="231F20"/>
          <w:spacing w:val="-3"/>
          <w:sz w:val="20"/>
        </w:rPr>
        <w:t xml:space="preserve">at all, </w:t>
      </w:r>
      <w:r>
        <w:rPr>
          <w:rFonts w:ascii="Times New Roman;Times;serif" w:hAnsi="Times New Roman;Times;serif"/>
          <w:color w:val="231F20"/>
          <w:sz w:val="20"/>
        </w:rPr>
        <w:t>our business, results</w:t>
      </w:r>
      <w:r>
        <w:rPr>
          <w:rFonts w:ascii="Times New Roman;Times;serif" w:hAnsi="Times New Roman;Times;serif"/>
          <w:color w:val="231F20"/>
          <w:spacing w:val="-28"/>
          <w:sz w:val="20"/>
        </w:rPr>
        <w:t xml:space="preserve"> </w:t>
      </w:r>
      <w:r>
        <w:rPr>
          <w:rFonts w:ascii="Times New Roman;Times;serif" w:hAnsi="Times New Roman;Times;serif"/>
          <w:color w:val="231F20"/>
          <w:sz w:val="20"/>
        </w:rPr>
        <w:t>of</w:t>
      </w:r>
      <w:r>
        <w:rPr>
          <w:rFonts w:ascii="Times New Roman;Times;serif" w:hAnsi="Times New Roman;Times;serif"/>
          <w:color w:val="231F20"/>
          <w:spacing w:val="-18"/>
          <w:sz w:val="20"/>
        </w:rPr>
        <w:t xml:space="preserve"> </w:t>
      </w:r>
      <w:r>
        <w:rPr>
          <w:rFonts w:ascii="Times New Roman;Times;serif" w:hAnsi="Times New Roman;Times;serif"/>
          <w:color w:val="231F20"/>
          <w:sz w:val="20"/>
        </w:rPr>
        <w:t>operations,</w:t>
      </w:r>
      <w:r>
        <w:rPr>
          <w:rFonts w:ascii="Times New Roman;Times;serif" w:hAnsi="Times New Roman;Times;serif"/>
          <w:color w:val="231F20"/>
          <w:spacing w:val="-27"/>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28"/>
          <w:sz w:val="20"/>
        </w:rPr>
        <w:t xml:space="preserve"> </w:t>
      </w:r>
      <w:r>
        <w:rPr>
          <w:rFonts w:ascii="Times New Roman;Times;serif" w:hAnsi="Times New Roman;Times;serif"/>
          <w:color w:val="231F20"/>
          <w:sz w:val="20"/>
        </w:rPr>
        <w:t>condition</w:t>
      </w:r>
      <w:r>
        <w:rPr>
          <w:rFonts w:ascii="Times New Roman;Times;serif" w:hAnsi="Times New Roman;Times;serif"/>
          <w:color w:val="231F20"/>
          <w:spacing w:val="-2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7"/>
          <w:sz w:val="20"/>
        </w:rPr>
        <w:t xml:space="preserve"> </w:t>
      </w:r>
      <w:r>
        <w:rPr>
          <w:rFonts w:ascii="Times New Roman;Times;serif" w:hAnsi="Times New Roman;Times;serif"/>
          <w:color w:val="231F20"/>
          <w:sz w:val="20"/>
        </w:rPr>
        <w:t>continued</w:t>
      </w:r>
      <w:r>
        <w:rPr>
          <w:rFonts w:ascii="Times New Roman;Times;serif" w:hAnsi="Times New Roman;Times;serif"/>
          <w:color w:val="231F20"/>
          <w:spacing w:val="-28"/>
          <w:sz w:val="20"/>
        </w:rPr>
        <w:t xml:space="preserve"> </w:t>
      </w:r>
      <w:r>
        <w:rPr>
          <w:rFonts w:ascii="Times New Roman;Times;serif" w:hAnsi="Times New Roman;Times;serif"/>
          <w:color w:val="231F20"/>
          <w:sz w:val="20"/>
        </w:rPr>
        <w:t>viability</w:t>
      </w:r>
      <w:r>
        <w:rPr>
          <w:rFonts w:ascii="Times New Roman;Times;serif" w:hAnsi="Times New Roman;Times;serif"/>
          <w:color w:val="231F20"/>
          <w:spacing w:val="-28"/>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28"/>
          <w:sz w:val="20"/>
        </w:rPr>
        <w:t xml:space="preserve"> </w:t>
      </w:r>
      <w:r>
        <w:rPr>
          <w:rFonts w:ascii="Times New Roman;Times;serif" w:hAnsi="Times New Roman;Times;serif"/>
          <w:color w:val="231F20"/>
          <w:sz w:val="20"/>
        </w:rPr>
        <w:t>be</w:t>
      </w:r>
      <w:r>
        <w:rPr>
          <w:rFonts w:ascii="Times New Roman;Times;serif" w:hAnsi="Times New Roman;Times;serif"/>
          <w:color w:val="231F20"/>
          <w:spacing w:val="-28"/>
          <w:sz w:val="20"/>
        </w:rPr>
        <w:t xml:space="preserve"> </w:t>
      </w:r>
      <w:r>
        <w:rPr>
          <w:rFonts w:ascii="Times New Roman;Times;serif" w:hAnsi="Times New Roman;Times;serif"/>
          <w:color w:val="231F20"/>
          <w:sz w:val="20"/>
        </w:rPr>
        <w:t>materially</w:t>
      </w:r>
      <w:r>
        <w:rPr>
          <w:rFonts w:ascii="Times New Roman;Times;serif" w:hAnsi="Times New Roman;Times;serif"/>
          <w:color w:val="231F20"/>
          <w:spacing w:val="-27"/>
          <w:sz w:val="20"/>
        </w:rPr>
        <w:t xml:space="preserve"> </w:t>
      </w:r>
      <w:r>
        <w:rPr>
          <w:rFonts w:ascii="Times New Roman;Times;serif" w:hAnsi="Times New Roman;Times;serif"/>
          <w:color w:val="231F20"/>
          <w:sz w:val="20"/>
        </w:rPr>
        <w:t>adversely</w:t>
      </w:r>
      <w:r>
        <w:rPr>
          <w:rFonts w:ascii="Times New Roman;Times;serif" w:hAnsi="Times New Roman;Times;serif"/>
          <w:color w:val="231F20"/>
          <w:spacing w:val="-28"/>
          <w:sz w:val="20"/>
        </w:rPr>
        <w:t xml:space="preserve"> </w:t>
      </w:r>
      <w:r>
        <w:rPr>
          <w:rFonts w:ascii="Times New Roman;Times;serif" w:hAnsi="Times New Roman;Times;serif"/>
          <w:color w:val="231F20"/>
          <w:sz w:val="20"/>
        </w:rPr>
        <w:t>affected.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We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have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broad</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discretion</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using</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proceeds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of</w:t>
      </w:r>
      <w:r>
        <w:rPr>
          <w:rFonts w:ascii="Times New Roman;Times;serif" w:hAnsi="Times New Roman;Times;serif"/>
          <w:b/>
          <w:color w:val="231F20"/>
          <w:spacing w:val="2"/>
          <w:sz w:val="20"/>
        </w:rPr>
        <w:t xml:space="preserve"> </w:t>
      </w:r>
      <w:r>
        <w:rPr>
          <w:rFonts w:ascii="Times New Roman;Times;serif" w:hAnsi="Times New Roman;Times;serif"/>
          <w:b/>
          <w:i/>
          <w:color w:val="231F20"/>
          <w:sz w:val="20"/>
        </w:rPr>
        <w:t>shares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sold</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13"/>
          <w:sz w:val="20"/>
        </w:rPr>
        <w:t xml:space="preserve"> </w:t>
      </w:r>
      <w:r>
        <w:rPr>
          <w:rFonts w:ascii="Times New Roman;Times;serif" w:hAnsi="Times New Roman;Times;serif"/>
          <w:b/>
          <w:i/>
          <w:color w:val="231F20"/>
          <w:spacing w:val="-3"/>
          <w:sz w:val="20"/>
        </w:rPr>
        <w:t>investors,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4"/>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spend</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proceeds in an effective</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manner.</w:t>
      </w:r>
    </w:p>
    <w:p>
      <w:pPr>
        <w:pStyle w:val="TextBody"/>
        <w:spacing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are not limited in the use of proceeds of shares sold to investors. We may use such proceeds for working capital and general corporate purposes to support our growth, to pay dividends on our outstanding securities, or for acquisitions or other strategic investments. We have not allocated such funds to any particular purpose, and our management will have the discretion to allocate the proceeds as it determines. We may not apply the proceeds effectively.</w:t>
      </w:r>
    </w:p>
    <w:p>
      <w:pPr>
        <w:pStyle w:val="TextBody"/>
        <w:spacing w:before="0" w:after="0"/>
        <w:ind w:left="0" w:right="0" w:hanging="0"/>
        <w:jc w:val="both"/>
        <w:rPr>
          <w:color w:val="231F20"/>
        </w:rPr>
      </w:pPr>
      <w:r>
        <w:rPr>
          <w:color w:val="231F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Risks Related to Our Business and Industry</w:t>
      </w:r>
    </w:p>
    <w:p>
      <w:pPr>
        <w:pStyle w:val="TextBody"/>
        <w:spacing w:before="24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NRX-101 is still in Phase II/III of clinical testing.</w:t>
      </w:r>
    </w:p>
    <w:p>
      <w:pPr>
        <w:pStyle w:val="TextBody"/>
        <w:spacing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NRX-101</w:t>
      </w:r>
      <w:r>
        <w:rPr>
          <w:rFonts w:ascii="Times New Roman;Times;serif" w:hAnsi="Times New Roman;Times;serif"/>
          <w:color w:val="231F20"/>
          <w:spacing w:val="-25"/>
          <w:sz w:val="20"/>
        </w:rPr>
        <w:t xml:space="preserve"> </w:t>
      </w:r>
      <w:r>
        <w:rPr>
          <w:rFonts w:ascii="Times New Roman;Times;serif" w:hAnsi="Times New Roman;Times;serif"/>
          <w:color w:val="231F20"/>
          <w:sz w:val="20"/>
        </w:rPr>
        <w:t>is</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w:t>
      </w:r>
      <w:r>
        <w:rPr>
          <w:rFonts w:ascii="Times New Roman;Times;serif" w:hAnsi="Times New Roman;Times;serif"/>
          <w:color w:val="231F20"/>
          <w:spacing w:val="-24"/>
          <w:sz w:val="20"/>
        </w:rPr>
        <w:t xml:space="preserve"> </w:t>
      </w:r>
      <w:r>
        <w:rPr>
          <w:rFonts w:ascii="Times New Roman;Times;serif" w:hAnsi="Times New Roman;Times;serif"/>
          <w:color w:val="231F20"/>
          <w:sz w:val="20"/>
        </w:rPr>
        <w:t>Phase</w:t>
      </w:r>
      <w:r>
        <w:rPr>
          <w:rFonts w:ascii="Times New Roman;Times;serif" w:hAnsi="Times New Roman;Times;serif"/>
          <w:color w:val="231F20"/>
          <w:spacing w:val="-24"/>
          <w:sz w:val="20"/>
        </w:rPr>
        <w:t xml:space="preserve"> </w:t>
      </w:r>
      <w:r>
        <w:rPr>
          <w:rFonts w:ascii="Times New Roman;Times;serif" w:hAnsi="Times New Roman;Times;serif"/>
          <w:color w:val="231F20"/>
          <w:sz w:val="20"/>
        </w:rPr>
        <w:t>IIb/III</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4"/>
          <w:sz w:val="20"/>
        </w:rPr>
        <w:t xml:space="preserve"> </w:t>
      </w:r>
      <w:r>
        <w:rPr>
          <w:rFonts w:ascii="Times New Roman;Times;serif" w:hAnsi="Times New Roman;Times;serif"/>
          <w:color w:val="231F20"/>
          <w:sz w:val="20"/>
        </w:rPr>
        <w:t>testing</w:t>
      </w:r>
      <w:r>
        <w:rPr>
          <w:rFonts w:ascii="Times New Roman;Times;serif" w:hAnsi="Times New Roman;Times;serif"/>
          <w:color w:val="231F20"/>
          <w:spacing w:val="-24"/>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4"/>
          <w:sz w:val="20"/>
        </w:rPr>
        <w:t xml:space="preserve"> </w:t>
      </w:r>
      <w:r>
        <w:rPr>
          <w:rFonts w:ascii="Times New Roman;Times;serif" w:hAnsi="Times New Roman;Times;serif"/>
          <w:color w:val="231F20"/>
          <w:sz w:val="20"/>
        </w:rPr>
        <w:t>Breakthrough</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Therapy</w:t>
      </w:r>
      <w:r>
        <w:rPr>
          <w:rFonts w:ascii="Times New Roman;Times;serif" w:hAnsi="Times New Roman;Times;serif"/>
          <w:color w:val="231F20"/>
          <w:spacing w:val="-24"/>
          <w:sz w:val="20"/>
        </w:rPr>
        <w:t xml:space="preserve"> </w:t>
      </w:r>
      <w:r>
        <w:rPr>
          <w:rFonts w:ascii="Times New Roman;Times;serif" w:hAnsi="Times New Roman;Times;serif"/>
          <w:color w:val="231F20"/>
          <w:sz w:val="20"/>
        </w:rPr>
        <w:t>designation, a Biomarker Letter</w:t>
      </w:r>
      <w:r>
        <w:rPr>
          <w:rFonts w:ascii="Times New Roman;Times;serif" w:hAnsi="Times New Roman;Times;serif"/>
          <w:color w:val="231F20"/>
          <w:spacing w:val="-2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4"/>
          <w:sz w:val="20"/>
        </w:rPr>
        <w:t xml:space="preserve"> </w:t>
      </w:r>
      <w:r>
        <w:rPr>
          <w:rFonts w:ascii="Times New Roman;Times;serif" w:hAnsi="Times New Roman;Times;serif"/>
          <w:color w:val="231F20"/>
          <w:sz w:val="20"/>
        </w:rPr>
        <w:t>a</w:t>
      </w:r>
      <w:r>
        <w:rPr>
          <w:rFonts w:ascii="Times New Roman;Times;serif" w:hAnsi="Times New Roman;Times;serif"/>
          <w:color w:val="231F20"/>
          <w:spacing w:val="-24"/>
          <w:sz w:val="20"/>
        </w:rPr>
        <w:t xml:space="preserve"> </w:t>
      </w:r>
      <w:r>
        <w:rPr>
          <w:rFonts w:ascii="Times New Roman;Times;serif" w:hAnsi="Times New Roman;Times;serif"/>
          <w:color w:val="231F20"/>
          <w:sz w:val="20"/>
        </w:rPr>
        <w:t>Special Protocol</w:t>
      </w:r>
      <w:r>
        <w:rPr>
          <w:rFonts w:ascii="Times New Roman;Times;serif" w:hAnsi="Times New Roman;Times;serif"/>
          <w:color w:val="231F20"/>
          <w:spacing w:val="-25"/>
          <w:sz w:val="20"/>
        </w:rPr>
        <w:t xml:space="preserve"> </w:t>
      </w:r>
      <w:r>
        <w:rPr>
          <w:rFonts w:ascii="Times New Roman;Times;serif" w:hAnsi="Times New Roman;Times;serif"/>
          <w:color w:val="231F20"/>
          <w:sz w:val="20"/>
        </w:rPr>
        <w:t>Agreement</w:t>
      </w:r>
      <w:r>
        <w:rPr>
          <w:rFonts w:ascii="Times New Roman;Times;serif" w:hAnsi="Times New Roman;Times;serif"/>
          <w:color w:val="231F20"/>
          <w:spacing w:val="-24"/>
          <w:sz w:val="20"/>
        </w:rPr>
        <w:t xml:space="preserve"> </w:t>
      </w:r>
      <w:r>
        <w:rPr>
          <w:rFonts w:ascii="Times New Roman;Times;serif" w:hAnsi="Times New Roman;Times;serif"/>
          <w:color w:val="231F20"/>
          <w:sz w:val="20"/>
        </w:rPr>
        <w:t>issued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by</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5"/>
          <w:sz w:val="20"/>
        </w:rPr>
        <w:t xml:space="preserve"> </w:t>
      </w:r>
      <w:r>
        <w:rPr>
          <w:rFonts w:ascii="Times New Roman;Times;serif" w:hAnsi="Times New Roman;Times;serif"/>
          <w:color w:val="231F20"/>
          <w:spacing w:val="-4"/>
          <w:sz w:val="20"/>
        </w:rPr>
        <w:t>FDA</w:t>
      </w:r>
      <w:r>
        <w:rPr>
          <w:rFonts w:ascii="Times New Roman;Times;serif" w:hAnsi="Times New Roman;Times;serif"/>
          <w:color w:val="231F20"/>
          <w:spacing w:val="-24"/>
          <w:sz w:val="20"/>
        </w:rPr>
        <w:t xml:space="preserve"> </w:t>
      </w:r>
      <w:r>
        <w:rPr>
          <w:rFonts w:ascii="Times New Roman;Times;serif" w:hAnsi="Times New Roman;Times;serif"/>
          <w:color w:val="231F20"/>
          <w:sz w:val="20"/>
        </w:rPr>
        <w:t>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April</w:t>
      </w:r>
      <w:r>
        <w:rPr>
          <w:rFonts w:ascii="Times New Roman;Times;serif" w:hAnsi="Times New Roman;Times;serif"/>
          <w:color w:val="231F20"/>
          <w:spacing w:val="-24"/>
          <w:sz w:val="20"/>
        </w:rPr>
        <w:t xml:space="preserve"> </w:t>
      </w:r>
      <w:r>
        <w:rPr>
          <w:rFonts w:ascii="Times New Roman;Times;serif" w:hAnsi="Times New Roman;Times;serif"/>
          <w:color w:val="231F20"/>
          <w:sz w:val="20"/>
        </w:rPr>
        <w:t>20,</w:t>
      </w:r>
      <w:r>
        <w:rPr>
          <w:rFonts w:ascii="Times New Roman;Times;serif" w:hAnsi="Times New Roman;Times;serif"/>
          <w:color w:val="231F20"/>
          <w:spacing w:val="-25"/>
          <w:sz w:val="20"/>
        </w:rPr>
        <w:t xml:space="preserve"> </w:t>
      </w:r>
      <w:r>
        <w:rPr>
          <w:rFonts w:ascii="Times New Roman;Times;serif" w:hAnsi="Times New Roman;Times;serif"/>
          <w:color w:val="231F20"/>
          <w:sz w:val="20"/>
        </w:rPr>
        <w:t>2018.</w:t>
      </w:r>
      <w:r>
        <w:rPr>
          <w:rFonts w:ascii="Times New Roman;Times;serif" w:hAnsi="Times New Roman;Times;serif"/>
          <w:color w:val="231F20"/>
          <w:spacing w:val="-24"/>
          <w:sz w:val="20"/>
        </w:rPr>
        <w:t xml:space="preserve">  </w:t>
      </w:r>
      <w:r>
        <w:rPr>
          <w:rFonts w:ascii="Times New Roman;Times;serif" w:hAnsi="Times New Roman;Times;serif"/>
          <w:color w:val="231F20"/>
          <w:sz w:val="20"/>
        </w:rPr>
        <w:t>A</w:t>
      </w:r>
      <w:r>
        <w:rPr>
          <w:rFonts w:ascii="Times New Roman;Times;serif" w:hAnsi="Times New Roman;Times;serif"/>
          <w:color w:val="231F20"/>
          <w:spacing w:val="-24"/>
          <w:sz w:val="20"/>
        </w:rPr>
        <w:t xml:space="preserve"> </w:t>
      </w:r>
      <w:r>
        <w:rPr>
          <w:rFonts w:ascii="Times New Roman;Times;serif" w:hAnsi="Times New Roman;Times;serif"/>
          <w:color w:val="231F20"/>
          <w:sz w:val="20"/>
        </w:rPr>
        <w:t>Special</w:t>
      </w:r>
      <w:r>
        <w:rPr>
          <w:rFonts w:ascii="Times New Roman;Times;serif" w:hAnsi="Times New Roman;Times;serif"/>
          <w:color w:val="231F20"/>
          <w:spacing w:val="-24"/>
          <w:sz w:val="20"/>
        </w:rPr>
        <w:t xml:space="preserve"> </w:t>
      </w:r>
      <w:r>
        <w:rPr>
          <w:rFonts w:ascii="Times New Roman;Times;serif" w:hAnsi="Times New Roman;Times;serif"/>
          <w:color w:val="231F20"/>
          <w:sz w:val="20"/>
        </w:rPr>
        <w:t>Protocol</w:t>
      </w:r>
      <w:r>
        <w:rPr>
          <w:rFonts w:ascii="Times New Roman;Times;serif" w:hAnsi="Times New Roman;Times;serif"/>
          <w:color w:val="231F20"/>
          <w:spacing w:val="-25"/>
          <w:sz w:val="20"/>
        </w:rPr>
        <w:t xml:space="preserve"> </w:t>
      </w:r>
      <w:r>
        <w:rPr>
          <w:rFonts w:ascii="Times New Roman;Times;serif" w:hAnsi="Times New Roman;Times;serif"/>
          <w:color w:val="231F20"/>
          <w:sz w:val="20"/>
        </w:rPr>
        <w:t>Agreement</w:t>
      </w:r>
      <w:r>
        <w:rPr>
          <w:rFonts w:ascii="Times New Roman;Times;serif" w:hAnsi="Times New Roman;Times;serif"/>
          <w:color w:val="231F20"/>
          <w:spacing w:val="-24"/>
          <w:sz w:val="20"/>
        </w:rPr>
        <w:t xml:space="preserve"> </w:t>
      </w:r>
      <w:r>
        <w:rPr>
          <w:rFonts w:ascii="Times New Roman;Times;serif" w:hAnsi="Times New Roman;Times;serif"/>
          <w:color w:val="231F20"/>
          <w:sz w:val="20"/>
        </w:rPr>
        <w:t>is</w:t>
      </w:r>
      <w:r>
        <w:rPr>
          <w:rFonts w:ascii="Times New Roman;Times;serif" w:hAnsi="Times New Roman;Times;serif"/>
          <w:color w:val="231F20"/>
          <w:spacing w:val="-24"/>
          <w:sz w:val="20"/>
        </w:rPr>
        <w:t xml:space="preserve"> </w:t>
      </w:r>
      <w:r>
        <w:rPr>
          <w:rFonts w:ascii="Times New Roman;Times;serif" w:hAnsi="Times New Roman;Times;serif"/>
          <w:color w:val="231F20"/>
          <w:sz w:val="20"/>
        </w:rPr>
        <w:t>a</w:t>
      </w:r>
      <w:r>
        <w:rPr>
          <w:rFonts w:ascii="Times New Roman;Times;serif" w:hAnsi="Times New Roman;Times;serif"/>
          <w:color w:val="231F20"/>
          <w:spacing w:val="-24"/>
          <w:sz w:val="20"/>
        </w:rPr>
        <w:t xml:space="preserve"> </w:t>
      </w:r>
      <w:r>
        <w:rPr>
          <w:rFonts w:ascii="Times New Roman;Times;serif" w:hAnsi="Times New Roman;Times;serif"/>
          <w:color w:val="231F20"/>
          <w:sz w:val="20"/>
        </w:rPr>
        <w:t>mechanism by</w:t>
      </w:r>
      <w:r>
        <w:rPr>
          <w:rFonts w:ascii="Times New Roman;Times;serif" w:hAnsi="Times New Roman;Times;serif"/>
          <w:color w:val="231F20"/>
          <w:spacing w:val="-9"/>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FDA</w:t>
      </w:r>
      <w:r>
        <w:rPr>
          <w:rFonts w:ascii="Times New Roman;Times;serif" w:hAnsi="Times New Roman;Times;serif"/>
          <w:color w:val="231F20"/>
          <w:spacing w:val="-9"/>
          <w:sz w:val="20"/>
        </w:rPr>
        <w:t xml:space="preserve"> </w:t>
      </w:r>
      <w:r>
        <w:rPr>
          <w:rFonts w:ascii="Times New Roman;Times;serif" w:hAnsi="Times New Roman;Times;serif"/>
          <w:color w:val="231F20"/>
          <w:sz w:val="20"/>
        </w:rPr>
        <w:t>indicates</w:t>
      </w:r>
      <w:r>
        <w:rPr>
          <w:rFonts w:ascii="Times New Roman;Times;serif" w:hAnsi="Times New Roman;Times;serif"/>
          <w:color w:val="231F20"/>
          <w:spacing w:val="-8"/>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proposed</w:t>
      </w:r>
      <w:r>
        <w:rPr>
          <w:rFonts w:ascii="Times New Roman;Times;serif" w:hAnsi="Times New Roman;Times;serif"/>
          <w:color w:val="231F20"/>
          <w:spacing w:val="-9"/>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8"/>
          <w:sz w:val="20"/>
        </w:rPr>
        <w:t xml:space="preserve"> </w:t>
      </w:r>
      <w:r>
        <w:rPr>
          <w:rFonts w:ascii="Times New Roman;Times;serif" w:hAnsi="Times New Roman;Times;serif"/>
          <w:color w:val="231F20"/>
          <w:sz w:val="20"/>
        </w:rPr>
        <w:t>trial,</w:t>
      </w:r>
      <w:r>
        <w:rPr>
          <w:rFonts w:ascii="Times New Roman;Times;serif" w:hAnsi="Times New Roman;Times;serif"/>
          <w:color w:val="231F20"/>
          <w:spacing w:val="-9"/>
          <w:sz w:val="20"/>
        </w:rPr>
        <w:t xml:space="preserve"> </w:t>
      </w:r>
      <w:r>
        <w:rPr>
          <w:rFonts w:ascii="Times New Roman;Times;serif" w:hAnsi="Times New Roman;Times;serif"/>
          <w:color w:val="231F20"/>
          <w:sz w:val="20"/>
        </w:rPr>
        <w:t>if</w:t>
      </w:r>
      <w:r>
        <w:rPr>
          <w:rFonts w:ascii="Times New Roman;Times;serif" w:hAnsi="Times New Roman;Times;serif"/>
          <w:color w:val="231F20"/>
          <w:spacing w:val="5"/>
          <w:sz w:val="20"/>
        </w:rPr>
        <w:t xml:space="preserve"> </w:t>
      </w:r>
      <w:r>
        <w:rPr>
          <w:rFonts w:ascii="Times New Roman;Times;serif" w:hAnsi="Times New Roman;Times;serif"/>
          <w:color w:val="231F20"/>
          <w:sz w:val="20"/>
        </w:rPr>
        <w:t>successful,</w:t>
      </w:r>
      <w:r>
        <w:rPr>
          <w:rFonts w:ascii="Times New Roman;Times;serif" w:hAnsi="Times New Roman;Times;serif"/>
          <w:color w:val="231F20"/>
          <w:spacing w:val="-8"/>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9"/>
          <w:sz w:val="20"/>
        </w:rPr>
        <w:t xml:space="preserve"> </w:t>
      </w:r>
      <w:r>
        <w:rPr>
          <w:rFonts w:ascii="Times New Roman;Times;serif" w:hAnsi="Times New Roman;Times;serif"/>
          <w:color w:val="231F20"/>
          <w:sz w:val="20"/>
        </w:rPr>
        <w:t>be</w:t>
      </w:r>
      <w:r>
        <w:rPr>
          <w:rFonts w:ascii="Times New Roman;Times;serif" w:hAnsi="Times New Roman;Times;serif"/>
          <w:color w:val="231F20"/>
          <w:spacing w:val="-8"/>
          <w:sz w:val="20"/>
        </w:rPr>
        <w:t xml:space="preserve"> </w:t>
      </w:r>
      <w:r>
        <w:rPr>
          <w:rFonts w:ascii="Times New Roman;Times;serif" w:hAnsi="Times New Roman;Times;serif"/>
          <w:color w:val="231F20"/>
          <w:sz w:val="20"/>
        </w:rPr>
        <w:t>adequate</w:t>
      </w:r>
      <w:r>
        <w:rPr>
          <w:rFonts w:ascii="Times New Roman;Times;serif" w:hAnsi="Times New Roman;Times;serif"/>
          <w:color w:val="231F20"/>
          <w:spacing w:val="-9"/>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z w:val="20"/>
        </w:rPr>
        <w:t>support</w:t>
      </w:r>
      <w:r>
        <w:rPr>
          <w:rFonts w:ascii="Times New Roman;Times;serif" w:hAnsi="Times New Roman;Times;serif"/>
          <w:color w:val="231F20"/>
          <w:spacing w:val="-9"/>
          <w:sz w:val="20"/>
        </w:rPr>
        <w:t xml:space="preserve"> </w:t>
      </w:r>
      <w:r>
        <w:rPr>
          <w:rFonts w:ascii="Times New Roman;Times;serif" w:hAnsi="Times New Roman;Times;serif"/>
          <w:color w:val="231F20"/>
          <w:sz w:val="20"/>
        </w:rPr>
        <w:t xml:space="preserve">an application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drug </w:t>
      </w:r>
      <w:r>
        <w:rPr>
          <w:rFonts w:ascii="Times New Roman;Times;serif" w:hAnsi="Times New Roman;Times;serif"/>
          <w:color w:val="231F20"/>
          <w:spacing w:val="-4"/>
          <w:sz w:val="20"/>
        </w:rPr>
        <w:t xml:space="preserve">approval. FDA approval </w:t>
      </w:r>
      <w:r>
        <w:rPr>
          <w:rFonts w:ascii="Times New Roman;Times;serif" w:hAnsi="Times New Roman;Times;serif"/>
          <w:color w:val="231F20"/>
          <w:sz w:val="20"/>
        </w:rPr>
        <w:t xml:space="preserve">requires that a drug candidate complete a Phase III study program, which tests the safety and efficacy of the drug candidate on a large sample of </w:t>
      </w:r>
      <w:r>
        <w:rPr>
          <w:rFonts w:ascii="Times New Roman;Times;serif" w:hAnsi="Times New Roman;Times;serif"/>
          <w:color w:val="231F20"/>
          <w:spacing w:val="-3"/>
          <w:sz w:val="20"/>
        </w:rPr>
        <w:t xml:space="preserve">patients. We are conducting a new registrational study of NRX-101 for severe bipolar depression in patients with ASIB after initial stabilization with NRX-100 </w:t>
      </w:r>
      <w:r>
        <w:rPr>
          <w:rFonts w:ascii="Times New Roman;Times;serif" w:hAnsi="Times New Roman;Times;serif"/>
          <w:color w:val="231F20"/>
          <w:sz w:val="20"/>
        </w:rPr>
        <w:t xml:space="preserve">(ketamine). We are using newly-manufactured material that was manufactured using the expected commercial process. In addition, we have initiated a Phase II clinical study for bipolar depression with sub-acute suicidal ideation and behavior. This population is significantly larger than the Bipolar Depression population with ASIB, and does not require initial stabilization with NRX-100. On January 3, 2023, the Company announced that its first clinical trial site had been contracted for a Phase 3 clinical trial of NRX-101 for the treatment of Severe Bipolar Depression in patients with Acute Suicidal Ideation and Behavior, a potentially lethal condition that currently takes the lives of thousands of Americans each year. Because NRX-101 is a Breakthrough Therapy, we anticipate being able to file a New Drug Application (“NDA”) based upon a single, successful Phase III trial. While we cannot predict with any certainty if or when we might submit an NDA for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of NRX-101,</w:t>
      </w:r>
      <w:r>
        <w:rPr>
          <w:rFonts w:ascii="Times New Roman;Times;serif" w:hAnsi="Times New Roman;Times;serif"/>
          <w:color w:val="231F20"/>
          <w:spacing w:val="6"/>
          <w:sz w:val="20"/>
        </w:rPr>
        <w:t xml:space="preserve"> </w:t>
      </w:r>
      <w:r>
        <w:rPr>
          <w:rFonts w:ascii="Times New Roman;Times;serif" w:hAnsi="Times New Roman;Times;serif"/>
          <w:color w:val="231F20"/>
          <w:sz w:val="20"/>
        </w:rPr>
        <w:t>we aim to submit an NDA to the FDA on a rolling basis for the regulatory approval and commercialization of NRX-101 in the U.S. in 2023.</w:t>
      </w:r>
    </w:p>
    <w:p>
      <w:pPr>
        <w:pStyle w:val="TextBody"/>
        <w:spacing w:lineRule="auto" w:line="300" w:before="1" w:after="240"/>
        <w:ind w:left="0" w:right="0" w:hanging="0"/>
        <w:jc w:val="both"/>
        <w:rPr>
          <w:rFonts w:ascii="Times New Roman;Times;serif" w:hAnsi="Times New Roman;Times;serif"/>
          <w:b/>
          <w:sz w:val="20"/>
        </w:rPr>
      </w:pPr>
      <w:r>
        <w:rPr>
          <w:rFonts w:ascii="Times New Roman;Times;serif" w:hAnsi="Times New Roman;Times;serif"/>
          <w:b/>
          <w:i/>
          <w:color w:val="231F20"/>
          <w:sz w:val="20"/>
        </w:rPr>
        <w:t>Our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product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candidates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newly-formulated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7"/>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have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8"/>
          <w:sz w:val="20"/>
        </w:rPr>
        <w:t xml:space="preserve"> </w:t>
      </w:r>
      <w:r>
        <w:rPr>
          <w:rFonts w:ascii="Times New Roman;Times;serif" w:hAnsi="Times New Roman;Times;serif"/>
          <w:b/>
          <w:i/>
          <w:color w:val="231F20"/>
          <w:spacing w:val="-3"/>
          <w:sz w:val="20"/>
        </w:rPr>
        <w:t>yet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scaled</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manufacturing</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levels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that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be required for sustained</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sales.</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z w:val="20"/>
        </w:rPr>
        <w:t>NRX-101 has been formulated under cGMP and long-term stability (</w:t>
      </w:r>
      <w:r>
        <w:rPr>
          <w:rFonts w:ascii="Times New Roman;Times;serif" w:hAnsi="Times New Roman;Times;serif"/>
          <w:i/>
          <w:color w:val="231F20"/>
          <w:sz w:val="20"/>
        </w:rPr>
        <w:t>i.e.</w:t>
      </w:r>
      <w:r>
        <w:rPr>
          <w:rFonts w:ascii="Times New Roman;Times;serif" w:hAnsi="Times New Roman;Times;serif"/>
          <w:color w:val="231F20"/>
          <w:sz w:val="20"/>
        </w:rPr>
        <w:t>, five years) has been</w:t>
      </w:r>
      <w:r>
        <w:rPr>
          <w:rFonts w:ascii="Times New Roman;Times;serif" w:hAnsi="Times New Roman;Times;serif"/>
          <w:color w:val="231F20"/>
          <w:spacing w:val="-23"/>
          <w:sz w:val="20"/>
        </w:rPr>
        <w:t xml:space="preserve"> </w:t>
      </w:r>
      <w:r>
        <w:rPr>
          <w:rFonts w:ascii="Times New Roman;Times;serif" w:hAnsi="Times New Roman;Times;serif"/>
          <w:color w:val="231F20"/>
          <w:sz w:val="20"/>
        </w:rPr>
        <w:t xml:space="preserve">achieved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our solid dose formulation of NRX-101. Although the Company completed a Type C meeting in which FDA agreed to the Company's Chemical Manufacturing Control and stability program for drug manufacture, and production of NRx-101 has been transferred to a commercial scale cGMP manufacturing</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facility in South Carolina, we have yet to attempt large scale manufacturing.</w:t>
      </w:r>
    </w:p>
    <w:p>
      <w:pPr>
        <w:pStyle w:val="TextBody"/>
        <w:spacing w:lineRule="auto" w:line="290"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The outcome of any current or future disputes, claims, arbitration and litigation could have a material adverse effect on our business, financial condition and results of operations.</w:t>
      </w:r>
    </w:p>
    <w:p>
      <w:pPr>
        <w:pStyle w:val="TextBody"/>
        <w:spacing w:lineRule="auto" w:line="288" w:before="162" w:after="240"/>
        <w:ind w:left="0" w:right="0" w:firstLine="399"/>
        <w:jc w:val="both"/>
        <w:rPr>
          <w:rFonts w:ascii="Times New Roman;Times;serif" w:hAnsi="Times New Roman;Times;serif"/>
          <w:color w:val="231F20"/>
          <w:spacing w:val="-10"/>
          <w:sz w:val="20"/>
        </w:rPr>
      </w:pPr>
      <w:r>
        <w:rPr>
          <w:rFonts w:ascii="Times New Roman;Times;serif" w:hAnsi="Times New Roman;Times;serif"/>
          <w:color w:val="231F20"/>
          <w:spacing w:val="-10"/>
          <w:sz w:val="20"/>
        </w:rPr>
        <w:t>We are currently involved in a dispute with GEM Yield Bahamas Limited and GEM Global Yield LLC SCS (collectively, “GEM”). On August 12, 2022, the Company received a demand for arbitration (the “Demand”) from GEM. The Demand claims that the Company’s subsidiary, NeuroRx, Inc. (“NeuroRx”), failed to satisfy its obligation to pay GEM a commitment fee in the amount of HK$ 15,000,000 (approximately US$[1,914,087] at current exchange rates) pursuant to a Share Subscription Facility Agreement, executed on October 18, 2019, by and among NeuroRx and GEM. NeuroRx expects to vigorously defend its position that payment of the commitment fee is neither due nor owing under the terms of the Agreement. In the event of an adverse ruling, there can be no assurance that we would not be required to pay damages in an amount that may have a material adverse effect on our business, financial condition or results of operations.</w:t>
      </w:r>
    </w:p>
    <w:p>
      <w:pPr>
        <w:pStyle w:val="TextBody"/>
        <w:spacing w:lineRule="auto" w:line="288"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If</w:t>
      </w:r>
      <w:r>
        <w:rPr>
          <w:rFonts w:ascii="Times New Roman;Times;serif" w:hAnsi="Times New Roman;Times;serif"/>
          <w:b/>
          <w:color w:val="231F20"/>
          <w:spacing w:val="8"/>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fail</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obtain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maintain</w:t>
      </w:r>
      <w:r>
        <w:rPr>
          <w:rFonts w:ascii="Times New Roman;Times;serif" w:hAnsi="Times New Roman;Times;serif"/>
          <w:b/>
          <w:color w:val="231F20"/>
          <w:spacing w:val="-8"/>
          <w:sz w:val="20"/>
        </w:rPr>
        <w:t xml:space="preserve"> </w:t>
      </w:r>
      <w:r>
        <w:rPr>
          <w:rFonts w:ascii="Times New Roman;Times;serif" w:hAnsi="Times New Roman;Times;serif"/>
          <w:b/>
          <w:i/>
          <w:color w:val="231F20"/>
          <w:spacing w:val="-5"/>
          <w:sz w:val="20"/>
        </w:rPr>
        <w:t>FDA</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other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regulatory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clearances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for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products,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if</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such</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clearances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are delayed,</w:t>
      </w:r>
      <w:r>
        <w:rPr>
          <w:rFonts w:ascii="Times New Roman;Times;serif" w:hAnsi="Times New Roman;Times;serif"/>
          <w:b/>
          <w:color w:val="231F20"/>
          <w:spacing w:val="-4"/>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be</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unable</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commercially</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distribute</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market</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products.</w:t>
      </w:r>
    </w:p>
    <w:p>
      <w:pPr>
        <w:pStyle w:val="TextBody"/>
        <w:spacing w:lineRule="auto" w:line="288" w:before="167"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Our products are subject to rigorous regulation by national regulators around in the world, and by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in the U.S</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The process of seeking regulatory clearance or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to market a drug product is expensive and time consuming and, notwithstanding the </w:t>
      </w:r>
      <w:r>
        <w:rPr>
          <w:rFonts w:ascii="Times New Roman;Times;serif" w:hAnsi="Times New Roman;Times;serif"/>
          <w:color w:val="231F20"/>
          <w:spacing w:val="-3"/>
          <w:sz w:val="20"/>
        </w:rPr>
        <w:t xml:space="preserve">effort </w:t>
      </w:r>
      <w:r>
        <w:rPr>
          <w:rFonts w:ascii="Times New Roman;Times;serif" w:hAnsi="Times New Roman;Times;serif"/>
          <w:color w:val="231F20"/>
          <w:sz w:val="20"/>
        </w:rPr>
        <w:t xml:space="preserve">and expense incurred, clearance or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is never guaranteed. If we are not successful in obtaining timely clearance or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of our products from the </w:t>
      </w:r>
      <w:r>
        <w:rPr>
          <w:rFonts w:ascii="Times New Roman;Times;serif" w:hAnsi="Times New Roman;Times;serif"/>
          <w:color w:val="231F20"/>
          <w:spacing w:val="-3"/>
          <w:sz w:val="20"/>
        </w:rPr>
        <w:t xml:space="preserve">FDA, </w:t>
      </w:r>
      <w:r>
        <w:rPr>
          <w:rFonts w:ascii="Times New Roman;Times;serif" w:hAnsi="Times New Roman;Times;serif"/>
          <w:color w:val="231F2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never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generate significant </w:t>
      </w:r>
      <w:r>
        <w:rPr>
          <w:rFonts w:ascii="Times New Roman;Times;serif" w:hAnsi="Times New Roman;Times;serif"/>
          <w:color w:val="231F20"/>
          <w:spacing w:val="-3"/>
          <w:sz w:val="20"/>
        </w:rPr>
        <w:t xml:space="preserve">revenue </w:t>
      </w:r>
      <w:r>
        <w:rPr>
          <w:rFonts w:ascii="Times New Roman;Times;serif" w:hAnsi="Times New Roman;Times;serif"/>
          <w:color w:val="231F20"/>
          <w:sz w:val="20"/>
        </w:rPr>
        <w:t xml:space="preserve">in the U.S. and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w:t>
      </w:r>
      <w:r>
        <w:rPr>
          <w:rFonts w:ascii="Times New Roman;Times;serif" w:hAnsi="Times New Roman;Times;serif"/>
          <w:color w:val="231F20"/>
          <w:spacing w:val="-12"/>
          <w:sz w:val="20"/>
        </w:rPr>
        <w:t xml:space="preserve"> </w:t>
      </w:r>
      <w:r>
        <w:rPr>
          <w:rFonts w:ascii="Times New Roman;Times;serif" w:hAnsi="Times New Roman;Times;serif"/>
          <w:color w:val="231F20"/>
          <w:sz w:val="20"/>
        </w:rPr>
        <w:t>forced</w:t>
      </w:r>
      <w:r>
        <w:rPr>
          <w:rFonts w:ascii="Times New Roman;Times;serif" w:hAnsi="Times New Roman;Times;serif"/>
          <w:color w:val="231F20"/>
          <w:spacing w:val="-11"/>
          <w:sz w:val="20"/>
        </w:rPr>
        <w:t xml:space="preserve"> </w:t>
      </w:r>
      <w:r>
        <w:rPr>
          <w:rFonts w:ascii="Times New Roman;Times;serif" w:hAnsi="Times New Roman;Times;serif"/>
          <w:color w:val="231F20"/>
          <w:sz w:val="20"/>
        </w:rPr>
        <w:t>to</w:t>
      </w:r>
      <w:r>
        <w:rPr>
          <w:rFonts w:ascii="Times New Roman;Times;serif" w:hAnsi="Times New Roman;Times;serif"/>
          <w:color w:val="231F20"/>
          <w:spacing w:val="-11"/>
          <w:sz w:val="20"/>
        </w:rPr>
        <w:t xml:space="preserve"> </w:t>
      </w:r>
      <w:r>
        <w:rPr>
          <w:rFonts w:ascii="Times New Roman;Times;serif" w:hAnsi="Times New Roman;Times;serif"/>
          <w:color w:val="231F20"/>
          <w:sz w:val="20"/>
        </w:rPr>
        <w:t>focus</w:t>
      </w:r>
      <w:r>
        <w:rPr>
          <w:rFonts w:ascii="Times New Roman;Times;serif" w:hAnsi="Times New Roman;Times;serif"/>
          <w:color w:val="231F20"/>
          <w:spacing w:val="-11"/>
          <w:sz w:val="20"/>
        </w:rPr>
        <w:t xml:space="preserve"> </w:t>
      </w:r>
      <w:r>
        <w:rPr>
          <w:rFonts w:ascii="Times New Roman;Times;serif" w:hAnsi="Times New Roman;Times;serif"/>
          <w:color w:val="231F20"/>
          <w:sz w:val="20"/>
        </w:rPr>
        <w:t>on</w:t>
      </w:r>
      <w:r>
        <w:rPr>
          <w:rFonts w:ascii="Times New Roman;Times;serif" w:hAnsi="Times New Roman;Times;serif"/>
          <w:color w:val="231F20"/>
          <w:spacing w:val="-12"/>
          <w:sz w:val="20"/>
        </w:rPr>
        <w:t xml:space="preserve"> </w:t>
      </w:r>
      <w:r>
        <w:rPr>
          <w:rFonts w:ascii="Times New Roman;Times;serif" w:hAnsi="Times New Roman;Times;serif"/>
          <w:color w:val="231F20"/>
          <w:sz w:val="20"/>
        </w:rPr>
        <w:t>international</w:t>
      </w:r>
      <w:r>
        <w:rPr>
          <w:rFonts w:ascii="Times New Roman;Times;serif" w:hAnsi="Times New Roman;Times;serif"/>
          <w:color w:val="231F20"/>
          <w:spacing w:val="-11"/>
          <w:sz w:val="20"/>
        </w:rPr>
        <w:t xml:space="preserve"> </w:t>
      </w:r>
      <w:r>
        <w:rPr>
          <w:rFonts w:ascii="Times New Roman;Times;serif" w:hAnsi="Times New Roman;Times;serif"/>
          <w:color w:val="231F20"/>
          <w:sz w:val="20"/>
        </w:rPr>
        <w:t>markets</w:t>
      </w:r>
      <w:r>
        <w:rPr>
          <w:rFonts w:ascii="Times New Roman;Times;serif" w:hAnsi="Times New Roman;Times;serif"/>
          <w:color w:val="231F20"/>
          <w:spacing w:val="-11"/>
          <w:sz w:val="20"/>
        </w:rPr>
        <w:t xml:space="preserve"> </w:t>
      </w:r>
      <w:r>
        <w:rPr>
          <w:rFonts w:ascii="Times New Roman;Times;serif" w:hAnsi="Times New Roman;Times;serif"/>
          <w:color w:val="231F20"/>
          <w:sz w:val="20"/>
        </w:rPr>
        <w:t>where</w:t>
      </w:r>
      <w:r>
        <w:rPr>
          <w:rFonts w:ascii="Times New Roman;Times;serif" w:hAnsi="Times New Roman;Times;serif"/>
          <w:color w:val="231F20"/>
          <w:spacing w:val="-11"/>
          <w:sz w:val="20"/>
        </w:rPr>
        <w:t xml:space="preserve"> </w:t>
      </w:r>
      <w:r>
        <w:rPr>
          <w:rFonts w:ascii="Times New Roman;Times;serif" w:hAnsi="Times New Roman;Times;serif"/>
          <w:color w:val="231F20"/>
          <w:sz w:val="20"/>
        </w:rPr>
        <w:t>we currently do not have a presence or an established partnership, which</w:t>
      </w:r>
      <w:r>
        <w:rPr>
          <w:rFonts w:ascii="Times New Roman;Times;serif" w:hAnsi="Times New Roman;Times;serif"/>
          <w:color w:val="231F20"/>
          <w:spacing w:val="-11"/>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1"/>
          <w:sz w:val="20"/>
        </w:rPr>
        <w:t xml:space="preserve"> </w:t>
      </w:r>
      <w:r>
        <w:rPr>
          <w:rFonts w:ascii="Times New Roman;Times;serif" w:hAnsi="Times New Roman;Times;serif"/>
          <w:color w:val="231F20"/>
          <w:sz w:val="20"/>
        </w:rPr>
        <w:t>limit</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2"/>
          <w:sz w:val="20"/>
        </w:rPr>
        <w:t xml:space="preserve"> </w:t>
      </w:r>
      <w:r>
        <w:rPr>
          <w:rFonts w:ascii="Times New Roman;Times;serif" w:hAnsi="Times New Roman;Times;serif"/>
          <w:color w:val="231F20"/>
          <w:spacing w:val="-3"/>
          <w:sz w:val="20"/>
        </w:rPr>
        <w:t xml:space="preserve">revenue </w:t>
      </w:r>
      <w:r>
        <w:rPr>
          <w:rFonts w:ascii="Times New Roman;Times;serif" w:hAnsi="Times New Roman;Times;serif"/>
          <w:color w:val="231F20"/>
          <w:sz w:val="20"/>
        </w:rPr>
        <w:t xml:space="preserve">potential of our </w:t>
      </w:r>
      <w:r>
        <w:rPr>
          <w:rFonts w:ascii="Times New Roman;Times;serif" w:hAnsi="Times New Roman;Times;serif"/>
          <w:color w:val="231F20"/>
          <w:spacing w:val="-3"/>
          <w:sz w:val="20"/>
        </w:rPr>
        <w:t>products.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firstLine="403"/>
        <w:jc w:val="both"/>
        <w:rPr>
          <w:rFonts w:ascii="Times New Roman;Times;serif" w:hAnsi="Times New Roman;Times;serif"/>
          <w:sz w:val="20"/>
        </w:rPr>
      </w:pPr>
      <w:r>
        <w:rPr>
          <w:rFonts w:ascii="Times New Roman;Times;serif" w:hAnsi="Times New Roman;Times;serif"/>
          <w:color w:val="231F20"/>
          <w:sz w:val="20"/>
        </w:rPr>
        <w:t>In the U.S.</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permits commercial distribution of a new drug product only after the product</w:t>
      </w:r>
      <w:r>
        <w:rPr>
          <w:rFonts w:ascii="Times New Roman;Times;serif" w:hAnsi="Times New Roman;Times;serif"/>
          <w:color w:val="231F20"/>
          <w:spacing w:val="-19"/>
          <w:sz w:val="20"/>
        </w:rPr>
        <w:t xml:space="preserve"> </w:t>
      </w:r>
      <w:r>
        <w:rPr>
          <w:rFonts w:ascii="Times New Roman;Times;serif" w:hAnsi="Times New Roman;Times;serif"/>
          <w:color w:val="231F20"/>
          <w:sz w:val="20"/>
        </w:rPr>
        <w:t>has</w:t>
      </w:r>
      <w:r>
        <w:rPr>
          <w:rFonts w:ascii="Times New Roman;Times;serif" w:hAnsi="Times New Roman;Times;serif"/>
          <w:color w:val="231F20"/>
          <w:spacing w:val="-18"/>
          <w:sz w:val="20"/>
        </w:rPr>
        <w:t xml:space="preserve"> </w:t>
      </w:r>
      <w:r>
        <w:rPr>
          <w:rFonts w:ascii="Times New Roman;Times;serif" w:hAnsi="Times New Roman;Times;serif"/>
          <w:color w:val="231F20"/>
          <w:sz w:val="20"/>
        </w:rPr>
        <w:t>received</w:t>
      </w:r>
      <w:r>
        <w:rPr>
          <w:rFonts w:ascii="Times New Roman;Times;serif" w:hAnsi="Times New Roman;Times;serif"/>
          <w:color w:val="231F20"/>
          <w:spacing w:val="-19"/>
          <w:sz w:val="20"/>
        </w:rPr>
        <w:t xml:space="preserve"> </w:t>
      </w:r>
      <w:r>
        <w:rPr>
          <w:rFonts w:ascii="Times New Roman;Times;serif" w:hAnsi="Times New Roman;Times;serif"/>
          <w:color w:val="231F20"/>
          <w:spacing w:val="-4"/>
          <w:sz w:val="20"/>
        </w:rPr>
        <w:t>approval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an</w:t>
      </w:r>
      <w:r>
        <w:rPr>
          <w:rFonts w:ascii="Times New Roman;Times;serif" w:hAnsi="Times New Roman;Times;serif"/>
          <w:color w:val="231F20"/>
          <w:spacing w:val="-19"/>
          <w:sz w:val="20"/>
        </w:rPr>
        <w:t xml:space="preserve"> </w:t>
      </w:r>
      <w:r>
        <w:rPr>
          <w:rFonts w:ascii="Times New Roman;Times;serif" w:hAnsi="Times New Roman;Times;serif"/>
          <w:color w:val="231F20"/>
          <w:spacing w:val="-4"/>
          <w:sz w:val="20"/>
        </w:rPr>
        <w:t>NDA</w:t>
      </w:r>
      <w:r>
        <w:rPr>
          <w:rFonts w:ascii="Times New Roman;Times;serif" w:hAnsi="Times New Roman;Times;serif"/>
          <w:color w:val="231F20"/>
          <w:spacing w:val="-18"/>
          <w:sz w:val="20"/>
        </w:rPr>
        <w:t xml:space="preserve"> </w:t>
      </w:r>
      <w:r>
        <w:rPr>
          <w:rFonts w:ascii="Times New Roman;Times;serif" w:hAnsi="Times New Roman;Times;serif"/>
          <w:color w:val="231F20"/>
          <w:sz w:val="20"/>
        </w:rPr>
        <w:t>filed</w:t>
      </w:r>
      <w:r>
        <w:rPr>
          <w:rFonts w:ascii="Times New Roman;Times;serif" w:hAnsi="Times New Roman;Times;serif"/>
          <w:color w:val="231F20"/>
          <w:spacing w:val="-18"/>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FDA,</w:t>
      </w:r>
      <w:r>
        <w:rPr>
          <w:rFonts w:ascii="Times New Roman;Times;serif" w:hAnsi="Times New Roman;Times;serif"/>
          <w:color w:val="231F20"/>
          <w:spacing w:val="-19"/>
          <w:sz w:val="20"/>
        </w:rPr>
        <w:t xml:space="preserve"> </w:t>
      </w:r>
      <w:r>
        <w:rPr>
          <w:rFonts w:ascii="Times New Roman;Times;serif" w:hAnsi="Times New Roman;Times;serif"/>
          <w:color w:val="231F20"/>
          <w:sz w:val="20"/>
        </w:rPr>
        <w:t>seeking</w:t>
      </w:r>
      <w:r>
        <w:rPr>
          <w:rFonts w:ascii="Times New Roman;Times;serif" w:hAnsi="Times New Roman;Times;serif"/>
          <w:color w:val="231F20"/>
          <w:spacing w:val="-18"/>
          <w:sz w:val="20"/>
        </w:rPr>
        <w:t xml:space="preserve"> </w:t>
      </w:r>
      <w:r>
        <w:rPr>
          <w:rFonts w:ascii="Times New Roman;Times;serif" w:hAnsi="Times New Roman;Times;serif"/>
          <w:color w:val="231F20"/>
          <w:sz w:val="20"/>
        </w:rPr>
        <w:t>permission</w:t>
      </w:r>
      <w:r>
        <w:rPr>
          <w:rFonts w:ascii="Times New Roman;Times;serif" w:hAnsi="Times New Roman;Times;serif"/>
          <w:color w:val="231F20"/>
          <w:spacing w:val="-18"/>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1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 interstate commerce in the U.S</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The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process is </w:t>
      </w:r>
      <w:r>
        <w:rPr>
          <w:rFonts w:ascii="Times New Roman;Times;serif" w:hAnsi="Times New Roman;Times;serif"/>
          <w:color w:val="231F20"/>
          <w:spacing w:val="-4"/>
          <w:sz w:val="20"/>
        </w:rPr>
        <w:t xml:space="preserve">costly, </w:t>
      </w:r>
      <w:r>
        <w:rPr>
          <w:rFonts w:ascii="Times New Roman;Times;serif" w:hAnsi="Times New Roman;Times;serif"/>
          <w:color w:val="231F20"/>
          <w:sz w:val="20"/>
        </w:rPr>
        <w:t xml:space="preserve">lengthy and uncertain. </w:t>
      </w:r>
      <w:r>
        <w:rPr>
          <w:rFonts w:ascii="Times New Roman;Times;serif" w:hAnsi="Times New Roman;Times;serif"/>
          <w:color w:val="231F20"/>
          <w:spacing w:val="-3"/>
          <w:sz w:val="20"/>
        </w:rPr>
        <w:t xml:space="preserve">Any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application</w:t>
      </w:r>
      <w:r>
        <w:rPr>
          <w:rFonts w:ascii="Times New Roman;Times;serif" w:hAnsi="Times New Roman;Times;serif"/>
          <w:color w:val="231F20"/>
          <w:spacing w:val="-22"/>
          <w:sz w:val="20"/>
        </w:rPr>
        <w:t xml:space="preserve"> </w:t>
      </w:r>
      <w:r>
        <w:rPr>
          <w:rFonts w:ascii="Times New Roman;Times;serif" w:hAnsi="Times New Roman;Times;serif"/>
          <w:color w:val="231F20"/>
          <w:sz w:val="20"/>
        </w:rPr>
        <w:t>filed</w:t>
      </w:r>
      <w:r>
        <w:rPr>
          <w:rFonts w:ascii="Times New Roman;Times;serif" w:hAnsi="Times New Roman;Times;serif"/>
          <w:color w:val="231F20"/>
          <w:spacing w:val="-22"/>
          <w:sz w:val="20"/>
        </w:rPr>
        <w:t xml:space="preserve"> </w:t>
      </w:r>
      <w:r>
        <w:rPr>
          <w:rFonts w:ascii="Times New Roman;Times;serif" w:hAnsi="Times New Roman;Times;serif"/>
          <w:color w:val="231F20"/>
          <w:sz w:val="20"/>
        </w:rPr>
        <w:t>by</w:t>
      </w:r>
      <w:r>
        <w:rPr>
          <w:rFonts w:ascii="Times New Roman;Times;serif" w:hAnsi="Times New Roman;Times;serif"/>
          <w:color w:val="231F20"/>
          <w:spacing w:val="-22"/>
          <w:sz w:val="20"/>
        </w:rPr>
        <w:t xml:space="preserve"> </w:t>
      </w:r>
      <w:r>
        <w:rPr>
          <w:rFonts w:ascii="Times New Roman;Times;serif" w:hAnsi="Times New Roman;Times;serif"/>
          <w:color w:val="231F20"/>
          <w:sz w:val="20"/>
        </w:rPr>
        <w:t>us</w:t>
      </w:r>
      <w:r>
        <w:rPr>
          <w:rFonts w:ascii="Times New Roman;Times;serif" w:hAnsi="Times New Roman;Times;serif"/>
          <w:color w:val="231F20"/>
          <w:spacing w:val="-22"/>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22"/>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21"/>
          <w:sz w:val="20"/>
        </w:rPr>
        <w:t xml:space="preserve"> </w:t>
      </w:r>
      <w:r>
        <w:rPr>
          <w:rFonts w:ascii="Times New Roman;Times;serif" w:hAnsi="Times New Roman;Times;serif"/>
          <w:color w:val="231F20"/>
          <w:sz w:val="20"/>
        </w:rPr>
        <w:t>to</w:t>
      </w:r>
      <w:r>
        <w:rPr>
          <w:rFonts w:ascii="Times New Roman;Times;serif" w:hAnsi="Times New Roman;Times;serif"/>
          <w:color w:val="231F20"/>
          <w:spacing w:val="-22"/>
          <w:sz w:val="20"/>
        </w:rPr>
        <w:t xml:space="preserve"> </w:t>
      </w:r>
      <w:r>
        <w:rPr>
          <w:rFonts w:ascii="Times New Roman;Times;serif" w:hAnsi="Times New Roman;Times;serif"/>
          <w:color w:val="231F20"/>
          <w:sz w:val="20"/>
        </w:rPr>
        <w:t>be</w:t>
      </w:r>
      <w:r>
        <w:rPr>
          <w:rFonts w:ascii="Times New Roman;Times;serif" w:hAnsi="Times New Roman;Times;serif"/>
          <w:color w:val="231F20"/>
          <w:spacing w:val="-22"/>
          <w:sz w:val="20"/>
        </w:rPr>
        <w:t xml:space="preserve"> </w:t>
      </w:r>
      <w:r>
        <w:rPr>
          <w:rFonts w:ascii="Times New Roman;Times;serif" w:hAnsi="Times New Roman;Times;serif"/>
          <w:color w:val="231F20"/>
          <w:sz w:val="20"/>
        </w:rPr>
        <w:t>supported</w:t>
      </w:r>
      <w:r>
        <w:rPr>
          <w:rFonts w:ascii="Times New Roman;Times;serif" w:hAnsi="Times New Roman;Times;serif"/>
          <w:color w:val="231F20"/>
          <w:spacing w:val="-22"/>
          <w:sz w:val="20"/>
        </w:rPr>
        <w:t xml:space="preserve"> </w:t>
      </w:r>
      <w:r>
        <w:rPr>
          <w:rFonts w:ascii="Times New Roman;Times;serif" w:hAnsi="Times New Roman;Times;serif"/>
          <w:color w:val="231F20"/>
          <w:sz w:val="20"/>
        </w:rPr>
        <w:t>by</w:t>
      </w:r>
      <w:r>
        <w:rPr>
          <w:rFonts w:ascii="Times New Roman;Times;serif" w:hAnsi="Times New Roman;Times;serif"/>
          <w:color w:val="231F20"/>
          <w:spacing w:val="-22"/>
          <w:sz w:val="20"/>
        </w:rPr>
        <w:t xml:space="preserve"> </w:t>
      </w:r>
      <w:r>
        <w:rPr>
          <w:rFonts w:ascii="Times New Roman;Times;serif" w:hAnsi="Times New Roman;Times;serif"/>
          <w:color w:val="231F20"/>
          <w:sz w:val="20"/>
        </w:rPr>
        <w:t>extensive</w:t>
      </w:r>
      <w:r>
        <w:rPr>
          <w:rFonts w:ascii="Times New Roman;Times;serif" w:hAnsi="Times New Roman;Times;serif"/>
          <w:color w:val="231F20"/>
          <w:spacing w:val="-22"/>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22"/>
          <w:sz w:val="20"/>
        </w:rPr>
        <w:t xml:space="preserve"> </w:t>
      </w:r>
      <w:r>
        <w:rPr>
          <w:rFonts w:ascii="Times New Roman;Times;serif" w:hAnsi="Times New Roman;Times;serif"/>
          <w:color w:val="231F20"/>
          <w:sz w:val="20"/>
        </w:rPr>
        <w:t>but</w:t>
      </w:r>
      <w:r>
        <w:rPr>
          <w:rFonts w:ascii="Times New Roman;Times;serif" w:hAnsi="Times New Roman;Times;serif"/>
          <w:color w:val="231F20"/>
          <w:spacing w:val="-22"/>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2"/>
          <w:sz w:val="20"/>
        </w:rPr>
        <w:t xml:space="preserve"> </w:t>
      </w:r>
      <w:r>
        <w:rPr>
          <w:rFonts w:ascii="Times New Roman;Times;serif" w:hAnsi="Times New Roman;Times;serif"/>
          <w:color w:val="231F20"/>
          <w:sz w:val="20"/>
        </w:rPr>
        <w:t>limited</w:t>
      </w:r>
      <w:r>
        <w:rPr>
          <w:rFonts w:ascii="Times New Roman;Times;serif" w:hAnsi="Times New Roman;Times;serif"/>
          <w:color w:val="231F20"/>
          <w:spacing w:val="-22"/>
          <w:sz w:val="20"/>
        </w:rPr>
        <w:t xml:space="preserve"> </w:t>
      </w:r>
      <w:r>
        <w:rPr>
          <w:rFonts w:ascii="Times New Roman;Times;serif" w:hAnsi="Times New Roman;Times;serif"/>
          <w:color w:val="231F20"/>
          <w:spacing w:val="-3"/>
          <w:sz w:val="20"/>
        </w:rPr>
        <w:t>to,</w:t>
      </w:r>
      <w:r>
        <w:rPr>
          <w:rFonts w:ascii="Times New Roman;Times;serif" w:hAnsi="Times New Roman;Times;serif"/>
          <w:color w:val="231F20"/>
          <w:spacing w:val="-22"/>
          <w:sz w:val="20"/>
        </w:rPr>
        <w:t xml:space="preserve"> </w:t>
      </w:r>
      <w:r>
        <w:rPr>
          <w:rFonts w:ascii="Times New Roman;Times;serif" w:hAnsi="Times New Roman;Times;serif"/>
          <w:color w:val="231F20"/>
          <w:sz w:val="20"/>
        </w:rPr>
        <w:t xml:space="preserve">technical, nonclinical, clinical trial, manufacturing and labelling data, to demonstrate to the </w:t>
      </w:r>
      <w:r>
        <w:rPr>
          <w:rFonts w:ascii="Times New Roman;Times;serif" w:hAnsi="Times New Roman;Times;serif"/>
          <w:color w:val="231F20"/>
          <w:spacing w:val="-12"/>
          <w:sz w:val="20"/>
        </w:rPr>
        <w:t xml:space="preserve">FDA’s </w:t>
      </w:r>
      <w:r>
        <w:rPr>
          <w:rFonts w:ascii="Times New Roman;Times;serif" w:hAnsi="Times New Roman;Times;serif"/>
          <w:color w:val="231F20"/>
          <w:sz w:val="20"/>
        </w:rPr>
        <w:t>satisfaction the safety</w:t>
      </w:r>
      <w:r>
        <w:rPr>
          <w:rFonts w:ascii="Times New Roman;Times;serif" w:hAnsi="Times New Roman;Times;serif"/>
          <w:color w:val="231F20"/>
          <w:spacing w:val="-2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0"/>
          <w:sz w:val="20"/>
        </w:rPr>
        <w:t xml:space="preserve"> </w:t>
      </w:r>
      <w:r>
        <w:rPr>
          <w:rFonts w:ascii="Times New Roman;Times;serif" w:hAnsi="Times New Roman;Times;serif"/>
          <w:color w:val="231F20"/>
          <w:sz w:val="20"/>
        </w:rPr>
        <w:t>efficacy</w:t>
      </w:r>
      <w:r>
        <w:rPr>
          <w:rFonts w:ascii="Times New Roman;Times;serif" w:hAnsi="Times New Roman;Times;serif"/>
          <w:color w:val="231F20"/>
          <w:spacing w:val="-20"/>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0"/>
          <w:sz w:val="20"/>
        </w:rPr>
        <w:t xml:space="preserve"> </w:t>
      </w:r>
      <w:r>
        <w:rPr>
          <w:rFonts w:ascii="Times New Roman;Times;serif" w:hAnsi="Times New Roman;Times;serif"/>
          <w:color w:val="231F20"/>
          <w:sz w:val="20"/>
        </w:rPr>
        <w:t>its</w:t>
      </w:r>
      <w:r>
        <w:rPr>
          <w:rFonts w:ascii="Times New Roman;Times;serif" w:hAnsi="Times New Roman;Times;serif"/>
          <w:color w:val="231F20"/>
          <w:spacing w:val="-20"/>
          <w:sz w:val="20"/>
        </w:rPr>
        <w:t xml:space="preserve"> </w:t>
      </w:r>
      <w:r>
        <w:rPr>
          <w:rFonts w:ascii="Times New Roman;Times;serif" w:hAnsi="Times New Roman;Times;serif"/>
          <w:color w:val="231F20"/>
          <w:sz w:val="20"/>
        </w:rPr>
        <w:t>intended</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use.</w:t>
      </w:r>
    </w:p>
    <w:p>
      <w:pPr>
        <w:pStyle w:val="TextBody"/>
        <w:spacing w:lineRule="auto" w:line="290" w:before="15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Obtaining clearances or approvals from the FDA and from the regulatory agencies in other countries could result in unexpected and significant costs for us and consume management’s time and other resources. The FDA and other agencies could ask us to supplement our submissions, collect non-clinical data, conduct additional clinical trials or engage in other time-consuming actions, or they could simply deny our applications. In addition, even if we obtain an NDA approval or pre-market approvals in other countries, the approval could be revoked or other restrictions imposed if post-market data demonstrates safety issues or lack of effectiveness. We cannot predict with certainty how, or when, the FDA will act. If we are unable to obtain the necessary regulatory approvals, our financial condition and cash flow may be adversely affected, and our ability to grow domestically and internationally may be limited. Additionally, even if cleared or approved, our products may not be approved for the specific indications that are most necessary or desirable for successful commercialization or profitability.</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Our revenue stream will depend upon third-party reimbursement.</w:t>
      </w:r>
    </w:p>
    <w:p>
      <w:pPr>
        <w:pStyle w:val="TextBody"/>
        <w:spacing w:lineRule="auto" w:line="288" w:before="167"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Once our product candidates are cleared or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 xml:space="preserve">by the regulatory authorities, the commercial success of our products in both domestic and international markets will be substantially dependent on whether third-party </w:t>
      </w:r>
      <w:r>
        <w:rPr>
          <w:rFonts w:ascii="Times New Roman;Times;serif" w:hAnsi="Times New Roman;Times;serif"/>
          <w:color w:val="231F20"/>
          <w:spacing w:val="-3"/>
          <w:sz w:val="20"/>
        </w:rPr>
        <w:t xml:space="preserve">coverage </w:t>
      </w:r>
      <w:r>
        <w:rPr>
          <w:rFonts w:ascii="Times New Roman;Times;serif" w:hAnsi="Times New Roman;Times;serif"/>
          <w:color w:val="231F20"/>
          <w:sz w:val="20"/>
        </w:rPr>
        <w:t xml:space="preserve">and reimbursement is </w:t>
      </w:r>
      <w:r>
        <w:rPr>
          <w:rFonts w:ascii="Times New Roman;Times;serif" w:hAnsi="Times New Roman;Times;serif"/>
          <w:color w:val="231F20"/>
          <w:spacing w:val="-4"/>
          <w:sz w:val="20"/>
        </w:rPr>
        <w:t xml:space="preserve">available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patients that use our </w:t>
      </w:r>
      <w:r>
        <w:rPr>
          <w:rFonts w:ascii="Times New Roman;Times;serif" w:hAnsi="Times New Roman;Times;serif"/>
          <w:color w:val="231F20"/>
          <w:spacing w:val="-3"/>
          <w:sz w:val="20"/>
        </w:rPr>
        <w:t xml:space="preserve">products.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the</w:t>
      </w:r>
      <w:r>
        <w:rPr>
          <w:rFonts w:ascii="Times New Roman;Times;serif" w:hAnsi="Times New Roman;Times;serif"/>
          <w:color w:val="231F20"/>
          <w:spacing w:val="-12"/>
          <w:sz w:val="20"/>
        </w:rPr>
        <w:t xml:space="preserve"> </w:t>
      </w:r>
      <w:r>
        <w:rPr>
          <w:rFonts w:ascii="Times New Roman;Times;serif" w:hAnsi="Times New Roman;Times;serif"/>
          <w:color w:val="231F20"/>
          <w:spacing w:val="-4"/>
          <w:sz w:val="20"/>
        </w:rPr>
        <w:t>availability</w:t>
      </w:r>
      <w:r>
        <w:rPr>
          <w:rFonts w:ascii="Times New Roman;Times;serif" w:hAnsi="Times New Roman;Times;serif"/>
          <w:color w:val="231F20"/>
          <w:spacing w:val="-11"/>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insurance</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coverage</w:t>
      </w:r>
      <w:r>
        <w:rPr>
          <w:rFonts w:ascii="Times New Roman;Times;serif" w:hAnsi="Times New Roman;Times;serif"/>
          <w:color w:val="231F20"/>
          <w:spacing w:val="-1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1"/>
          <w:sz w:val="20"/>
        </w:rPr>
        <w:t xml:space="preserve"> </w:t>
      </w:r>
      <w:r>
        <w:rPr>
          <w:rFonts w:ascii="Times New Roman;Times;serif" w:hAnsi="Times New Roman;Times;serif"/>
          <w:color w:val="231F20"/>
          <w:sz w:val="20"/>
        </w:rPr>
        <w:t>reimbursement</w:t>
      </w:r>
      <w:r>
        <w:rPr>
          <w:rFonts w:ascii="Times New Roman;Times;serif" w:hAnsi="Times New Roman;Times;serif"/>
          <w:color w:val="231F20"/>
          <w:spacing w:val="-12"/>
          <w:sz w:val="20"/>
        </w:rPr>
        <w:t xml:space="preserve"> </w:t>
      </w:r>
      <w:r>
        <w:rPr>
          <w:rFonts w:ascii="Times New Roman;Times;serif" w:hAnsi="Times New Roman;Times;serif"/>
          <w:color w:val="231F20"/>
          <w:spacing w:val="-4"/>
          <w:sz w:val="20"/>
        </w:rPr>
        <w:t>for</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newly</w:t>
      </w:r>
      <w:r>
        <w:rPr>
          <w:rFonts w:ascii="Times New Roman;Times;serif" w:hAnsi="Times New Roman;Times;serif"/>
          <w:color w:val="231F20"/>
          <w:spacing w:val="-11"/>
          <w:sz w:val="20"/>
        </w:rPr>
        <w:t xml:space="preserve"> </w:t>
      </w:r>
      <w:r>
        <w:rPr>
          <w:rFonts w:ascii="Times New Roman;Times;serif" w:hAnsi="Times New Roman;Times;serif"/>
          <w:color w:val="231F20"/>
          <w:spacing w:val="-4"/>
          <w:sz w:val="20"/>
        </w:rPr>
        <w:t>approved</w:t>
      </w:r>
      <w:r>
        <w:rPr>
          <w:rFonts w:ascii="Times New Roman;Times;serif" w:hAnsi="Times New Roman;Times;serif"/>
          <w:color w:val="231F20"/>
          <w:spacing w:val="-12"/>
          <w:sz w:val="20"/>
        </w:rPr>
        <w:t xml:space="preserve"> </w:t>
      </w:r>
      <w:r>
        <w:rPr>
          <w:rFonts w:ascii="Times New Roman;Times;serif" w:hAnsi="Times New Roman;Times;serif"/>
          <w:color w:val="231F20"/>
          <w:sz w:val="20"/>
        </w:rPr>
        <w:t>drugs</w:t>
      </w:r>
      <w:r>
        <w:rPr>
          <w:rFonts w:ascii="Times New Roman;Times;serif" w:hAnsi="Times New Roman;Times;serif"/>
          <w:color w:val="231F20"/>
          <w:spacing w:val="-11"/>
          <w:sz w:val="20"/>
        </w:rPr>
        <w:t xml:space="preserve"> </w:t>
      </w:r>
      <w:r>
        <w:rPr>
          <w:rFonts w:ascii="Times New Roman;Times;serif" w:hAnsi="Times New Roman;Times;serif"/>
          <w:color w:val="231F20"/>
          <w:sz w:val="20"/>
        </w:rPr>
        <w:t>is</w:t>
      </w:r>
      <w:r>
        <w:rPr>
          <w:rFonts w:ascii="Times New Roman;Times;serif" w:hAnsi="Times New Roman;Times;serif"/>
          <w:color w:val="231F20"/>
          <w:spacing w:val="-11"/>
          <w:sz w:val="20"/>
        </w:rPr>
        <w:t xml:space="preserve"> </w:t>
      </w:r>
      <w:r>
        <w:rPr>
          <w:rFonts w:ascii="Times New Roman;Times;serif" w:hAnsi="Times New Roman;Times;serif"/>
          <w:color w:val="231F20"/>
          <w:sz w:val="20"/>
        </w:rPr>
        <w:t>uncertain,</w:t>
      </w:r>
      <w:r>
        <w:rPr>
          <w:rFonts w:ascii="Times New Roman;Times;serif" w:hAnsi="Times New Roman;Times;serif"/>
          <w:color w:val="231F20"/>
          <w:spacing w:val="-1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1"/>
          <w:sz w:val="20"/>
        </w:rPr>
        <w:t xml:space="preserve"> </w:t>
      </w:r>
      <w:r>
        <w:rPr>
          <w:rFonts w:ascii="Times New Roman;Times;serif" w:hAnsi="Times New Roman;Times;serif"/>
          <w:color w:val="231F20"/>
          <w:spacing w:val="-4"/>
          <w:sz w:val="20"/>
        </w:rPr>
        <w:t xml:space="preserve">therefore, </w:t>
      </w:r>
      <w:r>
        <w:rPr>
          <w:rFonts w:ascii="Times New Roman;Times;serif" w:hAnsi="Times New Roman;Times;serif"/>
          <w:color w:val="231F20"/>
          <w:sz w:val="20"/>
        </w:rPr>
        <w:t xml:space="preserve">third-party </w:t>
      </w:r>
      <w:r>
        <w:rPr>
          <w:rFonts w:ascii="Times New Roman;Times;serif" w:hAnsi="Times New Roman;Times;serif"/>
          <w:color w:val="231F20"/>
          <w:spacing w:val="-3"/>
          <w:sz w:val="20"/>
        </w:rPr>
        <w:t xml:space="preserve">coverage may </w:t>
      </w:r>
      <w:r>
        <w:rPr>
          <w:rFonts w:ascii="Times New Roman;Times;serif" w:hAnsi="Times New Roman;Times;serif"/>
          <w:color w:val="231F20"/>
          <w:sz w:val="20"/>
        </w:rPr>
        <w:t xml:space="preserve">be particularly difficult to obtain even if our products are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 xml:space="preserve">by national regulatory authorities as safe and efficacious. Many patients using existing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 xml:space="preserve">therapies are generally reimbursed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or part of the product cost by governmental and non-governmental insurance </w:t>
      </w:r>
      <w:r>
        <w:rPr>
          <w:rFonts w:ascii="Times New Roman;Times;serif" w:hAnsi="Times New Roman;Times;serif"/>
          <w:color w:val="231F20"/>
          <w:spacing w:val="-3"/>
          <w:sz w:val="20"/>
        </w:rPr>
        <w:t xml:space="preserve">plans. </w:t>
      </w:r>
      <w:r>
        <w:rPr>
          <w:rFonts w:ascii="Times New Roman;Times;serif" w:hAnsi="Times New Roman;Times;serif"/>
          <w:color w:val="231F20"/>
          <w:sz w:val="20"/>
        </w:rPr>
        <w:t xml:space="preserve">Such </w:t>
      </w:r>
      <w:r>
        <w:rPr>
          <w:rFonts w:ascii="Times New Roman;Times;serif" w:hAnsi="Times New Roman;Times;serif"/>
          <w:color w:val="231F20"/>
          <w:spacing w:val="-3"/>
          <w:sz w:val="20"/>
        </w:rPr>
        <w:t xml:space="preserve">payors </w:t>
      </w:r>
      <w:r>
        <w:rPr>
          <w:rFonts w:ascii="Times New Roman;Times;serif" w:hAnsi="Times New Roman;Times;serif"/>
          <w:color w:val="231F20"/>
          <w:sz w:val="20"/>
        </w:rPr>
        <w:t xml:space="preserve">are increasingly attempting to contain healthcare costs by limiting both </w:t>
      </w:r>
      <w:r>
        <w:rPr>
          <w:rFonts w:ascii="Times New Roman;Times;serif" w:hAnsi="Times New Roman;Times;serif"/>
          <w:color w:val="231F20"/>
          <w:spacing w:val="-3"/>
          <w:sz w:val="20"/>
        </w:rPr>
        <w:t xml:space="preserve">coverage </w:t>
      </w:r>
      <w:r>
        <w:rPr>
          <w:rFonts w:ascii="Times New Roman;Times;serif" w:hAnsi="Times New Roman;Times;serif"/>
          <w:color w:val="231F20"/>
          <w:sz w:val="20"/>
        </w:rPr>
        <w:t xml:space="preserve">and the level of reimbursement of new drugs, and, as a result, they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cover or provide adequate payment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these </w:t>
      </w:r>
      <w:r>
        <w:rPr>
          <w:rFonts w:ascii="Times New Roman;Times;serif" w:hAnsi="Times New Roman;Times;serif"/>
          <w:color w:val="231F20"/>
          <w:spacing w:val="-3"/>
          <w:sz w:val="20"/>
        </w:rPr>
        <w:t xml:space="preserve">products. </w:t>
      </w:r>
      <w:r>
        <w:rPr>
          <w:rFonts w:ascii="Times New Roman;Times;serif" w:hAnsi="Times New Roman;Times;serif"/>
          <w:color w:val="231F20"/>
          <w:sz w:val="20"/>
        </w:rPr>
        <w:t xml:space="preserve">Submission of applications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reimbursement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generally does not occur prior to the filing of an </w:t>
      </w:r>
      <w:r>
        <w:rPr>
          <w:rFonts w:ascii="Times New Roman;Times;serif" w:hAnsi="Times New Roman;Times;serif"/>
          <w:color w:val="231F20"/>
          <w:spacing w:val="-4"/>
          <w:sz w:val="20"/>
        </w:rPr>
        <w:t xml:space="preserve">NDA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that product and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granted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as long as many months after </w:t>
      </w:r>
      <w:r>
        <w:rPr>
          <w:rFonts w:ascii="Times New Roman;Times;serif" w:hAnsi="Times New Roman;Times;serif"/>
          <w:color w:val="231F20"/>
          <w:spacing w:val="-4"/>
          <w:sz w:val="20"/>
        </w:rPr>
        <w:t xml:space="preserve">NDA approval. </w:t>
      </w:r>
      <w:r>
        <w:rPr>
          <w:rFonts w:ascii="Times New Roman;Times;serif" w:hAnsi="Times New Roman;Times;serif"/>
          <w:color w:val="231F20"/>
          <w:sz w:val="20"/>
        </w:rPr>
        <w:t xml:space="preserve">In order to obtain reimbursement arrangements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these products, we or our commercialization partners </w:t>
      </w:r>
      <w:r>
        <w:rPr>
          <w:rFonts w:ascii="Times New Roman;Times;serif" w:hAnsi="Times New Roman;Times;serif"/>
          <w:color w:val="231F20"/>
          <w:spacing w:val="-3"/>
          <w:sz w:val="20"/>
        </w:rPr>
        <w:t xml:space="preserve">may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agree</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a</w:t>
      </w:r>
      <w:r>
        <w:rPr>
          <w:rFonts w:ascii="Times New Roman;Times;serif" w:hAnsi="Times New Roman;Times;serif"/>
          <w:color w:val="231F20"/>
          <w:spacing w:val="-4"/>
          <w:sz w:val="20"/>
        </w:rPr>
        <w:t xml:space="preserve"> </w:t>
      </w:r>
      <w:r>
        <w:rPr>
          <w:rFonts w:ascii="Times New Roman;Times;serif" w:hAnsi="Times New Roman;Times;serif"/>
          <w:color w:val="231F20"/>
          <w:sz w:val="20"/>
        </w:rPr>
        <w:t>net</w:t>
      </w:r>
      <w:r>
        <w:rPr>
          <w:rFonts w:ascii="Times New Roman;Times;serif" w:hAnsi="Times New Roman;Times;serif"/>
          <w:color w:val="231F20"/>
          <w:spacing w:val="-5"/>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4"/>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4"/>
          <w:sz w:val="20"/>
        </w:rPr>
        <w:t xml:space="preserve"> </w:t>
      </w:r>
      <w:r>
        <w:rPr>
          <w:rFonts w:ascii="Times New Roman;Times;serif" w:hAnsi="Times New Roman;Times;serif"/>
          <w:color w:val="231F20"/>
          <w:sz w:val="20"/>
        </w:rPr>
        <w:t>lower</w:t>
      </w:r>
      <w:r>
        <w:rPr>
          <w:rFonts w:ascii="Times New Roman;Times;serif" w:hAnsi="Times New Roman;Times;serif"/>
          <w:color w:val="231F20"/>
          <w:spacing w:val="-5"/>
          <w:sz w:val="20"/>
        </w:rPr>
        <w:t xml:space="preserve"> </w:t>
      </w:r>
      <w:r>
        <w:rPr>
          <w:rFonts w:ascii="Times New Roman;Times;serif" w:hAnsi="Times New Roman;Times;serif"/>
          <w:color w:val="231F20"/>
          <w:sz w:val="20"/>
        </w:rPr>
        <w:t>than</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net</w:t>
      </w:r>
      <w:r>
        <w:rPr>
          <w:rFonts w:ascii="Times New Roman;Times;serif" w:hAnsi="Times New Roman;Times;serif"/>
          <w:color w:val="231F20"/>
          <w:spacing w:val="-5"/>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4"/>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5"/>
          <w:sz w:val="20"/>
        </w:rPr>
        <w:t xml:space="preserve"> </w:t>
      </w:r>
      <w:r>
        <w:rPr>
          <w:rFonts w:ascii="Times New Roman;Times;serif" w:hAnsi="Times New Roman;Times;serif"/>
          <w:color w:val="231F20"/>
          <w:sz w:val="20"/>
        </w:rPr>
        <w:t>we</w:t>
      </w:r>
      <w:r>
        <w:rPr>
          <w:rFonts w:ascii="Times New Roman;Times;serif" w:hAnsi="Times New Roman;Times;serif"/>
          <w:color w:val="231F20"/>
          <w:spacing w:val="-4"/>
          <w:sz w:val="20"/>
        </w:rPr>
        <w:t xml:space="preserve"> </w:t>
      </w:r>
      <w:r>
        <w:rPr>
          <w:rFonts w:ascii="Times New Roman;Times;serif" w:hAnsi="Times New Roman;Times;serif"/>
          <w:color w:val="231F20"/>
          <w:sz w:val="20"/>
        </w:rPr>
        <w:t>might</w:t>
      </w:r>
      <w:r>
        <w:rPr>
          <w:rFonts w:ascii="Times New Roman;Times;serif" w:hAnsi="Times New Roman;Times;serif"/>
          <w:color w:val="231F20"/>
          <w:spacing w:val="-4"/>
          <w:sz w:val="20"/>
        </w:rPr>
        <w:t xml:space="preserve"> </w:t>
      </w:r>
      <w:r>
        <w:rPr>
          <w:rFonts w:ascii="Times New Roman;Times;serif" w:hAnsi="Times New Roman;Times;serif"/>
          <w:color w:val="231F20"/>
          <w:sz w:val="20"/>
        </w:rPr>
        <w:t>charge</w:t>
      </w:r>
      <w:r>
        <w:rPr>
          <w:rFonts w:ascii="Times New Roman;Times;serif" w:hAnsi="Times New Roman;Times;serif"/>
          <w:color w:val="231F20"/>
          <w:spacing w:val="-5"/>
          <w:sz w:val="20"/>
        </w:rPr>
        <w:t xml:space="preserve"> </w:t>
      </w:r>
      <w:r>
        <w:rPr>
          <w:rFonts w:ascii="Times New Roman;Times;serif" w:hAnsi="Times New Roman;Times;serif"/>
          <w:color w:val="231F20"/>
          <w:sz w:val="20"/>
        </w:rPr>
        <w:t>in</w:t>
      </w:r>
      <w:r>
        <w:rPr>
          <w:rFonts w:ascii="Times New Roman;Times;serif" w:hAnsi="Times New Roman;Times;serif"/>
          <w:color w:val="231F20"/>
          <w:spacing w:val="-4"/>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4"/>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5"/>
          <w:sz w:val="20"/>
        </w:rPr>
        <w:t xml:space="preserve"> </w:t>
      </w:r>
      <w:r>
        <w:rPr>
          <w:rFonts w:ascii="Times New Roman;Times;serif" w:hAnsi="Times New Roman;Times;serif"/>
          <w:color w:val="231F20"/>
          <w:sz w:val="20"/>
        </w:rPr>
        <w:t xml:space="preserve">channels. The continuing efforts of government and third-party </w:t>
      </w:r>
      <w:r>
        <w:rPr>
          <w:rFonts w:ascii="Times New Roman;Times;serif" w:hAnsi="Times New Roman;Times;serif"/>
          <w:color w:val="231F20"/>
          <w:spacing w:val="-3"/>
          <w:sz w:val="20"/>
        </w:rPr>
        <w:t xml:space="preserve">payors </w:t>
      </w:r>
      <w:r>
        <w:rPr>
          <w:rFonts w:ascii="Times New Roman;Times;serif" w:hAnsi="Times New Roman;Times;serif"/>
          <w:color w:val="231F20"/>
          <w:sz w:val="20"/>
        </w:rPr>
        <w:t xml:space="preserve">to contain or reduce the costs of healthcare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limit our </w:t>
      </w:r>
      <w:r>
        <w:rPr>
          <w:rFonts w:ascii="Times New Roman;Times;serif" w:hAnsi="Times New Roman;Times;serif"/>
          <w:color w:val="231F20"/>
          <w:spacing w:val="-4"/>
          <w:sz w:val="20"/>
        </w:rPr>
        <w:t xml:space="preserve">revenue. </w:t>
      </w:r>
      <w:r>
        <w:rPr>
          <w:rFonts w:ascii="Times New Roman;Times;serif" w:hAnsi="Times New Roman;Times;serif"/>
          <w:color w:val="231F20"/>
          <w:sz w:val="20"/>
        </w:rPr>
        <w:t xml:space="preserve">Initial dependence on the commercial success of our products </w:t>
      </w:r>
      <w:r>
        <w:rPr>
          <w:rFonts w:ascii="Times New Roman;Times;serif" w:hAnsi="Times New Roman;Times;serif"/>
          <w:color w:val="231F20"/>
          <w:spacing w:val="-3"/>
          <w:sz w:val="20"/>
        </w:rPr>
        <w:t xml:space="preserve">may </w:t>
      </w:r>
      <w:r>
        <w:rPr>
          <w:rFonts w:ascii="Times New Roman;Times;serif" w:hAnsi="Times New Roman;Times;serif"/>
          <w:color w:val="231F20"/>
          <w:spacing w:val="-4"/>
          <w:sz w:val="20"/>
        </w:rPr>
        <w:t xml:space="preserve">make </w:t>
      </w:r>
      <w:r>
        <w:rPr>
          <w:rFonts w:ascii="Times New Roman;Times;serif" w:hAnsi="Times New Roman;Times;serif"/>
          <w:color w:val="231F20"/>
          <w:sz w:val="20"/>
        </w:rPr>
        <w:t xml:space="preserve">our </w:t>
      </w:r>
      <w:r>
        <w:rPr>
          <w:rFonts w:ascii="Times New Roman;Times;serif" w:hAnsi="Times New Roman;Times;serif"/>
          <w:color w:val="231F20"/>
          <w:spacing w:val="-3"/>
          <w:sz w:val="20"/>
        </w:rPr>
        <w:t xml:space="preserve">revenues </w:t>
      </w:r>
      <w:r>
        <w:rPr>
          <w:rFonts w:ascii="Times New Roman;Times;serif" w:hAnsi="Times New Roman;Times;serif"/>
          <w:color w:val="231F20"/>
          <w:sz w:val="20"/>
        </w:rPr>
        <w:t xml:space="preserve">particularly susceptible to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cost containment or reduction</w:t>
      </w:r>
      <w:r>
        <w:rPr>
          <w:rFonts w:ascii="Times New Roman;Times;serif" w:hAnsi="Times New Roman;Times;serif"/>
          <w:color w:val="231F20"/>
          <w:spacing w:val="-16"/>
          <w:sz w:val="20"/>
        </w:rPr>
        <w:t xml:space="preserve"> </w:t>
      </w:r>
      <w:r>
        <w:rPr>
          <w:rFonts w:ascii="Times New Roman;Times;serif" w:hAnsi="Times New Roman;Times;serif"/>
          <w:color w:val="231F20"/>
          <w:spacing w:val="-4"/>
          <w:sz w:val="20"/>
        </w:rPr>
        <w:t>efforts.</w:t>
      </w:r>
    </w:p>
    <w:p>
      <w:pPr>
        <w:pStyle w:val="TextBody"/>
        <w:spacing w:lineRule="auto" w:line="288"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 xml:space="preserve">We </w:t>
      </w:r>
      <w:r>
        <w:rPr>
          <w:rFonts w:ascii="Times New Roman;Times;serif" w:hAnsi="Times New Roman;Times;serif"/>
          <w:b/>
          <w:i/>
          <w:color w:val="231F20"/>
          <w:sz w:val="20"/>
        </w:rPr>
        <w:t>may have conflicts with our partners that could delay or prevent the development or commercialization of our product candidates.</w:t>
      </w:r>
    </w:p>
    <w:p>
      <w:pPr>
        <w:pStyle w:val="TextBody"/>
        <w:spacing w:lineRule="auto" w:line="290" w:before="161"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We are not </w:t>
      </w:r>
      <w:r>
        <w:rPr>
          <w:rFonts w:ascii="Times New Roman;Times;serif" w:hAnsi="Times New Roman;Times;serif"/>
          <w:color w:val="231F20"/>
          <w:spacing w:val="-4"/>
          <w:sz w:val="20"/>
        </w:rPr>
        <w:t xml:space="preserve">aware </w:t>
      </w:r>
      <w:r>
        <w:rPr>
          <w:rFonts w:ascii="Times New Roman;Times;serif" w:hAnsi="Times New Roman;Times;serif"/>
          <w:color w:val="231F20"/>
          <w:sz w:val="20"/>
        </w:rPr>
        <w:t xml:space="preserve">of </w:t>
      </w:r>
      <w:r>
        <w:rPr>
          <w:rFonts w:ascii="Times New Roman;Times;serif" w:hAnsi="Times New Roman;Times;serif"/>
          <w:color w:val="231F20"/>
          <w:spacing w:val="-4"/>
          <w:sz w:val="20"/>
        </w:rPr>
        <w:t>any</w:t>
      </w:r>
      <w:r>
        <w:rPr>
          <w:rFonts w:ascii="Times New Roman;Times;serif" w:hAnsi="Times New Roman;Times;serif"/>
          <w:color w:val="231F20"/>
          <w:sz w:val="20"/>
        </w:rPr>
        <w:t xml:space="preserve"> material commercial</w:t>
      </w:r>
      <w:r>
        <w:rPr>
          <w:rFonts w:ascii="Times New Roman;Times;serif" w:hAnsi="Times New Roman;Times;serif"/>
          <w:color w:val="231F20"/>
          <w:spacing w:val="-20"/>
          <w:sz w:val="20"/>
        </w:rPr>
        <w:t xml:space="preserve"> </w:t>
      </w:r>
      <w:r>
        <w:rPr>
          <w:rFonts w:ascii="Times New Roman;Times;serif" w:hAnsi="Times New Roman;Times;serif"/>
          <w:color w:val="231F20"/>
          <w:sz w:val="20"/>
        </w:rPr>
        <w:t>conflicts</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that</w:t>
      </w:r>
      <w:r>
        <w:rPr>
          <w:rFonts w:ascii="Times New Roman;Times;serif" w:hAnsi="Times New Roman;Times;serif"/>
          <w:color w:val="231F20"/>
          <w:spacing w:val="-21"/>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delay</w:t>
      </w:r>
      <w:r>
        <w:rPr>
          <w:rFonts w:ascii="Times New Roman;Times;serif" w:hAnsi="Times New Roman;Times;serif"/>
          <w:color w:val="231F20"/>
          <w:spacing w:val="-20"/>
          <w:sz w:val="20"/>
        </w:rPr>
        <w:t xml:space="preserve"> </w:t>
      </w:r>
      <w:r>
        <w:rPr>
          <w:rFonts w:ascii="Times New Roman;Times;serif" w:hAnsi="Times New Roman;Times;serif"/>
          <w:color w:val="231F20"/>
          <w:sz w:val="20"/>
        </w:rPr>
        <w:t>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prevent</w:t>
      </w:r>
      <w:r>
        <w:rPr>
          <w:rFonts w:ascii="Times New Roman;Times;serif" w:hAnsi="Times New Roman;Times;serif"/>
          <w:color w:val="231F20"/>
          <w:spacing w:val="-20"/>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20"/>
          <w:sz w:val="20"/>
        </w:rPr>
        <w:t xml:space="preserve"> </w:t>
      </w:r>
      <w:r>
        <w:rPr>
          <w:rFonts w:ascii="Times New Roman;Times;serif" w:hAnsi="Times New Roman;Times;serif"/>
          <w:color w:val="231F20"/>
          <w:sz w:val="20"/>
        </w:rPr>
        <w:t>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commercialization.</w:t>
      </w:r>
      <w:r>
        <w:rPr>
          <w:rFonts w:ascii="Times New Roman;Times;serif" w:hAnsi="Times New Roman;Times;serif"/>
          <w:color w:val="231F20"/>
          <w:spacing w:val="-20"/>
          <w:sz w:val="20"/>
        </w:rPr>
        <w:t xml:space="preserve"> </w:t>
      </w:r>
      <w:r>
        <w:rPr>
          <w:rFonts w:ascii="Times New Roman;Times;serif" w:hAnsi="Times New Roman;Times;serif"/>
          <w:color w:val="231F20"/>
          <w:spacing w:val="-5"/>
          <w:sz w:val="20"/>
        </w:rPr>
        <w:t>However,</w:t>
      </w:r>
      <w:r>
        <w:rPr>
          <w:rFonts w:ascii="Times New Roman;Times;serif" w:hAnsi="Times New Roman;Times;serif"/>
          <w:color w:val="231F20"/>
          <w:spacing w:val="-20"/>
          <w:sz w:val="20"/>
        </w:rPr>
        <w:t xml:space="preserve"> </w:t>
      </w:r>
      <w:r>
        <w:rPr>
          <w:rFonts w:ascii="Times New Roman;Times;serif" w:hAnsi="Times New Roman;Times;serif"/>
          <w:color w:val="231F20"/>
          <w:sz w:val="20"/>
        </w:rPr>
        <w:t xml:space="preserve">commercial conflicts such as the interpretation of contractual obligations, payments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services, development obligations or the ownership of intellectual property could arise in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joint development </w:t>
      </w:r>
      <w:r>
        <w:rPr>
          <w:rFonts w:ascii="Times New Roman;Times;serif" w:hAnsi="Times New Roman;Times;serif"/>
          <w:color w:val="231F20"/>
          <w:spacing w:val="-3"/>
          <w:sz w:val="20"/>
        </w:rPr>
        <w:t xml:space="preserve">activity. </w:t>
      </w:r>
      <w:r>
        <w:rPr>
          <w:rFonts w:ascii="Times New Roman;Times;serif" w:hAnsi="Times New Roman;Times;serif"/>
          <w:color w:val="231F20"/>
          <w:sz w:val="20"/>
        </w:rPr>
        <w:t xml:space="preserve">If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conflicts arise with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of our partners, such partner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act in a manner that is adverse to our best</w:t>
      </w:r>
      <w:r>
        <w:rPr>
          <w:rFonts w:ascii="Times New Roman;Times;serif" w:hAnsi="Times New Roman;Times;serif"/>
          <w:color w:val="231F20"/>
          <w:spacing w:val="-18"/>
          <w:sz w:val="20"/>
        </w:rPr>
        <w:t xml:space="preserve"> </w:t>
      </w:r>
      <w:r>
        <w:rPr>
          <w:rFonts w:ascii="Times New Roman;Times;serif" w:hAnsi="Times New Roman;Times;serif"/>
          <w:color w:val="231F20"/>
          <w:sz w:val="20"/>
        </w:rPr>
        <w:t xml:space="preserve">interests.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such disagreement could result in one or more of the following, each of which could </w:t>
      </w:r>
      <w:r>
        <w:rPr>
          <w:rFonts w:ascii="Times New Roman;Times;serif" w:hAnsi="Times New Roman;Times;serif"/>
          <w:color w:val="231F20"/>
          <w:spacing w:val="-3"/>
          <w:sz w:val="20"/>
        </w:rPr>
        <w:t xml:space="preserve">delay </w:t>
      </w:r>
      <w:r>
        <w:rPr>
          <w:rFonts w:ascii="Times New Roman;Times;serif" w:hAnsi="Times New Roman;Times;serif"/>
          <w:color w:val="231F20"/>
          <w:sz w:val="20"/>
        </w:rPr>
        <w:t>or prevent the development or commercialization of our product candidates, and in turn prevent us from generating revenues:</w:t>
      </w:r>
      <w:r>
        <w:rPr>
          <w:rFonts w:ascii="Times New Roman;Times;serif" w:hAnsi="Times New Roman;Times;serif"/>
          <w:color w:val="231F20"/>
          <w:spacing w:val="-7"/>
          <w:sz w:val="20"/>
        </w:rPr>
        <w:t xml:space="preserve"> </w:t>
      </w:r>
      <w:r>
        <w:rPr>
          <w:rFonts w:ascii="Times New Roman;Times;serif" w:hAnsi="Times New Roman;Times;serif"/>
          <w:color w:val="231F20"/>
          <w:sz w:val="20"/>
        </w:rPr>
        <w:t>unwillingness</w:t>
      </w:r>
      <w:r>
        <w:rPr>
          <w:rFonts w:ascii="Times New Roman;Times;serif" w:hAnsi="Times New Roman;Times;serif"/>
          <w:color w:val="231F20"/>
          <w:spacing w:val="-7"/>
          <w:sz w:val="20"/>
        </w:rPr>
        <w:t xml:space="preserve"> </w:t>
      </w:r>
      <w:r>
        <w:rPr>
          <w:rFonts w:ascii="Times New Roman;Times;serif" w:hAnsi="Times New Roman;Times;serif"/>
          <w:color w:val="231F20"/>
          <w:sz w:val="20"/>
        </w:rPr>
        <w:t>on</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part</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a</w:t>
      </w:r>
      <w:r>
        <w:rPr>
          <w:rFonts w:ascii="Times New Roman;Times;serif" w:hAnsi="Times New Roman;Times;serif"/>
          <w:color w:val="231F20"/>
          <w:spacing w:val="-7"/>
          <w:sz w:val="20"/>
        </w:rPr>
        <w:t xml:space="preserve"> </w:t>
      </w:r>
      <w:r>
        <w:rPr>
          <w:rFonts w:ascii="Times New Roman;Times;serif" w:hAnsi="Times New Roman;Times;serif"/>
          <w:color w:val="231F20"/>
          <w:sz w:val="20"/>
        </w:rPr>
        <w:t>partner</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pay</w:t>
      </w:r>
      <w:r>
        <w:rPr>
          <w:rFonts w:ascii="Times New Roman;Times;serif" w:hAnsi="Times New Roman;Times;serif"/>
          <w:color w:val="231F20"/>
          <w:spacing w:val="-7"/>
          <w:sz w:val="20"/>
        </w:rPr>
        <w:t xml:space="preserve"> </w:t>
      </w:r>
      <w:r>
        <w:rPr>
          <w:rFonts w:ascii="Times New Roman;Times;serif" w:hAnsi="Times New Roman;Times;serif"/>
          <w:color w:val="231F20"/>
          <w:sz w:val="20"/>
        </w:rPr>
        <w:t>us</w:t>
      </w:r>
      <w:r>
        <w:rPr>
          <w:rFonts w:ascii="Times New Roman;Times;serif" w:hAnsi="Times New Roman;Times;serif"/>
          <w:color w:val="231F20"/>
          <w:spacing w:val="-7"/>
          <w:sz w:val="20"/>
        </w:rPr>
        <w:t xml:space="preserve"> </w:t>
      </w:r>
      <w:r>
        <w:rPr>
          <w:rFonts w:ascii="Times New Roman;Times;serif" w:hAnsi="Times New Roman;Times;serif"/>
          <w:color w:val="231F20"/>
          <w:sz w:val="20"/>
        </w:rPr>
        <w:t>a</w:t>
      </w:r>
      <w:r>
        <w:rPr>
          <w:rFonts w:ascii="Times New Roman;Times;serif" w:hAnsi="Times New Roman;Times;serif"/>
          <w:color w:val="231F20"/>
          <w:spacing w:val="-7"/>
          <w:sz w:val="20"/>
        </w:rPr>
        <w:t xml:space="preserve"> </w:t>
      </w:r>
      <w:r>
        <w:rPr>
          <w:rFonts w:ascii="Times New Roman;Times;serif" w:hAnsi="Times New Roman;Times;serif"/>
          <w:color w:val="231F20"/>
          <w:sz w:val="20"/>
        </w:rPr>
        <w:t>share</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profits</w:t>
      </w:r>
      <w:r>
        <w:rPr>
          <w:rFonts w:ascii="Times New Roman;Times;serif" w:hAnsi="Times New Roman;Times;serif"/>
          <w:color w:val="231F20"/>
          <w:spacing w:val="-7"/>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7"/>
          <w:sz w:val="20"/>
        </w:rPr>
        <w:t xml:space="preserve"> </w:t>
      </w:r>
      <w:r>
        <w:rPr>
          <w:rFonts w:ascii="Times New Roman;Times;serif" w:hAnsi="Times New Roman;Times;serif"/>
          <w:color w:val="231F20"/>
          <w:sz w:val="20"/>
        </w:rPr>
        <w:t>we</w:t>
      </w:r>
      <w:r>
        <w:rPr>
          <w:rFonts w:ascii="Times New Roman;Times;serif" w:hAnsi="Times New Roman;Times;serif"/>
          <w:color w:val="231F20"/>
          <w:spacing w:val="-7"/>
          <w:sz w:val="20"/>
        </w:rPr>
        <w:t xml:space="preserve"> </w:t>
      </w:r>
      <w:r>
        <w:rPr>
          <w:rFonts w:ascii="Times New Roman;Times;serif" w:hAnsi="Times New Roman;Times;serif"/>
          <w:color w:val="231F20"/>
          <w:sz w:val="20"/>
        </w:rPr>
        <w:t>believe</w:t>
      </w:r>
      <w:r>
        <w:rPr>
          <w:rFonts w:ascii="Times New Roman;Times;serif" w:hAnsi="Times New Roman;Times;serif"/>
          <w:color w:val="231F20"/>
          <w:spacing w:val="-7"/>
          <w:sz w:val="20"/>
        </w:rPr>
        <w:t xml:space="preserve"> </w:t>
      </w:r>
      <w:r>
        <w:rPr>
          <w:rFonts w:ascii="Times New Roman;Times;serif" w:hAnsi="Times New Roman;Times;serif"/>
          <w:color w:val="231F20"/>
          <w:sz w:val="20"/>
        </w:rPr>
        <w:t>are</w:t>
      </w:r>
      <w:r>
        <w:rPr>
          <w:rFonts w:ascii="Times New Roman;Times;serif" w:hAnsi="Times New Roman;Times;serif"/>
          <w:color w:val="231F20"/>
          <w:spacing w:val="-7"/>
          <w:sz w:val="20"/>
        </w:rPr>
        <w:t xml:space="preserve"> </w:t>
      </w:r>
      <w:r>
        <w:rPr>
          <w:rFonts w:ascii="Times New Roman;Times;serif" w:hAnsi="Times New Roman;Times;serif"/>
          <w:color w:val="231F20"/>
          <w:sz w:val="20"/>
        </w:rPr>
        <w:t>due</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6"/>
          <w:sz w:val="20"/>
        </w:rPr>
        <w:t xml:space="preserve"> </w:t>
      </w:r>
      <w:r>
        <w:rPr>
          <w:rFonts w:ascii="Times New Roman;Times;serif" w:hAnsi="Times New Roman;Times;serif"/>
          <w:color w:val="231F20"/>
          <w:sz w:val="20"/>
        </w:rPr>
        <w:t>us</w:t>
      </w:r>
      <w:r>
        <w:rPr>
          <w:rFonts w:ascii="Times New Roman;Times;serif" w:hAnsi="Times New Roman;Times;serif"/>
          <w:color w:val="231F20"/>
          <w:spacing w:val="-7"/>
          <w:sz w:val="20"/>
        </w:rPr>
        <w:t xml:space="preserve"> </w:t>
      </w:r>
      <w:r>
        <w:rPr>
          <w:rFonts w:ascii="Times New Roman;Times;serif" w:hAnsi="Times New Roman;Times;serif"/>
          <w:color w:val="231F20"/>
          <w:sz w:val="20"/>
        </w:rPr>
        <w:t>under a collaboration; uncertainty regarding ownership of intellectual property rights arising from our collaborative activities, which could prevent us from entering into additional collaborations; unwillingness on</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part</w:t>
      </w:r>
      <w:r>
        <w:rPr>
          <w:rFonts w:ascii="Times New Roman;Times;serif" w:hAnsi="Times New Roman;Times;serif"/>
          <w:color w:val="231F20"/>
          <w:spacing w:val="-8"/>
          <w:sz w:val="20"/>
        </w:rPr>
        <w:t xml:space="preserve"> </w:t>
      </w:r>
      <w:r>
        <w:rPr>
          <w:rFonts w:ascii="Times New Roman;Times;serif" w:hAnsi="Times New Roman;Times;serif"/>
          <w:color w:val="231F20"/>
          <w:sz w:val="20"/>
        </w:rPr>
        <w:t>of</w:t>
      </w:r>
      <w:r>
        <w:rPr>
          <w:rFonts w:ascii="Times New Roman;Times;serif" w:hAnsi="Times New Roman;Times;serif"/>
          <w:color w:val="231F20"/>
          <w:spacing w:val="14"/>
          <w:sz w:val="20"/>
        </w:rPr>
        <w:t xml:space="preserve"> </w:t>
      </w:r>
      <w:r>
        <w:rPr>
          <w:rFonts w:ascii="Times New Roman;Times;serif" w:hAnsi="Times New Roman;Times;serif"/>
          <w:color w:val="231F20"/>
          <w:sz w:val="20"/>
        </w:rPr>
        <w:t>a</w:t>
      </w:r>
      <w:r>
        <w:rPr>
          <w:rFonts w:ascii="Times New Roman;Times;serif" w:hAnsi="Times New Roman;Times;serif"/>
          <w:color w:val="231F20"/>
          <w:spacing w:val="-7"/>
          <w:sz w:val="20"/>
        </w:rPr>
        <w:t xml:space="preserve"> </w:t>
      </w:r>
      <w:r>
        <w:rPr>
          <w:rFonts w:ascii="Times New Roman;Times;serif" w:hAnsi="Times New Roman;Times;serif"/>
          <w:color w:val="231F20"/>
          <w:sz w:val="20"/>
        </w:rPr>
        <w:t>partner</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z w:val="20"/>
        </w:rPr>
        <w:t>keep</w:t>
      </w:r>
      <w:r>
        <w:rPr>
          <w:rFonts w:ascii="Times New Roman;Times;serif" w:hAnsi="Times New Roman;Times;serif"/>
          <w:color w:val="231F20"/>
          <w:spacing w:val="-7"/>
          <w:sz w:val="20"/>
        </w:rPr>
        <w:t xml:space="preserve"> </w:t>
      </w:r>
      <w:r>
        <w:rPr>
          <w:rFonts w:ascii="Times New Roman;Times;serif" w:hAnsi="Times New Roman;Times;serif"/>
          <w:color w:val="231F20"/>
          <w:sz w:val="20"/>
        </w:rPr>
        <w:t>us</w:t>
      </w:r>
      <w:r>
        <w:rPr>
          <w:rFonts w:ascii="Times New Roman;Times;serif" w:hAnsi="Times New Roman;Times;serif"/>
          <w:color w:val="231F20"/>
          <w:spacing w:val="-8"/>
          <w:sz w:val="20"/>
        </w:rPr>
        <w:t xml:space="preserve"> </w:t>
      </w:r>
      <w:r>
        <w:rPr>
          <w:rFonts w:ascii="Times New Roman;Times;serif" w:hAnsi="Times New Roman;Times;serif"/>
          <w:color w:val="231F20"/>
          <w:sz w:val="20"/>
        </w:rPr>
        <w:t>informed</w:t>
      </w:r>
      <w:r>
        <w:rPr>
          <w:rFonts w:ascii="Times New Roman;Times;serif" w:hAnsi="Times New Roman;Times;serif"/>
          <w:color w:val="231F20"/>
          <w:spacing w:val="-7"/>
          <w:sz w:val="20"/>
        </w:rPr>
        <w:t xml:space="preserve"> </w:t>
      </w:r>
      <w:r>
        <w:rPr>
          <w:rFonts w:ascii="Times New Roman;Times;serif" w:hAnsi="Times New Roman;Times;serif"/>
          <w:color w:val="231F20"/>
          <w:sz w:val="20"/>
        </w:rPr>
        <w:t>regarding</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progress</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4"/>
          <w:sz w:val="20"/>
        </w:rPr>
        <w:t xml:space="preserve"> </w:t>
      </w:r>
      <w:r>
        <w:rPr>
          <w:rFonts w:ascii="Times New Roman;Times;serif" w:hAnsi="Times New Roman;Times;serif"/>
          <w:color w:val="231F20"/>
          <w:sz w:val="20"/>
        </w:rPr>
        <w:t>its</w:t>
      </w:r>
      <w:r>
        <w:rPr>
          <w:rFonts w:ascii="Times New Roman;Times;serif" w:hAnsi="Times New Roman;Times;serif"/>
          <w:color w:val="231F20"/>
          <w:spacing w:val="-8"/>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7"/>
          <w:sz w:val="20"/>
        </w:rPr>
        <w:t xml:space="preserve"> </w:t>
      </w:r>
      <w:r>
        <w:rPr>
          <w:rFonts w:ascii="Times New Roman;Times;serif" w:hAnsi="Times New Roman;Times;serif"/>
          <w:color w:val="231F20"/>
          <w:sz w:val="20"/>
        </w:rPr>
        <w:t>commercialization activities or to permit public disclosure of the results of those activities; initiating of litigation or alternative dispute resolution options by either party to resolve the dispute; or attempts by either party to</w:t>
      </w:r>
      <w:r>
        <w:rPr>
          <w:rFonts w:ascii="Times New Roman;Times;serif" w:hAnsi="Times New Roman;Times;serif"/>
          <w:color w:val="231F20"/>
          <w:spacing w:val="51"/>
          <w:sz w:val="20"/>
        </w:rPr>
        <w:t xml:space="preserve"> </w:t>
      </w:r>
      <w:r>
        <w:rPr>
          <w:rFonts w:ascii="Times New Roman;Times;serif" w:hAnsi="Times New Roman;Times;serif"/>
          <w:color w:val="231F20"/>
          <w:sz w:val="20"/>
        </w:rPr>
        <w:t>terminate the agreement.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Our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products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face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significant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competition</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markets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for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such</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products,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if</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they</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unable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to compete successfully, our business will</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suffer.</w:t>
      </w:r>
    </w:p>
    <w:p>
      <w:pPr>
        <w:pStyle w:val="TextBody"/>
        <w:spacing w:lineRule="auto" w:line="290" w:before="160"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Our product candidates face, and will continue to face, intense competition from large pharmaceutical companies, specialty pharmaceutical and biotechnology companies as well as academic and research institutions.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compete in an industry that is characterized by: (i) rapid technological change, (ii) evolving industry standards, (iii) emerging competition and (iv) new product introductions. Our competitors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existing products and technologies that will compete with our products and technologies and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develop and</w:t>
      </w:r>
      <w:r>
        <w:rPr>
          <w:rFonts w:ascii="Times New Roman;Times;serif" w:hAnsi="Times New Roman;Times;serif"/>
          <w:color w:val="231F20"/>
          <w:spacing w:val="-15"/>
          <w:sz w:val="20"/>
        </w:rPr>
        <w:t xml:space="preserve"> </w:t>
      </w:r>
      <w:r>
        <w:rPr>
          <w:rFonts w:ascii="Times New Roman;Times;serif" w:hAnsi="Times New Roman;Times;serif"/>
          <w:color w:val="231F20"/>
          <w:sz w:val="20"/>
        </w:rPr>
        <w:t>commercialize</w:t>
      </w:r>
      <w:r>
        <w:rPr>
          <w:rFonts w:ascii="Times New Roman;Times;serif" w:hAnsi="Times New Roman;Times;serif"/>
          <w:color w:val="231F20"/>
          <w:spacing w:val="-14"/>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14"/>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1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4"/>
          <w:sz w:val="20"/>
        </w:rPr>
        <w:t xml:space="preserve"> </w:t>
      </w:r>
      <w:r>
        <w:rPr>
          <w:rFonts w:ascii="Times New Roman;Times;serif" w:hAnsi="Times New Roman;Times;serif"/>
          <w:color w:val="231F20"/>
          <w:sz w:val="20"/>
        </w:rPr>
        <w:t>technologies</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that</w:t>
      </w:r>
      <w:r>
        <w:rPr>
          <w:rFonts w:ascii="Times New Roman;Times;serif" w:hAnsi="Times New Roman;Times;serif"/>
          <w:color w:val="231F20"/>
          <w:spacing w:val="-15"/>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4"/>
          <w:sz w:val="20"/>
        </w:rPr>
        <w:t xml:space="preserve"> </w:t>
      </w:r>
      <w:r>
        <w:rPr>
          <w:rFonts w:ascii="Times New Roman;Times;serif" w:hAnsi="Times New Roman;Times;serif"/>
          <w:color w:val="231F20"/>
          <w:sz w:val="20"/>
        </w:rPr>
        <w:t>compete</w:t>
      </w:r>
      <w:r>
        <w:rPr>
          <w:rFonts w:ascii="Times New Roman;Times;serif" w:hAnsi="Times New Roman;Times;serif"/>
          <w:color w:val="231F20"/>
          <w:spacing w:val="-14"/>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4"/>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1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technologies.</w:t>
      </w:r>
    </w:p>
    <w:p>
      <w:pPr>
        <w:pStyle w:val="TextBody"/>
        <w:spacing w:lineRule="auto" w:line="290" w:before="160"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Because several competing companies and institutions have greater financial resources than us, they may be able to: (i) provide broader services and product lines, (ii) make greater investments in research and development, and (iii) carry on larger R&amp;D initiatives. Our competitors also have greater development capabilities than we do and have substantially greater experience in undertaking non-clinical and clinical testing of products, obtaining regulatory </w:t>
      </w:r>
      <w:r>
        <w:rPr>
          <w:rFonts w:ascii="Times New Roman;Times;serif" w:hAnsi="Times New Roman;Times;serif"/>
          <w:color w:val="231F20"/>
          <w:spacing w:val="-5"/>
          <w:sz w:val="20"/>
        </w:rPr>
        <w:t xml:space="preserve">approvals, </w:t>
      </w:r>
      <w:r>
        <w:rPr>
          <w:rFonts w:ascii="Times New Roman;Times;serif" w:hAnsi="Times New Roman;Times;serif"/>
          <w:color w:val="231F20"/>
          <w:sz w:val="20"/>
        </w:rPr>
        <w:t xml:space="preserve">and manufacturing and marketing pharmaceutical </w:t>
      </w:r>
      <w:r>
        <w:rPr>
          <w:rFonts w:ascii="Times New Roman;Times;serif" w:hAnsi="Times New Roman;Times;serif"/>
          <w:color w:val="231F20"/>
          <w:spacing w:val="-3"/>
          <w:sz w:val="20"/>
        </w:rPr>
        <w:t xml:space="preserve">products. </w:t>
      </w:r>
      <w:r>
        <w:rPr>
          <w:rFonts w:ascii="Times New Roman;Times;serif" w:hAnsi="Times New Roman;Times;serif"/>
          <w:color w:val="231F20"/>
          <w:sz w:val="20"/>
        </w:rPr>
        <w:t xml:space="preserve">They </w:t>
      </w:r>
      <w:r>
        <w:rPr>
          <w:rFonts w:ascii="Times New Roman;Times;serif" w:hAnsi="Times New Roman;Times;serif"/>
          <w:color w:val="231F20"/>
          <w:spacing w:val="-3"/>
          <w:sz w:val="20"/>
        </w:rPr>
        <w:t xml:space="preserve">also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greater name recognition and better access to customers than </w:t>
      </w:r>
      <w:r>
        <w:rPr>
          <w:rFonts w:ascii="Times New Roman;Times;serif" w:hAnsi="Times New Roman;Times;serif"/>
          <w:color w:val="231F20"/>
          <w:spacing w:val="-5"/>
          <w:sz w:val="20"/>
        </w:rPr>
        <w:t xml:space="preserve">us. </w:t>
      </w:r>
      <w:r>
        <w:rPr>
          <w:rFonts w:ascii="Times New Roman;Times;serif" w:hAnsi="Times New Roman;Times;serif"/>
          <w:color w:val="231F20"/>
          <w:sz w:val="20"/>
        </w:rPr>
        <w:t xml:space="preserve">Our chief competitors in the psychiatry area include companies such as Johnson &amp; Johnson, Pfizer, Eli </w:t>
      </w:r>
      <w:r>
        <w:rPr>
          <w:rFonts w:ascii="Times New Roman;Times;serif" w:hAnsi="Times New Roman;Times;serif"/>
          <w:color w:val="231F20"/>
          <w:spacing w:val="-4"/>
          <w:sz w:val="20"/>
        </w:rPr>
        <w:t xml:space="preserve">Lilly, </w:t>
      </w:r>
      <w:r>
        <w:rPr>
          <w:rFonts w:ascii="Times New Roman;Times;serif" w:hAnsi="Times New Roman;Times;serif"/>
          <w:color w:val="231F20"/>
          <w:sz w:val="20"/>
        </w:rPr>
        <w:t>Sage Therapeutics,</w:t>
      </w:r>
      <w:r>
        <w:rPr>
          <w:rFonts w:ascii="Times New Roman;Times;serif" w:hAnsi="Times New Roman;Times;serif"/>
          <w:color w:val="231F20"/>
          <w:spacing w:val="-12"/>
          <w:sz w:val="20"/>
        </w:rPr>
        <w:t xml:space="preserve"> </w:t>
      </w:r>
      <w:r>
        <w:rPr>
          <w:rFonts w:ascii="Times New Roman;Times;serif" w:hAnsi="Times New Roman;Times;serif"/>
          <w:color w:val="231F20"/>
          <w:sz w:val="20"/>
        </w:rPr>
        <w:t>Axsome,</w:t>
      </w:r>
      <w:r>
        <w:rPr>
          <w:rFonts w:ascii="Times New Roman;Times;serif" w:hAnsi="Times New Roman;Times;serif"/>
          <w:color w:val="231F20"/>
          <w:spacing w:val="-1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1"/>
          <w:sz w:val="20"/>
        </w:rPr>
        <w:t xml:space="preserve"> </w:t>
      </w:r>
      <w:r>
        <w:rPr>
          <w:rFonts w:ascii="Times New Roman;Times;serif" w:hAnsi="Times New Roman;Times;serif"/>
          <w:color w:val="231F20"/>
          <w:sz w:val="20"/>
        </w:rPr>
        <w:t>Relmada,</w:t>
      </w:r>
      <w:r>
        <w:rPr>
          <w:rFonts w:ascii="Times New Roman;Times;serif" w:hAnsi="Times New Roman;Times;serif"/>
          <w:color w:val="231F20"/>
          <w:spacing w:val="-11"/>
          <w:sz w:val="20"/>
        </w:rPr>
        <w:t xml:space="preserve"> </w:t>
      </w:r>
      <w:r>
        <w:rPr>
          <w:rFonts w:ascii="Times New Roman;Times;serif" w:hAnsi="Times New Roman;Times;serif"/>
          <w:color w:val="231F20"/>
          <w:sz w:val="20"/>
        </w:rPr>
        <w:t>among</w:t>
      </w:r>
      <w:r>
        <w:rPr>
          <w:rFonts w:ascii="Times New Roman;Times;serif" w:hAnsi="Times New Roman;Times;serif"/>
          <w:color w:val="231F20"/>
          <w:spacing w:val="-11"/>
          <w:sz w:val="20"/>
        </w:rPr>
        <w:t xml:space="preserve"> </w:t>
      </w:r>
      <w:r>
        <w:rPr>
          <w:rFonts w:ascii="Times New Roman;Times;serif" w:hAnsi="Times New Roman;Times;serif"/>
          <w:color w:val="231F20"/>
          <w:sz w:val="20"/>
        </w:rPr>
        <w:t>others.</w:t>
      </w:r>
    </w:p>
    <w:p>
      <w:pPr>
        <w:pStyle w:val="TextBody"/>
        <w:spacing w:lineRule="auto" w:line="300"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We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faced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intense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competition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rapid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technological</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change,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which</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make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more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difficult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for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 xml:space="preserve">us to achieve significant market penetration. If </w:t>
      </w:r>
      <w:r>
        <w:rPr>
          <w:rFonts w:ascii="Times New Roman;Times;serif" w:hAnsi="Times New Roman;Times;serif"/>
          <w:b/>
          <w:i/>
          <w:color w:val="231F20"/>
          <w:spacing w:val="-4"/>
          <w:sz w:val="20"/>
        </w:rPr>
        <w:t xml:space="preserve">we </w:t>
      </w:r>
      <w:r>
        <w:rPr>
          <w:rFonts w:ascii="Times New Roman;Times;serif" w:hAnsi="Times New Roman;Times;serif"/>
          <w:b/>
          <w:i/>
          <w:color w:val="231F20"/>
          <w:sz w:val="20"/>
        </w:rPr>
        <w:t>cannot compete successfully for market share against other drug</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companies,</w:t>
      </w:r>
      <w:r>
        <w:rPr>
          <w:rFonts w:ascii="Times New Roman;Times;serif" w:hAnsi="Times New Roman;Times;serif"/>
          <w:b/>
          <w:color w:val="231F20"/>
          <w:spacing w:val="-5"/>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achieve</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sufficient</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product</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revenues</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business</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suffer.</w:t>
      </w:r>
    </w:p>
    <w:p>
      <w:pPr>
        <w:pStyle w:val="TextBody"/>
        <w:spacing w:lineRule="auto" w:line="300" w:before="160"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 market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our product candidates is characterized by intense competition and rapid technological </w:t>
      </w:r>
      <w:r>
        <w:rPr>
          <w:rFonts w:ascii="Times New Roman;Times;serif" w:hAnsi="Times New Roman;Times;serif"/>
          <w:color w:val="231F20"/>
          <w:spacing w:val="-3"/>
          <w:sz w:val="20"/>
        </w:rPr>
        <w:t xml:space="preserve">advances. </w:t>
      </w:r>
      <w:r>
        <w:rPr>
          <w:rFonts w:ascii="Times New Roman;Times;serif" w:hAnsi="Times New Roman;Times;serif"/>
          <w:color w:val="231F20"/>
          <w:sz w:val="20"/>
        </w:rPr>
        <w:t xml:space="preserve">If our product candidates receive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in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jurisdiction, they will compete with a number of existing and future drugs and therapies developed, manufactured and marketed by others. If our competitors’ existing products or new products are more effective than or considered superior to our future products, the commercial opportunity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our product candidates will be reduced or eliminated. Existing</w:t>
      </w:r>
      <w:r>
        <w:rPr>
          <w:rFonts w:ascii="Times New Roman;Times;serif" w:hAnsi="Times New Roman;Times;serif"/>
          <w:color w:val="231F20"/>
          <w:spacing w:val="-17"/>
          <w:sz w:val="20"/>
        </w:rPr>
        <w:t xml:space="preserve"> </w:t>
      </w:r>
      <w:r>
        <w:rPr>
          <w:rFonts w:ascii="Times New Roman;Times;serif" w:hAnsi="Times New Roman;Times;serif"/>
          <w:color w:val="231F20"/>
          <w:sz w:val="20"/>
        </w:rPr>
        <w:t>or</w:t>
      </w:r>
      <w:r>
        <w:rPr>
          <w:rFonts w:ascii="Times New Roman;Times;serif" w:hAnsi="Times New Roman;Times;serif"/>
          <w:color w:val="231F20"/>
          <w:spacing w:val="-16"/>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16"/>
          <w:sz w:val="20"/>
        </w:rPr>
        <w:t xml:space="preserve"> </w:t>
      </w:r>
      <w:r>
        <w:rPr>
          <w:rFonts w:ascii="Times New Roman;Times;serif" w:hAnsi="Times New Roman;Times;serif"/>
          <w:color w:val="231F20"/>
          <w:sz w:val="20"/>
        </w:rPr>
        <w:t>competing</w:t>
      </w:r>
      <w:r>
        <w:rPr>
          <w:rFonts w:ascii="Times New Roman;Times;serif" w:hAnsi="Times New Roman;Times;serif"/>
          <w:color w:val="231F20"/>
          <w:spacing w:val="-16"/>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16"/>
          <w:sz w:val="20"/>
        </w:rPr>
        <w:t xml:space="preserve"> </w:t>
      </w:r>
      <w:r>
        <w:rPr>
          <w:rFonts w:ascii="Times New Roman;Times;serif" w:hAnsi="Times New Roman;Times;serif"/>
          <w:color w:val="231F20"/>
          <w:spacing w:val="-4"/>
          <w:sz w:val="20"/>
        </w:rPr>
        <w:t>may</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provide</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greater</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therapeutic</w:t>
      </w:r>
      <w:r>
        <w:rPr>
          <w:rFonts w:ascii="Times New Roman;Times;serif" w:hAnsi="Times New Roman;Times;serif"/>
          <w:color w:val="231F20"/>
          <w:spacing w:val="-16"/>
          <w:sz w:val="20"/>
        </w:rPr>
        <w:t xml:space="preserve"> </w:t>
      </w:r>
      <w:r>
        <w:rPr>
          <w:rFonts w:ascii="Times New Roman;Times;serif" w:hAnsi="Times New Roman;Times;serif"/>
          <w:color w:val="231F20"/>
          <w:sz w:val="20"/>
        </w:rPr>
        <w:t>convenience</w:t>
      </w:r>
      <w:r>
        <w:rPr>
          <w:rFonts w:ascii="Times New Roman;Times;serif" w:hAnsi="Times New Roman;Times;serif"/>
          <w:color w:val="231F20"/>
          <w:spacing w:val="-16"/>
          <w:sz w:val="20"/>
        </w:rPr>
        <w:t xml:space="preserve"> </w:t>
      </w:r>
      <w:r>
        <w:rPr>
          <w:rFonts w:ascii="Times New Roman;Times;serif" w:hAnsi="Times New Roman;Times;serif"/>
          <w:color w:val="231F20"/>
          <w:sz w:val="20"/>
        </w:rPr>
        <w:t>or</w:t>
      </w:r>
      <w:r>
        <w:rPr>
          <w:rFonts w:ascii="Times New Roman;Times;serif" w:hAnsi="Times New Roman;Times;serif"/>
          <w:color w:val="231F20"/>
          <w:spacing w:val="-16"/>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7"/>
          <w:sz w:val="20"/>
        </w:rPr>
        <w:t xml:space="preserve"> </w:t>
      </w:r>
      <w:r>
        <w:rPr>
          <w:rFonts w:ascii="Times New Roman;Times;serif" w:hAnsi="Times New Roman;Times;serif"/>
          <w:color w:val="231F20"/>
          <w:sz w:val="20"/>
        </w:rPr>
        <w:t>or</w:t>
      </w:r>
      <w:r>
        <w:rPr>
          <w:rFonts w:ascii="Times New Roman;Times;serif" w:hAnsi="Times New Roman;Times;serif"/>
          <w:color w:val="231F20"/>
          <w:spacing w:val="-16"/>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6"/>
          <w:sz w:val="20"/>
        </w:rPr>
        <w:t xml:space="preserve"> </w:t>
      </w:r>
      <w:r>
        <w:rPr>
          <w:rFonts w:ascii="Times New Roman;Times;serif" w:hAnsi="Times New Roman;Times;serif"/>
          <w:color w:val="231F20"/>
          <w:sz w:val="20"/>
        </w:rPr>
        <w:t xml:space="preserve">benefits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a specific indication than our products, or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offer comparable performance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a lower cost.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face competition from fully integrated pharmaceutical companies and smaller companies that are collaborating with larger pharmaceutical companies, academic institutions, government agencies and other public and private research organizations. If we are successful in penetrating the relevant markets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treatment with our product candidates, other companies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attracted to the market. Many of our competitors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products</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already</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approved</w:t>
      </w:r>
      <w:r>
        <w:rPr>
          <w:rFonts w:ascii="Times New Roman;Times;serif" w:hAnsi="Times New Roman;Times;serif"/>
          <w:color w:val="231F20"/>
          <w:spacing w:val="-7"/>
          <w:sz w:val="20"/>
        </w:rPr>
        <w:t xml:space="preserve"> </w:t>
      </w:r>
      <w:r>
        <w:rPr>
          <w:rFonts w:ascii="Times New Roman;Times;serif" w:hAnsi="Times New Roman;Times;serif"/>
          <w:color w:val="231F20"/>
          <w:sz w:val="20"/>
        </w:rPr>
        <w:t>or</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addition,</w:t>
      </w:r>
      <w:r>
        <w:rPr>
          <w:rFonts w:ascii="Times New Roman;Times;serif" w:hAnsi="Times New Roman;Times;serif"/>
          <w:color w:val="231F20"/>
          <w:spacing w:val="-7"/>
          <w:sz w:val="20"/>
        </w:rPr>
        <w:t xml:space="preserve"> </w:t>
      </w:r>
      <w:r>
        <w:rPr>
          <w:rFonts w:ascii="Times New Roman;Times;serif" w:hAnsi="Times New Roman;Times;serif"/>
          <w:color w:val="231F20"/>
          <w:sz w:val="20"/>
        </w:rPr>
        <w:t>many</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these</w:t>
      </w:r>
      <w:r>
        <w:rPr>
          <w:rFonts w:ascii="Times New Roman;Times;serif" w:hAnsi="Times New Roman;Times;serif"/>
          <w:color w:val="231F20"/>
          <w:spacing w:val="-7"/>
          <w:sz w:val="20"/>
        </w:rPr>
        <w:t xml:space="preserve"> </w:t>
      </w:r>
      <w:r>
        <w:rPr>
          <w:rFonts w:ascii="Times New Roman;Times;serif" w:hAnsi="Times New Roman;Times;serif"/>
          <w:color w:val="231F20"/>
          <w:sz w:val="20"/>
        </w:rPr>
        <w:t>competitors,</w:t>
      </w:r>
      <w:r>
        <w:rPr>
          <w:rFonts w:ascii="Times New Roman;Times;serif" w:hAnsi="Times New Roman;Times;serif"/>
          <w:color w:val="231F20"/>
          <w:spacing w:val="-7"/>
          <w:sz w:val="20"/>
        </w:rPr>
        <w:t xml:space="preserve"> </w:t>
      </w:r>
      <w:r>
        <w:rPr>
          <w:rFonts w:ascii="Times New Roman;Times;serif" w:hAnsi="Times New Roman;Times;serif"/>
          <w:color w:val="231F20"/>
          <w:sz w:val="20"/>
        </w:rPr>
        <w:t>either</w:t>
      </w:r>
      <w:r>
        <w:rPr>
          <w:rFonts w:ascii="Times New Roman;Times;serif" w:hAnsi="Times New Roman;Times;serif"/>
          <w:color w:val="231F20"/>
          <w:spacing w:val="-7"/>
          <w:sz w:val="20"/>
        </w:rPr>
        <w:t xml:space="preserve"> </w:t>
      </w:r>
      <w:r>
        <w:rPr>
          <w:rFonts w:ascii="Times New Roman;Times;serif" w:hAnsi="Times New Roman;Times;serif"/>
          <w:color w:val="231F20"/>
          <w:sz w:val="20"/>
        </w:rPr>
        <w:t>alone</w:t>
      </w:r>
      <w:r>
        <w:rPr>
          <w:rFonts w:ascii="Times New Roman;Times;serif" w:hAnsi="Times New Roman;Times;serif"/>
          <w:color w:val="231F20"/>
          <w:spacing w:val="-6"/>
          <w:sz w:val="20"/>
        </w:rPr>
        <w:t xml:space="preserve"> </w:t>
      </w:r>
      <w:r>
        <w:rPr>
          <w:rFonts w:ascii="Times New Roman;Times;serif" w:hAnsi="Times New Roman;Times;serif"/>
          <w:color w:val="231F20"/>
          <w:sz w:val="20"/>
        </w:rPr>
        <w:t>or</w:t>
      </w:r>
      <w:r>
        <w:rPr>
          <w:rFonts w:ascii="Times New Roman;Times;serif" w:hAnsi="Times New Roman;Times;serif"/>
          <w:color w:val="231F20"/>
          <w:spacing w:val="-7"/>
          <w:sz w:val="20"/>
        </w:rPr>
        <w:t xml:space="preserve"> </w:t>
      </w:r>
      <w:r>
        <w:rPr>
          <w:rFonts w:ascii="Times New Roman;Times;serif" w:hAnsi="Times New Roman;Times;serif"/>
          <w:color w:val="231F20"/>
          <w:sz w:val="20"/>
        </w:rPr>
        <w:t xml:space="preserve">together with their collaborative partners, are larger than we are and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substantially greater financial, technical, research, marketing, </w:t>
      </w:r>
      <w:r>
        <w:rPr>
          <w:rFonts w:ascii="Times New Roman;Times;serif" w:hAnsi="Times New Roman;Times;serif"/>
          <w:color w:val="231F20"/>
          <w:spacing w:val="-4"/>
          <w:sz w:val="20"/>
        </w:rPr>
        <w:t xml:space="preserve">sales, </w:t>
      </w:r>
      <w:r>
        <w:rPr>
          <w:rFonts w:ascii="Times New Roman;Times;serif" w:hAnsi="Times New Roman;Times;serif"/>
          <w:color w:val="231F20"/>
          <w:sz w:val="20"/>
        </w:rPr>
        <w:t xml:space="preserve">distribution and other resources than we </w:t>
      </w:r>
      <w:r>
        <w:rPr>
          <w:rFonts w:ascii="Times New Roman;Times;serif" w:hAnsi="Times New Roman;Times;serif"/>
          <w:color w:val="231F20"/>
          <w:spacing w:val="-4"/>
          <w:sz w:val="20"/>
        </w:rPr>
        <w:t xml:space="preserve">do. </w:t>
      </w:r>
      <w:r>
        <w:rPr>
          <w:rFonts w:ascii="Times New Roman;Times;serif" w:hAnsi="Times New Roman;Times;serif"/>
          <w:color w:val="231F20"/>
          <w:sz w:val="20"/>
        </w:rPr>
        <w:t xml:space="preserve">Our competitors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develop or market products that are more effective or commercially attractive than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that we are developing or marketing. Our competitors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obtain regulatory </w:t>
      </w:r>
      <w:r>
        <w:rPr>
          <w:rFonts w:ascii="Times New Roman;Times;serif" w:hAnsi="Times New Roman;Times;serif"/>
          <w:color w:val="231F20"/>
          <w:spacing w:val="-5"/>
          <w:sz w:val="20"/>
        </w:rPr>
        <w:t xml:space="preserve">approvals, </w:t>
      </w:r>
      <w:r>
        <w:rPr>
          <w:rFonts w:ascii="Times New Roman;Times;serif" w:hAnsi="Times New Roman;Times;serif"/>
          <w:color w:val="231F20"/>
          <w:sz w:val="20"/>
        </w:rPr>
        <w:t xml:space="preserve">and introduce and commercialize products before we </w:t>
      </w:r>
      <w:r>
        <w:rPr>
          <w:rFonts w:ascii="Times New Roman;Times;serif" w:hAnsi="Times New Roman;Times;serif"/>
          <w:color w:val="231F20"/>
          <w:spacing w:val="-4"/>
          <w:sz w:val="20"/>
        </w:rPr>
        <w:t xml:space="preserve">do. </w:t>
      </w:r>
      <w:r>
        <w:rPr>
          <w:rFonts w:ascii="Times New Roman;Times;serif" w:hAnsi="Times New Roman;Times;serif"/>
          <w:color w:val="231F20"/>
          <w:sz w:val="20"/>
        </w:rPr>
        <w:t xml:space="preserve">These developments could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a significant negative effect on our financial condition. Even if</w:t>
      </w:r>
      <w:r>
        <w:rPr>
          <w:rFonts w:ascii="Times New Roman;Times;serif" w:hAnsi="Times New Roman;Times;serif"/>
          <w:color w:val="231F20"/>
          <w:spacing w:val="15"/>
          <w:sz w:val="20"/>
        </w:rPr>
        <w:t xml:space="preserve"> </w:t>
      </w:r>
      <w:r>
        <w:rPr>
          <w:rFonts w:ascii="Times New Roman;Times;serif" w:hAnsi="Times New Roman;Times;serif"/>
          <w:color w:val="231F20"/>
          <w:sz w:val="20"/>
        </w:rPr>
        <w:t>we</w:t>
      </w:r>
      <w:r>
        <w:rPr>
          <w:rFonts w:ascii="Times New Roman;Times;serif" w:hAnsi="Times New Roman;Times;serif"/>
          <w:color w:val="231F20"/>
          <w:spacing w:val="-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compete</w:t>
      </w:r>
      <w:r>
        <w:rPr>
          <w:rFonts w:ascii="Times New Roman;Times;serif" w:hAnsi="Times New Roman;Times;serif"/>
          <w:color w:val="231F20"/>
          <w:spacing w:val="-3"/>
          <w:sz w:val="20"/>
        </w:rPr>
        <w:t xml:space="preserve"> </w:t>
      </w:r>
      <w:r>
        <w:rPr>
          <w:rFonts w:ascii="Times New Roman;Times;serif" w:hAnsi="Times New Roman;Times;serif"/>
          <w:color w:val="231F20"/>
          <w:sz w:val="20"/>
        </w:rPr>
        <w:t>successfully,</w:t>
      </w:r>
      <w:r>
        <w:rPr>
          <w:rFonts w:ascii="Times New Roman;Times;serif" w:hAnsi="Times New Roman;Times;serif"/>
          <w:color w:val="231F20"/>
          <w:spacing w:val="-4"/>
          <w:sz w:val="20"/>
        </w:rPr>
        <w:t xml:space="preserve"> </w:t>
      </w:r>
      <w:r>
        <w:rPr>
          <w:rFonts w:ascii="Times New Roman;Times;serif" w:hAnsi="Times New Roman;Times;serif"/>
          <w:color w:val="231F20"/>
          <w:sz w:val="20"/>
        </w:rPr>
        <w:t>we</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4"/>
          <w:sz w:val="20"/>
        </w:rPr>
        <w:t xml:space="preserve"> </w:t>
      </w:r>
      <w:r>
        <w:rPr>
          <w:rFonts w:ascii="Times New Roman;Times;serif" w:hAnsi="Times New Roman;Times;serif"/>
          <w:color w:val="231F20"/>
          <w:sz w:val="20"/>
        </w:rPr>
        <w:t>not</w:t>
      </w:r>
      <w:r>
        <w:rPr>
          <w:rFonts w:ascii="Times New Roman;Times;serif" w:hAnsi="Times New Roman;Times;serif"/>
          <w:color w:val="231F20"/>
          <w:spacing w:val="-4"/>
          <w:sz w:val="20"/>
        </w:rPr>
        <w:t xml:space="preserve"> </w:t>
      </w:r>
      <w:r>
        <w:rPr>
          <w:rFonts w:ascii="Times New Roman;Times;serif" w:hAnsi="Times New Roman;Times;serif"/>
          <w:color w:val="231F20"/>
          <w:sz w:val="20"/>
        </w:rPr>
        <w:t>be</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do</w:t>
      </w:r>
      <w:r>
        <w:rPr>
          <w:rFonts w:ascii="Times New Roman;Times;serif" w:hAnsi="Times New Roman;Times;serif"/>
          <w:color w:val="231F20"/>
          <w:spacing w:val="-4"/>
          <w:sz w:val="20"/>
        </w:rPr>
        <w:t xml:space="preserve"> </w:t>
      </w:r>
      <w:r>
        <w:rPr>
          <w:rFonts w:ascii="Times New Roman;Times;serif" w:hAnsi="Times New Roman;Times;serif"/>
          <w:color w:val="231F20"/>
          <w:sz w:val="20"/>
        </w:rPr>
        <w:t>so</w:t>
      </w:r>
      <w:r>
        <w:rPr>
          <w:rFonts w:ascii="Times New Roman;Times;serif" w:hAnsi="Times New Roman;Times;serif"/>
          <w:color w:val="231F20"/>
          <w:spacing w:val="-4"/>
          <w:sz w:val="20"/>
        </w:rPr>
        <w:t xml:space="preserve"> </w:t>
      </w:r>
      <w:r>
        <w:rPr>
          <w:rFonts w:ascii="Times New Roman;Times;serif" w:hAnsi="Times New Roman;Times;serif"/>
          <w:color w:val="231F20"/>
          <w:sz w:val="20"/>
        </w:rPr>
        <w:t>in</w:t>
      </w:r>
      <w:r>
        <w:rPr>
          <w:rFonts w:ascii="Times New Roman;Times;serif" w:hAnsi="Times New Roman;Times;serif"/>
          <w:color w:val="231F20"/>
          <w:spacing w:val="-4"/>
          <w:sz w:val="20"/>
        </w:rPr>
        <w:t xml:space="preserve"> </w:t>
      </w:r>
      <w:r>
        <w:rPr>
          <w:rFonts w:ascii="Times New Roman;Times;serif" w:hAnsi="Times New Roman;Times;serif"/>
          <w:color w:val="231F20"/>
          <w:sz w:val="20"/>
        </w:rPr>
        <w:t>a</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profitable</w:t>
      </w:r>
      <w:r>
        <w:rPr>
          <w:rFonts w:ascii="Times New Roman;Times;serif" w:hAnsi="Times New Roman;Times;serif"/>
          <w:color w:val="231F20"/>
          <w:spacing w:val="-4"/>
          <w:sz w:val="20"/>
        </w:rPr>
        <w:t xml:space="preserve"> </w:t>
      </w:r>
      <w:r>
        <w:rPr>
          <w:rFonts w:ascii="Times New Roman;Times;serif" w:hAnsi="Times New Roman;Times;serif"/>
          <w:color w:val="231F20"/>
          <w:sz w:val="20"/>
        </w:rPr>
        <w:t>manner.</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Future products may never achieve market acceptance.</w:t>
      </w:r>
    </w:p>
    <w:p>
      <w:pPr>
        <w:pStyle w:val="TextBody"/>
        <w:spacing w:lineRule="auto" w:line="300" w:before="171"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Future products that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develop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never gain market acceptance among physicians, patients and the medical </w:t>
      </w:r>
      <w:r>
        <w:rPr>
          <w:rFonts w:ascii="Times New Roman;Times;serif" w:hAnsi="Times New Roman;Times;serif"/>
          <w:color w:val="231F20"/>
          <w:spacing w:val="-3"/>
          <w:sz w:val="20"/>
        </w:rPr>
        <w:t xml:space="preserve">community. </w:t>
      </w:r>
      <w:r>
        <w:rPr>
          <w:rFonts w:ascii="Times New Roman;Times;serif" w:hAnsi="Times New Roman;Times;serif"/>
          <w:color w:val="231F20"/>
          <w:sz w:val="20"/>
        </w:rPr>
        <w:t xml:space="preserve">The degree of market acceptance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of our products will depend on a number</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factors,</w:t>
      </w:r>
      <w:r>
        <w:rPr>
          <w:rFonts w:ascii="Times New Roman;Times;serif" w:hAnsi="Times New Roman;Times;serif"/>
          <w:color w:val="231F20"/>
          <w:spacing w:val="-6"/>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6"/>
          <w:sz w:val="20"/>
        </w:rPr>
        <w:t xml:space="preserve"> </w:t>
      </w:r>
      <w:r>
        <w:rPr>
          <w:rFonts w:ascii="Times New Roman;Times;serif" w:hAnsi="Times New Roman;Times;serif"/>
          <w:color w:val="231F20"/>
          <w:sz w:val="20"/>
        </w:rPr>
        <w:t>actual</w:t>
      </w:r>
      <w:r>
        <w:rPr>
          <w:rFonts w:ascii="Times New Roman;Times;serif" w:hAnsi="Times New Roman;Times;serif"/>
          <w:color w:val="231F20"/>
          <w:spacing w:val="-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6"/>
          <w:sz w:val="20"/>
        </w:rPr>
        <w:t xml:space="preserve"> </w:t>
      </w:r>
      <w:r>
        <w:rPr>
          <w:rFonts w:ascii="Times New Roman;Times;serif" w:hAnsi="Times New Roman;Times;serif"/>
          <w:color w:val="231F20"/>
          <w:sz w:val="20"/>
        </w:rPr>
        <w:t>perceived</w:t>
      </w:r>
      <w:r>
        <w:rPr>
          <w:rFonts w:ascii="Times New Roman;Times;serif" w:hAnsi="Times New Roman;Times;serif"/>
          <w:color w:val="231F20"/>
          <w:spacing w:val="-7"/>
          <w:sz w:val="20"/>
        </w:rPr>
        <w:t xml:space="preserve"> </w:t>
      </w:r>
      <w:r>
        <w:rPr>
          <w:rFonts w:ascii="Times New Roman;Times;serif" w:hAnsi="Times New Roman;Times;serif"/>
          <w:color w:val="231F20"/>
          <w:sz w:val="20"/>
        </w:rPr>
        <w:t>effectiveness</w:t>
      </w:r>
      <w:r>
        <w:rPr>
          <w:rFonts w:ascii="Times New Roman;Times;serif" w:hAnsi="Times New Roman;Times;serif"/>
          <w:color w:val="231F20"/>
          <w:spacing w:val="-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6"/>
          <w:sz w:val="20"/>
        </w:rPr>
        <w:t xml:space="preserve"> </w:t>
      </w:r>
      <w:r>
        <w:rPr>
          <w:rFonts w:ascii="Times New Roman;Times;serif" w:hAnsi="Times New Roman;Times;serif"/>
          <w:color w:val="231F20"/>
          <w:sz w:val="20"/>
        </w:rPr>
        <w:t>reliability</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7"/>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 xml:space="preserve">results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long-term clinical trials relating to use of our products; the </w:t>
      </w:r>
      <w:r>
        <w:rPr>
          <w:rFonts w:ascii="Times New Roman;Times;serif" w:hAnsi="Times New Roman;Times;serif"/>
          <w:color w:val="231F20"/>
          <w:spacing w:val="-4"/>
          <w:sz w:val="20"/>
        </w:rPr>
        <w:t xml:space="preserve">availability, </w:t>
      </w:r>
      <w:r>
        <w:rPr>
          <w:rFonts w:ascii="Times New Roman;Times;serif" w:hAnsi="Times New Roman;Times;serif"/>
          <w:color w:val="231F20"/>
          <w:spacing w:val="-3"/>
          <w:sz w:val="20"/>
        </w:rPr>
        <w:t xml:space="preserve">relative </w:t>
      </w:r>
      <w:r>
        <w:rPr>
          <w:rFonts w:ascii="Times New Roman;Times;serif" w:hAnsi="Times New Roman;Times;serif"/>
          <w:color w:val="231F20"/>
          <w:sz w:val="20"/>
        </w:rPr>
        <w:t>cost and perceived advantages and disadvantages of alternative technologies; the degree to which treatments using our</w:t>
      </w:r>
      <w:r>
        <w:rPr>
          <w:rFonts w:ascii="Times New Roman;Times;serif" w:hAnsi="Times New Roman;Times;serif"/>
          <w:color w:val="231F20"/>
          <w:spacing w:val="-12"/>
          <w:sz w:val="20"/>
        </w:rPr>
        <w:t xml:space="preserve"> </w:t>
      </w:r>
      <w:r>
        <w:rPr>
          <w:rFonts w:ascii="Times New Roman;Times;serif" w:hAnsi="Times New Roman;Times;serif"/>
          <w:color w:val="231F20"/>
          <w:sz w:val="20"/>
        </w:rPr>
        <w:t xml:space="preserve">products are </w:t>
      </w:r>
      <w:r>
        <w:rPr>
          <w:rFonts w:ascii="Times New Roman;Times;serif" w:hAnsi="Times New Roman;Times;serif"/>
          <w:color w:val="231F20"/>
          <w:spacing w:val="-3"/>
          <w:sz w:val="20"/>
        </w:rPr>
        <w:t xml:space="preserve">approved for </w:t>
      </w:r>
      <w:r>
        <w:rPr>
          <w:rFonts w:ascii="Times New Roman;Times;serif" w:hAnsi="Times New Roman;Times;serif"/>
          <w:color w:val="231F20"/>
          <w:sz w:val="20"/>
        </w:rPr>
        <w:t xml:space="preserve">reimbursement by public and private insurers; the strength of our marketing and distribution infrastructure; and the level of education and </w:t>
      </w:r>
      <w:r>
        <w:rPr>
          <w:rFonts w:ascii="Times New Roman;Times;serif" w:hAnsi="Times New Roman;Times;serif"/>
          <w:color w:val="231F20"/>
          <w:spacing w:val="-3"/>
          <w:sz w:val="20"/>
        </w:rPr>
        <w:t xml:space="preserve">awareness </w:t>
      </w:r>
      <w:r>
        <w:rPr>
          <w:rFonts w:ascii="Times New Roman;Times;serif" w:hAnsi="Times New Roman;Times;serif"/>
          <w:color w:val="231F20"/>
          <w:sz w:val="20"/>
        </w:rPr>
        <w:t xml:space="preserve">among physicians and hospitals concerning our </w:t>
      </w:r>
      <w:r>
        <w:rPr>
          <w:rFonts w:ascii="Times New Roman;Times;serif" w:hAnsi="Times New Roman;Times;serif"/>
          <w:color w:val="231F20"/>
          <w:spacing w:val="-3"/>
          <w:sz w:val="20"/>
        </w:rPr>
        <w:t xml:space="preserve">products. The failure </w:t>
      </w:r>
      <w:r>
        <w:rPr>
          <w:rFonts w:ascii="Times New Roman;Times;serif" w:hAnsi="Times New Roman;Times;serif"/>
          <w:color w:val="231F20"/>
          <w:sz w:val="20"/>
        </w:rPr>
        <w:t xml:space="preserve">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of our products to significantly penetrate current or new markets would negatively impact our business, financial condition and results of</w:t>
      </w:r>
      <w:r>
        <w:rPr>
          <w:rFonts w:ascii="Times New Roman;Times;serif" w:hAnsi="Times New Roman;Times;serif"/>
          <w:color w:val="231F20"/>
          <w:spacing w:val="-16"/>
          <w:sz w:val="20"/>
        </w:rPr>
        <w:t xml:space="preserve"> </w:t>
      </w:r>
      <w:r>
        <w:rPr>
          <w:rFonts w:ascii="Times New Roman;Times;serif" w:hAnsi="Times New Roman;Times;serif"/>
          <w:color w:val="231F20"/>
          <w:sz w:val="20"/>
        </w:rPr>
        <w:t>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0"/>
          <w:sz w:val="20"/>
        </w:rPr>
        <w:t xml:space="preserve">To </w:t>
      </w:r>
      <w:r>
        <w:rPr>
          <w:rFonts w:ascii="Times New Roman;Times;serif" w:hAnsi="Times New Roman;Times;serif"/>
          <w:b/>
          <w:i/>
          <w:color w:val="231F20"/>
          <w:sz w:val="20"/>
        </w:rPr>
        <w:t>be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commercially</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successful,</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physicians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must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be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persuaded</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that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using</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products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effective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alternatives to existing therapies and</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treatments.</w:t>
      </w:r>
    </w:p>
    <w:p>
      <w:pPr>
        <w:pStyle w:val="TextBody"/>
        <w:spacing w:lineRule="auto" w:line="300" w:before="159" w:after="240"/>
        <w:ind w:left="0" w:right="0" w:firstLine="403"/>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believe that doctors and other physicians will not widely adopt our products unless they determine, based on experience, clinical data, and published peer reviewed journal articles, that the use of our products provides an effective alternative to other therapies and treatments. Patient studies or clinical experience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indicate that treatment with our products does not provide patients with sufficient benefits and/or improvement in quality of </w:t>
      </w:r>
      <w:r>
        <w:rPr>
          <w:rFonts w:ascii="Times New Roman;Times;serif" w:hAnsi="Times New Roman;Times;serif"/>
          <w:color w:val="231F20"/>
          <w:spacing w:val="-3"/>
          <w:sz w:val="20"/>
        </w:rPr>
        <w:t xml:space="preserve">life.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believe that recommendations and support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use of our products from medical societies and / or influential physicians will be essential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widespread market acceptance. Our products are still in the development</w:t>
      </w:r>
      <w:r>
        <w:rPr>
          <w:rFonts w:ascii="Times New Roman;Times;serif" w:hAnsi="Times New Roman;Times;serif"/>
          <w:color w:val="231F20"/>
          <w:spacing w:val="-6"/>
          <w:sz w:val="20"/>
        </w:rPr>
        <w:t xml:space="preserve"> </w:t>
      </w:r>
      <w:r>
        <w:rPr>
          <w:rFonts w:ascii="Times New Roman;Times;serif" w:hAnsi="Times New Roman;Times;serif"/>
          <w:color w:val="231F20"/>
          <w:sz w:val="20"/>
        </w:rPr>
        <w:t>stage</w:t>
      </w:r>
      <w:r>
        <w:rPr>
          <w:rFonts w:ascii="Times New Roman;Times;serif" w:hAnsi="Times New Roman;Times;serif"/>
          <w:color w:val="231F20"/>
          <w:spacing w:val="-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5"/>
          <w:sz w:val="20"/>
        </w:rPr>
        <w:t xml:space="preserve"> </w:t>
      </w:r>
      <w:r>
        <w:rPr>
          <w:rFonts w:ascii="Times New Roman;Times;serif" w:hAnsi="Times New Roman;Times;serif"/>
          <w:color w:val="231F20"/>
          <w:sz w:val="20"/>
        </w:rPr>
        <w:t>it</w:t>
      </w:r>
      <w:r>
        <w:rPr>
          <w:rFonts w:ascii="Times New Roman;Times;serif" w:hAnsi="Times New Roman;Times;serif"/>
          <w:color w:val="231F20"/>
          <w:spacing w:val="-5"/>
          <w:sz w:val="20"/>
        </w:rPr>
        <w:t xml:space="preserve"> </w:t>
      </w:r>
      <w:r>
        <w:rPr>
          <w:rFonts w:ascii="Times New Roman;Times;serif" w:hAnsi="Times New Roman;Times;serif"/>
          <w:color w:val="231F20"/>
          <w:sz w:val="20"/>
        </w:rPr>
        <w:t>is</w:t>
      </w:r>
      <w:r>
        <w:rPr>
          <w:rFonts w:ascii="Times New Roman;Times;serif" w:hAnsi="Times New Roman;Times;serif"/>
          <w:color w:val="231F20"/>
          <w:spacing w:val="-5"/>
          <w:sz w:val="20"/>
        </w:rPr>
        <w:t xml:space="preserve"> </w:t>
      </w:r>
      <w:r>
        <w:rPr>
          <w:rFonts w:ascii="Times New Roman;Times;serif" w:hAnsi="Times New Roman;Times;serif"/>
          <w:color w:val="231F20"/>
          <w:sz w:val="20"/>
        </w:rPr>
        <w:t>premature</w:t>
      </w:r>
      <w:r>
        <w:rPr>
          <w:rFonts w:ascii="Times New Roman;Times;serif" w:hAnsi="Times New Roman;Times;serif"/>
          <w:color w:val="231F20"/>
          <w:spacing w:val="-6"/>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attempt</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gain</w:t>
      </w:r>
      <w:r>
        <w:rPr>
          <w:rFonts w:ascii="Times New Roman;Times;serif" w:hAnsi="Times New Roman;Times;serif"/>
          <w:color w:val="231F20"/>
          <w:spacing w:val="-5"/>
          <w:sz w:val="20"/>
        </w:rPr>
        <w:t xml:space="preserve"> </w:t>
      </w:r>
      <w:r>
        <w:rPr>
          <w:rFonts w:ascii="Times New Roman;Times;serif" w:hAnsi="Times New Roman;Times;serif"/>
          <w:color w:val="231F20"/>
          <w:sz w:val="20"/>
        </w:rPr>
        <w:t>support</w:t>
      </w:r>
      <w:r>
        <w:rPr>
          <w:rFonts w:ascii="Times New Roman;Times;serif" w:hAnsi="Times New Roman;Times;serif"/>
          <w:color w:val="231F20"/>
          <w:spacing w:val="-5"/>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6"/>
          <w:sz w:val="20"/>
        </w:rPr>
        <w:t xml:space="preserve"> </w:t>
      </w:r>
      <w:r>
        <w:rPr>
          <w:rFonts w:ascii="Times New Roman;Times;serif" w:hAnsi="Times New Roman;Times;serif"/>
          <w:color w:val="231F20"/>
          <w:sz w:val="20"/>
        </w:rPr>
        <w:t>physicians</w:t>
      </w:r>
      <w:r>
        <w:rPr>
          <w:rFonts w:ascii="Times New Roman;Times;serif" w:hAnsi="Times New Roman;Times;serif"/>
          <w:color w:val="231F20"/>
          <w:spacing w:val="-5"/>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5"/>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5"/>
          <w:sz w:val="20"/>
        </w:rPr>
        <w:t xml:space="preserve"> </w:t>
      </w:r>
      <w:r>
        <w:rPr>
          <w:rFonts w:ascii="Times New Roman;Times;serif" w:hAnsi="Times New Roman;Times;serif"/>
          <w:color w:val="231F20"/>
          <w:spacing w:val="-3"/>
          <w:sz w:val="20"/>
        </w:rPr>
        <w:t>time.</w:t>
      </w:r>
      <w:r>
        <w:rPr>
          <w:rFonts w:ascii="Times New Roman;Times;serif" w:hAnsi="Times New Roman;Times;serif"/>
          <w:color w:val="231F20"/>
          <w:spacing w:val="-5"/>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5"/>
          <w:sz w:val="20"/>
        </w:rPr>
        <w:t xml:space="preserve"> </w:t>
      </w:r>
      <w:r>
        <w:rPr>
          <w:rFonts w:ascii="Times New Roman;Times;serif" w:hAnsi="Times New Roman;Times;serif"/>
          <w:color w:val="231F20"/>
          <w:sz w:val="20"/>
        </w:rPr>
        <w:t>can</w:t>
      </w:r>
      <w:r>
        <w:rPr>
          <w:rFonts w:ascii="Times New Roman;Times;serif" w:hAnsi="Times New Roman;Times;serif"/>
          <w:color w:val="231F20"/>
          <w:spacing w:val="-6"/>
          <w:sz w:val="20"/>
        </w:rPr>
        <w:t xml:space="preserve"> </w:t>
      </w:r>
      <w:r>
        <w:rPr>
          <w:rFonts w:ascii="Times New Roman;Times;serif" w:hAnsi="Times New Roman;Times;serif"/>
          <w:color w:val="231F20"/>
          <w:sz w:val="20"/>
        </w:rPr>
        <w:t xml:space="preserve">provide no assurance that such support will ever be obtained. If our products do not receive such support from these physicians and from long-term data, physicians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use or continue to </w:t>
      </w:r>
      <w:r>
        <w:rPr>
          <w:rFonts w:ascii="Times New Roman;Times;serif" w:hAnsi="Times New Roman;Times;serif"/>
          <w:color w:val="231F20"/>
          <w:spacing w:val="-3"/>
          <w:sz w:val="20"/>
        </w:rPr>
        <w:t xml:space="preserve">use, </w:t>
      </w:r>
      <w:r>
        <w:rPr>
          <w:rFonts w:ascii="Times New Roman;Times;serif" w:hAnsi="Times New Roman;Times;serif"/>
          <w:color w:val="231F20"/>
          <w:sz w:val="20"/>
        </w:rPr>
        <w:t xml:space="preserve">and hospitals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not purchase or continue to purchase, our</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products.</w:t>
      </w:r>
    </w:p>
    <w:p>
      <w:pPr>
        <w:pStyle w:val="TextBody"/>
        <w:spacing w:before="87"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 xml:space="preserve">We </w:t>
      </w:r>
      <w:r>
        <w:rPr>
          <w:rFonts w:ascii="Times New Roman;Times;serif" w:hAnsi="Times New Roman;Times;serif"/>
          <w:b/>
          <w:i/>
          <w:color w:val="231F20"/>
          <w:sz w:val="20"/>
        </w:rPr>
        <w:t>may incur substantial liabilities and may be required to limit commercialization of our products in response to product liability lawsuits.</w:t>
      </w:r>
    </w:p>
    <w:p>
      <w:pPr>
        <w:pStyle w:val="TextBody"/>
        <w:spacing w:before="146"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 testing and marketing of medical products entails an inherent risk of product </w:t>
      </w:r>
      <w:r>
        <w:rPr>
          <w:rFonts w:ascii="Times New Roman;Times;serif" w:hAnsi="Times New Roman;Times;serif"/>
          <w:color w:val="231F20"/>
          <w:spacing w:val="-4"/>
          <w:sz w:val="20"/>
        </w:rPr>
        <w:t xml:space="preserve">liability.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 held</w:t>
      </w:r>
      <w:r>
        <w:rPr>
          <w:rFonts w:ascii="Times New Roman;Times;serif" w:hAnsi="Times New Roman;Times;serif"/>
          <w:color w:val="231F20"/>
          <w:spacing w:val="-13"/>
          <w:sz w:val="20"/>
        </w:rPr>
        <w:t xml:space="preserve"> </w:t>
      </w:r>
      <w:r>
        <w:rPr>
          <w:rFonts w:ascii="Times New Roman;Times;serif" w:hAnsi="Times New Roman;Times;serif"/>
          <w:color w:val="231F20"/>
          <w:sz w:val="20"/>
        </w:rPr>
        <w:t>liable</w:t>
      </w:r>
      <w:r>
        <w:rPr>
          <w:rFonts w:ascii="Times New Roman;Times;serif" w:hAnsi="Times New Roman;Times;serif"/>
          <w:color w:val="231F20"/>
          <w:spacing w:val="-12"/>
          <w:sz w:val="20"/>
        </w:rPr>
        <w:t xml:space="preserve"> </w:t>
      </w:r>
      <w:r>
        <w:rPr>
          <w:rFonts w:ascii="Times New Roman;Times;serif" w:hAnsi="Times New Roman;Times;serif"/>
          <w:color w:val="231F20"/>
          <w:sz w:val="20"/>
        </w:rPr>
        <w:t>if</w:t>
      </w:r>
      <w:r>
        <w:rPr>
          <w:rFonts w:ascii="Times New Roman;Times;serif" w:hAnsi="Times New Roman;Times;serif"/>
          <w:color w:val="231F20"/>
          <w:spacing w:val="6"/>
          <w:sz w:val="20"/>
        </w:rPr>
        <w:t xml:space="preserve"> </w:t>
      </w:r>
      <w:r>
        <w:rPr>
          <w:rFonts w:ascii="Times New Roman;Times;serif" w:hAnsi="Times New Roman;Times;serif"/>
          <w:color w:val="231F20"/>
          <w:sz w:val="20"/>
        </w:rPr>
        <w:t>serious</w:t>
      </w:r>
      <w:r>
        <w:rPr>
          <w:rFonts w:ascii="Times New Roman;Times;serif" w:hAnsi="Times New Roman;Times;serif"/>
          <w:color w:val="231F20"/>
          <w:spacing w:val="-12"/>
          <w:sz w:val="20"/>
        </w:rPr>
        <w:t xml:space="preserve"> </w:t>
      </w:r>
      <w:r>
        <w:rPr>
          <w:rFonts w:ascii="Times New Roman;Times;serif" w:hAnsi="Times New Roman;Times;serif"/>
          <w:color w:val="231F20"/>
          <w:sz w:val="20"/>
        </w:rPr>
        <w:t>adverse</w:t>
      </w:r>
      <w:r>
        <w:rPr>
          <w:rFonts w:ascii="Times New Roman;Times;serif" w:hAnsi="Times New Roman;Times;serif"/>
          <w:color w:val="231F20"/>
          <w:spacing w:val="-13"/>
          <w:sz w:val="20"/>
        </w:rPr>
        <w:t xml:space="preserve"> </w:t>
      </w:r>
      <w:r>
        <w:rPr>
          <w:rFonts w:ascii="Times New Roman;Times;serif" w:hAnsi="Times New Roman;Times;serif"/>
          <w:color w:val="231F20"/>
          <w:sz w:val="20"/>
        </w:rPr>
        <w:t>reactions</w:t>
      </w:r>
      <w:r>
        <w:rPr>
          <w:rFonts w:ascii="Times New Roman;Times;serif" w:hAnsi="Times New Roman;Times;serif"/>
          <w:color w:val="231F20"/>
          <w:spacing w:val="-12"/>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2"/>
          <w:sz w:val="20"/>
        </w:rPr>
        <w:t xml:space="preserve"> </w:t>
      </w:r>
      <w:r>
        <w:rPr>
          <w:rFonts w:ascii="Times New Roman;Times;serif" w:hAnsi="Times New Roman;Times;serif"/>
          <w:color w:val="231F20"/>
          <w:sz w:val="20"/>
        </w:rPr>
        <w:t>use</w:t>
      </w:r>
      <w:r>
        <w:rPr>
          <w:rFonts w:ascii="Times New Roman;Times;serif" w:hAnsi="Times New Roman;Times;serif"/>
          <w:color w:val="231F20"/>
          <w:spacing w:val="-13"/>
          <w:sz w:val="20"/>
        </w:rPr>
        <w:t xml:space="preserve"> </w:t>
      </w:r>
      <w:r>
        <w:rPr>
          <w:rFonts w:ascii="Times New Roman;Times;serif" w:hAnsi="Times New Roman;Times;serif"/>
          <w:color w:val="231F20"/>
          <w:sz w:val="20"/>
        </w:rPr>
        <w:t>of</w:t>
      </w:r>
      <w:r>
        <w:rPr>
          <w:rFonts w:ascii="Times New Roman;Times;serif" w:hAnsi="Times New Roman;Times;serif"/>
          <w:color w:val="231F20"/>
          <w:spacing w:val="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3"/>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12"/>
          <w:sz w:val="20"/>
        </w:rPr>
        <w:t xml:space="preserve"> </w:t>
      </w:r>
      <w:r>
        <w:rPr>
          <w:rFonts w:ascii="Times New Roman;Times;serif" w:hAnsi="Times New Roman;Times;serif"/>
          <w:color w:val="231F20"/>
          <w:sz w:val="20"/>
        </w:rPr>
        <w:t>candidates</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occur.</w:t>
      </w:r>
      <w:r>
        <w:rPr>
          <w:rFonts w:ascii="Times New Roman;Times;serif" w:hAnsi="Times New Roman;Times;serif"/>
          <w:color w:val="231F20"/>
          <w:spacing w:val="-12"/>
          <w:sz w:val="20"/>
        </w:rPr>
        <w:t xml:space="preserve"> </w:t>
      </w:r>
      <w:r>
        <w:rPr>
          <w:rFonts w:ascii="Times New Roman;Times;serif" w:hAnsi="Times New Roman;Times;serif"/>
          <w:color w:val="231F20"/>
          <w:sz w:val="20"/>
        </w:rPr>
        <w:t>If</w:t>
      </w:r>
      <w:r>
        <w:rPr>
          <w:rFonts w:ascii="Times New Roman;Times;serif" w:hAnsi="Times New Roman;Times;serif"/>
          <w:color w:val="231F20"/>
          <w:spacing w:val="6"/>
          <w:sz w:val="20"/>
        </w:rPr>
        <w:t xml:space="preserve"> </w:t>
      </w:r>
      <w:r>
        <w:rPr>
          <w:rFonts w:ascii="Times New Roman;Times;serif" w:hAnsi="Times New Roman;Times;serif"/>
          <w:color w:val="231F20"/>
          <w:sz w:val="20"/>
        </w:rPr>
        <w:t>we</w:t>
      </w:r>
      <w:r>
        <w:rPr>
          <w:rFonts w:ascii="Times New Roman;Times;serif" w:hAnsi="Times New Roman;Times;serif"/>
          <w:color w:val="231F20"/>
          <w:spacing w:val="-12"/>
          <w:sz w:val="20"/>
        </w:rPr>
        <w:t xml:space="preserve"> </w:t>
      </w:r>
      <w:r>
        <w:rPr>
          <w:rFonts w:ascii="Times New Roman;Times;serif" w:hAnsi="Times New Roman;Times;serif"/>
          <w:color w:val="231F20"/>
          <w:sz w:val="20"/>
        </w:rPr>
        <w:t>cannot</w:t>
      </w:r>
      <w:r>
        <w:rPr>
          <w:rFonts w:ascii="Times New Roman;Times;serif" w:hAnsi="Times New Roman;Times;serif"/>
          <w:color w:val="231F20"/>
          <w:spacing w:val="-13"/>
          <w:sz w:val="20"/>
        </w:rPr>
        <w:t xml:space="preserve"> </w:t>
      </w:r>
      <w:r>
        <w:rPr>
          <w:rFonts w:ascii="Times New Roman;Times;serif" w:hAnsi="Times New Roman;Times;serif"/>
          <w:color w:val="231F20"/>
          <w:sz w:val="20"/>
        </w:rPr>
        <w:t xml:space="preserve">successfully defend ourselves against product liability claims,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incur substantial liabilities or be required to limit commercialization of our product candidates. Our inability to obtain sufficient product liability insurance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an acceptable cost to protect against potential product liability claims could prevent or inhibit the commercialization of pharmaceutical products we </w:t>
      </w:r>
      <w:r>
        <w:rPr>
          <w:rFonts w:ascii="Times New Roman;Times;serif" w:hAnsi="Times New Roman;Times;serif"/>
          <w:color w:val="231F20"/>
          <w:spacing w:val="-3"/>
          <w:sz w:val="20"/>
        </w:rPr>
        <w:t xml:space="preserve">develop, </w:t>
      </w:r>
      <w:r>
        <w:rPr>
          <w:rFonts w:ascii="Times New Roman;Times;serif" w:hAnsi="Times New Roman;Times;serif"/>
          <w:color w:val="231F20"/>
          <w:sz w:val="20"/>
        </w:rPr>
        <w:t xml:space="preserve">alone or with corporate </w:t>
      </w:r>
      <w:r>
        <w:rPr>
          <w:rFonts w:ascii="Times New Roman;Times;serif" w:hAnsi="Times New Roman;Times;serif"/>
          <w:color w:val="231F20"/>
          <w:spacing w:val="-3"/>
          <w:sz w:val="20"/>
        </w:rPr>
        <w:t xml:space="preserve">collaborators.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currently</w:t>
      </w:r>
      <w:r>
        <w:rPr>
          <w:rFonts w:ascii="Times New Roman;Times;serif" w:hAnsi="Times New Roman;Times;serif"/>
          <w:color w:val="231F20"/>
          <w:spacing w:val="-4"/>
          <w:sz w:val="20"/>
        </w:rPr>
        <w:t xml:space="preserve"> </w:t>
      </w:r>
      <w:r>
        <w:rPr>
          <w:rFonts w:ascii="Times New Roman;Times;serif" w:hAnsi="Times New Roman;Times;serif"/>
          <w:color w:val="231F20"/>
          <w:sz w:val="20"/>
        </w:rPr>
        <w:t>carry</w:t>
      </w:r>
      <w:r>
        <w:rPr>
          <w:rFonts w:ascii="Times New Roman;Times;serif" w:hAnsi="Times New Roman;Times;serif"/>
          <w:color w:val="231F20"/>
          <w:spacing w:val="-3"/>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3"/>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3"/>
          <w:sz w:val="20"/>
        </w:rPr>
        <w:t xml:space="preserve"> </w:t>
      </w:r>
      <w:r>
        <w:rPr>
          <w:rFonts w:ascii="Times New Roman;Times;serif" w:hAnsi="Times New Roman;Times;serif"/>
          <w:color w:val="231F20"/>
          <w:sz w:val="20"/>
        </w:rPr>
        <w:t>liability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insurance,</w:t>
      </w:r>
      <w:r>
        <w:rPr>
          <w:rFonts w:ascii="Times New Roman;Times;serif" w:hAnsi="Times New Roman;Times;serif"/>
          <w:color w:val="231F20"/>
          <w:spacing w:val="-3"/>
          <w:sz w:val="20"/>
        </w:rPr>
        <w:t xml:space="preserve"> </w:t>
      </w:r>
      <w:r>
        <w:rPr>
          <w:rFonts w:ascii="Times New Roman;Times;serif" w:hAnsi="Times New Roman;Times;serif"/>
          <w:color w:val="231F20"/>
          <w:sz w:val="20"/>
        </w:rPr>
        <w:t>but</w:t>
      </w:r>
      <w:r>
        <w:rPr>
          <w:rFonts w:ascii="Times New Roman;Times;serif" w:hAnsi="Times New Roman;Times;serif"/>
          <w:color w:val="231F20"/>
          <w:spacing w:val="-3"/>
          <w:sz w:val="20"/>
        </w:rPr>
        <w:t xml:space="preserve"> </w:t>
      </w:r>
      <w:r>
        <w:rPr>
          <w:rFonts w:ascii="Times New Roman;Times;serif" w:hAnsi="Times New Roman;Times;serif"/>
          <w:color w:val="231F20"/>
          <w:sz w:val="20"/>
        </w:rPr>
        <w:t>we</w:t>
      </w:r>
      <w:r>
        <w:rPr>
          <w:rFonts w:ascii="Times New Roman;Times;serif" w:hAnsi="Times New Roman;Times;serif"/>
          <w:color w:val="231F20"/>
          <w:spacing w:val="-3"/>
          <w:sz w:val="20"/>
        </w:rPr>
        <w:t xml:space="preserve"> </w:t>
      </w:r>
      <w:r>
        <w:rPr>
          <w:rFonts w:ascii="Times New Roman;Times;serif" w:hAnsi="Times New Roman;Times;serif"/>
          <w:color w:val="231F20"/>
          <w:sz w:val="20"/>
        </w:rPr>
        <w:t>do</w:t>
      </w:r>
      <w:r>
        <w:rPr>
          <w:rFonts w:ascii="Times New Roman;Times;serif" w:hAnsi="Times New Roman;Times;serif"/>
          <w:color w:val="231F20"/>
          <w:spacing w:val="-3"/>
          <w:sz w:val="20"/>
        </w:rPr>
        <w:t xml:space="preserve"> </w:t>
      </w:r>
      <w:r>
        <w:rPr>
          <w:rFonts w:ascii="Times New Roman;Times;serif" w:hAnsi="Times New Roman;Times;serif"/>
          <w:color w:val="231F20"/>
          <w:sz w:val="20"/>
        </w:rPr>
        <w:t>not</w:t>
      </w:r>
      <w:r>
        <w:rPr>
          <w:rFonts w:ascii="Times New Roman;Times;serif" w:hAnsi="Times New Roman;Times;serif"/>
          <w:color w:val="231F20"/>
          <w:spacing w:val="-4"/>
          <w:sz w:val="20"/>
        </w:rPr>
        <w:t xml:space="preserve"> </w:t>
      </w:r>
      <w:r>
        <w:rPr>
          <w:rFonts w:ascii="Times New Roman;Times;serif" w:hAnsi="Times New Roman;Times;serif"/>
          <w:color w:val="231F20"/>
          <w:sz w:val="20"/>
        </w:rPr>
        <w:t>currently</w:t>
      </w:r>
      <w:r>
        <w:rPr>
          <w:rFonts w:ascii="Times New Roman;Times;serif" w:hAnsi="Times New Roman;Times;serif"/>
          <w:color w:val="231F20"/>
          <w:spacing w:val="-3"/>
          <w:sz w:val="20"/>
        </w:rPr>
        <w:t xml:space="preserve"> </w:t>
      </w:r>
      <w:r>
        <w:rPr>
          <w:rFonts w:ascii="Times New Roman;Times;serif" w:hAnsi="Times New Roman;Times;serif"/>
          <w:color w:val="231F20"/>
          <w:sz w:val="20"/>
        </w:rPr>
        <w:t>carry</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3"/>
          <w:sz w:val="20"/>
        </w:rPr>
        <w:t xml:space="preserve"> </w:t>
      </w:r>
      <w:r>
        <w:rPr>
          <w:rFonts w:ascii="Times New Roman;Times;serif" w:hAnsi="Times New Roman;Times;serif"/>
          <w:color w:val="231F20"/>
          <w:sz w:val="20"/>
        </w:rPr>
        <w:t>liability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insurance.</w:t>
      </w:r>
    </w:p>
    <w:p>
      <w:pPr>
        <w:pStyle w:val="TextBody"/>
        <w:spacing w:before="150"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While we plan to obtain product liability insurance as we near commercialization, </w:t>
      </w:r>
      <w:r>
        <w:rPr>
          <w:rFonts w:ascii="Times New Roman;Times;serif" w:hAnsi="Times New Roman;Times;serif"/>
          <w:color w:val="231F20"/>
          <w:spacing w:val="-5"/>
          <w:sz w:val="20"/>
        </w:rPr>
        <w:t xml:space="preserve">we, </w:t>
      </w:r>
      <w:r>
        <w:rPr>
          <w:rFonts w:ascii="Times New Roman;Times;serif" w:hAnsi="Times New Roman;Times;serif"/>
          <w:color w:val="231F20"/>
          <w:sz w:val="20"/>
        </w:rPr>
        <w:t xml:space="preserve">or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corporate collaborators,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obtain insurance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a reasonable cost, if </w:t>
      </w:r>
      <w:r>
        <w:rPr>
          <w:rFonts w:ascii="Times New Roman;Times;serif" w:hAnsi="Times New Roman;Times;serif"/>
          <w:color w:val="231F20"/>
          <w:spacing w:val="-3"/>
          <w:sz w:val="20"/>
        </w:rPr>
        <w:t xml:space="preserve">at all. </w:t>
      </w:r>
      <w:r>
        <w:rPr>
          <w:rFonts w:ascii="Times New Roman;Times;serif" w:hAnsi="Times New Roman;Times;serif"/>
          <w:color w:val="231F20"/>
          <w:sz w:val="20"/>
        </w:rPr>
        <w:t xml:space="preserve">Even if our agreements with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future corporate collaborators entitle us to indemnification against losses, such indemnification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 xml:space="preserve">or adequate if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claim arises.</w:t>
      </w:r>
    </w:p>
    <w:p>
      <w:pPr>
        <w:pStyle w:val="TextBody"/>
        <w:spacing w:before="216"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may not be able to obtain Hatch-Waxman Act marketing exclusivity or equivalent regulatory data exclusivity protection in other jurisdictions for our products.</w:t>
      </w:r>
    </w:p>
    <w:p>
      <w:pPr>
        <w:pStyle w:val="TextBody"/>
        <w:spacing w:before="146"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Should we not obtain or fail to maintain patent protection on our products, we intend to </w:t>
      </w:r>
      <w:r>
        <w:rPr>
          <w:rFonts w:ascii="Times New Roman;Times;serif" w:hAnsi="Times New Roman;Times;serif"/>
          <w:color w:val="231F20"/>
          <w:spacing w:val="-6"/>
          <w:sz w:val="20"/>
        </w:rPr>
        <w:t xml:space="preserve">rely, </w:t>
      </w:r>
      <w:r>
        <w:rPr>
          <w:rFonts w:ascii="Times New Roman;Times;serif" w:hAnsi="Times New Roman;Times;serif"/>
          <w:color w:val="231F20"/>
          <w:sz w:val="20"/>
        </w:rPr>
        <w:t xml:space="preserve">in part, on Hatch-Waxman exclusivity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the commercialization of our products in the U.S</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The Hatch- </w:t>
      </w:r>
      <w:r>
        <w:rPr>
          <w:rFonts w:ascii="Times New Roman;Times;serif" w:hAnsi="Times New Roman;Times;serif"/>
          <w:color w:val="231F20"/>
          <w:spacing w:val="-3"/>
          <w:sz w:val="20"/>
        </w:rPr>
        <w:t xml:space="preserve">Waxman </w:t>
      </w:r>
      <w:r>
        <w:rPr>
          <w:rFonts w:ascii="Times New Roman;Times;serif" w:hAnsi="Times New Roman;Times;serif"/>
          <w:color w:val="231F20"/>
          <w:sz w:val="20"/>
        </w:rPr>
        <w:t xml:space="preserve">Act provides marketing exclusivity to the first applicant to gain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of an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under specific provisions of the </w:t>
      </w:r>
      <w:r>
        <w:rPr>
          <w:rFonts w:ascii="Times New Roman;Times;serif" w:hAnsi="Times New Roman;Times;serif"/>
          <w:color w:val="231F20"/>
          <w:spacing w:val="-3"/>
          <w:sz w:val="20"/>
        </w:rPr>
        <w:t xml:space="preserve">Federal </w:t>
      </w:r>
      <w:r>
        <w:rPr>
          <w:rFonts w:ascii="Times New Roman;Times;serif" w:hAnsi="Times New Roman;Times;serif"/>
          <w:color w:val="231F20"/>
          <w:spacing w:val="-4"/>
          <w:sz w:val="20"/>
        </w:rPr>
        <w:t xml:space="preserve">Food, </w:t>
      </w:r>
      <w:r>
        <w:rPr>
          <w:rFonts w:ascii="Times New Roman;Times;serif" w:hAnsi="Times New Roman;Times;serif"/>
          <w:color w:val="231F20"/>
          <w:sz w:val="20"/>
        </w:rPr>
        <w:t xml:space="preserve">Drug, and Cosmetic Act (“FFDCA”)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a product using an active ingredient that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has not previously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w:t>
      </w:r>
      <w:r>
        <w:rPr>
          <w:rFonts w:ascii="Times New Roman;Times;serif" w:hAnsi="Times New Roman;Times;serif"/>
          <w:i/>
          <w:color w:val="231F20"/>
          <w:sz w:val="20"/>
        </w:rPr>
        <w:t xml:space="preserve">i.e., </w:t>
      </w:r>
      <w:r>
        <w:rPr>
          <w:rFonts w:ascii="Times New Roman;Times;serif" w:hAnsi="Times New Roman;Times;serif"/>
          <w:color w:val="231F20"/>
          <w:sz w:val="20"/>
        </w:rPr>
        <w:t xml:space="preserve">five years) or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a new dosage form, route or indication</w:t>
      </w:r>
      <w:r>
        <w:rPr>
          <w:rFonts w:ascii="Times New Roman;Times;serif" w:hAnsi="Times New Roman;Times;serif"/>
          <w:color w:val="231F20"/>
          <w:spacing w:val="-5"/>
          <w:sz w:val="20"/>
        </w:rPr>
        <w:t xml:space="preserve"> </w:t>
      </w:r>
      <w:r>
        <w:rPr>
          <w:rFonts w:ascii="Times New Roman;Times;serif" w:hAnsi="Times New Roman;Times;serif"/>
          <w:color w:val="231F20"/>
          <w:sz w:val="20"/>
        </w:rPr>
        <w:t>(</w:t>
      </w:r>
      <w:r>
        <w:rPr>
          <w:rFonts w:ascii="Times New Roman;Times;serif" w:hAnsi="Times New Roman;Times;serif"/>
          <w:i/>
          <w:color w:val="231F20"/>
          <w:sz w:val="20"/>
        </w:rPr>
        <w:t>i.e.,</w:t>
      </w:r>
      <w:r>
        <w:rPr>
          <w:rFonts w:ascii="Times New Roman;Times;serif" w:hAnsi="Times New Roman;Times;serif"/>
          <w:color w:val="231F20"/>
          <w:spacing w:val="-4"/>
          <w:sz w:val="20"/>
        </w:rPr>
        <w:t xml:space="preserve"> </w:t>
      </w:r>
      <w:r>
        <w:rPr>
          <w:rFonts w:ascii="Times New Roman;Times;serif" w:hAnsi="Times New Roman;Times;serif"/>
          <w:color w:val="231F20"/>
          <w:sz w:val="20"/>
        </w:rPr>
        <w:t>three</w:t>
      </w:r>
      <w:r>
        <w:rPr>
          <w:rFonts w:ascii="Times New Roman;Times;serif" w:hAnsi="Times New Roman;Times;serif"/>
          <w:color w:val="231F20"/>
          <w:spacing w:val="-4"/>
          <w:sz w:val="20"/>
        </w:rPr>
        <w:t xml:space="preserve"> </w:t>
      </w:r>
      <w:r>
        <w:rPr>
          <w:rFonts w:ascii="Times New Roman;Times;serif" w:hAnsi="Times New Roman;Times;serif"/>
          <w:color w:val="231F20"/>
          <w:sz w:val="20"/>
        </w:rPr>
        <w:t>years).</w:t>
      </w:r>
      <w:r>
        <w:rPr>
          <w:rFonts w:ascii="Times New Roman;Times;serif" w:hAnsi="Times New Roman;Times;serif"/>
          <w:color w:val="231F20"/>
          <w:spacing w:val="-4"/>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4"/>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4"/>
          <w:sz w:val="20"/>
        </w:rPr>
        <w:t xml:space="preserve"> </w:t>
      </w:r>
      <w:r>
        <w:rPr>
          <w:rFonts w:ascii="Times New Roman;Times;serif" w:hAnsi="Times New Roman;Times;serif"/>
          <w:color w:val="231F20"/>
          <w:sz w:val="20"/>
        </w:rPr>
        <w:t>exclusivity</w:t>
      </w:r>
      <w:r>
        <w:rPr>
          <w:rFonts w:ascii="Times New Roman;Times;serif" w:hAnsi="Times New Roman;Times;serif"/>
          <w:color w:val="231F20"/>
          <w:spacing w:val="-4"/>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5"/>
          <w:sz w:val="20"/>
        </w:rPr>
        <w:t xml:space="preserve"> </w:t>
      </w:r>
      <w:r>
        <w:rPr>
          <w:rFonts w:ascii="Times New Roman;Times;serif" w:hAnsi="Times New Roman;Times;serif"/>
          <w:color w:val="231F20"/>
          <w:sz w:val="20"/>
        </w:rPr>
        <w:t>not</w:t>
      </w:r>
      <w:r>
        <w:rPr>
          <w:rFonts w:ascii="Times New Roman;Times;serif" w:hAnsi="Times New Roman;Times;serif"/>
          <w:color w:val="231F20"/>
          <w:spacing w:val="-4"/>
          <w:sz w:val="20"/>
        </w:rPr>
        <w:t xml:space="preserve"> </w:t>
      </w:r>
      <w:r>
        <w:rPr>
          <w:rFonts w:ascii="Times New Roman;Times;serif" w:hAnsi="Times New Roman;Times;serif"/>
          <w:color w:val="231F20"/>
          <w:sz w:val="20"/>
        </w:rPr>
        <w:t>prevent</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FDA </w:t>
      </w:r>
      <w:r>
        <w:rPr>
          <w:rFonts w:ascii="Times New Roman;Times;serif" w:hAnsi="Times New Roman;Times;serif"/>
          <w:color w:val="231F20"/>
          <w:sz w:val="20"/>
        </w:rPr>
        <w:t>from</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approving</w:t>
      </w:r>
      <w:r>
        <w:rPr>
          <w:rFonts w:ascii="Times New Roman;Times;serif" w:hAnsi="Times New Roman;Times;serif"/>
          <w:color w:val="231F20"/>
          <w:spacing w:val="-4"/>
          <w:sz w:val="20"/>
        </w:rPr>
        <w:t xml:space="preserve"> </w:t>
      </w:r>
      <w:r>
        <w:rPr>
          <w:rFonts w:ascii="Times New Roman;Times;serif" w:hAnsi="Times New Roman;Times;serif"/>
          <w:color w:val="231F20"/>
          <w:sz w:val="20"/>
        </w:rPr>
        <w:t>a</w:t>
      </w:r>
      <w:r>
        <w:rPr>
          <w:rFonts w:ascii="Times New Roman;Times;serif" w:hAnsi="Times New Roman;Times;serif"/>
          <w:color w:val="231F20"/>
          <w:spacing w:val="-5"/>
          <w:sz w:val="20"/>
        </w:rPr>
        <w:t xml:space="preserve"> </w:t>
      </w:r>
      <w:r>
        <w:rPr>
          <w:rFonts w:ascii="Times New Roman;Times;serif" w:hAnsi="Times New Roman;Times;serif"/>
          <w:color w:val="231F20"/>
          <w:sz w:val="20"/>
        </w:rPr>
        <w:t xml:space="preserve">competitor’s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if the competitor’s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is based on studies it has performed and not on our studies.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there can be no assurance that we will obtain Hatch-Waxman exclusivity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our products or that such </w:t>
      </w:r>
      <w:r>
        <w:rPr>
          <w:rFonts w:ascii="Times New Roman;Times;serif" w:hAnsi="Times New Roman;Times;serif"/>
          <w:color w:val="231F20"/>
          <w:spacing w:val="-3"/>
          <w:sz w:val="20"/>
        </w:rPr>
        <w:t xml:space="preserve">exclusivity, </w:t>
      </w:r>
      <w:r>
        <w:rPr>
          <w:rFonts w:ascii="Times New Roman;Times;serif" w:hAnsi="Times New Roman;Times;serif"/>
          <w:color w:val="231F20"/>
          <w:sz w:val="20"/>
        </w:rPr>
        <w:t>if obtained, will protect us from direct</w:t>
      </w:r>
      <w:r>
        <w:rPr>
          <w:rFonts w:ascii="Times New Roman;Times;serif" w:hAnsi="Times New Roman;Times;serif"/>
          <w:color w:val="231F20"/>
          <w:spacing w:val="-3"/>
          <w:sz w:val="20"/>
        </w:rPr>
        <w:t xml:space="preserve"> </w:t>
      </w:r>
      <w:r>
        <w:rPr>
          <w:rFonts w:ascii="Times New Roman;Times;serif" w:hAnsi="Times New Roman;Times;serif"/>
          <w:color w:val="231F20"/>
          <w:sz w:val="20"/>
        </w:rPr>
        <w:t>competition.</w:t>
      </w:r>
    </w:p>
    <w:p>
      <w:pPr>
        <w:pStyle w:val="TextBody"/>
        <w:spacing w:before="152"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Similarly, </w:t>
      </w:r>
      <w:r>
        <w:rPr>
          <w:rFonts w:ascii="Times New Roman;Times;serif" w:hAnsi="Times New Roman;Times;serif"/>
          <w:color w:val="231F20"/>
          <w:sz w:val="20"/>
        </w:rPr>
        <w:t xml:space="preserve">in the European Union, new products authorized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marketing (</w:t>
      </w:r>
      <w:r>
        <w:rPr>
          <w:rFonts w:ascii="Times New Roman;Times;serif" w:hAnsi="Times New Roman;Times;serif"/>
          <w:i/>
          <w:color w:val="231F20"/>
          <w:sz w:val="20"/>
        </w:rPr>
        <w:t>i.e.</w:t>
      </w:r>
      <w:r>
        <w:rPr>
          <w:rFonts w:ascii="Times New Roman;Times;serif" w:hAnsi="Times New Roman;Times;serif"/>
          <w:color w:val="231F20"/>
          <w:sz w:val="20"/>
        </w:rPr>
        <w:t>, reference products) qualify</w:t>
      </w:r>
      <w:r>
        <w:rPr>
          <w:rFonts w:ascii="Times New Roman;Times;serif" w:hAnsi="Times New Roman;Times;serif"/>
          <w:color w:val="231F20"/>
          <w:spacing w:val="-26"/>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6"/>
          <w:sz w:val="20"/>
        </w:rPr>
        <w:t xml:space="preserve"> </w:t>
      </w:r>
      <w:r>
        <w:rPr>
          <w:rFonts w:ascii="Times New Roman;Times;serif" w:hAnsi="Times New Roman;Times;serif"/>
          <w:color w:val="231F20"/>
          <w:sz w:val="20"/>
        </w:rPr>
        <w:t>eight</w:t>
      </w:r>
      <w:r>
        <w:rPr>
          <w:rFonts w:ascii="Times New Roman;Times;serif" w:hAnsi="Times New Roman;Times;serif"/>
          <w:color w:val="231F20"/>
          <w:spacing w:val="-26"/>
          <w:sz w:val="20"/>
        </w:rPr>
        <w:t xml:space="preserve"> </w:t>
      </w:r>
      <w:r>
        <w:rPr>
          <w:rFonts w:ascii="Times New Roman;Times;serif" w:hAnsi="Times New Roman;Times;serif"/>
          <w:color w:val="231F20"/>
          <w:sz w:val="20"/>
        </w:rPr>
        <w:t>years</w:t>
      </w:r>
      <w:r>
        <w:rPr>
          <w:rFonts w:ascii="Times New Roman;Times;serif" w:hAnsi="Times New Roman;Times;serif"/>
          <w:color w:val="231F20"/>
          <w:spacing w:val="-2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6"/>
          <w:sz w:val="20"/>
        </w:rPr>
        <w:t xml:space="preserve"> </w:t>
      </w:r>
      <w:r>
        <w:rPr>
          <w:rFonts w:ascii="Times New Roman;Times;serif" w:hAnsi="Times New Roman;Times;serif"/>
          <w:color w:val="231F20"/>
          <w:sz w:val="20"/>
        </w:rPr>
        <w:t>exclusivity</w:t>
      </w:r>
      <w:r>
        <w:rPr>
          <w:rFonts w:ascii="Times New Roman;Times;serif" w:hAnsi="Times New Roman;Times;serif"/>
          <w:color w:val="231F20"/>
          <w:spacing w:val="-26"/>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6"/>
          <w:sz w:val="20"/>
        </w:rPr>
        <w:t xml:space="preserve"> </w:t>
      </w:r>
      <w:r>
        <w:rPr>
          <w:rFonts w:ascii="Times New Roman;Times;serif" w:hAnsi="Times New Roman;Times;serif"/>
          <w:color w:val="231F20"/>
          <w:sz w:val="20"/>
        </w:rPr>
        <w:t>an</w:t>
      </w:r>
      <w:r>
        <w:rPr>
          <w:rFonts w:ascii="Times New Roman;Times;serif" w:hAnsi="Times New Roman;Times;serif"/>
          <w:color w:val="231F20"/>
          <w:spacing w:val="-26"/>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26"/>
          <w:sz w:val="20"/>
        </w:rPr>
        <w:t xml:space="preserve"> </w:t>
      </w:r>
      <w:r>
        <w:rPr>
          <w:rFonts w:ascii="Times New Roman;Times;serif" w:hAnsi="Times New Roman;Times;serif"/>
          <w:color w:val="231F20"/>
          <w:spacing w:val="-3"/>
          <w:sz w:val="20"/>
        </w:rPr>
        <w:t>two</w:t>
      </w:r>
      <w:r>
        <w:rPr>
          <w:rFonts w:ascii="Times New Roman;Times;serif" w:hAnsi="Times New Roman;Times;serif"/>
          <w:color w:val="231F20"/>
          <w:spacing w:val="-26"/>
          <w:sz w:val="20"/>
        </w:rPr>
        <w:t xml:space="preserve"> </w:t>
      </w:r>
      <w:r>
        <w:rPr>
          <w:rFonts w:ascii="Times New Roman;Times;serif" w:hAnsi="Times New Roman;Times;serif"/>
          <w:color w:val="231F20"/>
          <w:sz w:val="20"/>
        </w:rPr>
        <w:t>years</w:t>
      </w:r>
      <w:r>
        <w:rPr>
          <w:rFonts w:ascii="Times New Roman;Times;serif" w:hAnsi="Times New Roman;Times;serif"/>
          <w:color w:val="231F20"/>
          <w:spacing w:val="-2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26"/>
          <w:sz w:val="20"/>
        </w:rPr>
        <w:t xml:space="preserve"> </w:t>
      </w:r>
      <w:r>
        <w:rPr>
          <w:rFonts w:ascii="Times New Roman;Times;serif" w:hAnsi="Times New Roman;Times;serif"/>
          <w:color w:val="231F20"/>
          <w:sz w:val="20"/>
        </w:rPr>
        <w:t>exclusivity</w:t>
      </w:r>
      <w:r>
        <w:rPr>
          <w:rFonts w:ascii="Times New Roman;Times;serif" w:hAnsi="Times New Roman;Times;serif"/>
          <w:color w:val="231F20"/>
          <w:spacing w:val="-26"/>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26"/>
          <w:sz w:val="20"/>
        </w:rPr>
        <w:t xml:space="preserve"> </w:t>
      </w:r>
      <w:r>
        <w:rPr>
          <w:rFonts w:ascii="Times New Roman;Times;serif" w:hAnsi="Times New Roman;Times;serif"/>
          <w:color w:val="231F20"/>
          <w:sz w:val="20"/>
        </w:rPr>
        <w:t>marketing authorization, which, if obtained, would prevent generic applicants from relying on our preclinical and clinical</w:t>
      </w:r>
      <w:r>
        <w:rPr>
          <w:rFonts w:ascii="Times New Roman;Times;serif" w:hAnsi="Times New Roman;Times;serif"/>
          <w:color w:val="231F20"/>
          <w:spacing w:val="-23"/>
          <w:sz w:val="20"/>
        </w:rPr>
        <w:t xml:space="preserve"> </w:t>
      </w:r>
      <w:r>
        <w:rPr>
          <w:rFonts w:ascii="Times New Roman;Times;serif" w:hAnsi="Times New Roman;Times;serif"/>
          <w:color w:val="231F20"/>
          <w:sz w:val="20"/>
        </w:rPr>
        <w:t>trial</w:t>
      </w:r>
      <w:r>
        <w:rPr>
          <w:rFonts w:ascii="Times New Roman;Times;serif" w:hAnsi="Times New Roman;Times;serif"/>
          <w:color w:val="231F20"/>
          <w:spacing w:val="-22"/>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2"/>
          <w:sz w:val="20"/>
        </w:rPr>
        <w:t xml:space="preserve"> </w:t>
      </w:r>
      <w:r>
        <w:rPr>
          <w:rFonts w:ascii="Times New Roman;Times;serif" w:hAnsi="Times New Roman;Times;serif"/>
          <w:color w:val="231F20"/>
          <w:spacing w:val="-5"/>
          <w:sz w:val="20"/>
        </w:rPr>
        <w:t>However,</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there</w:t>
      </w:r>
      <w:r>
        <w:rPr>
          <w:rFonts w:ascii="Times New Roman;Times;serif" w:hAnsi="Times New Roman;Times;serif"/>
          <w:color w:val="231F20"/>
          <w:spacing w:val="-22"/>
          <w:sz w:val="20"/>
        </w:rPr>
        <w:t xml:space="preserve"> </w:t>
      </w:r>
      <w:r>
        <w:rPr>
          <w:rFonts w:ascii="Times New Roman;Times;serif" w:hAnsi="Times New Roman;Times;serif"/>
          <w:color w:val="231F20"/>
          <w:sz w:val="20"/>
        </w:rPr>
        <w:t>can</w:t>
      </w:r>
      <w:r>
        <w:rPr>
          <w:rFonts w:ascii="Times New Roman;Times;serif" w:hAnsi="Times New Roman;Times;serif"/>
          <w:color w:val="231F20"/>
          <w:spacing w:val="-22"/>
          <w:sz w:val="20"/>
        </w:rPr>
        <w:t xml:space="preserve"> </w:t>
      </w:r>
      <w:r>
        <w:rPr>
          <w:rFonts w:ascii="Times New Roman;Times;serif" w:hAnsi="Times New Roman;Times;serif"/>
          <w:color w:val="231F20"/>
          <w:sz w:val="20"/>
        </w:rPr>
        <w:t>be</w:t>
      </w:r>
      <w:r>
        <w:rPr>
          <w:rFonts w:ascii="Times New Roman;Times;serif" w:hAnsi="Times New Roman;Times;serif"/>
          <w:color w:val="231F20"/>
          <w:spacing w:val="-23"/>
          <w:sz w:val="20"/>
        </w:rPr>
        <w:t xml:space="preserve"> </w:t>
      </w:r>
      <w:r>
        <w:rPr>
          <w:rFonts w:ascii="Times New Roman;Times;serif" w:hAnsi="Times New Roman;Times;serif"/>
          <w:color w:val="231F20"/>
          <w:sz w:val="20"/>
        </w:rPr>
        <w:t>no</w:t>
      </w:r>
      <w:r>
        <w:rPr>
          <w:rFonts w:ascii="Times New Roman;Times;serif" w:hAnsi="Times New Roman;Times;serif"/>
          <w:color w:val="231F20"/>
          <w:spacing w:val="-22"/>
          <w:sz w:val="20"/>
        </w:rPr>
        <w:t xml:space="preserve"> </w:t>
      </w:r>
      <w:r>
        <w:rPr>
          <w:rFonts w:ascii="Times New Roman;Times;serif" w:hAnsi="Times New Roman;Times;serif"/>
          <w:color w:val="231F20"/>
          <w:sz w:val="20"/>
        </w:rPr>
        <w:t>assurance</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3"/>
          <w:sz w:val="20"/>
        </w:rPr>
        <w:t xml:space="preserve"> </w:t>
      </w:r>
      <w:r>
        <w:rPr>
          <w:rFonts w:ascii="Times New Roman;Times;serif" w:hAnsi="Times New Roman;Times;serif"/>
          <w:color w:val="231F20"/>
          <w:sz w:val="20"/>
        </w:rPr>
        <w:t>European</w:t>
      </w:r>
      <w:r>
        <w:rPr>
          <w:rFonts w:ascii="Times New Roman;Times;serif" w:hAnsi="Times New Roman;Times;serif"/>
          <w:color w:val="231F20"/>
          <w:spacing w:val="-22"/>
          <w:sz w:val="20"/>
        </w:rPr>
        <w:t xml:space="preserve"> </w:t>
      </w:r>
      <w:r>
        <w:rPr>
          <w:rFonts w:ascii="Times New Roman;Times;serif" w:hAnsi="Times New Roman;Times;serif"/>
          <w:color w:val="231F20"/>
          <w:sz w:val="20"/>
        </w:rPr>
        <w:t>authorities</w:t>
      </w:r>
      <w:r>
        <w:rPr>
          <w:rFonts w:ascii="Times New Roman;Times;serif" w:hAnsi="Times New Roman;Times;serif"/>
          <w:color w:val="231F20"/>
          <w:spacing w:val="-22"/>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22"/>
          <w:sz w:val="20"/>
        </w:rPr>
        <w:t xml:space="preserve"> </w:t>
      </w:r>
      <w:r>
        <w:rPr>
          <w:rFonts w:ascii="Times New Roman;Times;serif" w:hAnsi="Times New Roman;Times;serif"/>
          <w:color w:val="231F20"/>
          <w:sz w:val="20"/>
        </w:rPr>
        <w:t>grant</w:t>
      </w:r>
      <w:r>
        <w:rPr>
          <w:rFonts w:ascii="Times New Roman;Times;serif" w:hAnsi="Times New Roman;Times;serif"/>
          <w:color w:val="231F20"/>
          <w:spacing w:val="-23"/>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2"/>
          <w:sz w:val="20"/>
        </w:rPr>
        <w:t xml:space="preserve"> </w:t>
      </w:r>
      <w:r>
        <w:rPr>
          <w:rFonts w:ascii="Times New Roman;Times;serif" w:hAnsi="Times New Roman;Times;serif"/>
          <w:color w:val="231F20"/>
          <w:sz w:val="20"/>
        </w:rPr>
        <w:t xml:space="preserve">exclusivity </w:t>
      </w:r>
      <w:r>
        <w:rPr>
          <w:rFonts w:ascii="Times New Roman;Times;serif" w:hAnsi="Times New Roman;Times;serif"/>
          <w:color w:val="231F20"/>
          <w:spacing w:val="-3"/>
          <w:sz w:val="20"/>
        </w:rPr>
        <w:t>for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products.</w:t>
      </w:r>
      <w:r>
        <w:rPr>
          <w:rFonts w:ascii="Times New Roman;Times;serif" w:hAnsi="Times New Roman;Times;serif"/>
          <w:color w:val="231F20"/>
          <w:spacing w:val="-21"/>
          <w:sz w:val="20"/>
        </w:rPr>
        <w:t xml:space="preserve"> </w:t>
      </w:r>
      <w:r>
        <w:rPr>
          <w:rFonts w:ascii="Times New Roman;Times;serif" w:hAnsi="Times New Roman;Times;serif"/>
          <w:color w:val="231F20"/>
          <w:sz w:val="20"/>
        </w:rPr>
        <w:t>Even</w:t>
      </w:r>
      <w:r>
        <w:rPr>
          <w:rFonts w:ascii="Times New Roman;Times;serif" w:hAnsi="Times New Roman;Times;serif"/>
          <w:color w:val="231F20"/>
          <w:spacing w:val="-21"/>
          <w:sz w:val="20"/>
        </w:rPr>
        <w:t xml:space="preserve"> </w:t>
      </w:r>
      <w:r>
        <w:rPr>
          <w:rFonts w:ascii="Times New Roman;Times;serif" w:hAnsi="Times New Roman;Times;serif"/>
          <w:color w:val="231F20"/>
          <w:sz w:val="20"/>
        </w:rPr>
        <w:t>if</w:t>
      </w:r>
      <w:r>
        <w:rPr>
          <w:rFonts w:ascii="Times New Roman;Times;serif" w:hAnsi="Times New Roman;Times;serif"/>
          <w:color w:val="231F20"/>
          <w:spacing w:val="-7"/>
          <w:sz w:val="20"/>
        </w:rPr>
        <w:t xml:space="preserve"> </w:t>
      </w:r>
      <w:r>
        <w:rPr>
          <w:rFonts w:ascii="Times New Roman;Times;serif" w:hAnsi="Times New Roman;Times;serif"/>
          <w:color w:val="231F20"/>
          <w:sz w:val="20"/>
        </w:rPr>
        <w:t>European</w:t>
      </w:r>
      <w:r>
        <w:rPr>
          <w:rFonts w:ascii="Times New Roman;Times;serif" w:hAnsi="Times New Roman;Times;serif"/>
          <w:color w:val="231F20"/>
          <w:spacing w:val="-21"/>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1"/>
          <w:sz w:val="20"/>
        </w:rPr>
        <w:t xml:space="preserve"> </w:t>
      </w:r>
      <w:r>
        <w:rPr>
          <w:rFonts w:ascii="Times New Roman;Times;serif" w:hAnsi="Times New Roman;Times;serif"/>
          <w:color w:val="231F20"/>
          <w:sz w:val="20"/>
        </w:rPr>
        <w:t>exclusivity</w:t>
      </w:r>
      <w:r>
        <w:rPr>
          <w:rFonts w:ascii="Times New Roman;Times;serif" w:hAnsi="Times New Roman;Times;serif"/>
          <w:color w:val="231F20"/>
          <w:spacing w:val="-21"/>
          <w:sz w:val="20"/>
        </w:rPr>
        <w:t xml:space="preserve"> </w:t>
      </w:r>
      <w:r>
        <w:rPr>
          <w:rFonts w:ascii="Times New Roman;Times;serif" w:hAnsi="Times New Roman;Times;serif"/>
          <w:color w:val="231F20"/>
          <w:sz w:val="20"/>
        </w:rPr>
        <w:t>is</w:t>
      </w:r>
      <w:r>
        <w:rPr>
          <w:rFonts w:ascii="Times New Roman;Times;serif" w:hAnsi="Times New Roman;Times;serif"/>
          <w:color w:val="231F20"/>
          <w:spacing w:val="-21"/>
          <w:sz w:val="20"/>
        </w:rPr>
        <w:t xml:space="preserve"> </w:t>
      </w:r>
      <w:r>
        <w:rPr>
          <w:rFonts w:ascii="Times New Roman;Times;serif" w:hAnsi="Times New Roman;Times;serif"/>
          <w:color w:val="231F20"/>
          <w:sz w:val="20"/>
        </w:rPr>
        <w:t>granted</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1"/>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protect</w:t>
      </w:r>
      <w:r>
        <w:rPr>
          <w:rFonts w:ascii="Times New Roman;Times;serif" w:hAnsi="Times New Roman;Times;serif"/>
          <w:color w:val="231F20"/>
          <w:spacing w:val="-21"/>
          <w:sz w:val="20"/>
        </w:rPr>
        <w:t xml:space="preserve"> </w:t>
      </w:r>
      <w:r>
        <w:rPr>
          <w:rFonts w:ascii="Times New Roman;Times;serif" w:hAnsi="Times New Roman;Times;serif"/>
          <w:color w:val="231F20"/>
          <w:sz w:val="20"/>
        </w:rPr>
        <w:t>us</w:t>
      </w:r>
      <w:r>
        <w:rPr>
          <w:rFonts w:ascii="Times New Roman;Times;serif" w:hAnsi="Times New Roman;Times;serif"/>
          <w:color w:val="231F20"/>
          <w:spacing w:val="-21"/>
          <w:sz w:val="20"/>
        </w:rPr>
        <w:t xml:space="preserve"> </w:t>
      </w:r>
      <w:r>
        <w:rPr>
          <w:rFonts w:ascii="Times New Roman;Times;serif" w:hAnsi="Times New Roman;Times;serif"/>
          <w:color w:val="231F20"/>
          <w:sz w:val="20"/>
        </w:rPr>
        <w:t>from direct</w:t>
      </w:r>
      <w:r>
        <w:rPr>
          <w:rFonts w:ascii="Times New Roman;Times;serif" w:hAnsi="Times New Roman;Times;serif"/>
          <w:color w:val="231F20"/>
          <w:spacing w:val="-18"/>
          <w:sz w:val="20"/>
        </w:rPr>
        <w:t xml:space="preserve"> </w:t>
      </w:r>
      <w:r>
        <w:rPr>
          <w:rFonts w:ascii="Times New Roman;Times;serif" w:hAnsi="Times New Roman;Times;serif"/>
          <w:color w:val="231F20"/>
          <w:sz w:val="20"/>
        </w:rPr>
        <w:t>competition.</w:t>
      </w:r>
      <w:r>
        <w:rPr>
          <w:rFonts w:ascii="Times New Roman;Times;serif" w:hAnsi="Times New Roman;Times;serif"/>
          <w:color w:val="231F20"/>
          <w:spacing w:val="-17"/>
          <w:sz w:val="20"/>
        </w:rPr>
        <w:t xml:space="preserve"> </w:t>
      </w:r>
      <w:r>
        <w:rPr>
          <w:rFonts w:ascii="Times New Roman;Times;serif" w:hAnsi="Times New Roman;Times;serif"/>
          <w:color w:val="231F20"/>
          <w:sz w:val="20"/>
        </w:rPr>
        <w:t>A</w:t>
      </w:r>
      <w:r>
        <w:rPr>
          <w:rFonts w:ascii="Times New Roman;Times;serif" w:hAnsi="Times New Roman;Times;serif"/>
          <w:color w:val="231F20"/>
          <w:spacing w:val="-18"/>
          <w:sz w:val="20"/>
        </w:rPr>
        <w:t xml:space="preserve"> </w:t>
      </w:r>
      <w:r>
        <w:rPr>
          <w:rFonts w:ascii="Times New Roman;Times;serif" w:hAnsi="Times New Roman;Times;serif"/>
          <w:color w:val="231F20"/>
          <w:sz w:val="20"/>
        </w:rPr>
        <w:t>competitor</w:t>
      </w:r>
      <w:r>
        <w:rPr>
          <w:rFonts w:ascii="Times New Roman;Times;serif" w:hAnsi="Times New Roman;Times;serif"/>
          <w:color w:val="231F20"/>
          <w:spacing w:val="-17"/>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7"/>
          <w:sz w:val="20"/>
        </w:rPr>
        <w:t xml:space="preserve"> </w:t>
      </w:r>
      <w:r>
        <w:rPr>
          <w:rFonts w:ascii="Times New Roman;Times;serif" w:hAnsi="Times New Roman;Times;serif"/>
          <w:color w:val="231F20"/>
          <w:sz w:val="20"/>
        </w:rPr>
        <w:t>a</w:t>
      </w:r>
      <w:r>
        <w:rPr>
          <w:rFonts w:ascii="Times New Roman;Times;serif" w:hAnsi="Times New Roman;Times;serif"/>
          <w:color w:val="231F20"/>
          <w:spacing w:val="-18"/>
          <w:sz w:val="20"/>
        </w:rPr>
        <w:t xml:space="preserve"> </w:t>
      </w:r>
      <w:r>
        <w:rPr>
          <w:rFonts w:ascii="Times New Roman;Times;serif" w:hAnsi="Times New Roman;Times;serif"/>
          <w:color w:val="231F20"/>
          <w:sz w:val="20"/>
        </w:rPr>
        <w:t>generic</w:t>
      </w:r>
      <w:r>
        <w:rPr>
          <w:rFonts w:ascii="Times New Roman;Times;serif" w:hAnsi="Times New Roman;Times;serif"/>
          <w:color w:val="231F20"/>
          <w:spacing w:val="-17"/>
          <w:sz w:val="20"/>
        </w:rPr>
        <w:t xml:space="preserve"> </w:t>
      </w:r>
      <w:r>
        <w:rPr>
          <w:rFonts w:ascii="Times New Roman;Times;serif" w:hAnsi="Times New Roman;Times;serif"/>
          <w:color w:val="231F20"/>
          <w:sz w:val="20"/>
        </w:rPr>
        <w:t>version</w:t>
      </w:r>
      <w:r>
        <w:rPr>
          <w:rFonts w:ascii="Times New Roman;Times;serif" w:hAnsi="Times New Roman;Times;serif"/>
          <w:color w:val="231F20"/>
          <w:spacing w:val="-17"/>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7"/>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7"/>
          <w:sz w:val="20"/>
        </w:rPr>
        <w:t xml:space="preserve"> </w:t>
      </w:r>
      <w:r>
        <w:rPr>
          <w:rFonts w:ascii="Times New Roman;Times;serif" w:hAnsi="Times New Roman;Times;serif"/>
          <w:color w:val="231F20"/>
          <w:sz w:val="20"/>
        </w:rPr>
        <w:t>be</w:t>
      </w:r>
      <w:r>
        <w:rPr>
          <w:rFonts w:ascii="Times New Roman;Times;serif" w:hAnsi="Times New Roman;Times;serif"/>
          <w:color w:val="231F20"/>
          <w:spacing w:val="-17"/>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18"/>
          <w:sz w:val="20"/>
        </w:rPr>
        <w:t xml:space="preserve"> </w:t>
      </w:r>
      <w:r>
        <w:rPr>
          <w:rFonts w:ascii="Times New Roman;Times;serif" w:hAnsi="Times New Roman;Times;serif"/>
          <w:color w:val="231F20"/>
          <w:sz w:val="20"/>
        </w:rPr>
        <w:t>to</w:t>
      </w:r>
      <w:r>
        <w:rPr>
          <w:rFonts w:ascii="Times New Roman;Times;serif" w:hAnsi="Times New Roman;Times;serif"/>
          <w:color w:val="231F20"/>
          <w:spacing w:val="-17"/>
          <w:sz w:val="20"/>
        </w:rPr>
        <w:t xml:space="preserve"> </w:t>
      </w:r>
      <w:r>
        <w:rPr>
          <w:rFonts w:ascii="Times New Roman;Times;serif" w:hAnsi="Times New Roman;Times;serif"/>
          <w:color w:val="231F20"/>
          <w:sz w:val="20"/>
        </w:rPr>
        <w:t>obtain</w:t>
      </w:r>
      <w:r>
        <w:rPr>
          <w:rFonts w:ascii="Times New Roman;Times;serif" w:hAnsi="Times New Roman;Times;serif"/>
          <w:color w:val="231F20"/>
          <w:spacing w:val="-17"/>
          <w:sz w:val="20"/>
        </w:rPr>
        <w:t xml:space="preserve"> </w:t>
      </w:r>
      <w:r>
        <w:rPr>
          <w:rFonts w:ascii="Times New Roman;Times;serif" w:hAnsi="Times New Roman;Times;serif"/>
          <w:color w:val="231F20"/>
          <w:spacing w:val="-4"/>
          <w:sz w:val="20"/>
        </w:rPr>
        <w:t>approval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 xml:space="preserve">of their product during our </w:t>
      </w:r>
      <w:r>
        <w:rPr>
          <w:rFonts w:ascii="Times New Roman;Times;serif" w:hAnsi="Times New Roman;Times;serif"/>
          <w:color w:val="231F20"/>
          <w:spacing w:val="-3"/>
          <w:sz w:val="20"/>
        </w:rPr>
        <w:t xml:space="preserve">product’s </w:t>
      </w:r>
      <w:r>
        <w:rPr>
          <w:rFonts w:ascii="Times New Roman;Times;serif" w:hAnsi="Times New Roman;Times;serif"/>
          <w:color w:val="231F20"/>
          <w:sz w:val="20"/>
        </w:rPr>
        <w:t>period of data exclusivity by submitting a marketing authorization application</w:t>
      </w:r>
      <w:r>
        <w:rPr>
          <w:rFonts w:ascii="Times New Roman;Times;serif" w:hAnsi="Times New Roman;Times;serif"/>
          <w:color w:val="231F20"/>
          <w:spacing w:val="-11"/>
          <w:sz w:val="20"/>
        </w:rPr>
        <w:t xml:space="preserve"> </w:t>
      </w:r>
      <w:r>
        <w:rPr>
          <w:rFonts w:ascii="Times New Roman;Times;serif" w:hAnsi="Times New Roman;Times;serif"/>
          <w:color w:val="231F20"/>
          <w:sz w:val="20"/>
        </w:rPr>
        <w:t>(“</w:t>
      </w:r>
      <w:r>
        <w:rPr>
          <w:rFonts w:ascii="Times New Roman;Times;serif" w:hAnsi="Times New Roman;Times;serif"/>
          <w:b/>
          <w:i/>
          <w:color w:val="231F20"/>
          <w:sz w:val="20"/>
        </w:rPr>
        <w:t>MAA</w:t>
      </w:r>
      <w:r>
        <w:rPr>
          <w:rFonts w:ascii="Times New Roman;Times;serif" w:hAnsi="Times New Roman;Times;serif"/>
          <w:color w:val="231F20"/>
          <w:sz w:val="20"/>
        </w:rPr>
        <w:t>”)</w:t>
      </w:r>
      <w:r>
        <w:rPr>
          <w:rFonts w:ascii="Times New Roman;Times;serif" w:hAnsi="Times New Roman;Times;serif"/>
          <w:color w:val="231F20"/>
          <w:spacing w:val="-10"/>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1"/>
          <w:sz w:val="20"/>
        </w:rPr>
        <w:t xml:space="preserve"> </w:t>
      </w:r>
      <w:r>
        <w:rPr>
          <w:rFonts w:ascii="Times New Roman;Times;serif" w:hAnsi="Times New Roman;Times;serif"/>
          <w:color w:val="231F20"/>
          <w:sz w:val="20"/>
        </w:rPr>
        <w:t>a</w:t>
      </w:r>
      <w:r>
        <w:rPr>
          <w:rFonts w:ascii="Times New Roman;Times;serif" w:hAnsi="Times New Roman;Times;serif"/>
          <w:color w:val="231F20"/>
          <w:spacing w:val="-10"/>
          <w:sz w:val="20"/>
        </w:rPr>
        <w:t xml:space="preserve"> </w:t>
      </w:r>
      <w:r>
        <w:rPr>
          <w:rFonts w:ascii="Times New Roman;Times;serif" w:hAnsi="Times New Roman;Times;serif"/>
          <w:color w:val="231F20"/>
          <w:sz w:val="20"/>
        </w:rPr>
        <w:t>less</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than</w:t>
      </w:r>
      <w:r>
        <w:rPr>
          <w:rFonts w:ascii="Times New Roman;Times;serif" w:hAnsi="Times New Roman;Times;serif"/>
          <w:color w:val="231F20"/>
          <w:spacing w:val="-10"/>
          <w:sz w:val="20"/>
        </w:rPr>
        <w:t xml:space="preserve"> </w:t>
      </w:r>
      <w:r>
        <w:rPr>
          <w:rFonts w:ascii="Times New Roman;Times;serif" w:hAnsi="Times New Roman;Times;serif"/>
          <w:color w:val="231F20"/>
          <w:sz w:val="20"/>
        </w:rPr>
        <w:t>full</w:t>
      </w:r>
      <w:r>
        <w:rPr>
          <w:rFonts w:ascii="Times New Roman;Times;serif" w:hAnsi="Times New Roman;Times;serif"/>
          <w:color w:val="231F20"/>
          <w:spacing w:val="-11"/>
          <w:sz w:val="20"/>
        </w:rPr>
        <w:t xml:space="preserve"> </w:t>
      </w:r>
      <w:r>
        <w:rPr>
          <w:rFonts w:ascii="Times New Roman;Times;serif" w:hAnsi="Times New Roman;Times;serif"/>
          <w:color w:val="231F20"/>
          <w:sz w:val="20"/>
        </w:rPr>
        <w:t>package</w:t>
      </w:r>
      <w:r>
        <w:rPr>
          <w:rFonts w:ascii="Times New Roman;Times;serif" w:hAnsi="Times New Roman;Times;serif"/>
          <w:color w:val="231F20"/>
          <w:spacing w:val="-10"/>
          <w:sz w:val="20"/>
        </w:rPr>
        <w:t xml:space="preserve"> </w:t>
      </w:r>
      <w:r>
        <w:rPr>
          <w:rFonts w:ascii="Times New Roman;Times;serif" w:hAnsi="Times New Roman;Times;serif"/>
          <w:color w:val="231F20"/>
          <w:sz w:val="20"/>
        </w:rPr>
        <w:t>of</w:t>
      </w:r>
      <w:r>
        <w:rPr>
          <w:rFonts w:ascii="Times New Roman;Times;serif" w:hAnsi="Times New Roman;Times;serif"/>
          <w:color w:val="231F20"/>
          <w:spacing w:val="7"/>
          <w:sz w:val="20"/>
        </w:rPr>
        <w:t xml:space="preserve"> </w:t>
      </w:r>
      <w:r>
        <w:rPr>
          <w:rFonts w:ascii="Times New Roman;Times;serif" w:hAnsi="Times New Roman;Times;serif"/>
          <w:color w:val="231F20"/>
          <w:sz w:val="20"/>
        </w:rPr>
        <w:t>nonclinical</w:t>
      </w:r>
      <w:r>
        <w:rPr>
          <w:rFonts w:ascii="Times New Roman;Times;serif" w:hAnsi="Times New Roman;Times;serif"/>
          <w:color w:val="231F20"/>
          <w:spacing w:val="-1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0"/>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1"/>
          <w:sz w:val="20"/>
        </w:rPr>
        <w:t xml:space="preserve"> </w:t>
      </w:r>
      <w:r>
        <w:rPr>
          <w:rFonts w:ascii="Times New Roman;Times;serif" w:hAnsi="Times New Roman;Times;serif"/>
          <w:color w:val="231F20"/>
          <w:sz w:val="20"/>
        </w:rPr>
        <w:t>data.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In the future, we may undertake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international</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operations,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which</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would</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subject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us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risks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inherent</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operations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outside of the U.S.</w:t>
      </w:r>
    </w:p>
    <w:p>
      <w:pPr>
        <w:pStyle w:val="TextBody"/>
        <w:spacing w:before="152" w:after="240"/>
        <w:ind w:left="0" w:right="0" w:firstLine="403"/>
        <w:jc w:val="both"/>
        <w:rPr>
          <w:rFonts w:ascii="Times New Roman;Times;serif" w:hAnsi="Times New Roman;Times;serif"/>
          <w:sz w:val="20"/>
        </w:rPr>
      </w:pPr>
      <w:r>
        <w:rPr>
          <w:rFonts w:ascii="Times New Roman;Times;serif" w:hAnsi="Times New Roman;Times;serif"/>
          <w:color w:val="231F20"/>
          <w:sz w:val="20"/>
        </w:rPr>
        <w:t>Although</w:t>
      </w:r>
      <w:r>
        <w:rPr>
          <w:rFonts w:ascii="Times New Roman;Times;serif" w:hAnsi="Times New Roman;Times;serif"/>
          <w:color w:val="231F20"/>
          <w:spacing w:val="-23"/>
          <w:sz w:val="20"/>
        </w:rPr>
        <w:t xml:space="preserve"> </w:t>
      </w:r>
      <w:r>
        <w:rPr>
          <w:rFonts w:ascii="Times New Roman;Times;serif" w:hAnsi="Times New Roman;Times;serif"/>
          <w:color w:val="231F20"/>
          <w:sz w:val="20"/>
        </w:rPr>
        <w:t>we</w:t>
      </w:r>
      <w:r>
        <w:rPr>
          <w:rFonts w:ascii="Times New Roman;Times;serif" w:hAnsi="Times New Roman;Times;serif"/>
          <w:color w:val="231F20"/>
          <w:spacing w:val="-22"/>
          <w:sz w:val="20"/>
        </w:rPr>
        <w:t xml:space="preserve"> </w:t>
      </w:r>
      <w:r>
        <w:rPr>
          <w:rFonts w:ascii="Times New Roman;Times;serif" w:hAnsi="Times New Roman;Times;serif"/>
          <w:color w:val="231F20"/>
          <w:sz w:val="20"/>
        </w:rPr>
        <w:t>do</w:t>
      </w:r>
      <w:r>
        <w:rPr>
          <w:rFonts w:ascii="Times New Roman;Times;serif" w:hAnsi="Times New Roman;Times;serif"/>
          <w:color w:val="231F20"/>
          <w:spacing w:val="-22"/>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3"/>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22"/>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2"/>
          <w:sz w:val="20"/>
        </w:rPr>
        <w:t xml:space="preserve"> </w:t>
      </w:r>
      <w:r>
        <w:rPr>
          <w:rFonts w:ascii="Times New Roman;Times;serif" w:hAnsi="Times New Roman;Times;serif"/>
          <w:color w:val="231F20"/>
          <w:sz w:val="20"/>
        </w:rPr>
        <w:t>foreign</w:t>
      </w:r>
      <w:r>
        <w:rPr>
          <w:rFonts w:ascii="Times New Roman;Times;serif" w:hAnsi="Times New Roman;Times;serif"/>
          <w:color w:val="231F20"/>
          <w:spacing w:val="-22"/>
          <w:sz w:val="20"/>
        </w:rPr>
        <w:t xml:space="preserve"> </w:t>
      </w:r>
      <w:r>
        <w:rPr>
          <w:rFonts w:ascii="Times New Roman;Times;serif" w:hAnsi="Times New Roman;Times;serif"/>
          <w:color w:val="231F20"/>
          <w:sz w:val="20"/>
        </w:rPr>
        <w:t>manufacturing</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22"/>
          <w:sz w:val="20"/>
        </w:rPr>
        <w:t xml:space="preserve"> </w:t>
      </w:r>
      <w:r>
        <w:rPr>
          <w:rFonts w:ascii="Times New Roman;Times;serif" w:hAnsi="Times New Roman;Times;serif"/>
          <w:color w:val="231F20"/>
          <w:sz w:val="20"/>
        </w:rPr>
        <w:t>distribution</w:t>
      </w:r>
      <w:r>
        <w:rPr>
          <w:rFonts w:ascii="Times New Roman;Times;serif" w:hAnsi="Times New Roman;Times;serif"/>
          <w:color w:val="231F20"/>
          <w:spacing w:val="-22"/>
          <w:sz w:val="20"/>
        </w:rPr>
        <w:t xml:space="preserve"> </w:t>
      </w:r>
      <w:r>
        <w:rPr>
          <w:rFonts w:ascii="Times New Roman;Times;serif" w:hAnsi="Times New Roman;Times;serif"/>
          <w:color w:val="231F20"/>
          <w:sz w:val="20"/>
        </w:rPr>
        <w:t>operations</w:t>
      </w:r>
      <w:r>
        <w:rPr>
          <w:rFonts w:ascii="Times New Roman;Times;serif" w:hAnsi="Times New Roman;Times;serif"/>
          <w:color w:val="231F20"/>
          <w:spacing w:val="-22"/>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22"/>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22"/>
          <w:sz w:val="20"/>
        </w:rPr>
        <w:t xml:space="preserve"> </w:t>
      </w:r>
      <w:r>
        <w:rPr>
          <w:rFonts w:ascii="Times New Roman;Times;serif" w:hAnsi="Times New Roman;Times;serif"/>
          <w:color w:val="231F20"/>
          <w:sz w:val="20"/>
        </w:rPr>
        <w:t>we</w:t>
      </w:r>
      <w:r>
        <w:rPr>
          <w:rFonts w:ascii="Times New Roman;Times;serif" w:hAnsi="Times New Roman;Times;serif"/>
          <w:color w:val="231F20"/>
          <w:spacing w:val="-22"/>
          <w:sz w:val="20"/>
        </w:rPr>
        <w:t xml:space="preserve"> </w:t>
      </w:r>
      <w:r>
        <w:rPr>
          <w:rFonts w:ascii="Times New Roman;Times;serif" w:hAnsi="Times New Roman;Times;serif"/>
          <w:color w:val="231F20"/>
          <w:sz w:val="20"/>
        </w:rPr>
        <w:t>may</w:t>
      </w:r>
      <w:r>
        <w:rPr>
          <w:rFonts w:ascii="Times New Roman;Times;serif" w:hAnsi="Times New Roman;Times;serif"/>
          <w:color w:val="231F20"/>
          <w:spacing w:val="-25"/>
          <w:sz w:val="20"/>
        </w:rPr>
        <w:t xml:space="preserve"> </w:t>
      </w:r>
      <w:r>
        <w:rPr>
          <w:rFonts w:ascii="Times New Roman;Times;serif" w:hAnsi="Times New Roman;Times;serif"/>
          <w:color w:val="231F20"/>
          <w:sz w:val="20"/>
        </w:rPr>
        <w:t>seek</w:t>
      </w:r>
      <w:r>
        <w:rPr>
          <w:rFonts w:ascii="Times New Roman;Times;serif" w:hAnsi="Times New Roman;Times;serif"/>
          <w:color w:val="231F20"/>
          <w:spacing w:val="-25"/>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obtain</w:t>
      </w:r>
      <w:r>
        <w:rPr>
          <w:rFonts w:ascii="Times New Roman;Times;serif" w:hAnsi="Times New Roman;Times;serif"/>
          <w:color w:val="231F20"/>
          <w:spacing w:val="-25"/>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24"/>
          <w:sz w:val="20"/>
        </w:rPr>
        <w:t xml:space="preserve"> </w:t>
      </w:r>
      <w:r>
        <w:rPr>
          <w:rFonts w:ascii="Times New Roman;Times;serif" w:hAnsi="Times New Roman;Times;serif"/>
          <w:color w:val="231F20"/>
          <w:sz w:val="20"/>
        </w:rPr>
        <w:t>clearances</w:t>
      </w:r>
      <w:r>
        <w:rPr>
          <w:rFonts w:ascii="Times New Roman;Times;serif" w:hAnsi="Times New Roman;Times;serif"/>
          <w:color w:val="231F20"/>
          <w:spacing w:val="-25"/>
          <w:sz w:val="20"/>
        </w:rPr>
        <w:t xml:space="preserve"> </w:t>
      </w:r>
      <w:r>
        <w:rPr>
          <w:rFonts w:ascii="Times New Roman;Times;serif" w:hAnsi="Times New Roman;Times;serif"/>
          <w:color w:val="231F20"/>
          <w:sz w:val="20"/>
        </w:rPr>
        <w:t>in</w:t>
      </w:r>
      <w:r>
        <w:rPr>
          <w:rFonts w:ascii="Times New Roman;Times;serif" w:hAnsi="Times New Roman;Times;serif"/>
          <w:color w:val="231F20"/>
          <w:spacing w:val="-25"/>
          <w:sz w:val="20"/>
        </w:rPr>
        <w:t xml:space="preserve"> </w:t>
      </w:r>
      <w:r>
        <w:rPr>
          <w:rFonts w:ascii="Times New Roman;Times;serif" w:hAnsi="Times New Roman;Times;serif"/>
          <w:color w:val="231F20"/>
          <w:sz w:val="20"/>
        </w:rPr>
        <w:t>foreign</w:t>
      </w:r>
      <w:r>
        <w:rPr>
          <w:rFonts w:ascii="Times New Roman;Times;serif" w:hAnsi="Times New Roman;Times;serif"/>
          <w:color w:val="231F20"/>
          <w:spacing w:val="-25"/>
          <w:sz w:val="20"/>
        </w:rPr>
        <w:t xml:space="preserve"> </w:t>
      </w:r>
      <w:r>
        <w:rPr>
          <w:rFonts w:ascii="Times New Roman;Times;serif" w:hAnsi="Times New Roman;Times;serif"/>
          <w:color w:val="231F20"/>
          <w:sz w:val="20"/>
        </w:rPr>
        <w:t>markets</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5"/>
          <w:sz w:val="20"/>
        </w:rPr>
        <w:t xml:space="preserve"> </w:t>
      </w:r>
      <w:r>
        <w:rPr>
          <w:rFonts w:ascii="Times New Roman;Times;serif" w:hAnsi="Times New Roman;Times;serif"/>
          <w:color w:val="231F20"/>
          <w:sz w:val="20"/>
        </w:rPr>
        <w:t>we</w:t>
      </w:r>
      <w:r>
        <w:rPr>
          <w:rFonts w:ascii="Times New Roman;Times;serif" w:hAnsi="Times New Roman;Times;serif"/>
          <w:color w:val="231F20"/>
          <w:spacing w:val="-25"/>
          <w:sz w:val="20"/>
        </w:rPr>
        <w:t xml:space="preserve"> </w:t>
      </w:r>
      <w:r>
        <w:rPr>
          <w:rFonts w:ascii="Times New Roman;Times;serif" w:hAnsi="Times New Roman;Times;serif"/>
          <w:color w:val="231F20"/>
          <w:sz w:val="20"/>
        </w:rPr>
        <w:t>deem</w:t>
      </w:r>
      <w:r>
        <w:rPr>
          <w:rFonts w:ascii="Times New Roman;Times;serif" w:hAnsi="Times New Roman;Times;serif"/>
          <w:color w:val="231F20"/>
          <w:spacing w:val="-25"/>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24"/>
          <w:sz w:val="20"/>
        </w:rPr>
        <w:t xml:space="preserve"> </w:t>
      </w:r>
      <w:r>
        <w:rPr>
          <w:rFonts w:ascii="Times New Roman;Times;serif" w:hAnsi="Times New Roman;Times;serif"/>
          <w:color w:val="231F20"/>
          <w:sz w:val="20"/>
        </w:rPr>
        <w:t>generate</w:t>
      </w:r>
      <w:r>
        <w:rPr>
          <w:rFonts w:ascii="Times New Roman;Times;serif" w:hAnsi="Times New Roman;Times;serif"/>
          <w:color w:val="231F20"/>
          <w:spacing w:val="-25"/>
          <w:sz w:val="20"/>
        </w:rPr>
        <w:t xml:space="preserve"> </w:t>
      </w:r>
      <w:r>
        <w:rPr>
          <w:rFonts w:ascii="Times New Roman;Times;serif" w:hAnsi="Times New Roman;Times;serif"/>
          <w:color w:val="231F20"/>
          <w:sz w:val="20"/>
        </w:rPr>
        <w:t>significant</w:t>
      </w:r>
      <w:r>
        <w:rPr>
          <w:rFonts w:ascii="Times New Roman;Times;serif" w:hAnsi="Times New Roman;Times;serif"/>
          <w:color w:val="231F20"/>
          <w:spacing w:val="-25"/>
          <w:sz w:val="20"/>
        </w:rPr>
        <w:t xml:space="preserve"> </w:t>
      </w:r>
      <w:r>
        <w:rPr>
          <w:rFonts w:ascii="Times New Roman;Times;serif" w:hAnsi="Times New Roman;Times;serif"/>
          <w:color w:val="231F20"/>
          <w:sz w:val="20"/>
        </w:rPr>
        <w:t xml:space="preserve">opportunities.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even with the cooperation of a commercialization </w:t>
      </w:r>
      <w:r>
        <w:rPr>
          <w:rFonts w:ascii="Times New Roman;Times;serif" w:hAnsi="Times New Roman;Times;serif"/>
          <w:color w:val="231F20"/>
          <w:spacing w:val="-3"/>
          <w:sz w:val="20"/>
        </w:rPr>
        <w:t xml:space="preserve">partner, </w:t>
      </w:r>
      <w:r>
        <w:rPr>
          <w:rFonts w:ascii="Times New Roman;Times;serif" w:hAnsi="Times New Roman;Times;serif"/>
          <w:color w:val="231F20"/>
          <w:sz w:val="20"/>
        </w:rPr>
        <w:t xml:space="preserve">conducting drug development in foreign countries </w:t>
      </w:r>
      <w:r>
        <w:rPr>
          <w:rFonts w:ascii="Times New Roman;Times;serif" w:hAnsi="Times New Roman;Times;serif"/>
          <w:color w:val="231F20"/>
          <w:spacing w:val="-3"/>
          <w:sz w:val="20"/>
        </w:rPr>
        <w:t xml:space="preserve">involves </w:t>
      </w:r>
      <w:r>
        <w:rPr>
          <w:rFonts w:ascii="Times New Roman;Times;serif" w:hAnsi="Times New Roman;Times;serif"/>
          <w:color w:val="231F20"/>
          <w:sz w:val="20"/>
        </w:rPr>
        <w:t xml:space="preserve">inherent risks, including, but not limited to: difficulties in staffing, funding and managing foreign operations; unexpected changes in regulatory requirements; export restrictions; tariffs </w:t>
      </w:r>
      <w:r>
        <w:rPr>
          <w:rFonts w:ascii="Times New Roman;Times;serif" w:hAnsi="Times New Roman;Times;serif"/>
          <w:color w:val="231F20"/>
          <w:spacing w:val="-4"/>
          <w:sz w:val="20"/>
        </w:rPr>
        <w:t xml:space="preserve">and </w:t>
      </w:r>
      <w:r>
        <w:rPr>
          <w:rFonts w:ascii="Times New Roman;Times;serif" w:hAnsi="Times New Roman;Times;serif"/>
          <w:color w:val="231F20"/>
          <w:sz w:val="20"/>
        </w:rPr>
        <w:t>other trade barriers; difficulties in protecting, acquiring, enforcing and litigating intellectual</w:t>
      </w:r>
      <w:r>
        <w:rPr>
          <w:rFonts w:ascii="Times New Roman;Times;serif" w:hAnsi="Times New Roman;Times;serif"/>
          <w:color w:val="231F20"/>
          <w:spacing w:val="-14"/>
          <w:sz w:val="20"/>
        </w:rPr>
        <w:t xml:space="preserve"> </w:t>
      </w:r>
      <w:r>
        <w:rPr>
          <w:rFonts w:ascii="Times New Roman;Times;serif" w:hAnsi="Times New Roman;Times;serif"/>
          <w:color w:val="231F20"/>
          <w:sz w:val="20"/>
        </w:rPr>
        <w:t>property rights; fluctuations in currency exchange rates; and potentially adverse tax consequences.</w:t>
      </w:r>
    </w:p>
    <w:p>
      <w:pPr>
        <w:pStyle w:val="TextBody"/>
        <w:spacing w:before="165"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We would need to obtain approvals from the appropriate regulatory, pricing and reimbursement authorities to market any of our proposed products internationally, and we may be unable to obtain foreign regulatory approvals. Pursuing foreign regulatory approvals would be time-consuming and expensive. The regulations can vary among countries and foreign regulatory authorities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require different or additional clinical</w:t>
      </w:r>
      <w:r>
        <w:rPr>
          <w:rFonts w:ascii="Times New Roman;Times;serif" w:hAnsi="Times New Roman;Times;serif"/>
          <w:color w:val="231F20"/>
          <w:spacing w:val="-35"/>
          <w:sz w:val="20"/>
        </w:rPr>
        <w:t xml:space="preserve"> </w:t>
      </w:r>
      <w:r>
        <w:rPr>
          <w:rFonts w:ascii="Times New Roman;Times;serif" w:hAnsi="Times New Roman;Times;serif"/>
          <w:color w:val="231F20"/>
          <w:sz w:val="20"/>
        </w:rPr>
        <w:t xml:space="preserve">trials than the trials we conducted to obtain </w:t>
      </w:r>
      <w:r>
        <w:rPr>
          <w:rFonts w:ascii="Times New Roman;Times;serif" w:hAnsi="Times New Roman;Times;serif"/>
          <w:color w:val="231F20"/>
          <w:spacing w:val="-4"/>
          <w:sz w:val="20"/>
        </w:rPr>
        <w:t xml:space="preserve">FDA approval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our product candidates. In addition, adverse clinical trial results in such countries, such as death or injury due to side effects, could jeopardize not only regulatory</w:t>
      </w:r>
      <w:r>
        <w:rPr>
          <w:rFonts w:ascii="Times New Roman;Times;serif" w:hAnsi="Times New Roman;Times;serif"/>
          <w:color w:val="231F20"/>
          <w:spacing w:val="-8"/>
          <w:sz w:val="20"/>
        </w:rPr>
        <w:t xml:space="preserve"> </w:t>
      </w:r>
      <w:r>
        <w:rPr>
          <w:rFonts w:ascii="Times New Roman;Times;serif" w:hAnsi="Times New Roman;Times;serif"/>
          <w:color w:val="231F20"/>
          <w:spacing w:val="-5"/>
          <w:sz w:val="20"/>
        </w:rPr>
        <w:t>approval,</w:t>
      </w:r>
      <w:r>
        <w:rPr>
          <w:rFonts w:ascii="Times New Roman;Times;serif" w:hAnsi="Times New Roman;Times;serif"/>
          <w:color w:val="231F20"/>
          <w:spacing w:val="-7"/>
          <w:sz w:val="20"/>
        </w:rPr>
        <w:t xml:space="preserve"> </w:t>
      </w:r>
      <w:r>
        <w:rPr>
          <w:rFonts w:ascii="Times New Roman;Times;serif" w:hAnsi="Times New Roman;Times;serif"/>
          <w:color w:val="231F20"/>
          <w:sz w:val="20"/>
        </w:rPr>
        <w:t>but</w:t>
      </w:r>
      <w:r>
        <w:rPr>
          <w:rFonts w:ascii="Times New Roman;Times;serif" w:hAnsi="Times New Roman;Times;serif"/>
          <w:color w:val="231F20"/>
          <w:spacing w:val="-7"/>
          <w:sz w:val="20"/>
        </w:rPr>
        <w:t xml:space="preserve"> </w:t>
      </w:r>
      <w:r>
        <w:rPr>
          <w:rFonts w:ascii="Times New Roman;Times;serif" w:hAnsi="Times New Roman;Times;serif"/>
          <w:color w:val="231F20"/>
          <w:sz w:val="20"/>
        </w:rPr>
        <w:t>if</w:t>
      </w:r>
      <w:r>
        <w:rPr>
          <w:rFonts w:ascii="Times New Roman;Times;serif" w:hAnsi="Times New Roman;Times;serif"/>
          <w:color w:val="231F20"/>
          <w:spacing w:val="16"/>
          <w:sz w:val="20"/>
        </w:rPr>
        <w:t xml:space="preserve"> </w:t>
      </w:r>
      <w:r>
        <w:rPr>
          <w:rFonts w:ascii="Times New Roman;Times;serif" w:hAnsi="Times New Roman;Times;serif"/>
          <w:color w:val="231F20"/>
          <w:spacing w:val="-5"/>
          <w:sz w:val="20"/>
        </w:rPr>
        <w:t>approval</w:t>
      </w:r>
      <w:r>
        <w:rPr>
          <w:rFonts w:ascii="Times New Roman;Times;serif" w:hAnsi="Times New Roman;Times;serif"/>
          <w:color w:val="231F20"/>
          <w:spacing w:val="-8"/>
          <w:sz w:val="20"/>
        </w:rPr>
        <w:t xml:space="preserve"> </w:t>
      </w:r>
      <w:r>
        <w:rPr>
          <w:rFonts w:ascii="Times New Roman;Times;serif" w:hAnsi="Times New Roman;Times;serif"/>
          <w:color w:val="231F20"/>
          <w:sz w:val="20"/>
        </w:rPr>
        <w:t>is</w:t>
      </w:r>
      <w:r>
        <w:rPr>
          <w:rFonts w:ascii="Times New Roman;Times;serif" w:hAnsi="Times New Roman;Times;serif"/>
          <w:color w:val="231F20"/>
          <w:spacing w:val="-7"/>
          <w:sz w:val="20"/>
        </w:rPr>
        <w:t xml:space="preserve"> </w:t>
      </w:r>
      <w:r>
        <w:rPr>
          <w:rFonts w:ascii="Times New Roman;Times;serif" w:hAnsi="Times New Roman;Times;serif"/>
          <w:color w:val="231F20"/>
          <w:sz w:val="20"/>
        </w:rPr>
        <w:t>granted,</w:t>
      </w:r>
      <w:r>
        <w:rPr>
          <w:rFonts w:ascii="Times New Roman;Times;serif" w:hAnsi="Times New Roman;Times;serif"/>
          <w:color w:val="231F20"/>
          <w:spacing w:val="-7"/>
          <w:sz w:val="20"/>
        </w:rPr>
        <w:t xml:space="preserve"> </w:t>
      </w:r>
      <w:r>
        <w:rPr>
          <w:rFonts w:ascii="Times New Roman;Times;serif" w:hAnsi="Times New Roman;Times;serif"/>
          <w:color w:val="231F20"/>
          <w:spacing w:val="-4"/>
          <w:sz w:val="20"/>
        </w:rPr>
        <w:t>may</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also</w:t>
      </w:r>
      <w:r>
        <w:rPr>
          <w:rFonts w:ascii="Times New Roman;Times;serif" w:hAnsi="Times New Roman;Times;serif"/>
          <w:color w:val="231F20"/>
          <w:spacing w:val="-7"/>
          <w:sz w:val="20"/>
        </w:rPr>
        <w:t xml:space="preserve"> </w:t>
      </w:r>
      <w:r>
        <w:rPr>
          <w:rFonts w:ascii="Times New Roman;Times;serif" w:hAnsi="Times New Roman;Times;serif"/>
          <w:color w:val="231F20"/>
          <w:sz w:val="20"/>
        </w:rPr>
        <w:t>lead</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pacing w:val="-2"/>
          <w:sz w:val="20"/>
        </w:rPr>
        <w:t>marketing</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restrictions.</w:t>
      </w:r>
      <w:r>
        <w:rPr>
          <w:rFonts w:ascii="Times New Roman;Times;serif" w:hAnsi="Times New Roman;Times;serif"/>
          <w:color w:val="231F20"/>
          <w:spacing w:val="-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7"/>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7"/>
          <w:sz w:val="20"/>
        </w:rPr>
        <w:t xml:space="preserve"> </w:t>
      </w:r>
      <w:r>
        <w:rPr>
          <w:rFonts w:ascii="Times New Roman;Times;serif" w:hAnsi="Times New Roman;Times;serif"/>
          <w:color w:val="231F20"/>
          <w:sz w:val="20"/>
        </w:rPr>
        <w:t xml:space="preserve">candidates </w:t>
      </w:r>
      <w:r>
        <w:rPr>
          <w:rFonts w:ascii="Times New Roman;Times;serif" w:hAnsi="Times New Roman;Times;serif"/>
          <w:color w:val="231F20"/>
          <w:spacing w:val="-3"/>
          <w:sz w:val="20"/>
        </w:rPr>
        <w:t xml:space="preserve">may also </w:t>
      </w:r>
      <w:r>
        <w:rPr>
          <w:rFonts w:ascii="Times New Roman;Times;serif" w:hAnsi="Times New Roman;Times;serif"/>
          <w:color w:val="231F20"/>
          <w:sz w:val="20"/>
        </w:rPr>
        <w:t>face foreign regulatory requirements applicable to controlled</w:t>
      </w:r>
      <w:r>
        <w:rPr>
          <w:rFonts w:ascii="Times New Roman;Times;serif" w:hAnsi="Times New Roman;Times;serif"/>
          <w:color w:val="231F20"/>
          <w:spacing w:val="-25"/>
          <w:sz w:val="20"/>
        </w:rPr>
        <w:t xml:space="preserve"> </w:t>
      </w:r>
      <w:r>
        <w:rPr>
          <w:rFonts w:ascii="Times New Roman;Times;serif" w:hAnsi="Times New Roman;Times;serif"/>
          <w:color w:val="231F20"/>
          <w:sz w:val="20"/>
        </w:rPr>
        <w:t>substances.</w:t>
      </w:r>
    </w:p>
    <w:p>
      <w:pPr>
        <w:pStyle w:val="TextBody"/>
        <w:spacing w:before="164" w:after="240"/>
        <w:ind w:left="0" w:right="0" w:firstLine="399"/>
        <w:jc w:val="both"/>
        <w:rPr>
          <w:rFonts w:ascii="Times New Roman;Times;serif" w:hAnsi="Times New Roman;Times;serif"/>
          <w:sz w:val="20"/>
        </w:rPr>
      </w:pPr>
      <w:r>
        <w:rPr>
          <w:rFonts w:ascii="Times New Roman;Times;serif" w:hAnsi="Times New Roman;Times;serif"/>
          <w:color w:val="231F20"/>
          <w:sz w:val="20"/>
        </w:rPr>
        <w:t>If</w:t>
      </w:r>
      <w:r>
        <w:rPr>
          <w:rFonts w:ascii="Times New Roman;Times;serif" w:hAnsi="Times New Roman;Times;serif"/>
          <w:color w:val="231F20"/>
          <w:spacing w:val="-16"/>
          <w:sz w:val="20"/>
        </w:rPr>
        <w:t xml:space="preserve"> </w:t>
      </w:r>
      <w:r>
        <w:rPr>
          <w:rFonts w:ascii="Times New Roman;Times;serif" w:hAnsi="Times New Roman;Times;serif"/>
          <w:color w:val="231F20"/>
          <w:sz w:val="20"/>
        </w:rPr>
        <w:t>we</w:t>
      </w:r>
      <w:r>
        <w:rPr>
          <w:rFonts w:ascii="Times New Roman;Times;serif" w:hAnsi="Times New Roman;Times;serif"/>
          <w:color w:val="231F20"/>
          <w:spacing w:val="-27"/>
          <w:sz w:val="20"/>
        </w:rPr>
        <w:t xml:space="preserve"> </w:t>
      </w:r>
      <w:r>
        <w:rPr>
          <w:rFonts w:ascii="Times New Roman;Times;serif" w:hAnsi="Times New Roman;Times;serif"/>
          <w:color w:val="231F20"/>
          <w:sz w:val="20"/>
        </w:rPr>
        <w:t>were</w:t>
      </w:r>
      <w:r>
        <w:rPr>
          <w:rFonts w:ascii="Times New Roman;Times;serif" w:hAnsi="Times New Roman;Times;serif"/>
          <w:color w:val="231F20"/>
          <w:spacing w:val="-26"/>
          <w:sz w:val="20"/>
        </w:rPr>
        <w:t xml:space="preserve"> </w:t>
      </w:r>
      <w:r>
        <w:rPr>
          <w:rFonts w:ascii="Times New Roman;Times;serif" w:hAnsi="Times New Roman;Times;serif"/>
          <w:color w:val="231F20"/>
          <w:sz w:val="20"/>
        </w:rPr>
        <w:t>to</w:t>
      </w:r>
      <w:r>
        <w:rPr>
          <w:rFonts w:ascii="Times New Roman;Times;serif" w:hAnsi="Times New Roman;Times;serif"/>
          <w:color w:val="231F20"/>
          <w:spacing w:val="-27"/>
          <w:sz w:val="20"/>
        </w:rPr>
        <w:t xml:space="preserve"> </w:t>
      </w:r>
      <w:r>
        <w:rPr>
          <w:rFonts w:ascii="Times New Roman;Times;serif" w:hAnsi="Times New Roman;Times;serif"/>
          <w:color w:val="231F20"/>
          <w:sz w:val="20"/>
        </w:rPr>
        <w:t>experience</w:t>
      </w:r>
      <w:r>
        <w:rPr>
          <w:rFonts w:ascii="Times New Roman;Times;serif" w:hAnsi="Times New Roman;Times;serif"/>
          <w:color w:val="231F20"/>
          <w:spacing w:val="-27"/>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7"/>
          <w:sz w:val="20"/>
        </w:rPr>
        <w:t xml:space="preserve"> </w:t>
      </w:r>
      <w:r>
        <w:rPr>
          <w:rFonts w:ascii="Times New Roman;Times;serif" w:hAnsi="Times New Roman;Times;serif"/>
          <w:color w:val="231F20"/>
          <w:sz w:val="20"/>
        </w:rPr>
        <w:t>difficulties</w:t>
      </w:r>
      <w:r>
        <w:rPr>
          <w:rFonts w:ascii="Times New Roman;Times;serif" w:hAnsi="Times New Roman;Times;serif"/>
          <w:color w:val="231F20"/>
          <w:spacing w:val="-26"/>
          <w:sz w:val="20"/>
        </w:rPr>
        <w:t xml:space="preserve"> </w:t>
      </w:r>
      <w:r>
        <w:rPr>
          <w:rFonts w:ascii="Times New Roman;Times;serif" w:hAnsi="Times New Roman;Times;serif"/>
          <w:color w:val="231F20"/>
          <w:sz w:val="20"/>
        </w:rPr>
        <w:t>listed</w:t>
      </w:r>
      <w:r>
        <w:rPr>
          <w:rFonts w:ascii="Times New Roman;Times;serif" w:hAnsi="Times New Roman;Times;serif"/>
          <w:color w:val="231F20"/>
          <w:spacing w:val="-27"/>
          <w:sz w:val="20"/>
        </w:rPr>
        <w:t xml:space="preserve"> </w:t>
      </w:r>
      <w:r>
        <w:rPr>
          <w:rFonts w:ascii="Times New Roman;Times;serif" w:hAnsi="Times New Roman;Times;serif"/>
          <w:color w:val="231F20"/>
          <w:spacing w:val="-5"/>
          <w:sz w:val="20"/>
        </w:rPr>
        <w:t>above,</w:t>
      </w:r>
      <w:r>
        <w:rPr>
          <w:rFonts w:ascii="Times New Roman;Times;serif" w:hAnsi="Times New Roman;Times;serif"/>
          <w:color w:val="231F20"/>
          <w:spacing w:val="-27"/>
          <w:sz w:val="20"/>
        </w:rPr>
        <w:t xml:space="preserve"> </w:t>
      </w:r>
      <w:r>
        <w:rPr>
          <w:rFonts w:ascii="Times New Roman;Times;serif" w:hAnsi="Times New Roman;Times;serif"/>
          <w:color w:val="231F20"/>
          <w:sz w:val="20"/>
        </w:rPr>
        <w:t>or</w:t>
      </w:r>
      <w:r>
        <w:rPr>
          <w:rFonts w:ascii="Times New Roman;Times;serif" w:hAnsi="Times New Roman;Times;serif"/>
          <w:color w:val="231F20"/>
          <w:spacing w:val="-26"/>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7"/>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7"/>
          <w:sz w:val="20"/>
        </w:rPr>
        <w:t xml:space="preserve"> </w:t>
      </w:r>
      <w:r>
        <w:rPr>
          <w:rFonts w:ascii="Times New Roman;Times;serif" w:hAnsi="Times New Roman;Times;serif"/>
          <w:color w:val="231F20"/>
          <w:sz w:val="20"/>
        </w:rPr>
        <w:t>difficulties,</w:t>
      </w:r>
      <w:r>
        <w:rPr>
          <w:rFonts w:ascii="Times New Roman;Times;serif" w:hAnsi="Times New Roman;Times;serif"/>
          <w:color w:val="231F20"/>
          <w:spacing w:val="-26"/>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7"/>
          <w:sz w:val="20"/>
        </w:rPr>
        <w:t xml:space="preserve"> </w:t>
      </w:r>
      <w:r>
        <w:rPr>
          <w:rFonts w:ascii="Times New Roman;Times;serif" w:hAnsi="Times New Roman;Times;serif"/>
          <w:color w:val="231F20"/>
          <w:sz w:val="20"/>
        </w:rPr>
        <w:t>international development</w:t>
      </w:r>
      <w:r>
        <w:rPr>
          <w:rFonts w:ascii="Times New Roman;Times;serif" w:hAnsi="Times New Roman;Times;serif"/>
          <w:color w:val="231F20"/>
          <w:spacing w:val="-28"/>
          <w:sz w:val="20"/>
        </w:rPr>
        <w:t xml:space="preserve"> </w:t>
      </w:r>
      <w:r>
        <w:rPr>
          <w:rFonts w:ascii="Times New Roman;Times;serif" w:hAnsi="Times New Roman;Times;serif"/>
          <w:color w:val="231F20"/>
          <w:sz w:val="20"/>
        </w:rPr>
        <w:t>activities</w:t>
      </w:r>
      <w:r>
        <w:rPr>
          <w:rFonts w:ascii="Times New Roman;Times;serif" w:hAnsi="Times New Roman;Times;serif"/>
          <w:color w:val="231F20"/>
          <w:spacing w:val="-2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8"/>
          <w:sz w:val="20"/>
        </w:rPr>
        <w:t xml:space="preserve"> </w:t>
      </w:r>
      <w:r>
        <w:rPr>
          <w:rFonts w:ascii="Times New Roman;Times;serif" w:hAnsi="Times New Roman;Times;serif"/>
          <w:color w:val="231F20"/>
          <w:spacing w:val="-3"/>
          <w:sz w:val="20"/>
        </w:rPr>
        <w:t>overall</w:t>
      </w:r>
      <w:r>
        <w:rPr>
          <w:rFonts w:ascii="Times New Roman;Times;serif" w:hAnsi="Times New Roman;Times;serif"/>
          <w:color w:val="231F20"/>
          <w:spacing w:val="-28"/>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27"/>
          <w:sz w:val="20"/>
        </w:rPr>
        <w:t xml:space="preserve"> </w:t>
      </w:r>
      <w:r>
        <w:rPr>
          <w:rFonts w:ascii="Times New Roman;Times;serif" w:hAnsi="Times New Roman;Times;serif"/>
          <w:color w:val="231F20"/>
          <w:sz w:val="20"/>
        </w:rPr>
        <w:t>condition</w:t>
      </w:r>
      <w:r>
        <w:rPr>
          <w:rFonts w:ascii="Times New Roman;Times;serif" w:hAnsi="Times New Roman;Times;serif"/>
          <w:color w:val="231F20"/>
          <w:spacing w:val="-28"/>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8"/>
          <w:sz w:val="20"/>
        </w:rPr>
        <w:t xml:space="preserve"> </w:t>
      </w:r>
      <w:r>
        <w:rPr>
          <w:rFonts w:ascii="Times New Roman;Times;serif" w:hAnsi="Times New Roman;Times;serif"/>
          <w:color w:val="231F20"/>
          <w:sz w:val="20"/>
        </w:rPr>
        <w:t>suffer</w:t>
      </w:r>
      <w:r>
        <w:rPr>
          <w:rFonts w:ascii="Times New Roman;Times;serif" w:hAnsi="Times New Roman;Times;serif"/>
          <w:color w:val="231F20"/>
          <w:spacing w:val="-2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8"/>
          <w:sz w:val="20"/>
        </w:rPr>
        <w:t xml:space="preserve"> </w:t>
      </w:r>
      <w:r>
        <w:rPr>
          <w:rFonts w:ascii="Times New Roman;Times;serif" w:hAnsi="Times New Roman;Times;serif"/>
          <w:color w:val="231F20"/>
          <w:sz w:val="20"/>
        </w:rPr>
        <w:t>cause</w:t>
      </w:r>
      <w:r>
        <w:rPr>
          <w:rFonts w:ascii="Times New Roman;Times;serif" w:hAnsi="Times New Roman;Times;serif"/>
          <w:color w:val="231F20"/>
          <w:spacing w:val="-27"/>
          <w:sz w:val="20"/>
        </w:rPr>
        <w:t xml:space="preserve"> </w:t>
      </w:r>
      <w:r>
        <w:rPr>
          <w:rFonts w:ascii="Times New Roman;Times;serif" w:hAnsi="Times New Roman;Times;serif"/>
          <w:color w:val="231F20"/>
          <w:sz w:val="20"/>
        </w:rPr>
        <w:t>us</w:t>
      </w:r>
      <w:r>
        <w:rPr>
          <w:rFonts w:ascii="Times New Roman;Times;serif" w:hAnsi="Times New Roman;Times;serif"/>
          <w:color w:val="231F20"/>
          <w:spacing w:val="-28"/>
          <w:sz w:val="20"/>
        </w:rPr>
        <w:t xml:space="preserve"> </w:t>
      </w:r>
      <w:r>
        <w:rPr>
          <w:rFonts w:ascii="Times New Roman;Times;serif" w:hAnsi="Times New Roman;Times;serif"/>
          <w:color w:val="231F20"/>
          <w:sz w:val="20"/>
        </w:rPr>
        <w:t>to</w:t>
      </w:r>
      <w:r>
        <w:rPr>
          <w:rFonts w:ascii="Times New Roman;Times;serif" w:hAnsi="Times New Roman;Times;serif"/>
          <w:color w:val="231F20"/>
          <w:spacing w:val="-28"/>
          <w:sz w:val="20"/>
        </w:rPr>
        <w:t xml:space="preserve"> </w:t>
      </w:r>
      <w:r>
        <w:rPr>
          <w:rFonts w:ascii="Times New Roman;Times;serif" w:hAnsi="Times New Roman;Times;serif"/>
          <w:color w:val="231F20"/>
          <w:sz w:val="20"/>
        </w:rPr>
        <w:t>reduce</w:t>
      </w:r>
      <w:r>
        <w:rPr>
          <w:rFonts w:ascii="Times New Roman;Times;serif" w:hAnsi="Times New Roman;Times;serif"/>
          <w:color w:val="231F20"/>
          <w:spacing w:val="-28"/>
          <w:sz w:val="20"/>
        </w:rPr>
        <w:t xml:space="preserve"> </w:t>
      </w:r>
      <w:r>
        <w:rPr>
          <w:rFonts w:ascii="Times New Roman;Times;serif" w:hAnsi="Times New Roman;Times;serif"/>
          <w:color w:val="231F20"/>
          <w:sz w:val="20"/>
        </w:rPr>
        <w:t>or</w:t>
      </w:r>
      <w:r>
        <w:rPr>
          <w:rFonts w:ascii="Times New Roman;Times;serif" w:hAnsi="Times New Roman;Times;serif"/>
          <w:color w:val="231F20"/>
          <w:spacing w:val="-28"/>
          <w:sz w:val="20"/>
        </w:rPr>
        <w:t xml:space="preserve"> </w:t>
      </w:r>
      <w:r>
        <w:rPr>
          <w:rFonts w:ascii="Times New Roman;Times;serif" w:hAnsi="Times New Roman;Times;serif"/>
          <w:color w:val="231F20"/>
          <w:sz w:val="20"/>
        </w:rPr>
        <w:t>discontinue our international development and registration</w:t>
      </w:r>
      <w:r>
        <w:rPr>
          <w:rFonts w:ascii="Times New Roman;Times;serif" w:hAnsi="Times New Roman;Times;serif"/>
          <w:color w:val="231F20"/>
          <w:spacing w:val="-37"/>
          <w:sz w:val="20"/>
        </w:rPr>
        <w:t xml:space="preserve"> </w:t>
      </w:r>
      <w:r>
        <w:rPr>
          <w:rFonts w:ascii="Times New Roman;Times;serif" w:hAnsi="Times New Roman;Times;serif"/>
          <w:color w:val="231F20"/>
          <w:spacing w:val="-4"/>
          <w:sz w:val="20"/>
        </w:rPr>
        <w:t>efforts.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International commercialization of our product candidates requires successful collaborations.</w:t>
      </w:r>
    </w:p>
    <w:p>
      <w:pPr>
        <w:pStyle w:val="TextBody"/>
        <w:spacing w:before="165"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plan to commercialize some of our products internationally through collaborative relationships with foreign partners. </w:t>
      </w:r>
      <w:r>
        <w:rPr>
          <w:rFonts w:ascii="Times New Roman;Times;serif" w:hAnsi="Times New Roman;Times;serif"/>
          <w:color w:val="231F20"/>
          <w:spacing w:val="-10"/>
          <w:sz w:val="20"/>
        </w:rPr>
        <w:t xml:space="preserve">We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limited foreign </w:t>
      </w:r>
      <w:r>
        <w:rPr>
          <w:rFonts w:ascii="Times New Roman;Times;serif" w:hAnsi="Times New Roman;Times;serif"/>
          <w:color w:val="231F20"/>
          <w:spacing w:val="-3"/>
          <w:sz w:val="20"/>
        </w:rPr>
        <w:t xml:space="preserve">regulatory, </w:t>
      </w:r>
      <w:r>
        <w:rPr>
          <w:rFonts w:ascii="Times New Roman;Times;serif" w:hAnsi="Times New Roman;Times;serif"/>
          <w:color w:val="231F20"/>
          <w:sz w:val="20"/>
        </w:rPr>
        <w:t xml:space="preserve">clinical and commercial resources. Future partners are critical to our international success.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enter into collaboration agreements with appropriate partners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important foreign markets on acceptable terms, or </w:t>
      </w:r>
      <w:r>
        <w:rPr>
          <w:rFonts w:ascii="Times New Roman;Times;serif" w:hAnsi="Times New Roman;Times;serif"/>
          <w:color w:val="231F20"/>
          <w:spacing w:val="-3"/>
          <w:sz w:val="20"/>
        </w:rPr>
        <w:t xml:space="preserve">at all. </w:t>
      </w:r>
      <w:r>
        <w:rPr>
          <w:rFonts w:ascii="Times New Roman;Times;serif" w:hAnsi="Times New Roman;Times;serif"/>
          <w:color w:val="231F20"/>
          <w:sz w:val="20"/>
        </w:rPr>
        <w:t xml:space="preserve">Future collaborations with foreign partners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effective or profitable </w:t>
      </w:r>
      <w:r>
        <w:rPr>
          <w:rFonts w:ascii="Times New Roman;Times;serif" w:hAnsi="Times New Roman;Times;serif"/>
          <w:color w:val="231F20"/>
          <w:spacing w:val="-3"/>
          <w:sz w:val="20"/>
        </w:rPr>
        <w:t>for</w:t>
      </w:r>
      <w:r>
        <w:rPr>
          <w:rFonts w:ascii="Times New Roman;Times;serif" w:hAnsi="Times New Roman;Times;serif"/>
          <w:color w:val="231F20"/>
          <w:spacing w:val="-30"/>
          <w:sz w:val="20"/>
        </w:rPr>
        <w:t xml:space="preserve"> </w:t>
      </w:r>
      <w:r>
        <w:rPr>
          <w:rFonts w:ascii="Times New Roman;Times;serif" w:hAnsi="Times New Roman;Times;serif"/>
          <w:color w:val="231F20"/>
          <w:spacing w:val="-5"/>
          <w:sz w:val="20"/>
        </w:rPr>
        <w:t>us.</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Our business activities could face further disruption due to the COVID-19 pandemic.</w:t>
      </w:r>
    </w:p>
    <w:p>
      <w:pPr>
        <w:pStyle w:val="TextBody"/>
        <w:spacing w:lineRule="auto" w:line="288" w:before="167"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are continuing to monitor the latest developments regarding the COVID-19 pandemic on our business, operations and financial condition and results, and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made certain assumptions regarding the pandemic </w:t>
      </w:r>
      <w:r>
        <w:rPr>
          <w:rFonts w:ascii="Times New Roman;Times;serif" w:hAnsi="Times New Roman;Times;serif"/>
          <w:color w:val="231F20"/>
          <w:spacing w:val="-4"/>
          <w:sz w:val="20"/>
        </w:rPr>
        <w:t xml:space="preserve">for </w:t>
      </w:r>
      <w:r>
        <w:rPr>
          <w:rFonts w:ascii="Times New Roman;Times;serif" w:hAnsi="Times New Roman;Times;serif"/>
          <w:color w:val="231F20"/>
          <w:sz w:val="20"/>
        </w:rPr>
        <w:t xml:space="preserve">purposes of our </w:t>
      </w:r>
      <w:r>
        <w:rPr>
          <w:rFonts w:ascii="Times New Roman;Times;serif" w:hAnsi="Times New Roman;Times;serif"/>
          <w:color w:val="231F20"/>
          <w:spacing w:val="-3"/>
          <w:sz w:val="20"/>
        </w:rPr>
        <w:t xml:space="preserve">operational </w:t>
      </w:r>
      <w:r>
        <w:rPr>
          <w:rFonts w:ascii="Times New Roman;Times;serif" w:hAnsi="Times New Roman;Times;serif"/>
          <w:color w:val="231F20"/>
          <w:sz w:val="20"/>
        </w:rPr>
        <w:t xml:space="preserve">planning and financial </w:t>
      </w:r>
      <w:r>
        <w:rPr>
          <w:rFonts w:ascii="Times New Roman;Times;serif" w:hAnsi="Times New Roman;Times;serif"/>
          <w:color w:val="231F20"/>
          <w:spacing w:val="-3"/>
          <w:sz w:val="20"/>
        </w:rPr>
        <w:t xml:space="preserve">projections, </w:t>
      </w:r>
      <w:r>
        <w:rPr>
          <w:rFonts w:ascii="Times New Roman;Times;serif" w:hAnsi="Times New Roman;Times;serif"/>
          <w:color w:val="231F20"/>
          <w:sz w:val="20"/>
        </w:rPr>
        <w:t xml:space="preserve">including assumptions regarding the duration and severity of the pandemic and the global macroeconomic impact of the pandemic. Despite careful tracking and planning,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we are unable to accurately predict the extent of the impact of the pandemic on our business, operations and financial condition and results due to the uncertainty of future developments. If there is a resurgence of the COVID-19 pandemic, the research and development of our products will be delayed and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unable to perform fully on our contracts, which will </w:t>
      </w:r>
      <w:r>
        <w:rPr>
          <w:rFonts w:ascii="Times New Roman;Times;serif" w:hAnsi="Times New Roman;Times;serif"/>
          <w:color w:val="231F20"/>
          <w:spacing w:val="-3"/>
          <w:sz w:val="20"/>
        </w:rPr>
        <w:t xml:space="preserve">likely </w:t>
      </w:r>
      <w:r>
        <w:rPr>
          <w:rFonts w:ascii="Times New Roman;Times;serif" w:hAnsi="Times New Roman;Times;serif"/>
          <w:color w:val="231F20"/>
          <w:sz w:val="20"/>
        </w:rPr>
        <w:t xml:space="preserve">result in increases in costs and reduction in </w:t>
      </w:r>
      <w:r>
        <w:rPr>
          <w:rFonts w:ascii="Times New Roman;Times;serif" w:hAnsi="Times New Roman;Times;serif"/>
          <w:color w:val="231F20"/>
          <w:spacing w:val="-4"/>
          <w:sz w:val="20"/>
        </w:rPr>
        <w:t xml:space="preserve">revenue. </w:t>
      </w:r>
      <w:r>
        <w:rPr>
          <w:rFonts w:ascii="Times New Roman;Times;serif" w:hAnsi="Times New Roman;Times;serif"/>
          <w:color w:val="231F20"/>
          <w:sz w:val="20"/>
        </w:rPr>
        <w:t xml:space="preserve">These cost increases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fully </w:t>
      </w:r>
      <w:r>
        <w:rPr>
          <w:rFonts w:ascii="Times New Roman;Times;serif" w:hAnsi="Times New Roman;Times;serif"/>
          <w:color w:val="231F20"/>
          <w:spacing w:val="-3"/>
          <w:sz w:val="20"/>
        </w:rPr>
        <w:t xml:space="preserve">recoverable </w:t>
      </w:r>
      <w:r>
        <w:rPr>
          <w:rFonts w:ascii="Times New Roman;Times;serif" w:hAnsi="Times New Roman;Times;serif"/>
          <w:color w:val="231F20"/>
          <w:sz w:val="20"/>
        </w:rPr>
        <w:t xml:space="preserve">or adequately covered by insurance. The long-term effects of the COVID-19 pandemic to the global economy and to us continue to be difficult to assess or predict and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include a decline in the market prices of our products, risks to employee health and safety, risks for the deployment of our products and services and reduced sales in geographic locations impacted. Any prolonged restrictive measures put in place to control a resurgence of the COVID-19 pandemic or other adverse public health developments in any of our targeted markets may have a material and adverse effect on our business operations and results of operations.</w:t>
      </w:r>
    </w:p>
    <w:p>
      <w:pPr>
        <w:pStyle w:val="TextBody"/>
        <w:spacing w:lineRule="auto" w:line="300" w:before="15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For additional information on how the COVID-19 pandemic has already impacted our business, operations and financial condition and results, see our historical consolidated financial statements, presented elsewhere in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Global</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economic,</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political</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social</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conditions, armed conflicts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uncertainties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market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that</w:t>
      </w:r>
      <w:r>
        <w:rPr>
          <w:rFonts w:ascii="Times New Roman;Times;serif" w:hAnsi="Times New Roman;Times;serif"/>
          <w:b/>
          <w:color w:val="231F20"/>
          <w:spacing w:val="-7"/>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serve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adversely impact our</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business.</w:t>
      </w:r>
    </w:p>
    <w:p>
      <w:pPr>
        <w:pStyle w:val="TextBody"/>
        <w:spacing w:lineRule="auto" w:line="300" w:before="160"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Our performance depends on the financial health and strength of our customers, which in turn is dependent on the economic conditions of the markets in which we and our customers operate. The recent declines in the global economy, difficulties in the financial services sector and credit markets, continuing geopolitical uncertainties and other macroeconomic factors all affect the spending behavior of potential customers. The economic uncertainty in Europe, the U.S., India, China and other countries may cause end-users to further delay or reduce technology purchases.</w:t>
      </w:r>
    </w:p>
    <w:p>
      <w:pPr>
        <w:pStyle w:val="TextBody"/>
        <w:spacing w:lineRule="auto" w:line="300" w:before="15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also face risks from financial difficulties or other uncertainties experienced by our suppliers, distributors or other third parties on which we rely. If third parties are unable to supply us with required materials or components or otherwise assist us in operating our business, our business could be harmed.</w:t>
      </w:r>
    </w:p>
    <w:p>
      <w:pPr>
        <w:pStyle w:val="TextBody"/>
        <w:spacing w:lineRule="auto" w:line="300" w:before="160" w:after="240"/>
        <w:ind w:left="0" w:right="0" w:firstLine="399"/>
        <w:jc w:val="both"/>
        <w:rPr>
          <w:rFonts w:ascii="Times New Roman;Times;serif" w:hAnsi="Times New Roman;Times;serif"/>
          <w:sz w:val="20"/>
        </w:rPr>
      </w:pPr>
      <w:r>
        <w:rPr>
          <w:rFonts w:ascii="Times New Roman;Times;serif" w:hAnsi="Times New Roman;Times;serif"/>
          <w:color w:val="231F20"/>
          <w:spacing w:val="-6"/>
          <w:sz w:val="20"/>
        </w:rPr>
        <w:t xml:space="preserve">For </w:t>
      </w:r>
      <w:r>
        <w:rPr>
          <w:rFonts w:ascii="Times New Roman;Times;serif" w:hAnsi="Times New Roman;Times;serif"/>
          <w:color w:val="231F20"/>
          <w:sz w:val="20"/>
        </w:rPr>
        <w:t xml:space="preserve">example, the possibility of trade disputes and tariffs between countries with whom we are engaged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impact the cost of </w:t>
      </w:r>
      <w:r>
        <w:rPr>
          <w:rFonts w:ascii="Times New Roman;Times;serif" w:hAnsi="Times New Roman;Times;serif"/>
          <w:color w:val="231F20"/>
          <w:spacing w:val="-5"/>
          <w:sz w:val="20"/>
        </w:rPr>
        <w:t xml:space="preserve">raw </w:t>
      </w:r>
      <w:r>
        <w:rPr>
          <w:rFonts w:ascii="Times New Roman;Times;serif" w:hAnsi="Times New Roman;Times;serif"/>
          <w:color w:val="231F20"/>
          <w:spacing w:val="-3"/>
          <w:sz w:val="20"/>
        </w:rPr>
        <w:t xml:space="preserve">materials, </w:t>
      </w:r>
      <w:r>
        <w:rPr>
          <w:rFonts w:ascii="Times New Roman;Times;serif" w:hAnsi="Times New Roman;Times;serif"/>
          <w:color w:val="231F20"/>
          <w:sz w:val="20"/>
        </w:rPr>
        <w:t xml:space="preserve">finished products or components used in our products and our ability to sell our products in various </w:t>
      </w:r>
      <w:r>
        <w:rPr>
          <w:rFonts w:ascii="Times New Roman;Times;serif" w:hAnsi="Times New Roman;Times;serif"/>
          <w:color w:val="231F20"/>
          <w:spacing w:val="-3"/>
          <w:sz w:val="20"/>
        </w:rPr>
        <w:t xml:space="preserve">markets. </w:t>
      </w:r>
      <w:r>
        <w:rPr>
          <w:rFonts w:ascii="Times New Roman;Times;serif" w:hAnsi="Times New Roman;Times;serif"/>
          <w:color w:val="231F20"/>
          <w:sz w:val="20"/>
        </w:rPr>
        <w:t xml:space="preserve">Other changes in </w:t>
      </w:r>
      <w:r>
        <w:rPr>
          <w:rFonts w:ascii="Times New Roman;Times;serif" w:hAnsi="Times New Roman;Times;serif"/>
          <w:color w:val="231F20"/>
          <w:spacing w:val="-7"/>
          <w:sz w:val="20"/>
        </w:rPr>
        <w:t xml:space="preserve">U.S. </w:t>
      </w:r>
      <w:r>
        <w:rPr>
          <w:rFonts w:ascii="Times New Roman;Times;serif" w:hAnsi="Times New Roman;Times;serif"/>
          <w:color w:val="231F20"/>
          <w:sz w:val="20"/>
        </w:rPr>
        <w:t>social, political, regulatory and economic conditions</w:t>
      </w:r>
      <w:r>
        <w:rPr>
          <w:rFonts w:ascii="Times New Roman;Times;serif" w:hAnsi="Times New Roman;Times;serif"/>
          <w:color w:val="231F20"/>
          <w:spacing w:val="-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0"/>
          <w:sz w:val="20"/>
        </w:rPr>
        <w:t xml:space="preserve"> </w:t>
      </w:r>
      <w:r>
        <w:rPr>
          <w:rFonts w:ascii="Times New Roman;Times;serif" w:hAnsi="Times New Roman;Times;serif"/>
          <w:color w:val="231F20"/>
          <w:sz w:val="20"/>
        </w:rPr>
        <w:t>in</w:t>
      </w:r>
      <w:r>
        <w:rPr>
          <w:rFonts w:ascii="Times New Roman;Times;serif" w:hAnsi="Times New Roman;Times;serif"/>
          <w:color w:val="231F20"/>
          <w:spacing w:val="-9"/>
          <w:sz w:val="20"/>
        </w:rPr>
        <w:t xml:space="preserve"> </w:t>
      </w:r>
      <w:r>
        <w:rPr>
          <w:rFonts w:ascii="Times New Roman;Times;serif" w:hAnsi="Times New Roman;Times;serif"/>
          <w:color w:val="231F20"/>
          <w:spacing w:val="-4"/>
          <w:sz w:val="20"/>
        </w:rPr>
        <w:t>laws</w:t>
      </w:r>
      <w:r>
        <w:rPr>
          <w:rFonts w:ascii="Times New Roman;Times;serif" w:hAnsi="Times New Roman;Times;serif"/>
          <w:color w:val="231F20"/>
          <w:spacing w:val="-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9"/>
          <w:sz w:val="20"/>
        </w:rPr>
        <w:t xml:space="preserve"> </w:t>
      </w:r>
      <w:r>
        <w:rPr>
          <w:rFonts w:ascii="Times New Roman;Times;serif" w:hAnsi="Times New Roman;Times;serif"/>
          <w:color w:val="231F20"/>
          <w:sz w:val="20"/>
        </w:rPr>
        <w:t>policies</w:t>
      </w:r>
      <w:r>
        <w:rPr>
          <w:rFonts w:ascii="Times New Roman;Times;serif" w:hAnsi="Times New Roman;Times;serif"/>
          <w:color w:val="231F20"/>
          <w:spacing w:val="-9"/>
          <w:sz w:val="20"/>
        </w:rPr>
        <w:t xml:space="preserve"> </w:t>
      </w:r>
      <w:r>
        <w:rPr>
          <w:rFonts w:ascii="Times New Roman;Times;serif" w:hAnsi="Times New Roman;Times;serif"/>
          <w:color w:val="231F20"/>
          <w:sz w:val="20"/>
        </w:rPr>
        <w:t>governing</w:t>
      </w:r>
      <w:r>
        <w:rPr>
          <w:rFonts w:ascii="Times New Roman;Times;serif" w:hAnsi="Times New Roman;Times;serif"/>
          <w:color w:val="231F20"/>
          <w:spacing w:val="-9"/>
          <w:sz w:val="20"/>
        </w:rPr>
        <w:t xml:space="preserve"> </w:t>
      </w:r>
      <w:r>
        <w:rPr>
          <w:rFonts w:ascii="Times New Roman;Times;serif" w:hAnsi="Times New Roman;Times;serif"/>
          <w:color w:val="231F20"/>
          <w:sz w:val="20"/>
        </w:rPr>
        <w:t>foreign</w:t>
      </w:r>
      <w:r>
        <w:rPr>
          <w:rFonts w:ascii="Times New Roman;Times;serif" w:hAnsi="Times New Roman;Times;serif"/>
          <w:color w:val="231F20"/>
          <w:spacing w:val="-9"/>
          <w:sz w:val="20"/>
        </w:rPr>
        <w:t xml:space="preserve"> </w:t>
      </w:r>
      <w:r>
        <w:rPr>
          <w:rFonts w:ascii="Times New Roman;Times;serif" w:hAnsi="Times New Roman;Times;serif"/>
          <w:color w:val="231F20"/>
          <w:sz w:val="20"/>
        </w:rPr>
        <w:t>trade,</w:t>
      </w:r>
      <w:r>
        <w:rPr>
          <w:rFonts w:ascii="Times New Roman;Times;serif" w:hAnsi="Times New Roman;Times;serif"/>
          <w:color w:val="231F20"/>
          <w:spacing w:val="-9"/>
          <w:sz w:val="20"/>
        </w:rPr>
        <w:t xml:space="preserve"> </w:t>
      </w:r>
      <w:r>
        <w:rPr>
          <w:rFonts w:ascii="Times New Roman;Times;serif" w:hAnsi="Times New Roman;Times;serif"/>
          <w:color w:val="231F20"/>
          <w:sz w:val="20"/>
        </w:rPr>
        <w:t>manufacturing,</w:t>
      </w:r>
      <w:r>
        <w:rPr>
          <w:rFonts w:ascii="Times New Roman;Times;serif" w:hAnsi="Times New Roman;Times;serif"/>
          <w:color w:val="231F20"/>
          <w:spacing w:val="-9"/>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9"/>
          <w:sz w:val="20"/>
        </w:rPr>
        <w:t xml:space="preserve"> </w:t>
      </w:r>
      <w:r>
        <w:rPr>
          <w:rFonts w:ascii="Times New Roman;Times;serif" w:hAnsi="Times New Roman;Times;serif"/>
          <w:color w:val="231F20"/>
          <w:sz w:val="20"/>
        </w:rPr>
        <w:t>investment</w:t>
      </w:r>
      <w:r>
        <w:rPr>
          <w:rFonts w:ascii="Times New Roman;Times;serif" w:hAnsi="Times New Roman;Times;serif"/>
          <w:color w:val="231F20"/>
          <w:spacing w:val="-9"/>
          <w:sz w:val="20"/>
        </w:rPr>
        <w:t xml:space="preserve"> </w:t>
      </w:r>
      <w:r>
        <w:rPr>
          <w:rFonts w:ascii="Times New Roman;Times;serif" w:hAnsi="Times New Roman;Times;serif"/>
          <w:color w:val="231F20"/>
          <w:sz w:val="20"/>
        </w:rPr>
        <w:t xml:space="preserve">could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adversely affect our business.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Our business, financial condition, and results of operations may be materially adversely affected by the negative impact on the global economy and capital markets resulting from new international conflicts or any other geopolitical tensions.</w:t>
      </w:r>
    </w:p>
    <w:p>
      <w:pPr>
        <w:pStyle w:val="TextBody"/>
        <w:spacing w:lineRule="auto" w:line="300"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U.S. and global markets generally experience volatility and disruption as a result of geopolitical tensions and military conflicts, including significant volatility in commodity prices, credit and capital markets, as well as supply chain disruptions. </w:t>
      </w:r>
    </w:p>
    <w:p>
      <w:pPr>
        <w:pStyle w:val="TextBody"/>
        <w:spacing w:lineRule="auto" w:line="300" w:before="160" w:after="240"/>
        <w:ind w:left="0" w:right="0" w:firstLine="399"/>
        <w:jc w:val="both"/>
        <w:rPr>
          <w:rFonts w:ascii="Times New Roman;Times;serif" w:hAnsi="Times New Roman;Times;serif"/>
          <w:sz w:val="20"/>
        </w:rPr>
      </w:pPr>
      <w:r>
        <w:rPr>
          <w:rFonts w:ascii="Times New Roman;Times;serif" w:hAnsi="Times New Roman;Times;serif"/>
          <w:color w:val="231F20"/>
          <w:sz w:val="20"/>
        </w:rPr>
        <w:t>Additionally, international sanctions and other penalties can disrupt payment systems and imports/exports and lead to instability and lack of liquidity in capital markets, potentially making it more difficult for us to obtain additional funds. Any such disruptions may also magnify the</w:t>
      </w:r>
      <w:r>
        <w:rPr>
          <w:rFonts w:ascii="Times New Roman;Times;serif" w:hAnsi="Times New Roman;Times;serif"/>
          <w:sz w:val="20"/>
        </w:rPr>
        <w:t xml:space="preserve"> </w:t>
      </w:r>
      <w:r>
        <w:rPr>
          <w:rFonts w:ascii="Times New Roman;Times;serif" w:hAnsi="Times New Roman;Times;serif"/>
          <w:color w:val="231F20"/>
          <w:sz w:val="20"/>
        </w:rPr>
        <w:t>impact of other risks described in this annual report.</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may not be successful in hiring and retaining key employees and contractors.</w:t>
      </w:r>
    </w:p>
    <w:p>
      <w:pPr>
        <w:pStyle w:val="TextBody"/>
        <w:spacing w:lineRule="auto" w:line="300"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Our future operations and successes depend in large part upon the continued service of key members of our senior management team whom we are highly dependent upon to manage our business, including our Chief Executive Officer. If he terminates his relationship with us, such a departure could have a material adverse effect on our business.</w:t>
      </w:r>
    </w:p>
    <w:p>
      <w:pPr>
        <w:pStyle w:val="TextBody"/>
        <w:spacing w:lineRule="auto" w:line="300" w:before="171" w:after="240"/>
        <w:ind w:left="0" w:right="0" w:firstLine="399"/>
        <w:jc w:val="both"/>
        <w:rPr>
          <w:rFonts w:ascii="Times New Roman;Times;serif" w:hAnsi="Times New Roman;Times;serif"/>
          <w:sz w:val="20"/>
        </w:rPr>
      </w:pPr>
      <w:r>
        <w:rPr>
          <w:rFonts w:ascii="Times New Roman;Times;serif" w:hAnsi="Times New Roman;Times;serif"/>
          <w:color w:val="231F20"/>
          <w:spacing w:val="-4"/>
          <w:sz w:val="20"/>
        </w:rPr>
        <w:t>Our future success also depends on our ability to identify, attract, hire or engage, retain and motivate other well-qualified managerial, technical, clinical and regulatory personnel. We will need to hire additional qualified personnel with expertise in nonclinical pharmacology and toxicology, pharmaceutical development, clinical research, regulatory affairs, manufacturing, sales and marketing. We compete for qualified individuals with numerous biopharmaceutical companies, universities and other research institutions. Competition for such individuals, particularly in the U.S., is</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intense,</w:t>
      </w:r>
      <w:r>
        <w:rPr>
          <w:rFonts w:ascii="Times New Roman;Times;serif" w:hAnsi="Times New Roman;Times;serif"/>
          <w:color w:val="231F20"/>
          <w:spacing w:val="-1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5"/>
          <w:sz w:val="20"/>
        </w:rPr>
        <w:t xml:space="preserve"> </w:t>
      </w:r>
      <w:r>
        <w:rPr>
          <w:rFonts w:ascii="Times New Roman;Times;serif" w:hAnsi="Times New Roman;Times;serif"/>
          <w:color w:val="231F20"/>
          <w:sz w:val="20"/>
        </w:rPr>
        <w:t>we</w:t>
      </w:r>
      <w:r>
        <w:rPr>
          <w:rFonts w:ascii="Times New Roman;Times;serif" w:hAnsi="Times New Roman;Times;serif"/>
          <w:color w:val="231F20"/>
          <w:spacing w:val="-15"/>
          <w:sz w:val="20"/>
        </w:rPr>
        <w:t xml:space="preserve"> </w:t>
      </w:r>
      <w:r>
        <w:rPr>
          <w:rFonts w:ascii="Times New Roman;Times;serif" w:hAnsi="Times New Roman;Times;serif"/>
          <w:color w:val="231F20"/>
          <w:spacing w:val="-4"/>
          <w:sz w:val="20"/>
        </w:rPr>
        <w:t>may</w:t>
      </w:r>
      <w:r>
        <w:rPr>
          <w:rFonts w:ascii="Times New Roman;Times;serif" w:hAnsi="Times New Roman;Times;serif"/>
          <w:color w:val="231F20"/>
          <w:spacing w:val="-14"/>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5"/>
          <w:sz w:val="20"/>
        </w:rPr>
        <w:t xml:space="preserve"> </w:t>
      </w:r>
      <w:r>
        <w:rPr>
          <w:rFonts w:ascii="Times New Roman;Times;serif" w:hAnsi="Times New Roman;Times;serif"/>
          <w:color w:val="231F20"/>
          <w:sz w:val="20"/>
        </w:rPr>
        <w:t>be</w:t>
      </w:r>
      <w:r>
        <w:rPr>
          <w:rFonts w:ascii="Times New Roman;Times;serif" w:hAnsi="Times New Roman;Times;serif"/>
          <w:color w:val="231F20"/>
          <w:spacing w:val="-15"/>
          <w:sz w:val="20"/>
        </w:rPr>
        <w:t xml:space="preserve"> </w:t>
      </w:r>
      <w:r>
        <w:rPr>
          <w:rFonts w:ascii="Times New Roman;Times;serif" w:hAnsi="Times New Roman;Times;serif"/>
          <w:color w:val="231F20"/>
          <w:spacing w:val="-4"/>
          <w:sz w:val="20"/>
        </w:rPr>
        <w:t>able</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5"/>
          <w:sz w:val="20"/>
        </w:rPr>
        <w:t xml:space="preserve"> </w:t>
      </w:r>
      <w:r>
        <w:rPr>
          <w:rFonts w:ascii="Times New Roman;Times;serif" w:hAnsi="Times New Roman;Times;serif"/>
          <w:color w:val="231F20"/>
          <w:sz w:val="20"/>
        </w:rPr>
        <w:t>hire</w:t>
      </w:r>
      <w:r>
        <w:rPr>
          <w:rFonts w:ascii="Times New Roman;Times;serif" w:hAnsi="Times New Roman;Times;serif"/>
          <w:color w:val="231F20"/>
          <w:spacing w:val="-15"/>
          <w:sz w:val="20"/>
        </w:rPr>
        <w:t xml:space="preserve"> </w:t>
      </w:r>
      <w:r>
        <w:rPr>
          <w:rFonts w:ascii="Times New Roman;Times;serif" w:hAnsi="Times New Roman;Times;serif"/>
          <w:color w:val="231F20"/>
          <w:sz w:val="20"/>
        </w:rPr>
        <w:t>sufficient</w:t>
      </w:r>
      <w:r>
        <w:rPr>
          <w:rFonts w:ascii="Times New Roman;Times;serif" w:hAnsi="Times New Roman;Times;serif"/>
          <w:color w:val="231F20"/>
          <w:spacing w:val="-14"/>
          <w:sz w:val="20"/>
        </w:rPr>
        <w:t xml:space="preserve"> </w:t>
      </w:r>
      <w:r>
        <w:rPr>
          <w:rFonts w:ascii="Times New Roman;Times;serif" w:hAnsi="Times New Roman;Times;serif"/>
          <w:color w:val="231F20"/>
          <w:sz w:val="20"/>
        </w:rPr>
        <w:t xml:space="preserve">personnel to support our </w:t>
      </w:r>
      <w:r>
        <w:rPr>
          <w:rFonts w:ascii="Times New Roman;Times;serif" w:hAnsi="Times New Roman;Times;serif"/>
          <w:color w:val="231F20"/>
          <w:spacing w:val="-4"/>
          <w:sz w:val="20"/>
        </w:rPr>
        <w:t xml:space="preserve">efforts. </w:t>
      </w:r>
      <w:r>
        <w:rPr>
          <w:rFonts w:ascii="Times New Roman;Times;serif" w:hAnsi="Times New Roman;Times;serif"/>
          <w:color w:val="231F20"/>
          <w:sz w:val="20"/>
        </w:rPr>
        <w:t xml:space="preserve">There can be no assurance that these professionals will be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 xml:space="preserve">in the market, or that we will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retain existing professionals or to meet or to continue to meet their compensation requirements. Furthermore, the cost base in relation to such compensation, which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include equity compensation,</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5"/>
          <w:sz w:val="20"/>
        </w:rPr>
        <w:t xml:space="preserve"> </w:t>
      </w:r>
      <w:r>
        <w:rPr>
          <w:rFonts w:ascii="Times New Roman;Times;serif" w:hAnsi="Times New Roman;Times;serif"/>
          <w:color w:val="231F20"/>
          <w:sz w:val="20"/>
        </w:rPr>
        <w:t>increase</w:t>
      </w:r>
      <w:r>
        <w:rPr>
          <w:rFonts w:ascii="Times New Roman;Times;serif" w:hAnsi="Times New Roman;Times;serif"/>
          <w:color w:val="231F20"/>
          <w:spacing w:val="-14"/>
          <w:sz w:val="20"/>
        </w:rPr>
        <w:t xml:space="preserve"> </w:t>
      </w:r>
      <w:r>
        <w:rPr>
          <w:rFonts w:ascii="Times New Roman;Times;serif" w:hAnsi="Times New Roman;Times;serif"/>
          <w:color w:val="231F20"/>
          <w:sz w:val="20"/>
        </w:rPr>
        <w:t>significantly,</w:t>
      </w:r>
      <w:r>
        <w:rPr>
          <w:rFonts w:ascii="Times New Roman;Times;serif" w:hAnsi="Times New Roman;Times;serif"/>
          <w:color w:val="231F20"/>
          <w:spacing w:val="-15"/>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14"/>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15"/>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14"/>
          <w:sz w:val="20"/>
        </w:rPr>
        <w:t xml:space="preserve"> </w:t>
      </w:r>
      <w:r>
        <w:rPr>
          <w:rFonts w:ascii="Times New Roman;Times;serif" w:hAnsi="Times New Roman;Times;serif"/>
          <w:color w:val="231F20"/>
          <w:sz w:val="20"/>
        </w:rPr>
        <w:t>a</w:t>
      </w:r>
      <w:r>
        <w:rPr>
          <w:rFonts w:ascii="Times New Roman;Times;serif" w:hAnsi="Times New Roman;Times;serif"/>
          <w:color w:val="231F20"/>
          <w:spacing w:val="-15"/>
          <w:sz w:val="20"/>
        </w:rPr>
        <w:t xml:space="preserve"> </w:t>
      </w:r>
      <w:r>
        <w:rPr>
          <w:rFonts w:ascii="Times New Roman;Times;serif" w:hAnsi="Times New Roman;Times;serif"/>
          <w:color w:val="231F20"/>
          <w:sz w:val="20"/>
        </w:rPr>
        <w:t>material</w:t>
      </w:r>
      <w:r>
        <w:rPr>
          <w:rFonts w:ascii="Times New Roman;Times;serif" w:hAnsi="Times New Roman;Times;serif"/>
          <w:color w:val="231F20"/>
          <w:spacing w:val="-14"/>
          <w:sz w:val="20"/>
        </w:rPr>
        <w:t xml:space="preserve"> </w:t>
      </w:r>
      <w:r>
        <w:rPr>
          <w:rFonts w:ascii="Times New Roman;Times;serif" w:hAnsi="Times New Roman;Times;serif"/>
          <w:color w:val="231F20"/>
          <w:sz w:val="20"/>
        </w:rPr>
        <w:t>adverse</w:t>
      </w:r>
      <w:r>
        <w:rPr>
          <w:rFonts w:ascii="Times New Roman;Times;serif" w:hAnsi="Times New Roman;Times;serif"/>
          <w:color w:val="231F20"/>
          <w:spacing w:val="-15"/>
          <w:sz w:val="20"/>
        </w:rPr>
        <w:t xml:space="preserve"> </w:t>
      </w:r>
      <w:r>
        <w:rPr>
          <w:rFonts w:ascii="Times New Roman;Times;serif" w:hAnsi="Times New Roman;Times;serif"/>
          <w:color w:val="231F20"/>
          <w:sz w:val="20"/>
        </w:rPr>
        <w:t>effect</w:t>
      </w:r>
      <w:r>
        <w:rPr>
          <w:rFonts w:ascii="Times New Roman;Times;serif" w:hAnsi="Times New Roman;Times;serif"/>
          <w:color w:val="231F20"/>
          <w:spacing w:val="-14"/>
          <w:sz w:val="20"/>
        </w:rPr>
        <w:t xml:space="preserve"> </w:t>
      </w:r>
      <w:r>
        <w:rPr>
          <w:rFonts w:ascii="Times New Roman;Times;serif" w:hAnsi="Times New Roman;Times;serif"/>
          <w:color w:val="231F20"/>
          <w:sz w:val="20"/>
        </w:rPr>
        <w:t>on</w:t>
      </w:r>
      <w:r>
        <w:rPr>
          <w:rFonts w:ascii="Times New Roman;Times;serif" w:hAnsi="Times New Roman;Times;serif"/>
          <w:color w:val="231F20"/>
          <w:spacing w:val="-15"/>
          <w:sz w:val="20"/>
        </w:rPr>
        <w:t xml:space="preserve"> </w:t>
      </w:r>
      <w:r>
        <w:rPr>
          <w:rFonts w:ascii="Times New Roman;Times;serif" w:hAnsi="Times New Roman;Times;serif"/>
          <w:color w:val="231F20"/>
          <w:spacing w:val="-5"/>
          <w:sz w:val="20"/>
        </w:rPr>
        <w:t>us.</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Failure</w:t>
      </w:r>
      <w:r>
        <w:rPr>
          <w:rFonts w:ascii="Times New Roman;Times;serif" w:hAnsi="Times New Roman;Times;serif"/>
          <w:color w:val="231F20"/>
          <w:spacing w:val="-15"/>
          <w:sz w:val="20"/>
        </w:rPr>
        <w:t xml:space="preserve"> </w:t>
      </w:r>
      <w:r>
        <w:rPr>
          <w:rFonts w:ascii="Times New Roman;Times;serif" w:hAnsi="Times New Roman;Times;serif"/>
          <w:color w:val="231F20"/>
          <w:sz w:val="20"/>
        </w:rPr>
        <w:t>to</w:t>
      </w:r>
      <w:r>
        <w:rPr>
          <w:rFonts w:ascii="Times New Roman;Times;serif" w:hAnsi="Times New Roman;Times;serif"/>
          <w:color w:val="231F20"/>
          <w:spacing w:val="-14"/>
          <w:sz w:val="20"/>
        </w:rPr>
        <w:t xml:space="preserve"> </w:t>
      </w:r>
      <w:r>
        <w:rPr>
          <w:rFonts w:ascii="Times New Roman;Times;serif" w:hAnsi="Times New Roman;Times;serif"/>
          <w:color w:val="231F20"/>
          <w:sz w:val="20"/>
        </w:rPr>
        <w:t>establish and maintain an effective management team and work force could adversely affect our ability to operate, grow and manage our business.</w:t>
      </w:r>
    </w:p>
    <w:p>
      <w:pPr>
        <w:pStyle w:val="TextBody"/>
        <w:spacing w:lineRule="auto" w:line="288"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Our</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employees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engage</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misconduct</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other</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improper</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activities,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including</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noncompliance</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regulatory standards and</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requirements.</w:t>
      </w:r>
    </w:p>
    <w:p>
      <w:pPr>
        <w:pStyle w:val="TextBody"/>
        <w:spacing w:lineRule="auto" w:line="288"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are exposed to the risk of employee fraud or other misconduct. Misconduct by employees could include intentional failures to:</w:t>
      </w:r>
    </w:p>
    <w:tbl>
      <w:tblPr>
        <w:tblW w:w="9958" w:type="dxa"/>
        <w:jc w:val="left"/>
        <w:tblInd w:w="0" w:type="dxa"/>
        <w:tblCellMar>
          <w:top w:w="28" w:type="dxa"/>
          <w:left w:w="28" w:type="dxa"/>
          <w:bottom w:w="28" w:type="dxa"/>
          <w:right w:w="28" w:type="dxa"/>
        </w:tblCellMar>
      </w:tblPr>
      <w:tblGrid>
        <w:gridCol w:w="124"/>
        <w:gridCol w:w="196"/>
        <w:gridCol w:w="9638"/>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638"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comply</w:t>
            </w:r>
            <w:r>
              <w:rPr>
                <w:caps w:val="false"/>
                <w:smallCaps w:val="false"/>
                <w:color w:val="231F20"/>
                <w:spacing w:val="-32"/>
              </w:rPr>
              <w:t xml:space="preserve"> </w:t>
            </w:r>
            <w:r>
              <w:rPr>
                <w:rFonts w:ascii="Times New Roman;Times;serif" w:hAnsi="Times New Roman;Times;serif"/>
                <w:b w:val="false"/>
                <w:i w:val="false"/>
                <w:caps w:val="false"/>
                <w:smallCaps w:val="false"/>
                <w:color w:val="231F20"/>
                <w:sz w:val="20"/>
              </w:rPr>
              <w:t>with</w:t>
            </w:r>
            <w:r>
              <w:rPr>
                <w:caps w:val="false"/>
                <w:smallCaps w:val="false"/>
                <w:color w:val="231F20"/>
                <w:spacing w:val="-31"/>
              </w:rPr>
              <w:t xml:space="preserve"> </w:t>
            </w:r>
            <w:r>
              <w:rPr>
                <w:rFonts w:ascii="Times New Roman;Times;serif" w:hAnsi="Times New Roman;Times;serif"/>
                <w:b w:val="false"/>
                <w:i w:val="false"/>
                <w:caps w:val="false"/>
                <w:smallCaps w:val="false"/>
                <w:color w:val="231F20"/>
                <w:spacing w:val="-4"/>
                <w:sz w:val="20"/>
              </w:rPr>
              <w:t>FDA</w:t>
            </w:r>
            <w:r>
              <w:rPr>
                <w:caps w:val="false"/>
                <w:smallCaps w:val="false"/>
                <w:color w:val="231F20"/>
                <w:spacing w:val="-31"/>
              </w:rPr>
              <w:t xml:space="preserve"> </w:t>
            </w:r>
            <w:r>
              <w:rPr>
                <w:rFonts w:ascii="Times New Roman;Times;serif" w:hAnsi="Times New Roman;Times;serif"/>
                <w:b w:val="false"/>
                <w:i w:val="false"/>
                <w:caps w:val="false"/>
                <w:smallCaps w:val="false"/>
                <w:color w:val="231F20"/>
                <w:sz w:val="20"/>
              </w:rPr>
              <w:t>regulations</w:t>
            </w:r>
            <w:r>
              <w:rPr>
                <w:caps w:val="false"/>
                <w:smallCaps w:val="false"/>
                <w:color w:val="231F20"/>
                <w:spacing w:val="-32"/>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31"/>
              </w:rPr>
              <w:t xml:space="preserve"> </w:t>
            </w:r>
            <w:r>
              <w:rPr>
                <w:rFonts w:ascii="Times New Roman;Times;serif" w:hAnsi="Times New Roman;Times;serif"/>
                <w:b w:val="false"/>
                <w:i w:val="false"/>
                <w:caps w:val="false"/>
                <w:smallCaps w:val="false"/>
                <w:color w:val="231F20"/>
                <w:sz w:val="20"/>
              </w:rPr>
              <w:t>similar</w:t>
            </w:r>
            <w:r>
              <w:rPr>
                <w:caps w:val="false"/>
                <w:smallCaps w:val="false"/>
                <w:color w:val="231F20"/>
                <w:spacing w:val="-31"/>
              </w:rPr>
              <w:t xml:space="preserve"> </w:t>
            </w:r>
            <w:r>
              <w:rPr>
                <w:rFonts w:ascii="Times New Roman;Times;serif" w:hAnsi="Times New Roman;Times;serif"/>
                <w:b w:val="false"/>
                <w:i w:val="false"/>
                <w:caps w:val="false"/>
                <w:smallCaps w:val="false"/>
                <w:color w:val="231F20"/>
                <w:sz w:val="20"/>
              </w:rPr>
              <w:t>regulations</w:t>
            </w:r>
            <w:r>
              <w:rPr>
                <w:caps w:val="false"/>
                <w:smallCaps w:val="false"/>
                <w:color w:val="231F20"/>
                <w:spacing w:val="-32"/>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comparable</w:t>
            </w:r>
            <w:r>
              <w:rPr>
                <w:caps w:val="false"/>
                <w:smallCaps w:val="false"/>
                <w:color w:val="231F20"/>
                <w:spacing w:val="-31"/>
              </w:rPr>
              <w:t xml:space="preserve"> </w:t>
            </w:r>
            <w:r>
              <w:rPr>
                <w:rFonts w:ascii="Times New Roman;Times;serif" w:hAnsi="Times New Roman;Times;serif"/>
                <w:b w:val="false"/>
                <w:i w:val="false"/>
                <w:caps w:val="false"/>
                <w:smallCaps w:val="false"/>
                <w:color w:val="231F20"/>
                <w:sz w:val="20"/>
              </w:rPr>
              <w:t>foreign</w:t>
            </w:r>
            <w:r>
              <w:rPr>
                <w:caps w:val="false"/>
                <w:smallCaps w:val="false"/>
                <w:color w:val="231F20"/>
                <w:spacing w:val="-31"/>
              </w:rPr>
              <w:t xml:space="preserve"> </w:t>
            </w:r>
            <w:r>
              <w:rPr>
                <w:rFonts w:ascii="Times New Roman;Times;serif" w:hAnsi="Times New Roman;Times;serif"/>
                <w:b w:val="false"/>
                <w:i w:val="false"/>
                <w:caps w:val="false"/>
                <w:smallCaps w:val="false"/>
                <w:color w:val="231F20"/>
                <w:sz w:val="20"/>
              </w:rPr>
              <w:t>regulatory</w:t>
            </w:r>
            <w:r>
              <w:rPr>
                <w:caps w:val="false"/>
                <w:smallCaps w:val="false"/>
                <w:color w:val="231F20"/>
                <w:spacing w:val="-32"/>
              </w:rPr>
              <w:t xml:space="preserve"> </w:t>
            </w:r>
            <w:r>
              <w:rPr>
                <w:rFonts w:ascii="Times New Roman;Times;serif" w:hAnsi="Times New Roman;Times;serif"/>
                <w:b w:val="false"/>
                <w:i w:val="false"/>
                <w:caps w:val="false"/>
                <w:smallCaps w:val="false"/>
                <w:color w:val="231F20"/>
                <w:sz w:val="20"/>
              </w:rPr>
              <w:t>authorities; provide</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accurate</w:t>
            </w:r>
            <w:r>
              <w:rPr>
                <w:caps w:val="false"/>
                <w:smallCaps w:val="false"/>
                <w:color w:val="231F20"/>
                <w:spacing w:val="-13"/>
              </w:rPr>
              <w:t xml:space="preserve">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076" w:type="dxa"/>
        <w:jc w:val="left"/>
        <w:tblInd w:w="0" w:type="dxa"/>
        <w:tblCellMar>
          <w:top w:w="28" w:type="dxa"/>
          <w:left w:w="28" w:type="dxa"/>
          <w:bottom w:w="28" w:type="dxa"/>
          <w:right w:w="28" w:type="dxa"/>
        </w:tblCellMar>
      </w:tblPr>
      <w:tblGrid>
        <w:gridCol w:w="124"/>
        <w:gridCol w:w="109"/>
        <w:gridCol w:w="58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3"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information</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13"/>
              </w:rPr>
              <w:t xml:space="preserve"> </w:t>
            </w:r>
            <w:r>
              <w:rPr>
                <w:rFonts w:ascii="Times New Roman;Times;serif" w:hAnsi="Times New Roman;Times;serif"/>
                <w:b w:val="false"/>
                <w:i w:val="false"/>
                <w:caps w:val="false"/>
                <w:smallCaps w:val="false"/>
                <w:color w:val="231F20"/>
                <w:spacing w:val="-4"/>
                <w:sz w:val="20"/>
              </w:rPr>
              <w:t>FDA</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comparable</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foreign</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regulatory</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authorities;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comply with federal and state healthcare fraud and </w:t>
            </w:r>
            <w:r>
              <w:rPr>
                <w:rFonts w:ascii="Times New Roman;Times;serif" w:hAnsi="Times New Roman;Times;serif"/>
                <w:b w:val="false"/>
                <w:i w:val="false"/>
                <w:caps w:val="false"/>
                <w:smallCaps w:val="false"/>
                <w:color w:val="231F20"/>
                <w:spacing w:val="-3"/>
                <w:sz w:val="20"/>
              </w:rPr>
              <w:t xml:space="preserve">abuse </w:t>
            </w:r>
            <w:r>
              <w:rPr>
                <w:rFonts w:ascii="Times New Roman;Times;serif" w:hAnsi="Times New Roman;Times;serif"/>
                <w:b w:val="false"/>
                <w:i w:val="false"/>
                <w:caps w:val="false"/>
                <w:smallCaps w:val="false"/>
                <w:color w:val="231F20"/>
                <w:spacing w:val="-4"/>
                <w:sz w:val="20"/>
              </w:rPr>
              <w:t xml:space="preserve">laws </w:t>
            </w:r>
            <w:r>
              <w:rPr>
                <w:rFonts w:ascii="Times New Roman;Times;serif" w:hAnsi="Times New Roman;Times;serif"/>
                <w:b w:val="false"/>
                <w:i w:val="false"/>
                <w:caps w:val="false"/>
                <w:smallCaps w:val="false"/>
                <w:color w:val="231F20"/>
                <w:sz w:val="20"/>
              </w:rPr>
              <w:t xml:space="preserve">and regulations and similar </w:t>
            </w:r>
            <w:r>
              <w:rPr>
                <w:rFonts w:ascii="Times New Roman;Times;serif" w:hAnsi="Times New Roman;Times;serif"/>
                <w:b w:val="false"/>
                <w:i w:val="false"/>
                <w:caps w:val="false"/>
                <w:smallCaps w:val="false"/>
                <w:color w:val="231F20"/>
                <w:spacing w:val="-4"/>
                <w:sz w:val="20"/>
              </w:rPr>
              <w:t xml:space="preserve">laws </w:t>
            </w:r>
            <w:r>
              <w:rPr>
                <w:rFonts w:ascii="Times New Roman;Times;serif" w:hAnsi="Times New Roman;Times;serif"/>
                <w:b w:val="false"/>
                <w:i w:val="false"/>
                <w:caps w:val="false"/>
                <w:smallCaps w:val="false"/>
                <w:color w:val="231F20"/>
                <w:sz w:val="20"/>
              </w:rPr>
              <w:t>and regulations established and enforced by comparable foreign regulatory</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authorities;</w:t>
            </w:r>
          </w:p>
        </w:tc>
      </w:tr>
    </w:tbl>
    <w:tbl>
      <w:tblPr>
        <w:tblW w:w="4566" w:type="dxa"/>
        <w:jc w:val="left"/>
        <w:tblInd w:w="0" w:type="dxa"/>
        <w:tblCellMar>
          <w:top w:w="28" w:type="dxa"/>
          <w:left w:w="28" w:type="dxa"/>
          <w:bottom w:w="28" w:type="dxa"/>
          <w:right w:w="28" w:type="dxa"/>
        </w:tblCellMar>
      </w:tblPr>
      <w:tblGrid>
        <w:gridCol w:w="124"/>
        <w:gridCol w:w="196"/>
        <w:gridCol w:w="424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24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report</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financial</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information</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data</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accurately;</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or</w:t>
            </w:r>
          </w:p>
        </w:tc>
      </w:tr>
    </w:tbl>
    <w:tbl>
      <w:tblPr>
        <w:tblW w:w="3536" w:type="dxa"/>
        <w:jc w:val="left"/>
        <w:tblInd w:w="0" w:type="dxa"/>
        <w:tblCellMar>
          <w:top w:w="28" w:type="dxa"/>
          <w:left w:w="28" w:type="dxa"/>
          <w:bottom w:w="28" w:type="dxa"/>
          <w:right w:w="28" w:type="dxa"/>
        </w:tblCellMar>
      </w:tblPr>
      <w:tblGrid>
        <w:gridCol w:w="124"/>
        <w:gridCol w:w="196"/>
        <w:gridCol w:w="321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21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disclose unauthorized activities to</w:t>
            </w:r>
            <w:r>
              <w:rPr>
                <w:caps w:val="false"/>
                <w:smallCaps w:val="false"/>
                <w:color w:val="231F20"/>
                <w:spacing w:val="-28"/>
              </w:rPr>
              <w:t xml:space="preserve"> </w:t>
            </w:r>
            <w:r>
              <w:rPr>
                <w:rFonts w:ascii="Times New Roman;Times;serif" w:hAnsi="Times New Roman;Times;serif"/>
                <w:b w:val="false"/>
                <w:i w:val="false"/>
                <w:caps w:val="false"/>
                <w:smallCaps w:val="false"/>
                <w:color w:val="231F20"/>
                <w:spacing w:val="-5"/>
                <w:sz w:val="20"/>
              </w:rPr>
              <w:t>us.</w:t>
            </w:r>
          </w:p>
        </w:tc>
      </w:tr>
    </w:tbl>
    <w:p>
      <w:pPr>
        <w:pStyle w:val="TextBody"/>
        <w:spacing w:lineRule="auto" w:line="288" w:before="167"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In particular, </w:t>
      </w:r>
      <w:r>
        <w:rPr>
          <w:rFonts w:ascii="Times New Roman;Times;serif" w:hAnsi="Times New Roman;Times;serif"/>
          <w:color w:val="231F20"/>
          <w:spacing w:val="-4"/>
          <w:sz w:val="20"/>
        </w:rPr>
        <w:t xml:space="preserve">sales, </w:t>
      </w:r>
      <w:r>
        <w:rPr>
          <w:rFonts w:ascii="Times New Roman;Times;serif" w:hAnsi="Times New Roman;Times;serif"/>
          <w:color w:val="231F20"/>
          <w:sz w:val="20"/>
        </w:rPr>
        <w:t>marketing and business arrangements in the healthcare industry are subject to extensive</w:t>
      </w:r>
      <w:r>
        <w:rPr>
          <w:rFonts w:ascii="Times New Roman;Times;serif" w:hAnsi="Times New Roman;Times;serif"/>
          <w:color w:val="231F20"/>
          <w:spacing w:val="-36"/>
          <w:sz w:val="20"/>
        </w:rPr>
        <w:t xml:space="preserve"> </w:t>
      </w:r>
      <w:r>
        <w:rPr>
          <w:rFonts w:ascii="Times New Roman;Times;serif" w:hAnsi="Times New Roman;Times;serif"/>
          <w:color w:val="231F20"/>
          <w:spacing w:val="-4"/>
          <w:sz w:val="20"/>
        </w:rPr>
        <w:t>laws</w:t>
      </w:r>
      <w:r>
        <w:rPr>
          <w:rFonts w:ascii="Times New Roman;Times;serif" w:hAnsi="Times New Roman;Times;serif"/>
          <w:color w:val="231F20"/>
          <w:spacing w:val="-36"/>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6"/>
          <w:sz w:val="20"/>
        </w:rPr>
        <w:t xml:space="preserve"> </w:t>
      </w:r>
      <w:r>
        <w:rPr>
          <w:rFonts w:ascii="Times New Roman;Times;serif" w:hAnsi="Times New Roman;Times;serif"/>
          <w:color w:val="231F20"/>
          <w:sz w:val="20"/>
        </w:rPr>
        <w:t>regulations</w:t>
      </w:r>
      <w:r>
        <w:rPr>
          <w:rFonts w:ascii="Times New Roman;Times;serif" w:hAnsi="Times New Roman;Times;serif"/>
          <w:color w:val="231F20"/>
          <w:spacing w:val="-36"/>
          <w:sz w:val="20"/>
        </w:rPr>
        <w:t xml:space="preserve"> </w:t>
      </w:r>
      <w:r>
        <w:rPr>
          <w:rFonts w:ascii="Times New Roman;Times;serif" w:hAnsi="Times New Roman;Times;serif"/>
          <w:color w:val="231F20"/>
          <w:sz w:val="20"/>
        </w:rPr>
        <w:t>intended</w:t>
      </w:r>
      <w:r>
        <w:rPr>
          <w:rFonts w:ascii="Times New Roman;Times;serif" w:hAnsi="Times New Roman;Times;serif"/>
          <w:color w:val="231F20"/>
          <w:spacing w:val="-36"/>
          <w:sz w:val="20"/>
        </w:rPr>
        <w:t xml:space="preserve"> </w:t>
      </w:r>
      <w:r>
        <w:rPr>
          <w:rFonts w:ascii="Times New Roman;Times;serif" w:hAnsi="Times New Roman;Times;serif"/>
          <w:color w:val="231F20"/>
          <w:sz w:val="20"/>
        </w:rPr>
        <w:t>to</w:t>
      </w:r>
      <w:r>
        <w:rPr>
          <w:rFonts w:ascii="Times New Roman;Times;serif" w:hAnsi="Times New Roman;Times;serif"/>
          <w:color w:val="231F20"/>
          <w:spacing w:val="-36"/>
          <w:sz w:val="20"/>
        </w:rPr>
        <w:t xml:space="preserve"> </w:t>
      </w:r>
      <w:r>
        <w:rPr>
          <w:rFonts w:ascii="Times New Roman;Times;serif" w:hAnsi="Times New Roman;Times;serif"/>
          <w:color w:val="231F20"/>
          <w:sz w:val="20"/>
        </w:rPr>
        <w:t>prevent</w:t>
      </w:r>
      <w:r>
        <w:rPr>
          <w:rFonts w:ascii="Times New Roman;Times;serif" w:hAnsi="Times New Roman;Times;serif"/>
          <w:color w:val="231F20"/>
          <w:spacing w:val="-36"/>
          <w:sz w:val="20"/>
        </w:rPr>
        <w:t xml:space="preserve"> </w:t>
      </w:r>
      <w:r>
        <w:rPr>
          <w:rFonts w:ascii="Times New Roman;Times;serif" w:hAnsi="Times New Roman;Times;serif"/>
          <w:color w:val="231F20"/>
          <w:sz w:val="20"/>
        </w:rPr>
        <w:t>fraud,</w:t>
      </w:r>
      <w:r>
        <w:rPr>
          <w:rFonts w:ascii="Times New Roman;Times;serif" w:hAnsi="Times New Roman;Times;serif"/>
          <w:color w:val="231F20"/>
          <w:spacing w:val="-35"/>
          <w:sz w:val="20"/>
        </w:rPr>
        <w:t xml:space="preserve"> </w:t>
      </w:r>
      <w:r>
        <w:rPr>
          <w:rFonts w:ascii="Times New Roman;Times;serif" w:hAnsi="Times New Roman;Times;serif"/>
          <w:color w:val="231F20"/>
          <w:sz w:val="20"/>
        </w:rPr>
        <w:t>kickbacks,</w:t>
      </w:r>
      <w:r>
        <w:rPr>
          <w:rFonts w:ascii="Times New Roman;Times;serif" w:hAnsi="Times New Roman;Times;serif"/>
          <w:color w:val="231F20"/>
          <w:spacing w:val="-36"/>
          <w:sz w:val="20"/>
        </w:rPr>
        <w:t xml:space="preserve"> </w:t>
      </w:r>
      <w:r>
        <w:rPr>
          <w:rFonts w:ascii="Times New Roman;Times;serif" w:hAnsi="Times New Roman;Times;serif"/>
          <w:color w:val="231F20"/>
          <w:sz w:val="20"/>
        </w:rPr>
        <w:t>self-dealing</w:t>
      </w:r>
      <w:r>
        <w:rPr>
          <w:rFonts w:ascii="Times New Roman;Times;serif" w:hAnsi="Times New Roman;Times;serif"/>
          <w:color w:val="231F20"/>
          <w:spacing w:val="-36"/>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6"/>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36"/>
          <w:sz w:val="20"/>
        </w:rPr>
        <w:t xml:space="preserve"> </w:t>
      </w:r>
      <w:r>
        <w:rPr>
          <w:rFonts w:ascii="Times New Roman;Times;serif" w:hAnsi="Times New Roman;Times;serif"/>
          <w:color w:val="231F20"/>
          <w:spacing w:val="-3"/>
          <w:sz w:val="20"/>
        </w:rPr>
        <w:t>abusive</w:t>
      </w:r>
      <w:r>
        <w:rPr>
          <w:rFonts w:ascii="Times New Roman;Times;serif" w:hAnsi="Times New Roman;Times;serif"/>
          <w:color w:val="231F20"/>
          <w:spacing w:val="-36"/>
          <w:sz w:val="20"/>
        </w:rPr>
        <w:t xml:space="preserve"> </w:t>
      </w:r>
      <w:r>
        <w:rPr>
          <w:rFonts w:ascii="Times New Roman;Times;serif" w:hAnsi="Times New Roman;Times;serif"/>
          <w:color w:val="231F20"/>
          <w:sz w:val="20"/>
        </w:rPr>
        <w:t xml:space="preserve">practices. These </w:t>
      </w:r>
      <w:r>
        <w:rPr>
          <w:rFonts w:ascii="Times New Roman;Times;serif" w:hAnsi="Times New Roman;Times;serif"/>
          <w:color w:val="231F20"/>
          <w:spacing w:val="-4"/>
          <w:sz w:val="20"/>
        </w:rPr>
        <w:t xml:space="preserve">laws </w:t>
      </w:r>
      <w:r>
        <w:rPr>
          <w:rFonts w:ascii="Times New Roman;Times;serif" w:hAnsi="Times New Roman;Times;serif"/>
          <w:color w:val="231F20"/>
          <w:sz w:val="20"/>
        </w:rPr>
        <w:t xml:space="preserve">and regulations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restrict or prohibit a wide range of pricing, discounting, marketing and promotion,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commission,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customer</w:t>
      </w:r>
      <w:r>
        <w:rPr>
          <w:rFonts w:ascii="Times New Roman;Times;serif" w:hAnsi="Times New Roman;Times;serif"/>
          <w:color w:val="231F20"/>
          <w:spacing w:val="-23"/>
          <w:sz w:val="20"/>
        </w:rPr>
        <w:t xml:space="preserve"> </w:t>
      </w:r>
      <w:r>
        <w:rPr>
          <w:rFonts w:ascii="Times New Roman;Times;serif" w:hAnsi="Times New Roman;Times;serif"/>
          <w:color w:val="231F20"/>
          <w:sz w:val="20"/>
        </w:rPr>
        <w:t>incentive</w:t>
      </w:r>
      <w:r>
        <w:rPr>
          <w:rFonts w:ascii="Times New Roman;Times;serif" w:hAnsi="Times New Roman;Times;serif"/>
          <w:color w:val="231F20"/>
          <w:spacing w:val="-23"/>
          <w:sz w:val="20"/>
        </w:rPr>
        <w:t xml:space="preserve"> </w:t>
      </w:r>
      <w:r>
        <w:rPr>
          <w:rFonts w:ascii="Times New Roman;Times;serif" w:hAnsi="Times New Roman;Times;serif"/>
          <w:color w:val="231F20"/>
          <w:sz w:val="20"/>
        </w:rPr>
        <w:t>programs</w:t>
      </w:r>
      <w:r>
        <w:rPr>
          <w:rFonts w:ascii="Times New Roman;Times;serif" w:hAnsi="Times New Roman;Times;serif"/>
          <w:color w:val="231F20"/>
          <w:spacing w:val="-2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3"/>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3"/>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23"/>
          <w:sz w:val="20"/>
        </w:rPr>
        <w:t xml:space="preserve"> </w:t>
      </w:r>
      <w:r>
        <w:rPr>
          <w:rFonts w:ascii="Times New Roman;Times;serif" w:hAnsi="Times New Roman;Times;serif"/>
          <w:color w:val="231F20"/>
          <w:sz w:val="20"/>
        </w:rPr>
        <w:t>arrangements.</w:t>
      </w:r>
      <w:r>
        <w:rPr>
          <w:rFonts w:ascii="Times New Roman;Times;serif" w:hAnsi="Times New Roman;Times;serif"/>
          <w:color w:val="231F20"/>
          <w:spacing w:val="-23"/>
          <w:sz w:val="20"/>
        </w:rPr>
        <w:t xml:space="preserve"> </w:t>
      </w:r>
      <w:r>
        <w:rPr>
          <w:rFonts w:ascii="Times New Roman;Times;serif" w:hAnsi="Times New Roman;Times;serif"/>
          <w:color w:val="231F20"/>
          <w:sz w:val="20"/>
        </w:rPr>
        <w:t>Employee misconduct</w:t>
      </w:r>
      <w:r>
        <w:rPr>
          <w:rFonts w:ascii="Times New Roman;Times;serif" w:hAnsi="Times New Roman;Times;serif"/>
          <w:color w:val="231F20"/>
          <w:spacing w:val="-31"/>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31"/>
          <w:sz w:val="20"/>
        </w:rPr>
        <w:t xml:space="preserve"> </w:t>
      </w:r>
      <w:r>
        <w:rPr>
          <w:rFonts w:ascii="Times New Roman;Times;serif" w:hAnsi="Times New Roman;Times;serif"/>
          <w:color w:val="231F20"/>
          <w:spacing w:val="-3"/>
          <w:sz w:val="20"/>
        </w:rPr>
        <w:t>also</w:t>
      </w:r>
      <w:r>
        <w:rPr>
          <w:rFonts w:ascii="Times New Roman;Times;serif" w:hAnsi="Times New Roman;Times;serif"/>
          <w:color w:val="231F20"/>
          <w:spacing w:val="-31"/>
          <w:sz w:val="20"/>
        </w:rPr>
        <w:t xml:space="preserve"> </w:t>
      </w:r>
      <w:r>
        <w:rPr>
          <w:rFonts w:ascii="Times New Roman;Times;serif" w:hAnsi="Times New Roman;Times;serif"/>
          <w:color w:val="231F20"/>
          <w:spacing w:val="-3"/>
          <w:sz w:val="20"/>
        </w:rPr>
        <w:t>involve</w:t>
      </w:r>
      <w:r>
        <w:rPr>
          <w:rFonts w:ascii="Times New Roman;Times;serif" w:hAnsi="Times New Roman;Times;serif"/>
          <w:color w:val="231F20"/>
          <w:spacing w:val="-3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1"/>
          <w:sz w:val="20"/>
        </w:rPr>
        <w:t xml:space="preserve"> </w:t>
      </w:r>
      <w:r>
        <w:rPr>
          <w:rFonts w:ascii="Times New Roman;Times;serif" w:hAnsi="Times New Roman;Times;serif"/>
          <w:color w:val="231F20"/>
          <w:sz w:val="20"/>
        </w:rPr>
        <w:t>improper</w:t>
      </w:r>
      <w:r>
        <w:rPr>
          <w:rFonts w:ascii="Times New Roman;Times;serif" w:hAnsi="Times New Roman;Times;serif"/>
          <w:color w:val="231F20"/>
          <w:spacing w:val="-30"/>
          <w:sz w:val="20"/>
        </w:rPr>
        <w:t xml:space="preserve"> </w:t>
      </w:r>
      <w:r>
        <w:rPr>
          <w:rFonts w:ascii="Times New Roman;Times;serif" w:hAnsi="Times New Roman;Times;serif"/>
          <w:color w:val="231F20"/>
          <w:sz w:val="20"/>
        </w:rPr>
        <w:t>use</w:t>
      </w:r>
      <w:r>
        <w:rPr>
          <w:rFonts w:ascii="Times New Roman;Times;serif" w:hAnsi="Times New Roman;Times;serif"/>
          <w:color w:val="231F20"/>
          <w:spacing w:val="-31"/>
          <w:sz w:val="20"/>
        </w:rPr>
        <w:t xml:space="preserve"> </w:t>
      </w:r>
      <w:r>
        <w:rPr>
          <w:rFonts w:ascii="Times New Roman;Times;serif" w:hAnsi="Times New Roman;Times;serif"/>
          <w:color w:val="231F20"/>
          <w:sz w:val="20"/>
        </w:rPr>
        <w:t>of</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information</w:t>
      </w:r>
      <w:r>
        <w:rPr>
          <w:rFonts w:ascii="Times New Roman;Times;serif" w:hAnsi="Times New Roman;Times;serif"/>
          <w:color w:val="231F20"/>
          <w:spacing w:val="-30"/>
          <w:sz w:val="20"/>
        </w:rPr>
        <w:t xml:space="preserve"> </w:t>
      </w:r>
      <w:r>
        <w:rPr>
          <w:rFonts w:ascii="Times New Roman;Times;serif" w:hAnsi="Times New Roman;Times;serif"/>
          <w:color w:val="231F20"/>
          <w:sz w:val="20"/>
        </w:rPr>
        <w:t>obtained</w:t>
      </w:r>
      <w:r>
        <w:rPr>
          <w:rFonts w:ascii="Times New Roman;Times;serif" w:hAnsi="Times New Roman;Times;serif"/>
          <w:color w:val="231F20"/>
          <w:spacing w:val="-31"/>
          <w:sz w:val="20"/>
        </w:rPr>
        <w:t xml:space="preserve"> </w:t>
      </w:r>
      <w:r>
        <w:rPr>
          <w:rFonts w:ascii="Times New Roman;Times;serif" w:hAnsi="Times New Roman;Times;serif"/>
          <w:color w:val="231F20"/>
          <w:sz w:val="20"/>
        </w:rPr>
        <w:t>in</w:t>
      </w:r>
      <w:r>
        <w:rPr>
          <w:rFonts w:ascii="Times New Roman;Times;serif" w:hAnsi="Times New Roman;Times;serif"/>
          <w:color w:val="231F20"/>
          <w:spacing w:val="-3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1"/>
          <w:sz w:val="20"/>
        </w:rPr>
        <w:t xml:space="preserve"> </w:t>
      </w:r>
      <w:r>
        <w:rPr>
          <w:rFonts w:ascii="Times New Roman;Times;serif" w:hAnsi="Times New Roman;Times;serif"/>
          <w:color w:val="231F20"/>
          <w:sz w:val="20"/>
        </w:rPr>
        <w:t>course</w:t>
      </w:r>
      <w:r>
        <w:rPr>
          <w:rFonts w:ascii="Times New Roman;Times;serif" w:hAnsi="Times New Roman;Times;serif"/>
          <w:color w:val="231F20"/>
          <w:spacing w:val="-31"/>
          <w:sz w:val="20"/>
        </w:rPr>
        <w:t xml:space="preserve"> </w:t>
      </w:r>
      <w:r>
        <w:rPr>
          <w:rFonts w:ascii="Times New Roman;Times;serif" w:hAnsi="Times New Roman;Times;serif"/>
          <w:color w:val="231F20"/>
          <w:sz w:val="20"/>
        </w:rPr>
        <w:t>of</w:t>
      </w:r>
      <w:r>
        <w:rPr>
          <w:rFonts w:ascii="Times New Roman;Times;serif" w:hAnsi="Times New Roman;Times;serif"/>
          <w:color w:val="231F20"/>
          <w:spacing w:val="-20"/>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31"/>
          <w:sz w:val="20"/>
        </w:rPr>
        <w:t xml:space="preserve"> </w:t>
      </w:r>
      <w:r>
        <w:rPr>
          <w:rFonts w:ascii="Times New Roman;Times;serif" w:hAnsi="Times New Roman;Times;serif"/>
          <w:color w:val="231F20"/>
          <w:spacing w:val="-3"/>
          <w:sz w:val="20"/>
        </w:rPr>
        <w:t>trials,</w:t>
      </w:r>
      <w:r>
        <w:rPr>
          <w:rFonts w:ascii="Times New Roman;Times;serif" w:hAnsi="Times New Roman;Times;serif"/>
          <w:color w:val="231F20"/>
          <w:spacing w:val="-31"/>
          <w:sz w:val="20"/>
        </w:rPr>
        <w:t xml:space="preserve"> </w:t>
      </w:r>
      <w:r>
        <w:rPr>
          <w:rFonts w:ascii="Times New Roman;Times;serif" w:hAnsi="Times New Roman;Times;serif"/>
          <w:color w:val="231F20"/>
          <w:sz w:val="20"/>
        </w:rPr>
        <w:t>which could</w:t>
      </w:r>
      <w:r>
        <w:rPr>
          <w:rFonts w:ascii="Times New Roman;Times;serif" w:hAnsi="Times New Roman;Times;serif"/>
          <w:color w:val="231F20"/>
          <w:spacing w:val="-19"/>
          <w:sz w:val="20"/>
        </w:rPr>
        <w:t xml:space="preserve"> </w:t>
      </w:r>
      <w:r>
        <w:rPr>
          <w:rFonts w:ascii="Times New Roman;Times;serif" w:hAnsi="Times New Roman;Times;serif"/>
          <w:color w:val="231F20"/>
          <w:sz w:val="20"/>
        </w:rPr>
        <w:t>result</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w:t>
      </w:r>
      <w:r>
        <w:rPr>
          <w:rFonts w:ascii="Times New Roman;Times;serif" w:hAnsi="Times New Roman;Times;serif"/>
          <w:color w:val="231F20"/>
          <w:spacing w:val="-18"/>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18"/>
          <w:sz w:val="20"/>
        </w:rPr>
        <w:t xml:space="preserve"> </w:t>
      </w:r>
      <w:r>
        <w:rPr>
          <w:rFonts w:ascii="Times New Roman;Times;serif" w:hAnsi="Times New Roman;Times;serif"/>
          <w:color w:val="231F20"/>
          <w:sz w:val="20"/>
        </w:rPr>
        <w:t>sanctions</w:t>
      </w:r>
      <w:r>
        <w:rPr>
          <w:rFonts w:ascii="Times New Roman;Times;serif" w:hAnsi="Times New Roman;Times;serif"/>
          <w:color w:val="231F20"/>
          <w:spacing w:val="-1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8"/>
          <w:sz w:val="20"/>
        </w:rPr>
        <w:t xml:space="preserve"> </w:t>
      </w:r>
      <w:r>
        <w:rPr>
          <w:rFonts w:ascii="Times New Roman;Times;serif" w:hAnsi="Times New Roman;Times;serif"/>
          <w:color w:val="231F20"/>
          <w:sz w:val="20"/>
        </w:rPr>
        <w:t>serious</w:t>
      </w:r>
      <w:r>
        <w:rPr>
          <w:rFonts w:ascii="Times New Roman;Times;serif" w:hAnsi="Times New Roman;Times;serif"/>
          <w:color w:val="231F20"/>
          <w:spacing w:val="-18"/>
          <w:sz w:val="20"/>
        </w:rPr>
        <w:t xml:space="preserve"> </w:t>
      </w:r>
      <w:r>
        <w:rPr>
          <w:rFonts w:ascii="Times New Roman;Times;serif" w:hAnsi="Times New Roman;Times;serif"/>
          <w:color w:val="231F20"/>
          <w:sz w:val="20"/>
        </w:rPr>
        <w:t>harm</w:t>
      </w:r>
      <w:r>
        <w:rPr>
          <w:rFonts w:ascii="Times New Roman;Times;serif" w:hAnsi="Times New Roman;Times;serif"/>
          <w:color w:val="231F20"/>
          <w:spacing w:val="-18"/>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8"/>
          <w:sz w:val="20"/>
        </w:rPr>
        <w:t xml:space="preserve"> </w:t>
      </w:r>
      <w:r>
        <w:rPr>
          <w:rFonts w:ascii="Times New Roman;Times;serif" w:hAnsi="Times New Roman;Times;serif"/>
          <w:color w:val="231F20"/>
          <w:sz w:val="20"/>
        </w:rPr>
        <w:t>reputation.</w:t>
      </w:r>
      <w:r>
        <w:rPr>
          <w:rFonts w:ascii="Times New Roman;Times;serif" w:hAnsi="Times New Roman;Times;serif"/>
          <w:color w:val="231F20"/>
          <w:spacing w:val="-18"/>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18"/>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18"/>
          <w:sz w:val="20"/>
        </w:rPr>
        <w:t xml:space="preserve"> </w:t>
      </w:r>
      <w:r>
        <w:rPr>
          <w:rFonts w:ascii="Times New Roman;Times;serif" w:hAnsi="Times New Roman;Times;serif"/>
          <w:color w:val="231F20"/>
          <w:sz w:val="20"/>
        </w:rPr>
        <w:t>adopted</w:t>
      </w:r>
      <w:r>
        <w:rPr>
          <w:rFonts w:ascii="Times New Roman;Times;serif" w:hAnsi="Times New Roman;Times;serif"/>
          <w:color w:val="231F20"/>
          <w:spacing w:val="-19"/>
          <w:sz w:val="20"/>
        </w:rPr>
        <w:t xml:space="preserve"> </w:t>
      </w:r>
      <w:r>
        <w:rPr>
          <w:rFonts w:ascii="Times New Roman;Times;serif" w:hAnsi="Times New Roman;Times;serif"/>
          <w:color w:val="231F20"/>
          <w:sz w:val="20"/>
        </w:rPr>
        <w:t>a</w:t>
      </w:r>
      <w:r>
        <w:rPr>
          <w:rFonts w:ascii="Times New Roman;Times;serif" w:hAnsi="Times New Roman;Times;serif"/>
          <w:color w:val="231F20"/>
          <w:spacing w:val="-18"/>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18"/>
          <w:sz w:val="20"/>
        </w:rPr>
        <w:t xml:space="preserve"> </w:t>
      </w:r>
      <w:r>
        <w:rPr>
          <w:rFonts w:ascii="Times New Roman;Times;serif" w:hAnsi="Times New Roman;Times;serif"/>
          <w:color w:val="231F20"/>
          <w:sz w:val="20"/>
        </w:rPr>
        <w:t xml:space="preserve">Code of Conduct and Anti-Corruption </w:t>
      </w:r>
      <w:r>
        <w:rPr>
          <w:rFonts w:ascii="Times New Roman;Times;serif" w:hAnsi="Times New Roman;Times;serif"/>
          <w:color w:val="231F20"/>
          <w:spacing w:val="-4"/>
          <w:sz w:val="20"/>
        </w:rPr>
        <w:t xml:space="preserve">Policy, </w:t>
      </w:r>
      <w:r>
        <w:rPr>
          <w:rFonts w:ascii="Times New Roman;Times;serif" w:hAnsi="Times New Roman;Times;serif"/>
          <w:color w:val="231F20"/>
          <w:sz w:val="20"/>
        </w:rPr>
        <w:t xml:space="preserve">but it is not </w:t>
      </w:r>
      <w:r>
        <w:rPr>
          <w:rFonts w:ascii="Times New Roman;Times;serif" w:hAnsi="Times New Roman;Times;serif"/>
          <w:color w:val="231F20"/>
          <w:spacing w:val="-4"/>
          <w:sz w:val="20"/>
        </w:rPr>
        <w:t xml:space="preserve">always </w:t>
      </w:r>
      <w:r>
        <w:rPr>
          <w:rFonts w:ascii="Times New Roman;Times;serif" w:hAnsi="Times New Roman;Times;serif"/>
          <w:color w:val="231F20"/>
          <w:sz w:val="20"/>
        </w:rPr>
        <w:t>possible to identify and deter employee misconduct,</w:t>
      </w:r>
      <w:r>
        <w:rPr>
          <w:rFonts w:ascii="Times New Roman;Times;serif" w:hAnsi="Times New Roman;Times;serif"/>
          <w:color w:val="231F20"/>
          <w:spacing w:val="-3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1"/>
          <w:sz w:val="20"/>
        </w:rPr>
        <w:t xml:space="preserve"> </w:t>
      </w:r>
      <w:r>
        <w:rPr>
          <w:rFonts w:ascii="Times New Roman;Times;serif" w:hAnsi="Times New Roman;Times;serif"/>
          <w:color w:val="231F20"/>
          <w:sz w:val="20"/>
        </w:rPr>
        <w:t>precautions</w:t>
      </w:r>
      <w:r>
        <w:rPr>
          <w:rFonts w:ascii="Times New Roman;Times;serif" w:hAnsi="Times New Roman;Times;serif"/>
          <w:color w:val="231F20"/>
          <w:spacing w:val="-31"/>
          <w:sz w:val="20"/>
        </w:rPr>
        <w:t xml:space="preserve"> </w:t>
      </w:r>
      <w:r>
        <w:rPr>
          <w:rFonts w:ascii="Times New Roman;Times;serif" w:hAnsi="Times New Roman;Times;serif"/>
          <w:color w:val="231F20"/>
          <w:sz w:val="20"/>
        </w:rPr>
        <w:t>we</w:t>
      </w:r>
      <w:r>
        <w:rPr>
          <w:rFonts w:ascii="Times New Roman;Times;serif" w:hAnsi="Times New Roman;Times;serif"/>
          <w:color w:val="231F20"/>
          <w:spacing w:val="-31"/>
          <w:sz w:val="20"/>
        </w:rPr>
        <w:t xml:space="preserve"> </w:t>
      </w:r>
      <w:r>
        <w:rPr>
          <w:rFonts w:ascii="Times New Roman;Times;serif" w:hAnsi="Times New Roman;Times;serif"/>
          <w:color w:val="231F20"/>
          <w:spacing w:val="-4"/>
          <w:sz w:val="20"/>
        </w:rPr>
        <w:t>take</w:t>
      </w:r>
      <w:r>
        <w:rPr>
          <w:rFonts w:ascii="Times New Roman;Times;serif" w:hAnsi="Times New Roman;Times;serif"/>
          <w:color w:val="231F20"/>
          <w:spacing w:val="-31"/>
          <w:sz w:val="20"/>
        </w:rPr>
        <w:t xml:space="preserve"> </w:t>
      </w:r>
      <w:r>
        <w:rPr>
          <w:rFonts w:ascii="Times New Roman;Times;serif" w:hAnsi="Times New Roman;Times;serif"/>
          <w:color w:val="231F20"/>
          <w:sz w:val="20"/>
        </w:rPr>
        <w:t>to</w:t>
      </w:r>
      <w:r>
        <w:rPr>
          <w:rFonts w:ascii="Times New Roman;Times;serif" w:hAnsi="Times New Roman;Times;serif"/>
          <w:color w:val="231F20"/>
          <w:spacing w:val="-31"/>
          <w:sz w:val="20"/>
        </w:rPr>
        <w:t xml:space="preserve"> </w:t>
      </w:r>
      <w:r>
        <w:rPr>
          <w:rFonts w:ascii="Times New Roman;Times;serif" w:hAnsi="Times New Roman;Times;serif"/>
          <w:color w:val="231F20"/>
          <w:sz w:val="20"/>
        </w:rPr>
        <w:t>detect</w:t>
      </w:r>
      <w:r>
        <w:rPr>
          <w:rFonts w:ascii="Times New Roman;Times;serif" w:hAnsi="Times New Roman;Times;serif"/>
          <w:color w:val="231F20"/>
          <w:spacing w:val="-3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1"/>
          <w:sz w:val="20"/>
        </w:rPr>
        <w:t xml:space="preserve"> </w:t>
      </w:r>
      <w:r>
        <w:rPr>
          <w:rFonts w:ascii="Times New Roman;Times;serif" w:hAnsi="Times New Roman;Times;serif"/>
          <w:color w:val="231F20"/>
          <w:sz w:val="20"/>
        </w:rPr>
        <w:t>prevent</w:t>
      </w:r>
      <w:r>
        <w:rPr>
          <w:rFonts w:ascii="Times New Roman;Times;serif" w:hAnsi="Times New Roman;Times;serif"/>
          <w:color w:val="231F20"/>
          <w:spacing w:val="-32"/>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31"/>
          <w:sz w:val="20"/>
        </w:rPr>
        <w:t xml:space="preserve"> </w:t>
      </w:r>
      <w:r>
        <w:rPr>
          <w:rFonts w:ascii="Times New Roman;Times;serif" w:hAnsi="Times New Roman;Times;serif"/>
          <w:color w:val="231F20"/>
          <w:sz w:val="20"/>
        </w:rPr>
        <w:t>activity</w:t>
      </w:r>
      <w:r>
        <w:rPr>
          <w:rFonts w:ascii="Times New Roman;Times;serif" w:hAnsi="Times New Roman;Times;serif"/>
          <w:color w:val="231F20"/>
          <w:spacing w:val="-31"/>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31"/>
          <w:sz w:val="20"/>
        </w:rPr>
        <w:t xml:space="preserve"> </w:t>
      </w:r>
      <w:r>
        <w:rPr>
          <w:rFonts w:ascii="Times New Roman;Times;serif" w:hAnsi="Times New Roman;Times;serif"/>
          <w:color w:val="231F20"/>
          <w:sz w:val="20"/>
        </w:rPr>
        <w:t>not</w:t>
      </w:r>
      <w:r>
        <w:rPr>
          <w:rFonts w:ascii="Times New Roman;Times;serif" w:hAnsi="Times New Roman;Times;serif"/>
          <w:color w:val="231F20"/>
          <w:spacing w:val="-31"/>
          <w:sz w:val="20"/>
        </w:rPr>
        <w:t xml:space="preserve"> </w:t>
      </w:r>
      <w:r>
        <w:rPr>
          <w:rFonts w:ascii="Times New Roman;Times;serif" w:hAnsi="Times New Roman;Times;serif"/>
          <w:color w:val="231F20"/>
          <w:sz w:val="20"/>
        </w:rPr>
        <w:t>be</w:t>
      </w:r>
      <w:r>
        <w:rPr>
          <w:rFonts w:ascii="Times New Roman;Times;serif" w:hAnsi="Times New Roman;Times;serif"/>
          <w:color w:val="231F20"/>
          <w:spacing w:val="-31"/>
          <w:sz w:val="20"/>
        </w:rPr>
        <w:t xml:space="preserve"> </w:t>
      </w:r>
      <w:r>
        <w:rPr>
          <w:rFonts w:ascii="Times New Roman;Times;serif" w:hAnsi="Times New Roman;Times;serif"/>
          <w:color w:val="231F20"/>
          <w:sz w:val="20"/>
        </w:rPr>
        <w:t>effective</w:t>
      </w:r>
      <w:r>
        <w:rPr>
          <w:rFonts w:ascii="Times New Roman;Times;serif" w:hAnsi="Times New Roman;Times;serif"/>
          <w:color w:val="231F20"/>
          <w:spacing w:val="-31"/>
          <w:sz w:val="20"/>
        </w:rPr>
        <w:t xml:space="preserve"> </w:t>
      </w:r>
      <w:r>
        <w:rPr>
          <w:rFonts w:ascii="Times New Roman;Times;serif" w:hAnsi="Times New Roman;Times;serif"/>
          <w:color w:val="231F20"/>
          <w:sz w:val="20"/>
        </w:rPr>
        <w:t>in</w:t>
      </w:r>
      <w:r>
        <w:rPr>
          <w:rFonts w:ascii="Times New Roman;Times;serif" w:hAnsi="Times New Roman;Times;serif"/>
          <w:color w:val="231F20"/>
          <w:spacing w:val="-31"/>
          <w:sz w:val="20"/>
        </w:rPr>
        <w:t xml:space="preserve"> </w:t>
      </w:r>
      <w:r>
        <w:rPr>
          <w:rFonts w:ascii="Times New Roman;Times;serif" w:hAnsi="Times New Roman;Times;serif"/>
          <w:color w:val="231F20"/>
          <w:sz w:val="20"/>
        </w:rPr>
        <w:t>controlling unknown or unmanaged risks or losses or in protecting us from governmental investigations or other actions</w:t>
      </w:r>
      <w:r>
        <w:rPr>
          <w:rFonts w:ascii="Times New Roman;Times;serif" w:hAnsi="Times New Roman;Times;serif"/>
          <w:color w:val="231F20"/>
          <w:spacing w:val="-22"/>
          <w:sz w:val="20"/>
        </w:rPr>
        <w:t xml:space="preserve"> </w:t>
      </w:r>
      <w:r>
        <w:rPr>
          <w:rFonts w:ascii="Times New Roman;Times;serif" w:hAnsi="Times New Roman;Times;serif"/>
          <w:color w:val="231F20"/>
          <w:sz w:val="20"/>
        </w:rPr>
        <w:t>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lawsuits</w:t>
      </w:r>
      <w:r>
        <w:rPr>
          <w:rFonts w:ascii="Times New Roman;Times;serif" w:hAnsi="Times New Roman;Times;serif"/>
          <w:color w:val="231F20"/>
          <w:spacing w:val="-21"/>
          <w:sz w:val="20"/>
        </w:rPr>
        <w:t xml:space="preserve"> </w:t>
      </w:r>
      <w:r>
        <w:rPr>
          <w:rFonts w:ascii="Times New Roman;Times;serif" w:hAnsi="Times New Roman;Times;serif"/>
          <w:color w:val="231F20"/>
          <w:sz w:val="20"/>
        </w:rPr>
        <w:t>stemming</w:t>
      </w:r>
      <w:r>
        <w:rPr>
          <w:rFonts w:ascii="Times New Roman;Times;serif" w:hAnsi="Times New Roman;Times;serif"/>
          <w:color w:val="231F20"/>
          <w:spacing w:val="-21"/>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22"/>
          <w:sz w:val="20"/>
        </w:rPr>
        <w:t xml:space="preserve"> </w:t>
      </w:r>
      <w:r>
        <w:rPr>
          <w:rFonts w:ascii="Times New Roman;Times;serif" w:hAnsi="Times New Roman;Times;serif"/>
          <w:color w:val="231F20"/>
          <w:sz w:val="20"/>
        </w:rPr>
        <w:t>a</w:t>
      </w:r>
      <w:r>
        <w:rPr>
          <w:rFonts w:ascii="Times New Roman;Times;serif" w:hAnsi="Times New Roman;Times;serif"/>
          <w:color w:val="231F20"/>
          <w:spacing w:val="-21"/>
          <w:sz w:val="20"/>
        </w:rPr>
        <w:t xml:space="preserve"> </w:t>
      </w:r>
      <w:r>
        <w:rPr>
          <w:rFonts w:ascii="Times New Roman;Times;serif" w:hAnsi="Times New Roman;Times;serif"/>
          <w:color w:val="231F20"/>
          <w:sz w:val="20"/>
        </w:rPr>
        <w:t>failure</w:t>
      </w:r>
      <w:r>
        <w:rPr>
          <w:rFonts w:ascii="Times New Roman;Times;serif" w:hAnsi="Times New Roman;Times;serif"/>
          <w:color w:val="231F20"/>
          <w:spacing w:val="-21"/>
          <w:sz w:val="20"/>
        </w:rPr>
        <w:t xml:space="preserve"> </w:t>
      </w:r>
      <w:r>
        <w:rPr>
          <w:rFonts w:ascii="Times New Roman;Times;serif" w:hAnsi="Times New Roman;Times;serif"/>
          <w:color w:val="231F20"/>
          <w:sz w:val="20"/>
        </w:rPr>
        <w:t>to</w:t>
      </w:r>
      <w:r>
        <w:rPr>
          <w:rFonts w:ascii="Times New Roman;Times;serif" w:hAnsi="Times New Roman;Times;serif"/>
          <w:color w:val="231F20"/>
          <w:spacing w:val="-21"/>
          <w:sz w:val="20"/>
        </w:rPr>
        <w:t xml:space="preserve"> </w:t>
      </w:r>
      <w:r>
        <w:rPr>
          <w:rFonts w:ascii="Times New Roman;Times;serif" w:hAnsi="Times New Roman;Times;serif"/>
          <w:color w:val="231F20"/>
          <w:sz w:val="20"/>
        </w:rPr>
        <w:t>be</w:t>
      </w:r>
      <w:r>
        <w:rPr>
          <w:rFonts w:ascii="Times New Roman;Times;serif" w:hAnsi="Times New Roman;Times;serif"/>
          <w:color w:val="231F20"/>
          <w:spacing w:val="-22"/>
          <w:sz w:val="20"/>
        </w:rPr>
        <w:t xml:space="preserve"> </w:t>
      </w:r>
      <w:r>
        <w:rPr>
          <w:rFonts w:ascii="Times New Roman;Times;serif" w:hAnsi="Times New Roman;Times;serif"/>
          <w:color w:val="231F20"/>
          <w:sz w:val="20"/>
        </w:rPr>
        <w:t>in</w:t>
      </w:r>
      <w:r>
        <w:rPr>
          <w:rFonts w:ascii="Times New Roman;Times;serif" w:hAnsi="Times New Roman;Times;serif"/>
          <w:color w:val="231F20"/>
          <w:spacing w:val="-21"/>
          <w:sz w:val="20"/>
        </w:rPr>
        <w:t xml:space="preserve"> </w:t>
      </w:r>
      <w:r>
        <w:rPr>
          <w:rFonts w:ascii="Times New Roman;Times;serif" w:hAnsi="Times New Roman;Times;serif"/>
          <w:color w:val="231F20"/>
          <w:sz w:val="20"/>
        </w:rPr>
        <w:t>compliance</w:t>
      </w:r>
      <w:r>
        <w:rPr>
          <w:rFonts w:ascii="Times New Roman;Times;serif" w:hAnsi="Times New Roman;Times;serif"/>
          <w:color w:val="231F20"/>
          <w:spacing w:val="-21"/>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1"/>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22"/>
          <w:sz w:val="20"/>
        </w:rPr>
        <w:t xml:space="preserve"> </w:t>
      </w:r>
      <w:r>
        <w:rPr>
          <w:rFonts w:ascii="Times New Roman;Times;serif" w:hAnsi="Times New Roman;Times;serif"/>
          <w:color w:val="231F20"/>
          <w:spacing w:val="-4"/>
          <w:sz w:val="20"/>
        </w:rPr>
        <w:t>laws</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regulations.</w:t>
      </w:r>
      <w:r>
        <w:rPr>
          <w:rFonts w:ascii="Times New Roman;Times;serif" w:hAnsi="Times New Roman;Times;serif"/>
          <w:color w:val="231F20"/>
          <w:spacing w:val="-21"/>
          <w:sz w:val="20"/>
        </w:rPr>
        <w:t xml:space="preserve"> </w:t>
      </w:r>
      <w:r>
        <w:rPr>
          <w:rFonts w:ascii="Times New Roman;Times;serif" w:hAnsi="Times New Roman;Times;serif"/>
          <w:color w:val="231F20"/>
          <w:sz w:val="20"/>
        </w:rPr>
        <w:t>If</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2"/>
          <w:sz w:val="20"/>
        </w:rPr>
        <w:t xml:space="preserve"> </w:t>
      </w:r>
      <w:r>
        <w:rPr>
          <w:rFonts w:ascii="Times New Roman;Times;serif" w:hAnsi="Times New Roman;Times;serif"/>
          <w:color w:val="231F20"/>
          <w:sz w:val="20"/>
        </w:rPr>
        <w:t>such actions</w:t>
      </w:r>
      <w:r>
        <w:rPr>
          <w:rFonts w:ascii="Times New Roman;Times;serif" w:hAnsi="Times New Roman;Times;serif"/>
          <w:color w:val="231F20"/>
          <w:spacing w:val="-35"/>
          <w:sz w:val="20"/>
        </w:rPr>
        <w:t xml:space="preserve"> </w:t>
      </w:r>
      <w:r>
        <w:rPr>
          <w:rFonts w:ascii="Times New Roman;Times;serif" w:hAnsi="Times New Roman;Times;serif"/>
          <w:color w:val="231F20"/>
          <w:sz w:val="20"/>
        </w:rPr>
        <w:t>are</w:t>
      </w:r>
      <w:r>
        <w:rPr>
          <w:rFonts w:ascii="Times New Roman;Times;serif" w:hAnsi="Times New Roman;Times;serif"/>
          <w:color w:val="231F20"/>
          <w:spacing w:val="-34"/>
          <w:sz w:val="20"/>
        </w:rPr>
        <w:t xml:space="preserve"> </w:t>
      </w:r>
      <w:r>
        <w:rPr>
          <w:rFonts w:ascii="Times New Roman;Times;serif" w:hAnsi="Times New Roman;Times;serif"/>
          <w:color w:val="231F20"/>
          <w:sz w:val="20"/>
        </w:rPr>
        <w:t>instituted</w:t>
      </w:r>
      <w:r>
        <w:rPr>
          <w:rFonts w:ascii="Times New Roman;Times;serif" w:hAnsi="Times New Roman;Times;serif"/>
          <w:color w:val="231F20"/>
          <w:spacing w:val="-35"/>
          <w:sz w:val="20"/>
        </w:rPr>
        <w:t xml:space="preserve"> </w:t>
      </w:r>
      <w:r>
        <w:rPr>
          <w:rFonts w:ascii="Times New Roman;Times;serif" w:hAnsi="Times New Roman;Times;serif"/>
          <w:color w:val="231F20"/>
          <w:sz w:val="20"/>
        </w:rPr>
        <w:t>against</w:t>
      </w:r>
      <w:r>
        <w:rPr>
          <w:rFonts w:ascii="Times New Roman;Times;serif" w:hAnsi="Times New Roman;Times;serif"/>
          <w:color w:val="231F20"/>
          <w:spacing w:val="-34"/>
          <w:sz w:val="20"/>
        </w:rPr>
        <w:t xml:space="preserve"> </w:t>
      </w:r>
      <w:r>
        <w:rPr>
          <w:rFonts w:ascii="Times New Roman;Times;serif" w:hAnsi="Times New Roman;Times;serif"/>
          <w:color w:val="231F20"/>
          <w:spacing w:val="-4"/>
          <w:sz w:val="20"/>
        </w:rPr>
        <w:t>us,</w:t>
      </w:r>
      <w:r>
        <w:rPr>
          <w:rFonts w:ascii="Times New Roman;Times;serif" w:hAnsi="Times New Roman;Times;serif"/>
          <w:color w:val="231F20"/>
          <w:spacing w:val="-3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4"/>
          <w:sz w:val="20"/>
        </w:rPr>
        <w:t xml:space="preserve"> </w:t>
      </w:r>
      <w:r>
        <w:rPr>
          <w:rFonts w:ascii="Times New Roman;Times;serif" w:hAnsi="Times New Roman;Times;serif"/>
          <w:color w:val="231F20"/>
          <w:sz w:val="20"/>
        </w:rPr>
        <w:t>we</w:t>
      </w:r>
      <w:r>
        <w:rPr>
          <w:rFonts w:ascii="Times New Roman;Times;serif" w:hAnsi="Times New Roman;Times;serif"/>
          <w:color w:val="231F20"/>
          <w:spacing w:val="-35"/>
          <w:sz w:val="20"/>
        </w:rPr>
        <w:t xml:space="preserve"> </w:t>
      </w:r>
      <w:r>
        <w:rPr>
          <w:rFonts w:ascii="Times New Roman;Times;serif" w:hAnsi="Times New Roman;Times;serif"/>
          <w:color w:val="231F20"/>
          <w:sz w:val="20"/>
        </w:rPr>
        <w:t>are</w:t>
      </w:r>
      <w:r>
        <w:rPr>
          <w:rFonts w:ascii="Times New Roman;Times;serif" w:hAnsi="Times New Roman;Times;serif"/>
          <w:color w:val="231F20"/>
          <w:spacing w:val="-34"/>
          <w:sz w:val="20"/>
        </w:rPr>
        <w:t xml:space="preserve"> </w:t>
      </w:r>
      <w:r>
        <w:rPr>
          <w:rFonts w:ascii="Times New Roman;Times;serif" w:hAnsi="Times New Roman;Times;serif"/>
          <w:color w:val="231F20"/>
          <w:sz w:val="20"/>
        </w:rPr>
        <w:t>not</w:t>
      </w:r>
      <w:r>
        <w:rPr>
          <w:rFonts w:ascii="Times New Roman;Times;serif" w:hAnsi="Times New Roman;Times;serif"/>
          <w:color w:val="231F20"/>
          <w:spacing w:val="-35"/>
          <w:sz w:val="20"/>
        </w:rPr>
        <w:t xml:space="preserve"> </w:t>
      </w:r>
      <w:r>
        <w:rPr>
          <w:rFonts w:ascii="Times New Roman;Times;serif" w:hAnsi="Times New Roman;Times;serif"/>
          <w:color w:val="231F20"/>
          <w:sz w:val="20"/>
        </w:rPr>
        <w:t>successful</w:t>
      </w:r>
      <w:r>
        <w:rPr>
          <w:rFonts w:ascii="Times New Roman;Times;serif" w:hAnsi="Times New Roman;Times;serif"/>
          <w:color w:val="231F20"/>
          <w:spacing w:val="-34"/>
          <w:sz w:val="20"/>
        </w:rPr>
        <w:t xml:space="preserve"> </w:t>
      </w:r>
      <w:r>
        <w:rPr>
          <w:rFonts w:ascii="Times New Roman;Times;serif" w:hAnsi="Times New Roman;Times;serif"/>
          <w:color w:val="231F20"/>
          <w:sz w:val="20"/>
        </w:rPr>
        <w:t>in</w:t>
      </w:r>
      <w:r>
        <w:rPr>
          <w:rFonts w:ascii="Times New Roman;Times;serif" w:hAnsi="Times New Roman;Times;serif"/>
          <w:color w:val="231F20"/>
          <w:spacing w:val="-35"/>
          <w:sz w:val="20"/>
        </w:rPr>
        <w:t xml:space="preserve"> </w:t>
      </w:r>
      <w:r>
        <w:rPr>
          <w:rFonts w:ascii="Times New Roman;Times;serif" w:hAnsi="Times New Roman;Times;serif"/>
          <w:color w:val="231F20"/>
          <w:sz w:val="20"/>
        </w:rPr>
        <w:t>defending</w:t>
      </w:r>
      <w:r>
        <w:rPr>
          <w:rFonts w:ascii="Times New Roman;Times;serif" w:hAnsi="Times New Roman;Times;serif"/>
          <w:color w:val="231F20"/>
          <w:spacing w:val="-34"/>
          <w:sz w:val="20"/>
        </w:rPr>
        <w:t xml:space="preserve"> </w:t>
      </w:r>
      <w:r>
        <w:rPr>
          <w:rFonts w:ascii="Times New Roman;Times;serif" w:hAnsi="Times New Roman;Times;serif"/>
          <w:color w:val="231F20"/>
          <w:sz w:val="20"/>
        </w:rPr>
        <w:t>ourselves</w:t>
      </w:r>
      <w:r>
        <w:rPr>
          <w:rFonts w:ascii="Times New Roman;Times;serif" w:hAnsi="Times New Roman;Times;serif"/>
          <w:color w:val="231F20"/>
          <w:spacing w:val="-35"/>
          <w:sz w:val="20"/>
        </w:rPr>
        <w:t xml:space="preserve"> </w:t>
      </w:r>
      <w:r>
        <w:rPr>
          <w:rFonts w:ascii="Times New Roman;Times;serif" w:hAnsi="Times New Roman;Times;serif"/>
          <w:color w:val="231F20"/>
          <w:sz w:val="20"/>
        </w:rPr>
        <w:t>or</w:t>
      </w:r>
      <w:r>
        <w:rPr>
          <w:rFonts w:ascii="Times New Roman;Times;serif" w:hAnsi="Times New Roman;Times;serif"/>
          <w:color w:val="231F20"/>
          <w:spacing w:val="-34"/>
          <w:sz w:val="20"/>
        </w:rPr>
        <w:t xml:space="preserve"> </w:t>
      </w:r>
      <w:r>
        <w:rPr>
          <w:rFonts w:ascii="Times New Roman;Times;serif" w:hAnsi="Times New Roman;Times;serif"/>
          <w:color w:val="231F20"/>
          <w:sz w:val="20"/>
        </w:rPr>
        <w:t>asserting</w:t>
      </w:r>
      <w:r>
        <w:rPr>
          <w:rFonts w:ascii="Times New Roman;Times;serif" w:hAnsi="Times New Roman;Times;serif"/>
          <w:color w:val="231F20"/>
          <w:spacing w:val="-3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4"/>
          <w:sz w:val="20"/>
        </w:rPr>
        <w:t xml:space="preserve"> </w:t>
      </w:r>
      <w:r>
        <w:rPr>
          <w:rFonts w:ascii="Times New Roman;Times;serif" w:hAnsi="Times New Roman;Times;serif"/>
          <w:color w:val="231F20"/>
          <w:sz w:val="20"/>
        </w:rPr>
        <w:t>rights,</w:t>
      </w:r>
      <w:r>
        <w:rPr>
          <w:rFonts w:ascii="Times New Roman;Times;serif" w:hAnsi="Times New Roman;Times;serif"/>
          <w:color w:val="231F20"/>
          <w:spacing w:val="-35"/>
          <w:sz w:val="20"/>
        </w:rPr>
        <w:t xml:space="preserve"> </w:t>
      </w:r>
      <w:r>
        <w:rPr>
          <w:rFonts w:ascii="Times New Roman;Times;serif" w:hAnsi="Times New Roman;Times;serif"/>
          <w:color w:val="231F20"/>
          <w:spacing w:val="-3"/>
          <w:sz w:val="20"/>
        </w:rPr>
        <w:t xml:space="preserve">those </w:t>
      </w:r>
      <w:r>
        <w:rPr>
          <w:rFonts w:ascii="Times New Roman;Times;serif" w:hAnsi="Times New Roman;Times;serif"/>
          <w:color w:val="231F20"/>
          <w:sz w:val="20"/>
        </w:rPr>
        <w:t>actions</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22"/>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22"/>
          <w:sz w:val="20"/>
        </w:rPr>
        <w:t xml:space="preserve"> </w:t>
      </w:r>
      <w:r>
        <w:rPr>
          <w:rFonts w:ascii="Times New Roman;Times;serif" w:hAnsi="Times New Roman;Times;serif"/>
          <w:color w:val="231F20"/>
          <w:sz w:val="20"/>
        </w:rPr>
        <w:t>a</w:t>
      </w:r>
      <w:r>
        <w:rPr>
          <w:rFonts w:ascii="Times New Roman;Times;serif" w:hAnsi="Times New Roman;Times;serif"/>
          <w:color w:val="231F20"/>
          <w:spacing w:val="-22"/>
          <w:sz w:val="20"/>
        </w:rPr>
        <w:t xml:space="preserve"> </w:t>
      </w:r>
      <w:r>
        <w:rPr>
          <w:rFonts w:ascii="Times New Roman;Times;serif" w:hAnsi="Times New Roman;Times;serif"/>
          <w:color w:val="231F20"/>
          <w:sz w:val="20"/>
        </w:rPr>
        <w:t>significant</w:t>
      </w:r>
      <w:r>
        <w:rPr>
          <w:rFonts w:ascii="Times New Roman;Times;serif" w:hAnsi="Times New Roman;Times;serif"/>
          <w:color w:val="231F20"/>
          <w:spacing w:val="-22"/>
          <w:sz w:val="20"/>
        </w:rPr>
        <w:t xml:space="preserve"> </w:t>
      </w:r>
      <w:r>
        <w:rPr>
          <w:rFonts w:ascii="Times New Roman;Times;serif" w:hAnsi="Times New Roman;Times;serif"/>
          <w:color w:val="231F20"/>
          <w:sz w:val="20"/>
        </w:rPr>
        <w:t>impact</w:t>
      </w:r>
      <w:r>
        <w:rPr>
          <w:rFonts w:ascii="Times New Roman;Times;serif" w:hAnsi="Times New Roman;Times;serif"/>
          <w:color w:val="231F20"/>
          <w:spacing w:val="-21"/>
          <w:sz w:val="20"/>
        </w:rPr>
        <w:t xml:space="preserve"> </w:t>
      </w:r>
      <w:r>
        <w:rPr>
          <w:rFonts w:ascii="Times New Roman;Times;serif" w:hAnsi="Times New Roman;Times;serif"/>
          <w:color w:val="231F20"/>
          <w:sz w:val="20"/>
        </w:rPr>
        <w:t>on</w:t>
      </w:r>
      <w:r>
        <w:rPr>
          <w:rFonts w:ascii="Times New Roman;Times;serif" w:hAnsi="Times New Roman;Times;serif"/>
          <w:color w:val="231F20"/>
          <w:spacing w:val="-2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2"/>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2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2"/>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22"/>
          <w:sz w:val="20"/>
        </w:rPr>
        <w:t xml:space="preserve"> </w:t>
      </w:r>
      <w:r>
        <w:rPr>
          <w:rFonts w:ascii="Times New Roman;Times;serif" w:hAnsi="Times New Roman;Times;serif"/>
          <w:color w:val="231F20"/>
          <w:sz w:val="20"/>
        </w:rPr>
        <w:t>of</w:t>
      </w:r>
      <w:r>
        <w:rPr>
          <w:rFonts w:ascii="Times New Roman;Times;serif" w:hAnsi="Times New Roman;Times;serif"/>
          <w:color w:val="231F20"/>
          <w:spacing w:val="-9"/>
          <w:sz w:val="20"/>
        </w:rPr>
        <w:t xml:space="preserve"> </w:t>
      </w:r>
      <w:r>
        <w:rPr>
          <w:rFonts w:ascii="Times New Roman;Times;serif" w:hAnsi="Times New Roman;Times;serif"/>
          <w:color w:val="231F20"/>
          <w:sz w:val="20"/>
        </w:rPr>
        <w:t>operations,</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2"/>
          <w:sz w:val="20"/>
        </w:rPr>
        <w:t xml:space="preserve"> </w:t>
      </w:r>
      <w:r>
        <w:rPr>
          <w:rFonts w:ascii="Times New Roman;Times;serif" w:hAnsi="Times New Roman;Times;serif"/>
          <w:color w:val="231F20"/>
          <w:sz w:val="20"/>
        </w:rPr>
        <w:t>imposition of significant fines or other</w:t>
      </w:r>
      <w:r>
        <w:rPr>
          <w:rFonts w:ascii="Times New Roman;Times;serif" w:hAnsi="Times New Roman;Times;serif"/>
          <w:color w:val="231F20"/>
          <w:spacing w:val="-17"/>
          <w:sz w:val="20"/>
        </w:rPr>
        <w:t xml:space="preserve"> </w:t>
      </w:r>
      <w:r>
        <w:rPr>
          <w:rFonts w:ascii="Times New Roman;Times;serif" w:hAnsi="Times New Roman;Times;serif"/>
          <w:color w:val="231F20"/>
          <w:sz w:val="20"/>
        </w:rPr>
        <w:t>sanctions.</w:t>
      </w:r>
    </w:p>
    <w:p>
      <w:pPr>
        <w:pStyle w:val="TextBody"/>
        <w:spacing w:lineRule="auto" w:line="288"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 xml:space="preserve">Our relationships with customers and payors will be subject to applicable anti-kickback, fraud and abuse, </w:t>
      </w:r>
      <w:r>
        <w:rPr>
          <w:rFonts w:ascii="Times New Roman;Times;serif" w:hAnsi="Times New Roman;Times;serif"/>
          <w:b/>
          <w:i/>
          <w:color w:val="231F20"/>
          <w:spacing w:val="-3"/>
          <w:sz w:val="20"/>
        </w:rPr>
        <w:t>transparency,</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other</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healthcare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laws</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regulations,</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which</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could</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expose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use</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criminal</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sanctions,</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civil penalties,</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contractual</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damages,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reputational</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harm,</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administrative</w:t>
      </w:r>
      <w:r>
        <w:rPr>
          <w:rFonts w:ascii="Times New Roman;Times;serif" w:hAnsi="Times New Roman;Times;serif"/>
          <w:b/>
          <w:color w:val="231F20"/>
          <w:spacing w:val="-15"/>
          <w:sz w:val="20"/>
        </w:rPr>
        <w:t xml:space="preserve"> </w:t>
      </w:r>
      <w:r>
        <w:rPr>
          <w:rFonts w:ascii="Times New Roman;Times;serif" w:hAnsi="Times New Roman;Times;serif"/>
          <w:b/>
          <w:i/>
          <w:color w:val="231F20"/>
          <w:spacing w:val="-3"/>
          <w:sz w:val="20"/>
        </w:rPr>
        <w:t>burdens</w:t>
      </w:r>
      <w:r>
        <w:rPr>
          <w:rFonts w:ascii="Times New Roman;Times;serif" w:hAnsi="Times New Roman;Times;serif"/>
          <w:b/>
          <w:i/>
          <w:color w:val="231F20"/>
          <w:sz w:val="20"/>
        </w:rPr>
        <w:t>.</w:t>
      </w:r>
    </w:p>
    <w:p>
      <w:pPr>
        <w:pStyle w:val="TextBody"/>
        <w:spacing w:lineRule="auto" w:line="290"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Healthcare </w:t>
      </w:r>
      <w:r>
        <w:rPr>
          <w:rFonts w:ascii="Times New Roman;Times;serif" w:hAnsi="Times New Roman;Times;serif"/>
          <w:color w:val="231F20"/>
          <w:spacing w:val="-3"/>
          <w:sz w:val="20"/>
        </w:rPr>
        <w:t xml:space="preserve">providers, </w:t>
      </w:r>
      <w:r>
        <w:rPr>
          <w:rFonts w:ascii="Times New Roman;Times;serif" w:hAnsi="Times New Roman;Times;serif"/>
          <w:color w:val="231F20"/>
          <w:sz w:val="20"/>
        </w:rPr>
        <w:t xml:space="preserve">physicians and </w:t>
      </w:r>
      <w:r>
        <w:rPr>
          <w:rFonts w:ascii="Times New Roman;Times;serif" w:hAnsi="Times New Roman;Times;serif"/>
          <w:color w:val="231F20"/>
          <w:spacing w:val="-3"/>
          <w:sz w:val="20"/>
        </w:rPr>
        <w:t xml:space="preserve">payors </w:t>
      </w:r>
      <w:r>
        <w:rPr>
          <w:rFonts w:ascii="Times New Roman;Times;serif" w:hAnsi="Times New Roman;Times;serif"/>
          <w:color w:val="231F20"/>
          <w:sz w:val="20"/>
        </w:rPr>
        <w:t xml:space="preserve">play a primary role in the recommendation and prescription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product candidates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which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obtain marketing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Our arrangements with </w:t>
      </w:r>
      <w:r>
        <w:rPr>
          <w:rFonts w:ascii="Times New Roman;Times;serif" w:hAnsi="Times New Roman;Times;serif"/>
          <w:color w:val="231F20"/>
          <w:spacing w:val="-3"/>
          <w:sz w:val="20"/>
        </w:rPr>
        <w:t xml:space="preserve">payors </w:t>
      </w:r>
      <w:r>
        <w:rPr>
          <w:rFonts w:ascii="Times New Roman;Times;serif" w:hAnsi="Times New Roman;Times;serif"/>
          <w:color w:val="231F20"/>
          <w:sz w:val="20"/>
        </w:rPr>
        <w:t xml:space="preserve">and customers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expose us to broadly applicable fraud and </w:t>
      </w:r>
      <w:r>
        <w:rPr>
          <w:rFonts w:ascii="Times New Roman;Times;serif" w:hAnsi="Times New Roman;Times;serif"/>
          <w:color w:val="231F20"/>
          <w:spacing w:val="-3"/>
          <w:sz w:val="20"/>
        </w:rPr>
        <w:t xml:space="preserve">abuse </w:t>
      </w:r>
      <w:r>
        <w:rPr>
          <w:rFonts w:ascii="Times New Roman;Times;serif" w:hAnsi="Times New Roman;Times;serif"/>
          <w:color w:val="231F20"/>
          <w:sz w:val="20"/>
        </w:rPr>
        <w:t xml:space="preserve">and other healthcare </w:t>
      </w:r>
      <w:r>
        <w:rPr>
          <w:rFonts w:ascii="Times New Roman;Times;serif" w:hAnsi="Times New Roman;Times;serif"/>
          <w:color w:val="231F20"/>
          <w:spacing w:val="-4"/>
          <w:sz w:val="20"/>
        </w:rPr>
        <w:t xml:space="preserve">laws </w:t>
      </w:r>
      <w:r>
        <w:rPr>
          <w:rFonts w:ascii="Times New Roman;Times;serif" w:hAnsi="Times New Roman;Times;serif"/>
          <w:color w:val="231F20"/>
          <w:sz w:val="20"/>
        </w:rPr>
        <w:t xml:space="preserve">and regulations that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constrain the business or financial arrangements and relationships through which we market, sell and distribute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product candidates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which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obtain marketing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Restrictions under applicable federal, state and foreign healthcare </w:t>
      </w:r>
      <w:r>
        <w:rPr>
          <w:rFonts w:ascii="Times New Roman;Times;serif" w:hAnsi="Times New Roman;Times;serif"/>
          <w:color w:val="231F20"/>
          <w:spacing w:val="-4"/>
          <w:sz w:val="20"/>
        </w:rPr>
        <w:t xml:space="preserve">laws </w:t>
      </w:r>
      <w:r>
        <w:rPr>
          <w:rFonts w:ascii="Times New Roman;Times;serif" w:hAnsi="Times New Roman;Times;serif"/>
          <w:color w:val="231F20"/>
          <w:sz w:val="20"/>
        </w:rPr>
        <w:t xml:space="preserve">and regulations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affect our ability to </w:t>
      </w:r>
      <w:r>
        <w:rPr>
          <w:rFonts w:ascii="Times New Roman;Times;serif" w:hAnsi="Times New Roman;Times;serif"/>
          <w:color w:val="231F20"/>
          <w:spacing w:val="-3"/>
          <w:sz w:val="20"/>
        </w:rPr>
        <w:t xml:space="preserve">operate, </w:t>
      </w:r>
      <w:r>
        <w:rPr>
          <w:rFonts w:ascii="Times New Roman;Times;serif" w:hAnsi="Times New Roman;Times;serif"/>
          <w:color w:val="231F20"/>
          <w:sz w:val="20"/>
        </w:rPr>
        <w:t>including:</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Federal Anti-Kickback Statute, which prohibits, among other things, knowingly and willfully soliciting, offering, receiving or providing remuneration, directly or </w:t>
            </w:r>
            <w:r>
              <w:rPr>
                <w:rFonts w:ascii="Times New Roman;Times;serif" w:hAnsi="Times New Roman;Times;serif"/>
                <w:b w:val="false"/>
                <w:i w:val="false"/>
                <w:caps w:val="false"/>
                <w:smallCaps w:val="false"/>
                <w:color w:val="231F20"/>
                <w:spacing w:val="-3"/>
                <w:sz w:val="20"/>
              </w:rPr>
              <w:t xml:space="preserve">indirectly, </w:t>
            </w:r>
            <w:r>
              <w:rPr>
                <w:rFonts w:ascii="Times New Roman;Times;serif" w:hAnsi="Times New Roman;Times;serif"/>
                <w:b w:val="false"/>
                <w:i w:val="false"/>
                <w:caps w:val="false"/>
                <w:smallCaps w:val="false"/>
                <w:color w:val="231F20"/>
                <w:sz w:val="20"/>
              </w:rPr>
              <w:t xml:space="preserve">in cash or in kind, to induce or </w:t>
            </w:r>
            <w:r>
              <w:rPr>
                <w:rFonts w:ascii="Times New Roman;Times;serif" w:hAnsi="Times New Roman;Times;serif"/>
                <w:b w:val="false"/>
                <w:i w:val="false"/>
                <w:caps w:val="false"/>
                <w:smallCaps w:val="false"/>
                <w:color w:val="231F20"/>
                <w:spacing w:val="-3"/>
                <w:sz w:val="20"/>
              </w:rPr>
              <w:t xml:space="preserve">reward </w:t>
            </w:r>
            <w:r>
              <w:rPr>
                <w:rFonts w:ascii="Times New Roman;Times;serif" w:hAnsi="Times New Roman;Times;serif"/>
                <w:b w:val="false"/>
                <w:i w:val="false"/>
                <w:caps w:val="false"/>
                <w:smallCaps w:val="false"/>
                <w:color w:val="231F20"/>
                <w:sz w:val="20"/>
              </w:rPr>
              <w:t xml:space="preserve">either the referral of an individual </w:t>
            </w:r>
            <w:r>
              <w:rPr>
                <w:rFonts w:ascii="Times New Roman;Times;serif" w:hAnsi="Times New Roman;Times;serif"/>
                <w:b w:val="false"/>
                <w:i w:val="false"/>
                <w:caps w:val="false"/>
                <w:smallCaps w:val="false"/>
                <w:color w:val="231F20"/>
                <w:spacing w:val="-7"/>
                <w:sz w:val="20"/>
              </w:rPr>
              <w:t xml:space="preserve">for, </w:t>
            </w:r>
            <w:r>
              <w:rPr>
                <w:rFonts w:ascii="Times New Roman;Times;serif" w:hAnsi="Times New Roman;Times;serif"/>
                <w:b w:val="false"/>
                <w:i w:val="false"/>
                <w:caps w:val="false"/>
                <w:smallCaps w:val="false"/>
                <w:color w:val="231F20"/>
                <w:sz w:val="20"/>
              </w:rPr>
              <w:t xml:space="preserve">or the purchase, order or recommendation of, </w:t>
            </w:r>
            <w:r>
              <w:rPr>
                <w:rFonts w:ascii="Times New Roman;Times;serif" w:hAnsi="Times New Roman;Times;serif"/>
                <w:b w:val="false"/>
                <w:i w:val="false"/>
                <w:caps w:val="false"/>
                <w:smallCaps w:val="false"/>
                <w:color w:val="231F20"/>
                <w:spacing w:val="-3"/>
                <w:sz w:val="20"/>
              </w:rPr>
              <w:t xml:space="preserve">any </w:t>
            </w:r>
            <w:r>
              <w:rPr>
                <w:rFonts w:ascii="Times New Roman;Times;serif" w:hAnsi="Times New Roman;Times;serif"/>
                <w:b w:val="false"/>
                <w:i w:val="false"/>
                <w:caps w:val="false"/>
                <w:smallCaps w:val="false"/>
                <w:color w:val="231F20"/>
                <w:sz w:val="20"/>
              </w:rPr>
              <w:t xml:space="preserve">good or service,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which payment </w:t>
            </w:r>
            <w:r>
              <w:rPr>
                <w:rFonts w:ascii="Times New Roman;Times;serif" w:hAnsi="Times New Roman;Times;serif"/>
                <w:b w:val="false"/>
                <w:i w:val="false"/>
                <w:caps w:val="false"/>
                <w:smallCaps w:val="false"/>
                <w:color w:val="231F20"/>
                <w:spacing w:val="-3"/>
                <w:sz w:val="20"/>
              </w:rPr>
              <w:t xml:space="preserve">may </w:t>
            </w:r>
            <w:r>
              <w:rPr>
                <w:rFonts w:ascii="Times New Roman;Times;serif" w:hAnsi="Times New Roman;Times;serif"/>
                <w:b w:val="false"/>
                <w:i w:val="false"/>
                <w:caps w:val="false"/>
                <w:smallCaps w:val="false"/>
                <w:color w:val="231F20"/>
                <w:sz w:val="20"/>
              </w:rPr>
              <w:t>be made under Federal and state healthcare programs such as Medicare and</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Medicaid;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w:t>
            </w:r>
            <w:r>
              <w:rPr>
                <w:rFonts w:ascii="Times New Roman;Times;serif" w:hAnsi="Times New Roman;Times;serif"/>
                <w:b w:val="false"/>
                <w:i w:val="false"/>
                <w:caps w:val="false"/>
                <w:smallCaps w:val="false"/>
                <w:color w:val="231F20"/>
                <w:spacing w:val="-3"/>
                <w:sz w:val="20"/>
              </w:rPr>
              <w:t xml:space="preserve">Foreign </w:t>
            </w:r>
            <w:r>
              <w:rPr>
                <w:rFonts w:ascii="Times New Roman;Times;serif" w:hAnsi="Times New Roman;Times;serif"/>
                <w:b w:val="false"/>
                <w:i w:val="false"/>
                <w:caps w:val="false"/>
                <w:smallCaps w:val="false"/>
                <w:color w:val="231F20"/>
                <w:sz w:val="20"/>
              </w:rPr>
              <w:t xml:space="preserve">Corrupt Practices Act </w:t>
            </w:r>
            <w:r>
              <w:rPr>
                <w:rFonts w:ascii="Times New Roman;Times;serif" w:hAnsi="Times New Roman;Times;serif"/>
                <w:b w:val="false"/>
                <w:i w:val="false"/>
                <w:caps w:val="false"/>
                <w:smallCaps w:val="false"/>
                <w:color w:val="231F20"/>
                <w:spacing w:val="-3"/>
                <w:sz w:val="20"/>
              </w:rPr>
              <w:t xml:space="preserve">(“FCPA”), </w:t>
            </w:r>
            <w:r>
              <w:rPr>
                <w:rFonts w:ascii="Times New Roman;Times;serif" w:hAnsi="Times New Roman;Times;serif"/>
                <w:b w:val="false"/>
                <w:i w:val="false"/>
                <w:caps w:val="false"/>
                <w:smallCaps w:val="false"/>
                <w:color w:val="231F20"/>
                <w:sz w:val="20"/>
              </w:rPr>
              <w:t xml:space="preserve">which prohibits, among other things, </w:t>
            </w:r>
            <w:r>
              <w:rPr>
                <w:rFonts w:ascii="Times New Roman;Times;serif" w:hAnsi="Times New Roman;Times;serif"/>
                <w:b w:val="false"/>
                <w:i w:val="false"/>
                <w:caps w:val="false"/>
                <w:smallCaps w:val="false"/>
                <w:color w:val="231F20"/>
                <w:spacing w:val="-3"/>
                <w:sz w:val="20"/>
              </w:rPr>
              <w:t xml:space="preserve">any </w:t>
            </w:r>
            <w:r>
              <w:rPr>
                <w:rFonts w:ascii="Times New Roman;Times;serif" w:hAnsi="Times New Roman;Times;serif"/>
                <w:b w:val="false"/>
                <w:i w:val="false"/>
                <w:caps w:val="false"/>
                <w:smallCaps w:val="false"/>
                <w:color w:val="231F20"/>
                <w:spacing w:val="-7"/>
                <w:sz w:val="20"/>
              </w:rPr>
              <w:t xml:space="preserve">U.S. </w:t>
            </w:r>
            <w:r>
              <w:rPr>
                <w:rFonts w:ascii="Times New Roman;Times;serif" w:hAnsi="Times New Roman;Times;serif"/>
                <w:b w:val="false"/>
                <w:i w:val="false"/>
                <w:caps w:val="false"/>
                <w:smallCaps w:val="false"/>
                <w:color w:val="231F20"/>
                <w:sz w:val="20"/>
              </w:rPr>
              <w:t xml:space="preserve">individual or business from paying, offering, or authorizing payment or offering of anything of </w:t>
            </w:r>
            <w:r>
              <w:rPr>
                <w:rFonts w:ascii="Times New Roman;Times;serif" w:hAnsi="Times New Roman;Times;serif"/>
                <w:b w:val="false"/>
                <w:i w:val="false"/>
                <w:caps w:val="false"/>
                <w:smallCaps w:val="false"/>
                <w:color w:val="231F20"/>
                <w:spacing w:val="-4"/>
                <w:sz w:val="20"/>
              </w:rPr>
              <w:t xml:space="preserve">value, </w:t>
            </w:r>
            <w:r>
              <w:rPr>
                <w:rFonts w:ascii="Times New Roman;Times;serif" w:hAnsi="Times New Roman;Times;serif"/>
                <w:b w:val="false"/>
                <w:i w:val="false"/>
                <w:caps w:val="false"/>
                <w:smallCaps w:val="false"/>
                <w:color w:val="231F20"/>
                <w:sz w:val="20"/>
              </w:rPr>
              <w:t xml:space="preserve">directly or </w:t>
            </w:r>
            <w:r>
              <w:rPr>
                <w:rFonts w:ascii="Times New Roman;Times;serif" w:hAnsi="Times New Roman;Times;serif"/>
                <w:b w:val="false"/>
                <w:i w:val="false"/>
                <w:caps w:val="false"/>
                <w:smallCaps w:val="false"/>
                <w:color w:val="231F20"/>
                <w:spacing w:val="-3"/>
                <w:sz w:val="20"/>
              </w:rPr>
              <w:t xml:space="preserve">indirectly, </w:t>
            </w:r>
            <w:r>
              <w:rPr>
                <w:rFonts w:ascii="Times New Roman;Times;serif" w:hAnsi="Times New Roman;Times;serif"/>
                <w:b w:val="false"/>
                <w:i w:val="false"/>
                <w:caps w:val="false"/>
                <w:smallCaps w:val="false"/>
                <w:color w:val="231F20"/>
                <w:sz w:val="20"/>
              </w:rPr>
              <w:t xml:space="preserve">to </w:t>
            </w:r>
            <w:r>
              <w:rPr>
                <w:rFonts w:ascii="Times New Roman;Times;serif" w:hAnsi="Times New Roman;Times;serif"/>
                <w:b w:val="false"/>
                <w:i w:val="false"/>
                <w:caps w:val="false"/>
                <w:smallCaps w:val="false"/>
                <w:color w:val="231F20"/>
                <w:spacing w:val="-3"/>
                <w:sz w:val="20"/>
              </w:rPr>
              <w:t xml:space="preserve">any </w:t>
            </w:r>
            <w:r>
              <w:rPr>
                <w:rFonts w:ascii="Times New Roman;Times;serif" w:hAnsi="Times New Roman;Times;serif"/>
                <w:b w:val="false"/>
                <w:i w:val="false"/>
                <w:caps w:val="false"/>
                <w:smallCaps w:val="false"/>
                <w:color w:val="231F20"/>
                <w:sz w:val="20"/>
              </w:rPr>
              <w:t xml:space="preserve">foreign official, political party or candidate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the purpose of influencing </w:t>
            </w:r>
            <w:r>
              <w:rPr>
                <w:rFonts w:ascii="Times New Roman;Times;serif" w:hAnsi="Times New Roman;Times;serif"/>
                <w:b w:val="false"/>
                <w:i w:val="false"/>
                <w:caps w:val="false"/>
                <w:smallCaps w:val="false"/>
                <w:color w:val="231F20"/>
                <w:spacing w:val="-3"/>
                <w:sz w:val="20"/>
              </w:rPr>
              <w:t xml:space="preserve">any </w:t>
            </w:r>
            <w:r>
              <w:rPr>
                <w:rFonts w:ascii="Times New Roman;Times;serif" w:hAnsi="Times New Roman;Times;serif"/>
                <w:b w:val="false"/>
                <w:i w:val="false"/>
                <w:caps w:val="false"/>
                <w:smallCaps w:val="false"/>
                <w:color w:val="231F20"/>
                <w:sz w:val="20"/>
              </w:rPr>
              <w:t xml:space="preserve">act or decision of the foreign entity in order to assist the individual or business </w:t>
            </w:r>
            <w:r>
              <w:rPr>
                <w:rFonts w:ascii="Times New Roman;Times;serif" w:hAnsi="Times New Roman;Times;serif"/>
                <w:b w:val="false"/>
                <w:i w:val="false"/>
                <w:caps w:val="false"/>
                <w:smallCaps w:val="false"/>
                <w:color w:val="231F20"/>
                <w:spacing w:val="-6"/>
                <w:sz w:val="20"/>
              </w:rPr>
              <w:t xml:space="preserve">in </w:t>
            </w:r>
            <w:r>
              <w:rPr>
                <w:rFonts w:ascii="Times New Roman;Times;serif" w:hAnsi="Times New Roman;Times;serif"/>
                <w:b w:val="false"/>
                <w:i w:val="false"/>
                <w:caps w:val="false"/>
                <w:smallCaps w:val="false"/>
                <w:color w:val="231F20"/>
                <w:sz w:val="20"/>
              </w:rPr>
              <w:t>obtaining or retaining</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business;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 Office of Foreign Assets Control, which prohibits, among other things, transactions or dealings with specified countries, their governments, and in certain circumstances, their nationals, and with individuals</w:t>
            </w:r>
            <w:r>
              <w:rPr>
                <w:caps w:val="false"/>
                <w:smallCaps w:val="false"/>
                <w:color w:val="231F20"/>
                <w:spacing w:val="-34"/>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entities</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that</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are</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specially</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designated,</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including</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narcotics</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traffickers</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terrorists</w:t>
            </w:r>
            <w:r>
              <w:rPr>
                <w:caps w:val="false"/>
                <w:smallCaps w:val="false"/>
                <w:color w:val="231F20"/>
                <w:spacing w:val="-33"/>
              </w:rPr>
              <w:t xml:space="preserve"> </w:t>
            </w:r>
            <w:r>
              <w:rPr>
                <w:rFonts w:ascii="Times New Roman;Times;serif" w:hAnsi="Times New Roman;Times;serif"/>
                <w:b w:val="false"/>
                <w:i w:val="false"/>
                <w:caps w:val="false"/>
                <w:smallCaps w:val="false"/>
                <w:color w:val="231F20"/>
                <w:sz w:val="20"/>
              </w:rPr>
              <w:t>or terrorist</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organization;</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Committee on </w:t>
            </w:r>
            <w:r>
              <w:rPr>
                <w:rFonts w:ascii="Times New Roman;Times;serif" w:hAnsi="Times New Roman;Times;serif"/>
                <w:b w:val="false"/>
                <w:i w:val="false"/>
                <w:caps w:val="false"/>
                <w:smallCaps w:val="false"/>
                <w:color w:val="231F20"/>
                <w:spacing w:val="-3"/>
                <w:sz w:val="20"/>
              </w:rPr>
              <w:t xml:space="preserve">Foreign </w:t>
            </w:r>
            <w:r>
              <w:rPr>
                <w:rFonts w:ascii="Times New Roman;Times;serif" w:hAnsi="Times New Roman;Times;serif"/>
                <w:b w:val="false"/>
                <w:i w:val="false"/>
                <w:caps w:val="false"/>
                <w:smallCaps w:val="false"/>
                <w:color w:val="231F20"/>
                <w:sz w:val="20"/>
              </w:rPr>
              <w:t>Investment in the U.S.</w:t>
            </w:r>
            <w:r>
              <w:rPr>
                <w:rFonts w:ascii="Times New Roman;Times;serif" w:hAnsi="Times New Roman;Times;serif"/>
                <w:b w:val="false"/>
                <w:i w:val="false"/>
                <w:caps w:val="false"/>
                <w:smallCaps w:val="false"/>
                <w:color w:val="231F20"/>
                <w:spacing w:val="-3"/>
                <w:sz w:val="20"/>
              </w:rPr>
              <w:t xml:space="preserve">, </w:t>
            </w:r>
            <w:r>
              <w:rPr>
                <w:rFonts w:ascii="Times New Roman;Times;serif" w:hAnsi="Times New Roman;Times;serif"/>
                <w:b w:val="false"/>
                <w:i w:val="false"/>
                <w:caps w:val="false"/>
                <w:smallCaps w:val="false"/>
                <w:color w:val="231F20"/>
                <w:sz w:val="20"/>
              </w:rPr>
              <w:t xml:space="preserve">which has regulatory oversight </w:t>
            </w:r>
            <w:r>
              <w:rPr>
                <w:rFonts w:ascii="Times New Roman;Times;serif" w:hAnsi="Times New Roman;Times;serif"/>
                <w:b w:val="false"/>
                <w:i w:val="false"/>
                <w:caps w:val="false"/>
                <w:smallCaps w:val="false"/>
                <w:color w:val="231F20"/>
                <w:spacing w:val="-3"/>
                <w:sz w:val="20"/>
              </w:rPr>
              <w:t xml:space="preserve">over </w:t>
            </w:r>
            <w:r>
              <w:rPr>
                <w:rFonts w:ascii="Times New Roman;Times;serif" w:hAnsi="Times New Roman;Times;serif"/>
                <w:b w:val="false"/>
                <w:i w:val="false"/>
                <w:caps w:val="false"/>
                <w:smallCaps w:val="false"/>
                <w:color w:val="231F20"/>
                <w:sz w:val="20"/>
              </w:rPr>
              <w:t xml:space="preserve">the sources and amounts of investment we </w:t>
            </w:r>
            <w:r>
              <w:rPr>
                <w:rFonts w:ascii="Times New Roman;Times;serif" w:hAnsi="Times New Roman;Times;serif"/>
                <w:b w:val="false"/>
                <w:i w:val="false"/>
                <w:caps w:val="false"/>
                <w:smallCaps w:val="false"/>
                <w:color w:val="231F20"/>
                <w:spacing w:val="-3"/>
                <w:sz w:val="20"/>
              </w:rPr>
              <w:t xml:space="preserve">may </w:t>
            </w:r>
            <w:r>
              <w:rPr>
                <w:rFonts w:ascii="Times New Roman;Times;serif" w:hAnsi="Times New Roman;Times;serif"/>
                <w:b w:val="false"/>
                <w:i w:val="false"/>
                <w:caps w:val="false"/>
                <w:smallCaps w:val="false"/>
                <w:color w:val="231F20"/>
                <w:sz w:val="20"/>
              </w:rPr>
              <w:t>accept from non-US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investors;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federal </w:t>
            </w:r>
            <w:r>
              <w:rPr>
                <w:rFonts w:ascii="Times New Roman;Times;serif" w:hAnsi="Times New Roman;Times;serif"/>
                <w:b w:val="false"/>
                <w:i w:val="false"/>
                <w:caps w:val="false"/>
                <w:smallCaps w:val="false"/>
                <w:color w:val="231F20"/>
                <w:spacing w:val="-5"/>
                <w:sz w:val="20"/>
              </w:rPr>
              <w:t xml:space="preserve">False </w:t>
            </w:r>
            <w:r>
              <w:rPr>
                <w:rFonts w:ascii="Times New Roman;Times;serif" w:hAnsi="Times New Roman;Times;serif"/>
                <w:b w:val="false"/>
                <w:i w:val="false"/>
                <w:caps w:val="false"/>
                <w:smallCaps w:val="false"/>
                <w:color w:val="231F20"/>
                <w:sz w:val="20"/>
              </w:rPr>
              <w:t xml:space="preserve">Claims Act, which imposes criminal and civil penalties, including through civil whistleblower or qui tam actions, against individuals or entities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knowingly presenting, or</w:t>
            </w:r>
            <w:r>
              <w:rPr>
                <w:caps w:val="false"/>
                <w:smallCaps w:val="false"/>
                <w:color w:val="231F20"/>
                <w:spacing w:val="-36"/>
              </w:rPr>
              <w:t xml:space="preserve"> </w:t>
            </w:r>
            <w:r>
              <w:rPr>
                <w:rFonts w:ascii="Times New Roman;Times;serif" w:hAnsi="Times New Roman;Times;serif"/>
                <w:b w:val="false"/>
                <w:i w:val="false"/>
                <w:caps w:val="false"/>
                <w:smallCaps w:val="false"/>
                <w:color w:val="231F20"/>
                <w:sz w:val="20"/>
              </w:rPr>
              <w:t xml:space="preserve">causing to be presented, to the federal government, claims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payment that are false or fraudulent or making a false statement to </w:t>
            </w:r>
            <w:r>
              <w:rPr>
                <w:rFonts w:ascii="Times New Roman;Times;serif" w:hAnsi="Times New Roman;Times;serif"/>
                <w:b w:val="false"/>
                <w:i w:val="false"/>
                <w:caps w:val="false"/>
                <w:smallCaps w:val="false"/>
                <w:color w:val="231F20"/>
                <w:spacing w:val="-4"/>
                <w:sz w:val="20"/>
              </w:rPr>
              <w:t xml:space="preserve">avoid, </w:t>
            </w:r>
            <w:r>
              <w:rPr>
                <w:rFonts w:ascii="Times New Roman;Times;serif" w:hAnsi="Times New Roman;Times;serif"/>
                <w:b w:val="false"/>
                <w:i w:val="false"/>
                <w:caps w:val="false"/>
                <w:smallCaps w:val="false"/>
                <w:color w:val="231F20"/>
                <w:sz w:val="20"/>
              </w:rPr>
              <w:t xml:space="preserve">decrease or conceal an obligation to </w:t>
            </w:r>
            <w:r>
              <w:rPr>
                <w:rFonts w:ascii="Times New Roman;Times;serif" w:hAnsi="Times New Roman;Times;serif"/>
                <w:b w:val="false"/>
                <w:i w:val="false"/>
                <w:caps w:val="false"/>
                <w:smallCaps w:val="false"/>
                <w:color w:val="231F20"/>
                <w:spacing w:val="-3"/>
                <w:sz w:val="20"/>
              </w:rPr>
              <w:t xml:space="preserve">pay </w:t>
            </w:r>
            <w:r>
              <w:rPr>
                <w:rFonts w:ascii="Times New Roman;Times;serif" w:hAnsi="Times New Roman;Times;serif"/>
                <w:b w:val="false"/>
                <w:i w:val="false"/>
                <w:caps w:val="false"/>
                <w:smallCaps w:val="false"/>
                <w:color w:val="231F20"/>
                <w:sz w:val="20"/>
              </w:rPr>
              <w:t>money to the federal government;</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state and foreign anti-kickback and false claims </w:t>
            </w:r>
            <w:r>
              <w:rPr>
                <w:rFonts w:ascii="Times New Roman;Times;serif" w:hAnsi="Times New Roman;Times;serif"/>
                <w:b w:val="false"/>
                <w:i w:val="false"/>
                <w:caps w:val="false"/>
                <w:smallCaps w:val="false"/>
                <w:color w:val="231F20"/>
                <w:spacing w:val="-5"/>
                <w:sz w:val="20"/>
              </w:rPr>
              <w:t xml:space="preserve">laws, </w:t>
            </w:r>
            <w:r>
              <w:rPr>
                <w:rFonts w:ascii="Times New Roman;Times;serif" w:hAnsi="Times New Roman;Times;serif"/>
                <w:b w:val="false"/>
                <w:i w:val="false"/>
                <w:caps w:val="false"/>
                <w:smallCaps w:val="false"/>
                <w:color w:val="231F20"/>
                <w:sz w:val="20"/>
              </w:rPr>
              <w:t xml:space="preserve">which </w:t>
            </w:r>
            <w:r>
              <w:rPr>
                <w:rFonts w:ascii="Times New Roman;Times;serif" w:hAnsi="Times New Roman;Times;serif"/>
                <w:b w:val="false"/>
                <w:i w:val="false"/>
                <w:caps w:val="false"/>
                <w:smallCaps w:val="false"/>
                <w:color w:val="231F20"/>
                <w:spacing w:val="-3"/>
                <w:sz w:val="20"/>
              </w:rPr>
              <w:t xml:space="preserve">may </w:t>
            </w:r>
            <w:r>
              <w:rPr>
                <w:rFonts w:ascii="Times New Roman;Times;serif" w:hAnsi="Times New Roman;Times;serif"/>
                <w:b w:val="false"/>
                <w:i w:val="false"/>
                <w:caps w:val="false"/>
                <w:smallCaps w:val="false"/>
                <w:color w:val="231F20"/>
                <w:sz w:val="20"/>
              </w:rPr>
              <w:t>apply to sales or marketing arrangements</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claims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involving</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healthcare</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items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services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reimbursed</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by</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 xml:space="preserve">non-governmental </w:t>
            </w:r>
            <w:r>
              <w:rPr>
                <w:rFonts w:ascii="Times New Roman;Times;serif" w:hAnsi="Times New Roman;Times;serif"/>
                <w:b w:val="false"/>
                <w:i w:val="false"/>
                <w:caps w:val="false"/>
                <w:smallCaps w:val="false"/>
                <w:color w:val="231F20"/>
                <w:spacing w:val="-4"/>
                <w:sz w:val="20"/>
              </w:rPr>
              <w:t xml:space="preserve">payors, </w:t>
            </w:r>
            <w:r>
              <w:rPr>
                <w:rFonts w:ascii="Times New Roman;Times;serif" w:hAnsi="Times New Roman;Times;serif"/>
                <w:b w:val="false"/>
                <w:i w:val="false"/>
                <w:caps w:val="false"/>
                <w:smallCaps w:val="false"/>
                <w:color w:val="231F20"/>
                <w:sz w:val="20"/>
              </w:rPr>
              <w:t>including private</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insurers;</w:t>
            </w:r>
          </w:p>
        </w:tc>
      </w:tr>
    </w:tbl>
    <w:tbl>
      <w:tblPr>
        <w:tblW w:w="9387" w:type="dxa"/>
        <w:jc w:val="left"/>
        <w:tblInd w:w="0" w:type="dxa"/>
        <w:tblCellMar>
          <w:top w:w="28" w:type="dxa"/>
          <w:left w:w="28" w:type="dxa"/>
          <w:bottom w:w="28" w:type="dxa"/>
          <w:right w:w="28" w:type="dxa"/>
        </w:tblCellMar>
      </w:tblPr>
      <w:tblGrid>
        <w:gridCol w:w="124"/>
        <w:gridCol w:w="196"/>
        <w:gridCol w:w="9067"/>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067"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federal Health Insurance Portability and Accountability Act of 1996 </w:t>
            </w:r>
            <w:r>
              <w:rPr>
                <w:rFonts w:ascii="Times New Roman;Times;serif" w:hAnsi="Times New Roman;Times;serif"/>
                <w:b w:val="false"/>
                <w:i w:val="false"/>
                <w:caps w:val="false"/>
                <w:smallCaps w:val="false"/>
                <w:color w:val="231F20"/>
                <w:spacing w:val="-3"/>
                <w:sz w:val="20"/>
              </w:rPr>
              <w:t xml:space="preserve">(“HIPAA”), </w:t>
            </w:r>
            <w:r>
              <w:rPr>
                <w:rFonts w:ascii="Times New Roman;Times;serif" w:hAnsi="Times New Roman;Times;serif"/>
                <w:b w:val="false"/>
                <w:i w:val="false"/>
                <w:caps w:val="false"/>
                <w:smallCaps w:val="false"/>
                <w:color w:val="231F20"/>
                <w:sz w:val="20"/>
              </w:rPr>
              <w:t xml:space="preserve">as amended by the Health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Information Technology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Economic and Clinical Health Act of 2009 (“HITECH”), which imposes criminal and civil liability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executing a scheme to defraud </w:t>
            </w:r>
            <w:r>
              <w:rPr>
                <w:rFonts w:ascii="Times New Roman;Times;serif" w:hAnsi="Times New Roman;Times;serif"/>
                <w:b w:val="false"/>
                <w:i w:val="false"/>
                <w:caps w:val="false"/>
                <w:smallCaps w:val="false"/>
                <w:color w:val="231F20"/>
                <w:spacing w:val="-3"/>
                <w:sz w:val="20"/>
              </w:rPr>
              <w:t xml:space="preserve">any </w:t>
            </w:r>
            <w:r>
              <w:rPr>
                <w:rFonts w:ascii="Times New Roman;Times;serif" w:hAnsi="Times New Roman;Times;serif"/>
                <w:b w:val="false"/>
                <w:i w:val="false"/>
                <w:caps w:val="false"/>
                <w:smallCaps w:val="false"/>
                <w:color w:val="231F20"/>
                <w:sz w:val="20"/>
              </w:rPr>
              <w:t>healthcare benefit program or making false statements relating to healthcare</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matters;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pacing w:val="-4"/>
                <w:sz w:val="20"/>
              </w:rPr>
              <w:t xml:space="preserve">HIPAA </w:t>
            </w:r>
            <w:r>
              <w:rPr>
                <w:rFonts w:ascii="Times New Roman;Times;serif" w:hAnsi="Times New Roman;Times;serif"/>
                <w:b w:val="false"/>
                <w:i w:val="false"/>
                <w:caps w:val="false"/>
                <w:smallCaps w:val="false"/>
                <w:color w:val="231F20"/>
                <w:sz w:val="20"/>
              </w:rPr>
              <w:t xml:space="preserve">and its implementing regulations, which </w:t>
            </w:r>
            <w:r>
              <w:rPr>
                <w:rFonts w:ascii="Times New Roman;Times;serif" w:hAnsi="Times New Roman;Times;serif"/>
                <w:b w:val="false"/>
                <w:i w:val="false"/>
                <w:caps w:val="false"/>
                <w:smallCaps w:val="false"/>
                <w:color w:val="231F20"/>
                <w:spacing w:val="-3"/>
                <w:sz w:val="20"/>
              </w:rPr>
              <w:t xml:space="preserve">also </w:t>
            </w:r>
            <w:r>
              <w:rPr>
                <w:rFonts w:ascii="Times New Roman;Times;serif" w:hAnsi="Times New Roman;Times;serif"/>
                <w:b w:val="false"/>
                <w:i w:val="false"/>
                <w:caps w:val="false"/>
                <w:smallCaps w:val="false"/>
                <w:color w:val="231F20"/>
                <w:sz w:val="20"/>
              </w:rPr>
              <w:t xml:space="preserve">imposes obligations on certain covered entity healthcare </w:t>
            </w:r>
            <w:r>
              <w:rPr>
                <w:rFonts w:ascii="Times New Roman;Times;serif" w:hAnsi="Times New Roman;Times;serif"/>
                <w:b w:val="false"/>
                <w:i w:val="false"/>
                <w:caps w:val="false"/>
                <w:smallCaps w:val="false"/>
                <w:color w:val="231F20"/>
                <w:spacing w:val="-3"/>
                <w:sz w:val="20"/>
              </w:rPr>
              <w:t xml:space="preserve">providers, </w:t>
            </w:r>
            <w:r>
              <w:rPr>
                <w:rFonts w:ascii="Times New Roman;Times;serif" w:hAnsi="Times New Roman;Times;serif"/>
                <w:b w:val="false"/>
                <w:i w:val="false"/>
                <w:caps w:val="false"/>
                <w:smallCaps w:val="false"/>
                <w:color w:val="231F20"/>
                <w:sz w:val="20"/>
              </w:rPr>
              <w:t>health plans, and healthcare clearinghouses as well as their business associates that perform certain services involving the use or disclosure of individually identifiable health information,</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including</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mandatory</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contractual</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terms,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with</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respect</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safeguarding</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6"/>
              </w:rPr>
              <w:t xml:space="preserve"> </w:t>
            </w:r>
            <w:r>
              <w:rPr>
                <w:rFonts w:ascii="Times New Roman;Times;serif" w:hAnsi="Times New Roman;Times;serif"/>
                <w:b w:val="false"/>
                <w:i w:val="false"/>
                <w:caps w:val="false"/>
                <w:smallCaps w:val="false"/>
                <w:color w:val="231F20"/>
                <w:spacing w:val="-4"/>
                <w:sz w:val="20"/>
              </w:rPr>
              <w:t>privacy,</w:t>
            </w:r>
            <w:r>
              <w:rPr>
                <w:caps w:val="false"/>
                <w:smallCaps w:val="false"/>
                <w:color w:val="231F20"/>
                <w:spacing w:val="-6"/>
              </w:rPr>
              <w:t xml:space="preserve"> </w:t>
            </w:r>
            <w:r>
              <w:rPr>
                <w:rFonts w:ascii="Times New Roman;Times;serif" w:hAnsi="Times New Roman;Times;serif"/>
                <w:b w:val="false"/>
                <w:i w:val="false"/>
                <w:caps w:val="false"/>
                <w:smallCaps w:val="false"/>
                <w:color w:val="231F20"/>
                <w:sz w:val="20"/>
              </w:rPr>
              <w:t>security and transmission of individually identifiable health</w:t>
            </w:r>
            <w:r>
              <w:rPr>
                <w:caps w:val="false"/>
                <w:smallCaps w:val="false"/>
                <w:color w:val="231F20"/>
                <w:spacing w:val="-1"/>
              </w:rPr>
              <w:t xml:space="preserve"> </w:t>
            </w:r>
            <w:r>
              <w:rPr>
                <w:rFonts w:ascii="Times New Roman;Times;serif" w:hAnsi="Times New Roman;Times;serif"/>
                <w:b w:val="false"/>
                <w:i w:val="false"/>
                <w:caps w:val="false"/>
                <w:smallCaps w:val="false"/>
                <w:color w:val="231F20"/>
                <w:sz w:val="20"/>
              </w:rPr>
              <w:t>information;</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pacing w:val="-4"/>
                <w:sz w:val="20"/>
              </w:rPr>
              <w:t xml:space="preserve">laws </w:t>
            </w:r>
            <w:r>
              <w:rPr>
                <w:rFonts w:ascii="Times New Roman;Times;serif" w:hAnsi="Times New Roman;Times;serif"/>
                <w:b w:val="false"/>
                <w:i w:val="false"/>
                <w:caps w:val="false"/>
                <w:smallCaps w:val="false"/>
                <w:color w:val="231F20"/>
                <w:sz w:val="20"/>
              </w:rPr>
              <w:t>which require pharmaceutical companies to comply with the pharmaceutical industry’s voluntary compliance guidelines and the relevant compliance guidance promulgated by the</w:t>
            </w:r>
            <w:r>
              <w:rPr>
                <w:caps w:val="false"/>
                <w:smallCaps w:val="false"/>
                <w:color w:val="231F20"/>
                <w:spacing w:val="-31"/>
              </w:rPr>
              <w:t xml:space="preserve"> </w:t>
            </w:r>
            <w:r>
              <w:rPr>
                <w:rFonts w:ascii="Times New Roman;Times;serif" w:hAnsi="Times New Roman;Times;serif"/>
                <w:b w:val="false"/>
                <w:i w:val="false"/>
                <w:caps w:val="false"/>
                <w:smallCaps w:val="false"/>
                <w:color w:val="231F20"/>
                <w:sz w:val="20"/>
              </w:rPr>
              <w:t xml:space="preserve">federal government or otherwise restricting payments that </w:t>
            </w:r>
            <w:r>
              <w:rPr>
                <w:rFonts w:ascii="Times New Roman;Times;serif" w:hAnsi="Times New Roman;Times;serif"/>
                <w:b w:val="false"/>
                <w:i w:val="false"/>
                <w:caps w:val="false"/>
                <w:smallCaps w:val="false"/>
                <w:color w:val="231F20"/>
                <w:spacing w:val="-3"/>
                <w:sz w:val="20"/>
              </w:rPr>
              <w:t xml:space="preserve">may </w:t>
            </w:r>
            <w:r>
              <w:rPr>
                <w:rFonts w:ascii="Times New Roman;Times;serif" w:hAnsi="Times New Roman;Times;serif"/>
                <w:b w:val="false"/>
                <w:i w:val="false"/>
                <w:caps w:val="false"/>
                <w:smallCaps w:val="false"/>
                <w:color w:val="231F20"/>
                <w:sz w:val="20"/>
              </w:rPr>
              <w:t>be made to healthcare providers;</w:t>
            </w:r>
            <w:r>
              <w:rPr>
                <w:caps w:val="false"/>
                <w:smallCaps w:val="false"/>
                <w:color w:val="231F20"/>
                <w:spacing w:val="-1"/>
              </w:rPr>
              <w:t xml:space="preserve"> </w:t>
            </w:r>
            <w:r>
              <w:rPr>
                <w:rFonts w:ascii="Times New Roman;Times;serif" w:hAnsi="Times New Roman;Times;serif"/>
                <w:b w:val="false"/>
                <w:i w:val="false"/>
                <w:caps w:val="false"/>
                <w:smallCaps w:val="false"/>
                <w:color w:val="231F20"/>
                <w:sz w:val="20"/>
              </w:rPr>
              <w:t>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federal </w:t>
            </w:r>
            <w:r>
              <w:rPr>
                <w:rFonts w:ascii="Times New Roman;Times;serif" w:hAnsi="Times New Roman;Times;serif"/>
                <w:b w:val="false"/>
                <w:i w:val="false"/>
                <w:caps w:val="false"/>
                <w:smallCaps w:val="false"/>
                <w:color w:val="231F20"/>
                <w:spacing w:val="-4"/>
                <w:sz w:val="20"/>
              </w:rPr>
              <w:t xml:space="preserve">laws </w:t>
            </w:r>
            <w:r>
              <w:rPr>
                <w:rFonts w:ascii="Times New Roman;Times;serif" w:hAnsi="Times New Roman;Times;serif"/>
                <w:b w:val="false"/>
                <w:i w:val="false"/>
                <w:caps w:val="false"/>
                <w:smallCaps w:val="false"/>
                <w:color w:val="231F20"/>
                <w:sz w:val="20"/>
              </w:rPr>
              <w:t xml:space="preserve">requiring drug manufacturers to report information related to payments and other transfers of </w:t>
            </w:r>
            <w:r>
              <w:rPr>
                <w:rFonts w:ascii="Times New Roman;Times;serif" w:hAnsi="Times New Roman;Times;serif"/>
                <w:b w:val="false"/>
                <w:i w:val="false"/>
                <w:caps w:val="false"/>
                <w:smallCaps w:val="false"/>
                <w:color w:val="231F20"/>
                <w:spacing w:val="-3"/>
                <w:sz w:val="20"/>
              </w:rPr>
              <w:t xml:space="preserve">value </w:t>
            </w:r>
            <w:r>
              <w:rPr>
                <w:rFonts w:ascii="Times New Roman;Times;serif" w:hAnsi="Times New Roman;Times;serif"/>
                <w:b w:val="false"/>
                <w:i w:val="false"/>
                <w:caps w:val="false"/>
                <w:smallCaps w:val="false"/>
                <w:color w:val="231F20"/>
                <w:sz w:val="20"/>
              </w:rPr>
              <w:t xml:space="preserve">made to physicians and other healthcare </w:t>
            </w:r>
            <w:r>
              <w:rPr>
                <w:rFonts w:ascii="Times New Roman;Times;serif" w:hAnsi="Times New Roman;Times;serif"/>
                <w:b w:val="false"/>
                <w:i w:val="false"/>
                <w:caps w:val="false"/>
                <w:smallCaps w:val="false"/>
                <w:color w:val="231F20"/>
                <w:spacing w:val="-3"/>
                <w:sz w:val="20"/>
              </w:rPr>
              <w:t xml:space="preserve">providers, </w:t>
            </w:r>
            <w:r>
              <w:rPr>
                <w:rFonts w:ascii="Times New Roman;Times;serif" w:hAnsi="Times New Roman;Times;serif"/>
                <w:b w:val="false"/>
                <w:i w:val="false"/>
                <w:caps w:val="false"/>
                <w:smallCaps w:val="false"/>
                <w:color w:val="231F20"/>
                <w:sz w:val="20"/>
              </w:rPr>
              <w:t>as well as ownership or investment interests held by physicians and their immediate family members, including under the federal</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open</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payments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program,</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as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well</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as</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other</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state</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foreign</w:t>
            </w:r>
            <w:r>
              <w:rPr>
                <w:caps w:val="false"/>
                <w:smallCaps w:val="false"/>
                <w:color w:val="231F20"/>
                <w:spacing w:val="-9"/>
              </w:rPr>
              <w:t xml:space="preserve"> </w:t>
            </w:r>
            <w:r>
              <w:rPr>
                <w:rFonts w:ascii="Times New Roman;Times;serif" w:hAnsi="Times New Roman;Times;serif"/>
                <w:b w:val="false"/>
                <w:i w:val="false"/>
                <w:caps w:val="false"/>
                <w:smallCaps w:val="false"/>
                <w:color w:val="231F20"/>
                <w:spacing w:val="-4"/>
                <w:sz w:val="20"/>
              </w:rPr>
              <w:t>laws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regulating</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marketing</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activities.</w:t>
            </w:r>
          </w:p>
        </w:tc>
      </w:tr>
    </w:tbl>
    <w:p>
      <w:pPr>
        <w:pStyle w:val="TextBody"/>
        <w:spacing w:lineRule="auto" w:line="288"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Managing</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growth</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as</w:t>
      </w:r>
      <w:r>
        <w:rPr>
          <w:rFonts w:ascii="Times New Roman;Times;serif" w:hAnsi="Times New Roman;Times;serif"/>
          <w:b/>
          <w:color w:val="231F20"/>
          <w:spacing w:val="-10"/>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expand</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operations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strain</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resources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0"/>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successfully</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manage our</w:t>
      </w:r>
      <w:r>
        <w:rPr>
          <w:rFonts w:ascii="Times New Roman;Times;serif" w:hAnsi="Times New Roman;Times;serif"/>
          <w:b/>
          <w:color w:val="231F20"/>
          <w:spacing w:val="-2"/>
          <w:sz w:val="20"/>
        </w:rPr>
        <w:t xml:space="preserve"> </w:t>
      </w:r>
      <w:r>
        <w:rPr>
          <w:rFonts w:ascii="Times New Roman;Times;serif" w:hAnsi="Times New Roman;Times;serif"/>
          <w:b/>
          <w:i/>
          <w:color w:val="231F20"/>
          <w:sz w:val="20"/>
        </w:rPr>
        <w:t>growth.</w:t>
      </w:r>
    </w:p>
    <w:p>
      <w:pPr>
        <w:pStyle w:val="TextBody"/>
        <w:spacing w:lineRule="auto" w:line="288" w:before="161"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We</w:t>
      </w:r>
      <w:r>
        <w:rPr>
          <w:rFonts w:ascii="Times New Roman;Times;serif" w:hAnsi="Times New Roman;Times;serif"/>
          <w:color w:val="231F20"/>
          <w:spacing w:val="-19"/>
          <w:sz w:val="20"/>
        </w:rPr>
        <w:t xml:space="preserve"> </w:t>
      </w:r>
      <w:r>
        <w:rPr>
          <w:rFonts w:ascii="Times New Roman;Times;serif" w:hAnsi="Times New Roman;Times;serif"/>
          <w:color w:val="231F20"/>
          <w:sz w:val="20"/>
        </w:rPr>
        <w:t>expect</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8"/>
          <w:sz w:val="20"/>
        </w:rPr>
        <w:t xml:space="preserve"> </w:t>
      </w:r>
      <w:r>
        <w:rPr>
          <w:rFonts w:ascii="Times New Roman;Times;serif" w:hAnsi="Times New Roman;Times;serif"/>
          <w:color w:val="231F20"/>
          <w:sz w:val="20"/>
        </w:rPr>
        <w:t>need</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pacing w:val="-4"/>
          <w:sz w:val="20"/>
        </w:rPr>
        <w:t>grow</w:t>
      </w:r>
      <w:r>
        <w:rPr>
          <w:rFonts w:ascii="Times New Roman;Times;serif" w:hAnsi="Times New Roman;Times;serif"/>
          <w:color w:val="231F20"/>
          <w:spacing w:val="-18"/>
          <w:sz w:val="20"/>
        </w:rPr>
        <w:t xml:space="preserve"> </w:t>
      </w:r>
      <w:r>
        <w:rPr>
          <w:rFonts w:ascii="Times New Roman;Times;serif" w:hAnsi="Times New Roman;Times;serif"/>
          <w:color w:val="231F20"/>
          <w:sz w:val="20"/>
        </w:rPr>
        <w:t>rapidly</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order</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support</w:t>
      </w:r>
      <w:r>
        <w:rPr>
          <w:rFonts w:ascii="Times New Roman;Times;serif" w:hAnsi="Times New Roman;Times;serif"/>
          <w:color w:val="231F20"/>
          <w:spacing w:val="-18"/>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19"/>
          <w:sz w:val="20"/>
        </w:rPr>
        <w:t xml:space="preserve"> </w:t>
      </w:r>
      <w:r>
        <w:rPr>
          <w:rFonts w:ascii="Times New Roman;Times;serif" w:hAnsi="Times New Roman;Times;serif"/>
          <w:color w:val="231F20"/>
          <w:spacing w:val="-4"/>
          <w:sz w:val="20"/>
        </w:rPr>
        <w:t>larger,</w:t>
      </w:r>
      <w:r>
        <w:rPr>
          <w:rFonts w:ascii="Times New Roman;Times;serif" w:hAnsi="Times New Roman;Times;serif"/>
          <w:color w:val="231F20"/>
          <w:spacing w:val="-1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potentially</w:t>
      </w:r>
      <w:r>
        <w:rPr>
          <w:rFonts w:ascii="Times New Roman;Times;serif" w:hAnsi="Times New Roman;Times;serif"/>
          <w:color w:val="231F20"/>
          <w:spacing w:val="-19"/>
          <w:sz w:val="20"/>
        </w:rPr>
        <w:t xml:space="preserve"> </w:t>
      </w:r>
      <w:r>
        <w:rPr>
          <w:rFonts w:ascii="Times New Roman;Times;serif" w:hAnsi="Times New Roman;Times;serif"/>
          <w:color w:val="231F20"/>
          <w:sz w:val="20"/>
        </w:rPr>
        <w:t xml:space="preserve">international, </w:t>
      </w:r>
      <w:r>
        <w:rPr>
          <w:rFonts w:ascii="Times New Roman;Times;serif" w:hAnsi="Times New Roman;Times;serif"/>
          <w:color w:val="231F20"/>
          <w:spacing w:val="-3"/>
          <w:sz w:val="20"/>
        </w:rPr>
        <w:t>pivotal</w:t>
      </w:r>
      <w:r>
        <w:rPr>
          <w:rFonts w:ascii="Times New Roman;Times;serif" w:hAnsi="Times New Roman;Times;serif"/>
          <w:color w:val="231F20"/>
          <w:spacing w:val="-32"/>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32"/>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32"/>
          <w:sz w:val="20"/>
        </w:rPr>
        <w:t xml:space="preserve"> </w:t>
      </w:r>
      <w:r>
        <w:rPr>
          <w:rFonts w:ascii="Times New Roman;Times;serif" w:hAnsi="Times New Roman;Times;serif"/>
          <w:color w:val="231F20"/>
          <w:sz w:val="20"/>
        </w:rPr>
        <w:t>of</w:t>
      </w:r>
      <w:r>
        <w:rPr>
          <w:rFonts w:ascii="Times New Roman;Times;serif" w:hAnsi="Times New Roman;Times;serif"/>
          <w:color w:val="231F20"/>
          <w:spacing w:val="-2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2"/>
          <w:sz w:val="20"/>
        </w:rPr>
        <w:t xml:space="preserve"> </w:t>
      </w:r>
      <w:r>
        <w:rPr>
          <w:rFonts w:ascii="Times New Roman;Times;serif" w:hAnsi="Times New Roman;Times;serif"/>
          <w:color w:val="231F20"/>
          <w:sz w:val="20"/>
        </w:rPr>
        <w:t>drug</w:t>
      </w:r>
      <w:r>
        <w:rPr>
          <w:rFonts w:ascii="Times New Roman;Times;serif" w:hAnsi="Times New Roman;Times;serif"/>
          <w:color w:val="231F20"/>
          <w:spacing w:val="-31"/>
          <w:sz w:val="20"/>
        </w:rPr>
        <w:t xml:space="preserve"> </w:t>
      </w:r>
      <w:r>
        <w:rPr>
          <w:rFonts w:ascii="Times New Roman;Times;serif" w:hAnsi="Times New Roman;Times;serif"/>
          <w:color w:val="231F20"/>
          <w:sz w:val="20"/>
        </w:rPr>
        <w:t>candidates,</w:t>
      </w:r>
      <w:r>
        <w:rPr>
          <w:rFonts w:ascii="Times New Roman;Times;serif" w:hAnsi="Times New Roman;Times;serif"/>
          <w:color w:val="231F20"/>
          <w:spacing w:val="-32"/>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32"/>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32"/>
          <w:sz w:val="20"/>
        </w:rPr>
        <w:t xml:space="preserve"> </w:t>
      </w:r>
      <w:r>
        <w:rPr>
          <w:rFonts w:ascii="Times New Roman;Times;serif" w:hAnsi="Times New Roman;Times;serif"/>
          <w:color w:val="231F20"/>
          <w:sz w:val="20"/>
        </w:rPr>
        <w:t>place</w:t>
      </w:r>
      <w:r>
        <w:rPr>
          <w:rFonts w:ascii="Times New Roman;Times;serif" w:hAnsi="Times New Roman;Times;serif"/>
          <w:color w:val="231F20"/>
          <w:spacing w:val="-32"/>
          <w:sz w:val="20"/>
        </w:rPr>
        <w:t xml:space="preserve"> </w:t>
      </w:r>
      <w:r>
        <w:rPr>
          <w:rFonts w:ascii="Times New Roman;Times;serif" w:hAnsi="Times New Roman;Times;serif"/>
          <w:color w:val="231F20"/>
          <w:sz w:val="20"/>
        </w:rPr>
        <w:t>a</w:t>
      </w:r>
      <w:r>
        <w:rPr>
          <w:rFonts w:ascii="Times New Roman;Times;serif" w:hAnsi="Times New Roman;Times;serif"/>
          <w:color w:val="231F20"/>
          <w:spacing w:val="-32"/>
          <w:sz w:val="20"/>
        </w:rPr>
        <w:t xml:space="preserve"> </w:t>
      </w:r>
      <w:r>
        <w:rPr>
          <w:rFonts w:ascii="Times New Roman;Times;serif" w:hAnsi="Times New Roman;Times;serif"/>
          <w:color w:val="231F20"/>
          <w:sz w:val="20"/>
        </w:rPr>
        <w:t>significant</w:t>
      </w:r>
      <w:r>
        <w:rPr>
          <w:rFonts w:ascii="Times New Roman;Times;serif" w:hAnsi="Times New Roman;Times;serif"/>
          <w:color w:val="231F20"/>
          <w:spacing w:val="-32"/>
          <w:sz w:val="20"/>
        </w:rPr>
        <w:t xml:space="preserve"> </w:t>
      </w:r>
      <w:r>
        <w:rPr>
          <w:rFonts w:ascii="Times New Roman;Times;serif" w:hAnsi="Times New Roman;Times;serif"/>
          <w:color w:val="231F20"/>
          <w:sz w:val="20"/>
        </w:rPr>
        <w:t>strain</w:t>
      </w:r>
      <w:r>
        <w:rPr>
          <w:rFonts w:ascii="Times New Roman;Times;serif" w:hAnsi="Times New Roman;Times;serif"/>
          <w:color w:val="231F20"/>
          <w:spacing w:val="-32"/>
          <w:sz w:val="20"/>
        </w:rPr>
        <w:t xml:space="preserve"> </w:t>
      </w:r>
      <w:r>
        <w:rPr>
          <w:rFonts w:ascii="Times New Roman;Times;serif" w:hAnsi="Times New Roman;Times;serif"/>
          <w:color w:val="231F20"/>
          <w:sz w:val="20"/>
        </w:rPr>
        <w:t>on</w:t>
      </w:r>
      <w:r>
        <w:rPr>
          <w:rFonts w:ascii="Times New Roman;Times;serif" w:hAnsi="Times New Roman;Times;serif"/>
          <w:color w:val="231F20"/>
          <w:spacing w:val="-3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2"/>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32"/>
          <w:sz w:val="20"/>
        </w:rPr>
        <w:t xml:space="preserve"> </w:t>
      </w:r>
      <w:r>
        <w:rPr>
          <w:rFonts w:ascii="Times New Roman;Times;serif" w:hAnsi="Times New Roman;Times;serif"/>
          <w:color w:val="231F20"/>
          <w:sz w:val="20"/>
        </w:rPr>
        <w:t>managerial and</w:t>
      </w:r>
      <w:r>
        <w:rPr>
          <w:rFonts w:ascii="Times New Roman;Times;serif" w:hAnsi="Times New Roman;Times;serif"/>
          <w:color w:val="231F20"/>
          <w:spacing w:val="-25"/>
          <w:sz w:val="20"/>
        </w:rPr>
        <w:t xml:space="preserve"> </w:t>
      </w:r>
      <w:r>
        <w:rPr>
          <w:rFonts w:ascii="Times New Roman;Times;serif" w:hAnsi="Times New Roman;Times;serif"/>
          <w:color w:val="231F20"/>
          <w:sz w:val="20"/>
        </w:rPr>
        <w:t>operational</w:t>
      </w:r>
      <w:r>
        <w:rPr>
          <w:rFonts w:ascii="Times New Roman;Times;serif" w:hAnsi="Times New Roman;Times;serif"/>
          <w:color w:val="231F20"/>
          <w:spacing w:val="-25"/>
          <w:sz w:val="20"/>
        </w:rPr>
        <w:t xml:space="preserve"> </w:t>
      </w:r>
      <w:r>
        <w:rPr>
          <w:rFonts w:ascii="Times New Roman;Times;serif" w:hAnsi="Times New Roman;Times;serif"/>
          <w:color w:val="231F20"/>
          <w:sz w:val="20"/>
        </w:rPr>
        <w:t>resources.</w:t>
      </w:r>
      <w:r>
        <w:rPr>
          <w:rFonts w:ascii="Times New Roman;Times;serif" w:hAnsi="Times New Roman;Times;serif"/>
          <w:color w:val="231F20"/>
          <w:spacing w:val="-25"/>
          <w:sz w:val="20"/>
        </w:rPr>
        <w:t xml:space="preserve"> </w:t>
      </w:r>
      <w:r>
        <w:rPr>
          <w:rFonts w:ascii="Times New Roman;Times;serif" w:hAnsi="Times New Roman;Times;serif"/>
          <w:color w:val="231F20"/>
          <w:sz w:val="20"/>
        </w:rPr>
        <w:t>In</w:t>
      </w:r>
      <w:r>
        <w:rPr>
          <w:rFonts w:ascii="Times New Roman;Times;serif" w:hAnsi="Times New Roman;Times;serif"/>
          <w:color w:val="231F20"/>
          <w:spacing w:val="-25"/>
          <w:sz w:val="20"/>
        </w:rPr>
        <w:t xml:space="preserve"> </w:t>
      </w:r>
      <w:r>
        <w:rPr>
          <w:rFonts w:ascii="Times New Roman;Times;serif" w:hAnsi="Times New Roman;Times;serif"/>
          <w:color w:val="231F20"/>
          <w:sz w:val="20"/>
        </w:rPr>
        <w:t>order</w:t>
      </w:r>
      <w:r>
        <w:rPr>
          <w:rFonts w:ascii="Times New Roman;Times;serif" w:hAnsi="Times New Roman;Times;serif"/>
          <w:color w:val="231F20"/>
          <w:spacing w:val="-25"/>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achieve</w:t>
      </w:r>
      <w:r>
        <w:rPr>
          <w:rFonts w:ascii="Times New Roman;Times;serif" w:hAnsi="Times New Roman;Times;serif"/>
          <w:color w:val="231F20"/>
          <w:spacing w:val="-2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5"/>
          <w:sz w:val="20"/>
        </w:rPr>
        <w:t xml:space="preserve"> </w:t>
      </w:r>
      <w:r>
        <w:rPr>
          <w:rFonts w:ascii="Times New Roman;Times;serif" w:hAnsi="Times New Roman;Times;serif"/>
          <w:color w:val="231F20"/>
          <w:sz w:val="20"/>
        </w:rPr>
        <w:t>manage</w:t>
      </w:r>
      <w:r>
        <w:rPr>
          <w:rFonts w:ascii="Times New Roman;Times;serif" w:hAnsi="Times New Roman;Times;serif"/>
          <w:color w:val="231F20"/>
          <w:spacing w:val="-25"/>
          <w:sz w:val="20"/>
        </w:rPr>
        <w:t xml:space="preserve"> </w:t>
      </w:r>
      <w:r>
        <w:rPr>
          <w:rFonts w:ascii="Times New Roman;Times;serif" w:hAnsi="Times New Roman;Times;serif"/>
          <w:color w:val="231F20"/>
          <w:spacing w:val="-3"/>
          <w:sz w:val="20"/>
        </w:rPr>
        <w:t>growth</w:t>
      </w:r>
      <w:r>
        <w:rPr>
          <w:rFonts w:ascii="Times New Roman;Times;serif" w:hAnsi="Times New Roman;Times;serif"/>
          <w:color w:val="231F20"/>
          <w:spacing w:val="-25"/>
          <w:sz w:val="20"/>
        </w:rPr>
        <w:t xml:space="preserve"> </w:t>
      </w:r>
      <w:r>
        <w:rPr>
          <w:rFonts w:ascii="Times New Roman;Times;serif" w:hAnsi="Times New Roman;Times;serif"/>
          <w:color w:val="231F20"/>
          <w:spacing w:val="-4"/>
          <w:sz w:val="20"/>
        </w:rPr>
        <w:t>effectively,</w:t>
      </w:r>
      <w:r>
        <w:rPr>
          <w:rFonts w:ascii="Times New Roman;Times;serif" w:hAnsi="Times New Roman;Times;serif"/>
          <w:color w:val="231F20"/>
          <w:spacing w:val="-25"/>
          <w:sz w:val="20"/>
        </w:rPr>
        <w:t xml:space="preserve"> </w:t>
      </w:r>
      <w:r>
        <w:rPr>
          <w:rFonts w:ascii="Times New Roman;Times;serif" w:hAnsi="Times New Roman;Times;serif"/>
          <w:color w:val="231F20"/>
          <w:sz w:val="20"/>
        </w:rPr>
        <w:t>we</w:t>
      </w:r>
      <w:r>
        <w:rPr>
          <w:rFonts w:ascii="Times New Roman;Times;serif" w:hAnsi="Times New Roman;Times;serif"/>
          <w:color w:val="231F20"/>
          <w:spacing w:val="-25"/>
          <w:sz w:val="20"/>
        </w:rPr>
        <w:t xml:space="preserve"> </w:t>
      </w:r>
      <w:r>
        <w:rPr>
          <w:rFonts w:ascii="Times New Roman;Times;serif" w:hAnsi="Times New Roman;Times;serif"/>
          <w:color w:val="231F20"/>
          <w:sz w:val="20"/>
        </w:rPr>
        <w:t>must</w:t>
      </w:r>
      <w:r>
        <w:rPr>
          <w:rFonts w:ascii="Times New Roman;Times;serif" w:hAnsi="Times New Roman;Times;serif"/>
          <w:color w:val="231F20"/>
          <w:spacing w:val="-24"/>
          <w:sz w:val="20"/>
        </w:rPr>
        <w:t xml:space="preserve"> </w:t>
      </w:r>
      <w:r>
        <w:rPr>
          <w:rFonts w:ascii="Times New Roman;Times;serif" w:hAnsi="Times New Roman;Times;serif"/>
          <w:color w:val="231F20"/>
          <w:sz w:val="20"/>
        </w:rPr>
        <w:t>continue</w:t>
      </w:r>
      <w:r>
        <w:rPr>
          <w:rFonts w:ascii="Times New Roman;Times;serif" w:hAnsi="Times New Roman;Times;serif"/>
          <w:color w:val="231F20"/>
          <w:spacing w:val="-25"/>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pacing w:val="-3"/>
          <w:sz w:val="20"/>
        </w:rPr>
        <w:t xml:space="preserve">improve </w:t>
      </w:r>
      <w:r>
        <w:rPr>
          <w:rFonts w:ascii="Times New Roman;Times;serif" w:hAnsi="Times New Roman;Times;serif"/>
          <w:color w:val="231F20"/>
          <w:sz w:val="20"/>
        </w:rPr>
        <w:t>and</w:t>
      </w:r>
      <w:r>
        <w:rPr>
          <w:rFonts w:ascii="Times New Roman;Times;serif" w:hAnsi="Times New Roman;Times;serif"/>
          <w:color w:val="231F20"/>
          <w:spacing w:val="-42"/>
          <w:sz w:val="20"/>
        </w:rPr>
        <w:t xml:space="preserve"> </w:t>
      </w:r>
      <w:r>
        <w:rPr>
          <w:rFonts w:ascii="Times New Roman;Times;serif" w:hAnsi="Times New Roman;Times;serif"/>
          <w:color w:val="231F20"/>
          <w:sz w:val="20"/>
        </w:rPr>
        <w:t>expand</w:t>
      </w:r>
      <w:r>
        <w:rPr>
          <w:rFonts w:ascii="Times New Roman;Times;serif" w:hAnsi="Times New Roman;Times;serif"/>
          <w:color w:val="231F20"/>
          <w:spacing w:val="-41"/>
          <w:sz w:val="20"/>
        </w:rPr>
        <w:t xml:space="preserve"> </w:t>
      </w:r>
      <w:r>
        <w:rPr>
          <w:rFonts w:ascii="Times New Roman;Times;serif" w:hAnsi="Times New Roman;Times;serif"/>
          <w:color w:val="231F20"/>
          <w:sz w:val="20"/>
        </w:rPr>
        <w:t>our</w:t>
      </w:r>
      <w:r>
        <w:rPr>
          <w:rFonts w:ascii="Times New Roman;Times;serif" w:hAnsi="Times New Roman;Times;serif"/>
          <w:color w:val="231F20"/>
          <w:spacing w:val="-41"/>
          <w:sz w:val="20"/>
        </w:rPr>
        <w:t xml:space="preserve"> </w:t>
      </w:r>
      <w:r>
        <w:rPr>
          <w:rFonts w:ascii="Times New Roman;Times;serif" w:hAnsi="Times New Roman;Times;serif"/>
          <w:color w:val="231F20"/>
          <w:spacing w:val="-3"/>
          <w:sz w:val="20"/>
        </w:rPr>
        <w:t>operational</w:t>
      </w:r>
      <w:r>
        <w:rPr>
          <w:rFonts w:ascii="Times New Roman;Times;serif" w:hAnsi="Times New Roman;Times;serif"/>
          <w:color w:val="231F20"/>
          <w:spacing w:val="-4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42"/>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41"/>
          <w:sz w:val="20"/>
        </w:rPr>
        <w:t xml:space="preserve"> </w:t>
      </w:r>
      <w:r>
        <w:rPr>
          <w:rFonts w:ascii="Times New Roman;Times;serif" w:hAnsi="Times New Roman;Times;serif"/>
          <w:color w:val="231F20"/>
          <w:sz w:val="20"/>
        </w:rPr>
        <w:t>management</w:t>
      </w:r>
      <w:r>
        <w:rPr>
          <w:rFonts w:ascii="Times New Roman;Times;serif" w:hAnsi="Times New Roman;Times;serif"/>
          <w:color w:val="231F20"/>
          <w:spacing w:val="-41"/>
          <w:sz w:val="20"/>
        </w:rPr>
        <w:t xml:space="preserve"> </w:t>
      </w:r>
      <w:r>
        <w:rPr>
          <w:rFonts w:ascii="Times New Roman;Times;serif" w:hAnsi="Times New Roman;Times;serif"/>
          <w:color w:val="231F20"/>
          <w:spacing w:val="-3"/>
          <w:sz w:val="20"/>
        </w:rPr>
        <w:t>capabilities.</w:t>
      </w:r>
      <w:r>
        <w:rPr>
          <w:rFonts w:ascii="Times New Roman;Times;serif" w:hAnsi="Times New Roman;Times;serif"/>
          <w:color w:val="231F20"/>
          <w:spacing w:val="-41"/>
          <w:sz w:val="20"/>
        </w:rPr>
        <w:t xml:space="preserve"> </w:t>
      </w:r>
      <w:r>
        <w:rPr>
          <w:rFonts w:ascii="Times New Roman;Times;serif" w:hAnsi="Times New Roman;Times;serif"/>
          <w:color w:val="231F20"/>
          <w:spacing w:val="-5"/>
          <w:sz w:val="20"/>
        </w:rPr>
        <w:t>Moreover,</w:t>
      </w:r>
      <w:r>
        <w:rPr>
          <w:rFonts w:ascii="Times New Roman;Times;serif" w:hAnsi="Times New Roman;Times;serif"/>
          <w:color w:val="231F20"/>
          <w:spacing w:val="-42"/>
          <w:sz w:val="20"/>
        </w:rPr>
        <w:t xml:space="preserve"> </w:t>
      </w:r>
      <w:r>
        <w:rPr>
          <w:rFonts w:ascii="Times New Roman;Times;serif" w:hAnsi="Times New Roman;Times;serif"/>
          <w:color w:val="231F20"/>
          <w:sz w:val="20"/>
        </w:rPr>
        <w:t>we</w:t>
      </w:r>
      <w:r>
        <w:rPr>
          <w:rFonts w:ascii="Times New Roman;Times;serif" w:hAnsi="Times New Roman;Times;serif"/>
          <w:color w:val="231F20"/>
          <w:spacing w:val="-41"/>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41"/>
          <w:sz w:val="20"/>
        </w:rPr>
        <w:t xml:space="preserve"> </w:t>
      </w:r>
      <w:r>
        <w:rPr>
          <w:rFonts w:ascii="Times New Roman;Times;serif" w:hAnsi="Times New Roman;Times;serif"/>
          <w:color w:val="231F20"/>
          <w:sz w:val="20"/>
        </w:rPr>
        <w:t>need</w:t>
      </w:r>
      <w:r>
        <w:rPr>
          <w:rFonts w:ascii="Times New Roman;Times;serif" w:hAnsi="Times New Roman;Times;serif"/>
          <w:color w:val="231F20"/>
          <w:spacing w:val="-41"/>
          <w:sz w:val="20"/>
        </w:rPr>
        <w:t xml:space="preserve"> </w:t>
      </w:r>
      <w:r>
        <w:rPr>
          <w:rFonts w:ascii="Times New Roman;Times;serif" w:hAnsi="Times New Roman;Times;serif"/>
          <w:color w:val="231F20"/>
          <w:sz w:val="20"/>
        </w:rPr>
        <w:t>to</w:t>
      </w:r>
      <w:r>
        <w:rPr>
          <w:rFonts w:ascii="Times New Roman;Times;serif" w:hAnsi="Times New Roman;Times;serif"/>
          <w:color w:val="231F20"/>
          <w:spacing w:val="-42"/>
          <w:sz w:val="20"/>
        </w:rPr>
        <w:t xml:space="preserve"> </w:t>
      </w:r>
      <w:r>
        <w:rPr>
          <w:rFonts w:ascii="Times New Roman;Times;serif" w:hAnsi="Times New Roman;Times;serif"/>
          <w:color w:val="231F20"/>
          <w:sz w:val="20"/>
        </w:rPr>
        <w:t>increase</w:t>
      </w:r>
      <w:r>
        <w:rPr>
          <w:rFonts w:ascii="Times New Roman;Times;serif" w:hAnsi="Times New Roman;Times;serif"/>
          <w:color w:val="231F20"/>
          <w:spacing w:val="-41"/>
          <w:sz w:val="20"/>
        </w:rPr>
        <w:t xml:space="preserve"> </w:t>
      </w:r>
      <w:r>
        <w:rPr>
          <w:rFonts w:ascii="Times New Roman;Times;serif" w:hAnsi="Times New Roman;Times;serif"/>
          <w:color w:val="231F20"/>
          <w:sz w:val="20"/>
        </w:rPr>
        <w:t>staffing 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train,</w:t>
      </w:r>
      <w:r>
        <w:rPr>
          <w:rFonts w:ascii="Times New Roman;Times;serif" w:hAnsi="Times New Roman;Times;serif"/>
          <w:color w:val="231F20"/>
          <w:spacing w:val="-19"/>
          <w:sz w:val="20"/>
        </w:rPr>
        <w:t xml:space="preserve"> </w:t>
      </w:r>
      <w:r>
        <w:rPr>
          <w:rFonts w:ascii="Times New Roman;Times;serif" w:hAnsi="Times New Roman;Times;serif"/>
          <w:color w:val="231F20"/>
          <w:sz w:val="20"/>
        </w:rPr>
        <w:t>motivate</w:t>
      </w:r>
      <w:r>
        <w:rPr>
          <w:rFonts w:ascii="Times New Roman;Times;serif" w:hAnsi="Times New Roman;Times;serif"/>
          <w:color w:val="231F20"/>
          <w:spacing w:val="-1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manage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employees.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All</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these</w:t>
      </w:r>
      <w:r>
        <w:rPr>
          <w:rFonts w:ascii="Times New Roman;Times;serif" w:hAnsi="Times New Roman;Times;serif"/>
          <w:color w:val="231F20"/>
          <w:spacing w:val="-19"/>
          <w:sz w:val="20"/>
        </w:rPr>
        <w:t xml:space="preserve"> </w:t>
      </w:r>
      <w:r>
        <w:rPr>
          <w:rFonts w:ascii="Times New Roman;Times;serif" w:hAnsi="Times New Roman;Times;serif"/>
          <w:color w:val="231F20"/>
          <w:sz w:val="20"/>
        </w:rPr>
        <w:t>activities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increase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9"/>
          <w:sz w:val="20"/>
        </w:rPr>
        <w:t xml:space="preserve"> </w:t>
      </w:r>
      <w:r>
        <w:rPr>
          <w:rFonts w:ascii="Times New Roman;Times;serif" w:hAnsi="Times New Roman;Times;serif"/>
          <w:color w:val="231F20"/>
          <w:sz w:val="20"/>
        </w:rPr>
        <w:t>expenses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 xml:space="preserve">and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require us to raise additional capital sooner than expected. If we </w:t>
      </w:r>
      <w:r>
        <w:rPr>
          <w:rFonts w:ascii="Times New Roman;Times;serif" w:hAnsi="Times New Roman;Times;serif"/>
          <w:color w:val="231F20"/>
          <w:spacing w:val="-4"/>
          <w:sz w:val="20"/>
        </w:rPr>
        <w:t xml:space="preserve">grow </w:t>
      </w:r>
      <w:r>
        <w:rPr>
          <w:rFonts w:ascii="Times New Roman;Times;serif" w:hAnsi="Times New Roman;Times;serif"/>
          <w:color w:val="231F20"/>
          <w:sz w:val="20"/>
        </w:rPr>
        <w:t xml:space="preserve">significantly, such </w:t>
      </w:r>
      <w:r>
        <w:rPr>
          <w:rFonts w:ascii="Times New Roman;Times;serif" w:hAnsi="Times New Roman;Times;serif"/>
          <w:color w:val="231F20"/>
          <w:spacing w:val="-3"/>
          <w:sz w:val="20"/>
        </w:rPr>
        <w:t xml:space="preserve">growth </w:t>
      </w:r>
      <w:r>
        <w:rPr>
          <w:rFonts w:ascii="Times New Roman;Times;serif" w:hAnsi="Times New Roman;Times;serif"/>
          <w:color w:val="231F20"/>
          <w:sz w:val="20"/>
        </w:rPr>
        <w:t xml:space="preserve">will place a significant strain on our management and on our administrative, operational and financial resources. </w:t>
      </w:r>
      <w:r>
        <w:rPr>
          <w:rFonts w:ascii="Times New Roman;Times;serif" w:hAnsi="Times New Roman;Times;serif"/>
          <w:color w:val="231F20"/>
          <w:spacing w:val="-11"/>
          <w:sz w:val="20"/>
        </w:rPr>
        <w:t xml:space="preserve">To </w:t>
      </w:r>
      <w:r>
        <w:rPr>
          <w:rFonts w:ascii="Times New Roman;Times;serif" w:hAnsi="Times New Roman;Times;serif"/>
          <w:color w:val="231F20"/>
          <w:sz w:val="20"/>
        </w:rPr>
        <w:t>manage this growth, we must expand our facilities, augment our operational, financial and management systems, internal controls and infrastructure and hire and train additional qualified personnel. Our future success</w:t>
      </w:r>
      <w:r>
        <w:rPr>
          <w:rFonts w:ascii="Times New Roman;Times;serif" w:hAnsi="Times New Roman;Times;serif"/>
          <w:color w:val="231F20"/>
          <w:spacing w:val="-7"/>
          <w:sz w:val="20"/>
        </w:rPr>
        <w:t xml:space="preserve"> </w:t>
      </w:r>
      <w:r>
        <w:rPr>
          <w:rFonts w:ascii="Times New Roman;Times;serif" w:hAnsi="Times New Roman;Times;serif"/>
          <w:color w:val="231F20"/>
          <w:sz w:val="20"/>
        </w:rPr>
        <w:t>is</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heavily</w:t>
      </w:r>
      <w:r>
        <w:rPr>
          <w:rFonts w:ascii="Times New Roman;Times;serif" w:hAnsi="Times New Roman;Times;serif"/>
          <w:color w:val="231F20"/>
          <w:spacing w:val="-7"/>
          <w:sz w:val="20"/>
        </w:rPr>
        <w:t xml:space="preserve"> </w:t>
      </w:r>
      <w:r>
        <w:rPr>
          <w:rFonts w:ascii="Times New Roman;Times;serif" w:hAnsi="Times New Roman;Times;serif"/>
          <w:color w:val="231F20"/>
          <w:sz w:val="20"/>
        </w:rPr>
        <w:t>dependent</w:t>
      </w:r>
      <w:r>
        <w:rPr>
          <w:rFonts w:ascii="Times New Roman;Times;serif" w:hAnsi="Times New Roman;Times;serif"/>
          <w:color w:val="231F20"/>
          <w:spacing w:val="-7"/>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growth</w:t>
      </w:r>
      <w:r>
        <w:rPr>
          <w:rFonts w:ascii="Times New Roman;Times;serif" w:hAnsi="Times New Roman;Times;serif"/>
          <w:color w:val="231F20"/>
          <w:spacing w:val="-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7"/>
          <w:sz w:val="20"/>
        </w:rPr>
        <w:t xml:space="preserve"> </w:t>
      </w:r>
      <w:r>
        <w:rPr>
          <w:rFonts w:ascii="Times New Roman;Times;serif" w:hAnsi="Times New Roman;Times;serif"/>
          <w:color w:val="231F20"/>
          <w:sz w:val="20"/>
        </w:rPr>
        <w:t>acceptance</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7"/>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products.</w:t>
      </w:r>
      <w:r>
        <w:rPr>
          <w:rFonts w:ascii="Times New Roman;Times;serif" w:hAnsi="Times New Roman;Times;serif"/>
          <w:color w:val="231F20"/>
          <w:spacing w:val="-7"/>
          <w:sz w:val="20"/>
        </w:rPr>
        <w:t xml:space="preserve"> </w:t>
      </w:r>
      <w:r>
        <w:rPr>
          <w:rFonts w:ascii="Times New Roman;Times;serif" w:hAnsi="Times New Roman;Times;serif"/>
          <w:color w:val="231F20"/>
          <w:sz w:val="20"/>
        </w:rPr>
        <w:t>If</w:t>
      </w:r>
      <w:r>
        <w:rPr>
          <w:rFonts w:ascii="Times New Roman;Times;serif" w:hAnsi="Times New Roman;Times;serif"/>
          <w:color w:val="231F20"/>
          <w:spacing w:val="14"/>
          <w:sz w:val="20"/>
        </w:rPr>
        <w:t xml:space="preserve"> </w:t>
      </w:r>
      <w:r>
        <w:rPr>
          <w:rFonts w:ascii="Times New Roman;Times;serif" w:hAnsi="Times New Roman;Times;serif"/>
          <w:color w:val="231F20"/>
          <w:sz w:val="20"/>
        </w:rPr>
        <w:t>we</w:t>
      </w:r>
      <w:r>
        <w:rPr>
          <w:rFonts w:ascii="Times New Roman;Times;serif" w:hAnsi="Times New Roman;Times;serif"/>
          <w:color w:val="231F20"/>
          <w:spacing w:val="-7"/>
          <w:sz w:val="20"/>
        </w:rPr>
        <w:t xml:space="preserve"> </w:t>
      </w:r>
      <w:r>
        <w:rPr>
          <w:rFonts w:ascii="Times New Roman;Times;serif" w:hAnsi="Times New Roman;Times;serif"/>
          <w:color w:val="231F20"/>
          <w:sz w:val="20"/>
        </w:rPr>
        <w:t>are</w:t>
      </w:r>
      <w:r>
        <w:rPr>
          <w:rFonts w:ascii="Times New Roman;Times;serif" w:hAnsi="Times New Roman;Times;serif"/>
          <w:color w:val="231F20"/>
          <w:spacing w:val="-7"/>
          <w:sz w:val="20"/>
        </w:rPr>
        <w:t xml:space="preserve"> </w:t>
      </w:r>
      <w:r>
        <w:rPr>
          <w:rFonts w:ascii="Times New Roman;Times;serif" w:hAnsi="Times New Roman;Times;serif"/>
          <w:color w:val="231F20"/>
          <w:sz w:val="20"/>
        </w:rPr>
        <w:t>unable</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7"/>
          <w:sz w:val="20"/>
        </w:rPr>
        <w:t xml:space="preserve"> </w:t>
      </w:r>
      <w:r>
        <w:rPr>
          <w:rFonts w:ascii="Times New Roman;Times;serif" w:hAnsi="Times New Roman;Times;serif"/>
          <w:color w:val="231F20"/>
          <w:sz w:val="20"/>
        </w:rPr>
        <w:t>scale</w:t>
      </w:r>
      <w:r>
        <w:rPr>
          <w:rFonts w:ascii="Times New Roman;Times;serif" w:hAnsi="Times New Roman;Times;serif"/>
          <w:color w:val="231F20"/>
          <w:spacing w:val="-6"/>
          <w:sz w:val="20"/>
        </w:rPr>
        <w:t xml:space="preserve"> </w:t>
      </w:r>
      <w:r>
        <w:rPr>
          <w:rFonts w:ascii="Times New Roman;Times;serif" w:hAnsi="Times New Roman;Times;serif"/>
          <w:color w:val="231F20"/>
          <w:sz w:val="20"/>
        </w:rPr>
        <w:t xml:space="preserve">our business appropriately or otherwise adapt to anticipated </w:t>
      </w:r>
      <w:r>
        <w:rPr>
          <w:rFonts w:ascii="Times New Roman;Times;serif" w:hAnsi="Times New Roman;Times;serif"/>
          <w:color w:val="231F20"/>
          <w:spacing w:val="-3"/>
          <w:sz w:val="20"/>
        </w:rPr>
        <w:t xml:space="preserve">growth </w:t>
      </w:r>
      <w:r>
        <w:rPr>
          <w:rFonts w:ascii="Times New Roman;Times;serif" w:hAnsi="Times New Roman;Times;serif"/>
          <w:color w:val="231F20"/>
          <w:sz w:val="20"/>
        </w:rPr>
        <w:t>and new product introduction, our business and financial condition will be</w:t>
      </w:r>
      <w:r>
        <w:rPr>
          <w:rFonts w:ascii="Times New Roman;Times;serif" w:hAnsi="Times New Roman;Times;serif"/>
          <w:color w:val="231F20"/>
          <w:spacing w:val="-20"/>
          <w:sz w:val="20"/>
        </w:rPr>
        <w:t xml:space="preserve"> </w:t>
      </w:r>
      <w:r>
        <w:rPr>
          <w:rFonts w:ascii="Times New Roman;Times;serif" w:hAnsi="Times New Roman;Times;serif"/>
          <w:color w:val="231F20"/>
          <w:sz w:val="20"/>
        </w:rPr>
        <w:t>harmed.</w:t>
      </w:r>
    </w:p>
    <w:p>
      <w:pPr>
        <w:pStyle w:val="TextBody"/>
        <w:spacing w:lineRule="auto" w:line="288"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may expand our business through the acquisition of rights to new drug candidates that could disrupt our business, harm our financial condition and may also dilute current stockholders’ ownership interests in our company.</w:t>
      </w:r>
    </w:p>
    <w:p>
      <w:pPr>
        <w:pStyle w:val="TextBody"/>
        <w:spacing w:lineRule="auto" w:line="288" w:before="161"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Our business strategy includes expanding our products and capabilities, and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seek acquisitions of drug candidates or technologies to do </w:t>
      </w:r>
      <w:r>
        <w:rPr>
          <w:rFonts w:ascii="Times New Roman;Times;serif" w:hAnsi="Times New Roman;Times;serif"/>
          <w:color w:val="231F20"/>
          <w:spacing w:val="-4"/>
          <w:sz w:val="20"/>
        </w:rPr>
        <w:t xml:space="preserve">so. </w:t>
      </w:r>
      <w:r>
        <w:rPr>
          <w:rFonts w:ascii="Times New Roman;Times;serif" w:hAnsi="Times New Roman;Times;serif"/>
          <w:color w:val="231F20"/>
          <w:sz w:val="20"/>
        </w:rPr>
        <w:t xml:space="preserve">Acquisitions </w:t>
      </w:r>
      <w:r>
        <w:rPr>
          <w:rFonts w:ascii="Times New Roman;Times;serif" w:hAnsi="Times New Roman;Times;serif"/>
          <w:color w:val="231F20"/>
          <w:spacing w:val="-3"/>
          <w:sz w:val="20"/>
        </w:rPr>
        <w:t xml:space="preserve">involve </w:t>
      </w:r>
      <w:r>
        <w:rPr>
          <w:rFonts w:ascii="Times New Roman;Times;serif" w:hAnsi="Times New Roman;Times;serif"/>
          <w:color w:val="231F20"/>
          <w:sz w:val="20"/>
        </w:rPr>
        <w:t>numerous risks, including substantial cash expenditures; potentially dilutive issuances of equity securities; incurrence of debt and contingent liabilities, some</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7"/>
          <w:sz w:val="20"/>
        </w:rPr>
        <w:t xml:space="preserve"> </w:t>
      </w:r>
      <w:r>
        <w:rPr>
          <w:rFonts w:ascii="Times New Roman;Times;serif" w:hAnsi="Times New Roman;Times;serif"/>
          <w:color w:val="231F20"/>
          <w:sz w:val="20"/>
        </w:rPr>
        <w:t>be</w:t>
      </w:r>
      <w:r>
        <w:rPr>
          <w:rFonts w:ascii="Times New Roman;Times;serif" w:hAnsi="Times New Roman;Times;serif"/>
          <w:color w:val="231F20"/>
          <w:spacing w:val="-7"/>
          <w:sz w:val="20"/>
        </w:rPr>
        <w:t xml:space="preserve"> </w:t>
      </w:r>
      <w:r>
        <w:rPr>
          <w:rFonts w:ascii="Times New Roman;Times;serif" w:hAnsi="Times New Roman;Times;serif"/>
          <w:color w:val="231F20"/>
          <w:sz w:val="20"/>
        </w:rPr>
        <w:t>difficult</w:t>
      </w:r>
      <w:r>
        <w:rPr>
          <w:rFonts w:ascii="Times New Roman;Times;serif" w:hAnsi="Times New Roman;Times;serif"/>
          <w:color w:val="231F20"/>
          <w:spacing w:val="-6"/>
          <w:sz w:val="20"/>
        </w:rPr>
        <w:t xml:space="preserve"> </w:t>
      </w:r>
      <w:r>
        <w:rPr>
          <w:rFonts w:ascii="Times New Roman;Times;serif" w:hAnsi="Times New Roman;Times;serif"/>
          <w:color w:val="231F20"/>
          <w:sz w:val="20"/>
        </w:rPr>
        <w:t>or</w:t>
      </w:r>
      <w:r>
        <w:rPr>
          <w:rFonts w:ascii="Times New Roman;Times;serif" w:hAnsi="Times New Roman;Times;serif"/>
          <w:color w:val="231F20"/>
          <w:spacing w:val="-7"/>
          <w:sz w:val="20"/>
        </w:rPr>
        <w:t xml:space="preserve"> </w:t>
      </w:r>
      <w:r>
        <w:rPr>
          <w:rFonts w:ascii="Times New Roman;Times;serif" w:hAnsi="Times New Roman;Times;serif"/>
          <w:color w:val="231F20"/>
          <w:sz w:val="20"/>
        </w:rPr>
        <w:t>impossible</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7"/>
          <w:sz w:val="20"/>
        </w:rPr>
        <w:t xml:space="preserve"> </w:t>
      </w:r>
      <w:r>
        <w:rPr>
          <w:rFonts w:ascii="Times New Roman;Times;serif" w:hAnsi="Times New Roman;Times;serif"/>
          <w:color w:val="231F20"/>
          <w:sz w:val="20"/>
        </w:rPr>
        <w:t>identify</w:t>
      </w:r>
      <w:r>
        <w:rPr>
          <w:rFonts w:ascii="Times New Roman;Times;serif" w:hAnsi="Times New Roman;Times;serif"/>
          <w:color w:val="231F20"/>
          <w:spacing w:val="-6"/>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acquisition;</w:t>
      </w:r>
      <w:r>
        <w:rPr>
          <w:rFonts w:ascii="Times New Roman;Times;serif" w:hAnsi="Times New Roman;Times;serif"/>
          <w:color w:val="231F20"/>
          <w:spacing w:val="-6"/>
          <w:sz w:val="20"/>
        </w:rPr>
        <w:t xml:space="preserve"> </w:t>
      </w:r>
      <w:r>
        <w:rPr>
          <w:rFonts w:ascii="Times New Roman;Times;serif" w:hAnsi="Times New Roman;Times;serif"/>
          <w:color w:val="231F20"/>
          <w:sz w:val="20"/>
        </w:rPr>
        <w:t>difficulties</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 xml:space="preserve">assimilating the acquired technologies or the operations of the acquired companies; diverting our management’s attention </w:t>
      </w:r>
      <w:r>
        <w:rPr>
          <w:rFonts w:ascii="Times New Roman;Times;serif" w:hAnsi="Times New Roman;Times;serif"/>
          <w:color w:val="231F20"/>
          <w:spacing w:val="-7"/>
          <w:sz w:val="20"/>
        </w:rPr>
        <w:t xml:space="preserve">away </w:t>
      </w:r>
      <w:r>
        <w:rPr>
          <w:rFonts w:ascii="Times New Roman;Times;serif" w:hAnsi="Times New Roman;Times;serif"/>
          <w:color w:val="231F20"/>
          <w:sz w:val="20"/>
        </w:rPr>
        <w:t xml:space="preserve">from other business concerns; risks of entering markets in which we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limited or no direct experience; and the potential loss of our </w:t>
      </w:r>
      <w:r>
        <w:rPr>
          <w:rFonts w:ascii="Times New Roman;Times;serif" w:hAnsi="Times New Roman;Times;serif"/>
          <w:color w:val="231F20"/>
          <w:spacing w:val="-3"/>
          <w:sz w:val="20"/>
        </w:rPr>
        <w:t xml:space="preserve">key </w:t>
      </w:r>
      <w:r>
        <w:rPr>
          <w:rFonts w:ascii="Times New Roman;Times;serif" w:hAnsi="Times New Roman;Times;serif"/>
          <w:color w:val="231F20"/>
          <w:sz w:val="20"/>
        </w:rPr>
        <w:t xml:space="preserve">employees or </w:t>
      </w:r>
      <w:r>
        <w:rPr>
          <w:rFonts w:ascii="Times New Roman;Times;serif" w:hAnsi="Times New Roman;Times;serif"/>
          <w:color w:val="231F20"/>
          <w:spacing w:val="-3"/>
          <w:sz w:val="20"/>
        </w:rPr>
        <w:t xml:space="preserve">key </w:t>
      </w:r>
      <w:r>
        <w:rPr>
          <w:rFonts w:ascii="Times New Roman;Times;serif" w:hAnsi="Times New Roman;Times;serif"/>
          <w:color w:val="231F20"/>
          <w:sz w:val="20"/>
        </w:rPr>
        <w:t>employees of the acquired</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companies.</w:t>
      </w:r>
    </w:p>
    <w:p>
      <w:pPr>
        <w:pStyle w:val="TextBody"/>
        <w:spacing w:before="163"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cannot assure </w:t>
      </w:r>
      <w:r>
        <w:rPr>
          <w:rFonts w:ascii="Times New Roman;Times;serif" w:hAnsi="Times New Roman;Times;serif"/>
          <w:color w:val="231F20"/>
          <w:spacing w:val="-3"/>
          <w:sz w:val="20"/>
        </w:rPr>
        <w:t xml:space="preserve">you </w:t>
      </w:r>
      <w:r>
        <w:rPr>
          <w:rFonts w:ascii="Times New Roman;Times;serif" w:hAnsi="Times New Roman;Times;serif"/>
          <w:color w:val="231F20"/>
          <w:sz w:val="20"/>
        </w:rPr>
        <w:t xml:space="preserve">that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acquisition will result in short-term or long-term benefits to </w:t>
      </w:r>
      <w:r>
        <w:rPr>
          <w:rFonts w:ascii="Times New Roman;Times;serif" w:hAnsi="Times New Roman;Times;serif"/>
          <w:color w:val="231F20"/>
          <w:spacing w:val="-5"/>
          <w:sz w:val="20"/>
        </w:rPr>
        <w:t xml:space="preserve">us.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incorrectly</w:t>
      </w:r>
      <w:r>
        <w:rPr>
          <w:rFonts w:ascii="Times New Roman;Times;serif" w:hAnsi="Times New Roman;Times;serif"/>
          <w:color w:val="231F20"/>
          <w:spacing w:val="-9"/>
          <w:sz w:val="20"/>
        </w:rPr>
        <w:t xml:space="preserve"> </w:t>
      </w:r>
      <w:r>
        <w:rPr>
          <w:rFonts w:ascii="Times New Roman;Times;serif" w:hAnsi="Times New Roman;Times;serif"/>
          <w:color w:val="231F20"/>
          <w:sz w:val="20"/>
        </w:rPr>
        <w:t>judge</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value</w:t>
      </w:r>
      <w:r>
        <w:rPr>
          <w:rFonts w:ascii="Times New Roman;Times;serif" w:hAnsi="Times New Roman;Times;serif"/>
          <w:color w:val="231F20"/>
          <w:spacing w:val="-9"/>
          <w:sz w:val="20"/>
        </w:rPr>
        <w:t xml:space="preserve"> </w:t>
      </w:r>
      <w:r>
        <w:rPr>
          <w:rFonts w:ascii="Times New Roman;Times;serif" w:hAnsi="Times New Roman;Times;serif"/>
          <w:color w:val="231F20"/>
          <w:sz w:val="20"/>
        </w:rPr>
        <w:t>or</w:t>
      </w:r>
      <w:r>
        <w:rPr>
          <w:rFonts w:ascii="Times New Roman;Times;serif" w:hAnsi="Times New Roman;Times;serif"/>
          <w:color w:val="231F20"/>
          <w:spacing w:val="-8"/>
          <w:sz w:val="20"/>
        </w:rPr>
        <w:t xml:space="preserve"> </w:t>
      </w:r>
      <w:r>
        <w:rPr>
          <w:rFonts w:ascii="Times New Roman;Times;serif" w:hAnsi="Times New Roman;Times;serif"/>
          <w:color w:val="231F20"/>
          <w:sz w:val="20"/>
        </w:rPr>
        <w:t>worth</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13"/>
          <w:sz w:val="20"/>
        </w:rPr>
        <w:t xml:space="preserve"> </w:t>
      </w:r>
      <w:r>
        <w:rPr>
          <w:rFonts w:ascii="Times New Roman;Times;serif" w:hAnsi="Times New Roman;Times;serif"/>
          <w:color w:val="231F20"/>
          <w:sz w:val="20"/>
        </w:rPr>
        <w:t>an</w:t>
      </w:r>
      <w:r>
        <w:rPr>
          <w:rFonts w:ascii="Times New Roman;Times;serif" w:hAnsi="Times New Roman;Times;serif"/>
          <w:color w:val="231F20"/>
          <w:spacing w:val="-9"/>
          <w:sz w:val="20"/>
        </w:rPr>
        <w:t xml:space="preserve"> </w:t>
      </w:r>
      <w:r>
        <w:rPr>
          <w:rFonts w:ascii="Times New Roman;Times;serif" w:hAnsi="Times New Roman;Times;serif"/>
          <w:color w:val="231F20"/>
          <w:sz w:val="20"/>
        </w:rPr>
        <w:t>acquired</w:t>
      </w:r>
      <w:r>
        <w:rPr>
          <w:rFonts w:ascii="Times New Roman;Times;serif" w:hAnsi="Times New Roman;Times;serif"/>
          <w:color w:val="231F20"/>
          <w:spacing w:val="-9"/>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8"/>
          <w:sz w:val="20"/>
        </w:rPr>
        <w:t xml:space="preserve"> </w:t>
      </w:r>
      <w:r>
        <w:rPr>
          <w:rFonts w:ascii="Times New Roman;Times;serif" w:hAnsi="Times New Roman;Times;serif"/>
          <w:color w:val="231F20"/>
          <w:sz w:val="20"/>
        </w:rPr>
        <w:t>company</w:t>
      </w:r>
      <w:r>
        <w:rPr>
          <w:rFonts w:ascii="Times New Roman;Times;serif" w:hAnsi="Times New Roman;Times;serif"/>
          <w:color w:val="231F20"/>
          <w:spacing w:val="-9"/>
          <w:sz w:val="20"/>
        </w:rPr>
        <w:t xml:space="preserve"> </w:t>
      </w:r>
      <w:r>
        <w:rPr>
          <w:rFonts w:ascii="Times New Roman;Times;serif" w:hAnsi="Times New Roman;Times;serif"/>
          <w:color w:val="231F20"/>
          <w:sz w:val="20"/>
        </w:rPr>
        <w:t>or</w:t>
      </w:r>
      <w:r>
        <w:rPr>
          <w:rFonts w:ascii="Times New Roman;Times;serif" w:hAnsi="Times New Roman;Times;serif"/>
          <w:color w:val="231F20"/>
          <w:spacing w:val="-9"/>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8"/>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9"/>
          <w:sz w:val="20"/>
        </w:rPr>
        <w:t xml:space="preserve"> </w:t>
      </w:r>
      <w:r>
        <w:rPr>
          <w:rFonts w:ascii="Times New Roman;Times;serif" w:hAnsi="Times New Roman;Times;serif"/>
          <w:color w:val="231F20"/>
          <w:sz w:val="20"/>
        </w:rPr>
        <w:t>transaction</w:t>
      </w:r>
      <w:r>
        <w:rPr>
          <w:rFonts w:ascii="Times New Roman;Times;serif" w:hAnsi="Times New Roman;Times;serif"/>
          <w:color w:val="231F20"/>
          <w:spacing w:val="-9"/>
          <w:sz w:val="20"/>
        </w:rPr>
        <w:t xml:space="preserve"> </w:t>
      </w:r>
      <w:r>
        <w:rPr>
          <w:rFonts w:ascii="Times New Roman;Times;serif" w:hAnsi="Times New Roman;Times;serif"/>
          <w:color w:val="231F20"/>
          <w:sz w:val="20"/>
        </w:rPr>
        <w:t xml:space="preserve">could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result in impairment of goodwill and other intangibles, write-offs and other related expenses. In addition, our future success would depend in part on our ability to manage the rapid </w:t>
      </w:r>
      <w:r>
        <w:rPr>
          <w:rFonts w:ascii="Times New Roman;Times;serif" w:hAnsi="Times New Roman;Times;serif"/>
          <w:color w:val="231F20"/>
          <w:spacing w:val="-3"/>
          <w:sz w:val="20"/>
        </w:rPr>
        <w:t xml:space="preserve">growth </w:t>
      </w:r>
      <w:r>
        <w:rPr>
          <w:rFonts w:ascii="Times New Roman;Times;serif" w:hAnsi="Times New Roman;Times;serif"/>
          <w:color w:val="231F20"/>
          <w:sz w:val="20"/>
        </w:rPr>
        <w:t xml:space="preserve">associated with some of these acquisitions.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cannot assure </w:t>
      </w:r>
      <w:r>
        <w:rPr>
          <w:rFonts w:ascii="Times New Roman;Times;serif" w:hAnsi="Times New Roman;Times;serif"/>
          <w:color w:val="231F20"/>
          <w:spacing w:val="-3"/>
          <w:sz w:val="20"/>
        </w:rPr>
        <w:t xml:space="preserve">you </w:t>
      </w:r>
      <w:r>
        <w:rPr>
          <w:rFonts w:ascii="Times New Roman;Times;serif" w:hAnsi="Times New Roman;Times;serif"/>
          <w:color w:val="231F20"/>
          <w:sz w:val="20"/>
        </w:rPr>
        <w:t xml:space="preserve">that we will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w:t>
      </w:r>
      <w:r>
        <w:rPr>
          <w:rFonts w:ascii="Times New Roman;Times;serif" w:hAnsi="Times New Roman;Times;serif"/>
          <w:color w:val="231F20"/>
          <w:spacing w:val="-4"/>
          <w:sz w:val="20"/>
        </w:rPr>
        <w:t xml:space="preserve">make </w:t>
      </w:r>
      <w:r>
        <w:rPr>
          <w:rFonts w:ascii="Times New Roman;Times;serif" w:hAnsi="Times New Roman;Times;serif"/>
          <w:color w:val="231F20"/>
          <w:sz w:val="20"/>
        </w:rPr>
        <w:t xml:space="preserve">the combination of our business with that of acquired products, businesses or companies </w:t>
      </w:r>
      <w:r>
        <w:rPr>
          <w:rFonts w:ascii="Times New Roman;Times;serif" w:hAnsi="Times New Roman;Times;serif"/>
          <w:color w:val="231F20"/>
          <w:spacing w:val="-3"/>
          <w:sz w:val="20"/>
        </w:rPr>
        <w:t xml:space="preserve">work </w:t>
      </w:r>
      <w:r>
        <w:rPr>
          <w:rFonts w:ascii="Times New Roman;Times;serif" w:hAnsi="Times New Roman;Times;serif"/>
          <w:color w:val="231F20"/>
          <w:sz w:val="20"/>
        </w:rPr>
        <w:t xml:space="preserve">or be successful. Furthermore, the development or expansion of our business or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acquired products, business or companies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require a substantial capital investment by </w:t>
      </w:r>
      <w:r>
        <w:rPr>
          <w:rFonts w:ascii="Times New Roman;Times;serif" w:hAnsi="Times New Roman;Times;serif"/>
          <w:color w:val="231F20"/>
          <w:spacing w:val="-5"/>
          <w:sz w:val="20"/>
        </w:rPr>
        <w:t xml:space="preserve">us.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these necessary funds or they might not be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 xml:space="preserve">to us on acceptable terms or </w:t>
      </w:r>
      <w:r>
        <w:rPr>
          <w:rFonts w:ascii="Times New Roman;Times;serif" w:hAnsi="Times New Roman;Times;serif"/>
          <w:color w:val="231F20"/>
          <w:spacing w:val="-3"/>
          <w:sz w:val="20"/>
        </w:rPr>
        <w:t xml:space="preserve">at all.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also </w:t>
      </w:r>
      <w:r>
        <w:rPr>
          <w:rFonts w:ascii="Times New Roman;Times;serif" w:hAnsi="Times New Roman;Times;serif"/>
          <w:color w:val="231F20"/>
          <w:sz w:val="20"/>
        </w:rPr>
        <w:t>seek to raise funds by selling shares of our preferred or Common Stock, which could dilute each current stockholder’s ownership interest in</w:t>
      </w:r>
      <w:r>
        <w:rPr>
          <w:rFonts w:ascii="Times New Roman;Times;serif" w:hAnsi="Times New Roman;Times;serif"/>
          <w:color w:val="231F20"/>
          <w:spacing w:val="-26"/>
          <w:sz w:val="20"/>
        </w:rPr>
        <w:t xml:space="preserve"> </w:t>
      </w:r>
      <w:r>
        <w:rPr>
          <w:rFonts w:ascii="Times New Roman;Times;serif" w:hAnsi="Times New Roman;Times;serif"/>
          <w:color w:val="231F20"/>
          <w:sz w:val="20"/>
        </w:rPr>
        <w:t>NRx.</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Developments by competitors may render our products or technologies obsolete or non-competitive.</w:t>
      </w:r>
    </w:p>
    <w:p>
      <w:pPr>
        <w:pStyle w:val="TextBody"/>
        <w:spacing w:before="165" w:after="240"/>
        <w:ind w:left="0" w:right="0" w:firstLine="399"/>
        <w:jc w:val="both"/>
        <w:rPr>
          <w:rFonts w:ascii="Times New Roman;Times;serif" w:hAnsi="Times New Roman;Times;serif"/>
          <w:sz w:val="20"/>
        </w:rPr>
      </w:pPr>
      <w:r>
        <w:rPr>
          <w:rFonts w:ascii="Times New Roman;Times;serif" w:hAnsi="Times New Roman;Times;serif"/>
          <w:color w:val="231F20"/>
          <w:sz w:val="20"/>
        </w:rPr>
        <w:t>Alternative</w:t>
      </w:r>
      <w:r>
        <w:rPr>
          <w:rFonts w:ascii="Times New Roman;Times;serif" w:hAnsi="Times New Roman;Times;serif"/>
          <w:color w:val="231F20"/>
          <w:spacing w:val="-29"/>
          <w:sz w:val="20"/>
        </w:rPr>
        <w:t xml:space="preserve"> </w:t>
      </w:r>
      <w:r>
        <w:rPr>
          <w:rFonts w:ascii="Times New Roman;Times;serif" w:hAnsi="Times New Roman;Times;serif"/>
          <w:color w:val="231F20"/>
          <w:sz w:val="20"/>
        </w:rPr>
        <w:t>technologies</w:t>
      </w:r>
      <w:r>
        <w:rPr>
          <w:rFonts w:ascii="Times New Roman;Times;serif" w:hAnsi="Times New Roman;Times;serif"/>
          <w:color w:val="231F20"/>
          <w:spacing w:val="-2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8"/>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29"/>
          <w:sz w:val="20"/>
        </w:rPr>
        <w:t xml:space="preserve"> </w:t>
      </w:r>
      <w:r>
        <w:rPr>
          <w:rFonts w:ascii="Times New Roman;Times;serif" w:hAnsi="Times New Roman;Times;serif"/>
          <w:color w:val="231F20"/>
          <w:sz w:val="20"/>
        </w:rPr>
        <w:t>are</w:t>
      </w:r>
      <w:r>
        <w:rPr>
          <w:rFonts w:ascii="Times New Roman;Times;serif" w:hAnsi="Times New Roman;Times;serif"/>
          <w:color w:val="231F20"/>
          <w:spacing w:val="-28"/>
          <w:sz w:val="20"/>
        </w:rPr>
        <w:t xml:space="preserve"> </w:t>
      </w:r>
      <w:r>
        <w:rPr>
          <w:rFonts w:ascii="Times New Roman;Times;serif" w:hAnsi="Times New Roman;Times;serif"/>
          <w:color w:val="231F20"/>
          <w:sz w:val="20"/>
        </w:rPr>
        <w:t>being</w:t>
      </w:r>
      <w:r>
        <w:rPr>
          <w:rFonts w:ascii="Times New Roman;Times;serif" w:hAnsi="Times New Roman;Times;serif"/>
          <w:color w:val="231F20"/>
          <w:spacing w:val="-29"/>
          <w:sz w:val="20"/>
        </w:rPr>
        <w:t xml:space="preserve"> </w:t>
      </w:r>
      <w:r>
        <w:rPr>
          <w:rFonts w:ascii="Times New Roman;Times;serif" w:hAnsi="Times New Roman;Times;serif"/>
          <w:color w:val="231F20"/>
          <w:sz w:val="20"/>
        </w:rPr>
        <w:t>developed</w:t>
      </w:r>
      <w:r>
        <w:rPr>
          <w:rFonts w:ascii="Times New Roman;Times;serif" w:hAnsi="Times New Roman;Times;serif"/>
          <w:color w:val="231F20"/>
          <w:spacing w:val="-28"/>
          <w:sz w:val="20"/>
        </w:rPr>
        <w:t xml:space="preserve"> </w:t>
      </w:r>
      <w:r>
        <w:rPr>
          <w:rFonts w:ascii="Times New Roman;Times;serif" w:hAnsi="Times New Roman;Times;serif"/>
          <w:color w:val="231F20"/>
          <w:sz w:val="20"/>
        </w:rPr>
        <w:t>to</w:t>
      </w:r>
      <w:r>
        <w:rPr>
          <w:rFonts w:ascii="Times New Roman;Times;serif" w:hAnsi="Times New Roman;Times;serif"/>
          <w:color w:val="231F20"/>
          <w:spacing w:val="-29"/>
          <w:sz w:val="20"/>
        </w:rPr>
        <w:t xml:space="preserve"> </w:t>
      </w:r>
      <w:r>
        <w:rPr>
          <w:rFonts w:ascii="Times New Roman;Times;serif" w:hAnsi="Times New Roman;Times;serif"/>
          <w:color w:val="231F20"/>
          <w:sz w:val="20"/>
        </w:rPr>
        <w:t>treat</w:t>
      </w:r>
      <w:r>
        <w:rPr>
          <w:rFonts w:ascii="Times New Roman;Times;serif" w:hAnsi="Times New Roman;Times;serif"/>
          <w:color w:val="231F20"/>
          <w:spacing w:val="-28"/>
          <w:sz w:val="20"/>
        </w:rPr>
        <w:t xml:space="preserve"> </w:t>
      </w:r>
      <w:r>
        <w:rPr>
          <w:rFonts w:ascii="Times New Roman;Times;serif" w:hAnsi="Times New Roman;Times;serif"/>
          <w:color w:val="231F20"/>
          <w:sz w:val="20"/>
        </w:rPr>
        <w:t>depression</w:t>
      </w:r>
      <w:r>
        <w:rPr>
          <w:rFonts w:ascii="Times New Roman;Times;serif" w:hAnsi="Times New Roman;Times;serif"/>
          <w:color w:val="231F20"/>
          <w:spacing w:val="-2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8"/>
          <w:sz w:val="20"/>
        </w:rPr>
        <w:t xml:space="preserve"> </w:t>
      </w:r>
      <w:r>
        <w:rPr>
          <w:rFonts w:ascii="Times New Roman;Times;serif" w:hAnsi="Times New Roman;Times;serif"/>
          <w:color w:val="231F20"/>
          <w:sz w:val="20"/>
        </w:rPr>
        <w:t>some</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9"/>
          <w:sz w:val="20"/>
        </w:rPr>
        <w:t xml:space="preserve"> </w:t>
      </w:r>
      <w:r>
        <w:rPr>
          <w:rFonts w:ascii="Times New Roman;Times;serif" w:hAnsi="Times New Roman;Times;serif"/>
          <w:color w:val="231F20"/>
          <w:sz w:val="20"/>
        </w:rPr>
        <w:t>target suicidal</w:t>
      </w:r>
      <w:r>
        <w:rPr>
          <w:rFonts w:ascii="Times New Roman;Times;serif" w:hAnsi="Times New Roman;Times;serif"/>
          <w:color w:val="231F20"/>
          <w:spacing w:val="-10"/>
          <w:sz w:val="20"/>
        </w:rPr>
        <w:t xml:space="preserve"> </w:t>
      </w:r>
      <w:r>
        <w:rPr>
          <w:rFonts w:ascii="Times New Roman;Times;serif" w:hAnsi="Times New Roman;Times;serif"/>
          <w:color w:val="231F20"/>
          <w:sz w:val="20"/>
        </w:rPr>
        <w:t>bipolar</w:t>
      </w:r>
      <w:r>
        <w:rPr>
          <w:rFonts w:ascii="Times New Roman;Times;serif" w:hAnsi="Times New Roman;Times;serif"/>
          <w:color w:val="231F20"/>
          <w:spacing w:val="-9"/>
          <w:sz w:val="20"/>
        </w:rPr>
        <w:t xml:space="preserve"> </w:t>
      </w:r>
      <w:r>
        <w:rPr>
          <w:rFonts w:ascii="Times New Roman;Times;serif" w:hAnsi="Times New Roman;Times;serif"/>
          <w:color w:val="231F20"/>
          <w:sz w:val="20"/>
        </w:rPr>
        <w:t>depression</w:t>
      </w:r>
      <w:r>
        <w:rPr>
          <w:rFonts w:ascii="Times New Roman;Times;serif" w:hAnsi="Times New Roman;Times;serif"/>
          <w:color w:val="231F20"/>
          <w:spacing w:val="-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9"/>
          <w:sz w:val="20"/>
        </w:rPr>
        <w:t xml:space="preserve"> </w:t>
      </w:r>
      <w:r>
        <w:rPr>
          <w:rFonts w:ascii="Times New Roman;Times;serif" w:hAnsi="Times New Roman;Times;serif"/>
          <w:color w:val="231F20"/>
          <w:sz w:val="20"/>
        </w:rPr>
        <w:t>post-traumatic</w:t>
      </w:r>
      <w:r>
        <w:rPr>
          <w:rFonts w:ascii="Times New Roman;Times;serif" w:hAnsi="Times New Roman;Times;serif"/>
          <w:color w:val="231F20"/>
          <w:spacing w:val="-9"/>
          <w:sz w:val="20"/>
        </w:rPr>
        <w:t xml:space="preserve"> </w:t>
      </w:r>
      <w:r>
        <w:rPr>
          <w:rFonts w:ascii="Times New Roman;Times;serif" w:hAnsi="Times New Roman;Times;serif"/>
          <w:color w:val="231F20"/>
          <w:sz w:val="20"/>
        </w:rPr>
        <w:t>stress</w:t>
      </w:r>
      <w:r>
        <w:rPr>
          <w:rFonts w:ascii="Times New Roman;Times;serif" w:hAnsi="Times New Roman;Times;serif"/>
          <w:color w:val="231F20"/>
          <w:spacing w:val="-10"/>
          <w:sz w:val="20"/>
        </w:rPr>
        <w:t xml:space="preserve"> </w:t>
      </w:r>
      <w:r>
        <w:rPr>
          <w:rFonts w:ascii="Times New Roman;Times;serif" w:hAnsi="Times New Roman;Times;serif"/>
          <w:color w:val="231F20"/>
          <w:sz w:val="20"/>
        </w:rPr>
        <w:t>disorder</w:t>
      </w:r>
      <w:r>
        <w:rPr>
          <w:rFonts w:ascii="Times New Roman;Times;serif" w:hAnsi="Times New Roman;Times;serif"/>
          <w:color w:val="231F20"/>
          <w:spacing w:val="-9"/>
          <w:sz w:val="20"/>
        </w:rPr>
        <w:t xml:space="preserve"> </w:t>
      </w:r>
      <w:r>
        <w:rPr>
          <w:rFonts w:ascii="Times New Roman;Times;serif" w:hAnsi="Times New Roman;Times;serif"/>
          <w:color w:val="231F20"/>
          <w:sz w:val="20"/>
        </w:rPr>
        <w:t>(“PTSD”).</w:t>
      </w:r>
      <w:r>
        <w:rPr>
          <w:rFonts w:ascii="Times New Roman;Times;serif" w:hAnsi="Times New Roman;Times;serif"/>
          <w:sz w:val="20"/>
        </w:rPr>
        <w:t xml:space="preserve"> </w:t>
      </w:r>
      <w:r>
        <w:rPr>
          <w:rFonts w:ascii="Times New Roman;Times;serif" w:hAnsi="Times New Roman;Times;serif"/>
          <w:color w:val="231F20"/>
          <w:sz w:val="20"/>
        </w:rPr>
        <w:t>Many of the organizations</w:t>
      </w:r>
      <w:r>
        <w:rPr>
          <w:rFonts w:ascii="Times New Roman;Times;serif" w:hAnsi="Times New Roman;Times;serif"/>
          <w:color w:val="231F20"/>
          <w:spacing w:val="-11"/>
          <w:sz w:val="20"/>
        </w:rPr>
        <w:t xml:space="preserve"> </w:t>
      </w:r>
      <w:r>
        <w:rPr>
          <w:rFonts w:ascii="Times New Roman;Times;serif" w:hAnsi="Times New Roman;Times;serif"/>
          <w:color w:val="231F20"/>
          <w:sz w:val="20"/>
        </w:rPr>
        <w:t>competing</w:t>
      </w:r>
      <w:r>
        <w:rPr>
          <w:rFonts w:ascii="Times New Roman;Times;serif" w:hAnsi="Times New Roman;Times;serif"/>
          <w:color w:val="231F20"/>
          <w:spacing w:val="-10"/>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1"/>
          <w:sz w:val="20"/>
        </w:rPr>
        <w:t xml:space="preserve"> </w:t>
      </w:r>
      <w:r>
        <w:rPr>
          <w:rFonts w:ascii="Times New Roman;Times;serif" w:hAnsi="Times New Roman;Times;serif"/>
          <w:color w:val="231F20"/>
          <w:sz w:val="20"/>
        </w:rPr>
        <w:t>us</w:t>
      </w:r>
      <w:r>
        <w:rPr>
          <w:rFonts w:ascii="Times New Roman;Times;serif" w:hAnsi="Times New Roman;Times;serif"/>
          <w:color w:val="231F20"/>
          <w:spacing w:val="-10"/>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11"/>
          <w:sz w:val="20"/>
        </w:rPr>
        <w:t xml:space="preserve"> </w:t>
      </w:r>
      <w:r>
        <w:rPr>
          <w:rFonts w:ascii="Times New Roman;Times;serif" w:hAnsi="Times New Roman;Times;serif"/>
          <w:color w:val="231F20"/>
          <w:sz w:val="20"/>
        </w:rPr>
        <w:t>substantially</w:t>
      </w:r>
      <w:r>
        <w:rPr>
          <w:rFonts w:ascii="Times New Roman;Times;serif" w:hAnsi="Times New Roman;Times;serif"/>
          <w:color w:val="231F20"/>
          <w:spacing w:val="-10"/>
          <w:sz w:val="20"/>
        </w:rPr>
        <w:t xml:space="preserve"> </w:t>
      </w:r>
      <w:r>
        <w:rPr>
          <w:rFonts w:ascii="Times New Roman;Times;serif" w:hAnsi="Times New Roman;Times;serif"/>
          <w:color w:val="231F20"/>
          <w:sz w:val="20"/>
        </w:rPr>
        <w:t>greater</w:t>
      </w:r>
      <w:r>
        <w:rPr>
          <w:rFonts w:ascii="Times New Roman;Times;serif" w:hAnsi="Times New Roman;Times;serif"/>
          <w:color w:val="231F20"/>
          <w:spacing w:val="-11"/>
          <w:sz w:val="20"/>
        </w:rPr>
        <w:t xml:space="preserve"> </w:t>
      </w:r>
      <w:r>
        <w:rPr>
          <w:rFonts w:ascii="Times New Roman;Times;serif" w:hAnsi="Times New Roman;Times;serif"/>
          <w:color w:val="231F20"/>
          <w:sz w:val="20"/>
        </w:rPr>
        <w:t>capital</w:t>
      </w:r>
      <w:r>
        <w:rPr>
          <w:rFonts w:ascii="Times New Roman;Times;serif" w:hAnsi="Times New Roman;Times;serif"/>
          <w:color w:val="231F20"/>
          <w:spacing w:val="-10"/>
          <w:sz w:val="20"/>
        </w:rPr>
        <w:t xml:space="preserve"> </w:t>
      </w:r>
      <w:r>
        <w:rPr>
          <w:rFonts w:ascii="Times New Roman;Times;serif" w:hAnsi="Times New Roman;Times;serif"/>
          <w:color w:val="231F20"/>
          <w:sz w:val="20"/>
        </w:rPr>
        <w:t>resources,</w:t>
      </w:r>
      <w:r>
        <w:rPr>
          <w:rFonts w:ascii="Times New Roman;Times;serif" w:hAnsi="Times New Roman;Times;serif"/>
          <w:color w:val="231F20"/>
          <w:spacing w:val="-11"/>
          <w:sz w:val="20"/>
        </w:rPr>
        <w:t xml:space="preserve"> </w:t>
      </w:r>
      <w:r>
        <w:rPr>
          <w:rFonts w:ascii="Times New Roman;Times;serif" w:hAnsi="Times New Roman;Times;serif"/>
          <w:color w:val="231F20"/>
          <w:sz w:val="20"/>
        </w:rPr>
        <w:t>larger</w:t>
      </w:r>
      <w:r>
        <w:rPr>
          <w:rFonts w:ascii="Times New Roman;Times;serif" w:hAnsi="Times New Roman;Times;serif"/>
          <w:color w:val="231F20"/>
          <w:spacing w:val="-10"/>
          <w:sz w:val="20"/>
        </w:rPr>
        <w:t xml:space="preserve"> </w:t>
      </w:r>
      <w:r>
        <w:rPr>
          <w:rFonts w:ascii="Times New Roman;Times;serif" w:hAnsi="Times New Roman;Times;serif"/>
          <w:color w:val="231F20"/>
          <w:sz w:val="20"/>
        </w:rPr>
        <w:t>research</w:t>
      </w:r>
      <w:r>
        <w:rPr>
          <w:rFonts w:ascii="Times New Roman;Times;serif" w:hAnsi="Times New Roman;Times;serif"/>
          <w:color w:val="231F20"/>
          <w:spacing w:val="-1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0"/>
          <w:sz w:val="20"/>
        </w:rPr>
        <w:t xml:space="preserve"> </w:t>
      </w:r>
      <w:r>
        <w:rPr>
          <w:rFonts w:ascii="Times New Roman;Times;serif" w:hAnsi="Times New Roman;Times;serif"/>
          <w:color w:val="231F20"/>
          <w:sz w:val="20"/>
        </w:rPr>
        <w:t xml:space="preserve">development staffs and facilities, greater experience in drug development and in obtaining regulatory </w:t>
      </w:r>
      <w:r>
        <w:rPr>
          <w:rFonts w:ascii="Times New Roman;Times;serif" w:hAnsi="Times New Roman;Times;serif"/>
          <w:color w:val="231F20"/>
          <w:spacing w:val="-4"/>
          <w:sz w:val="20"/>
        </w:rPr>
        <w:t xml:space="preserve">approvals </w:t>
      </w:r>
      <w:r>
        <w:rPr>
          <w:rFonts w:ascii="Times New Roman;Times;serif" w:hAnsi="Times New Roman;Times;serif"/>
          <w:color w:val="231F20"/>
          <w:sz w:val="20"/>
        </w:rPr>
        <w:t xml:space="preserve">and greater manufacturing and marketing capabilities than we </w:t>
      </w:r>
      <w:r>
        <w:rPr>
          <w:rFonts w:ascii="Times New Roman;Times;serif" w:hAnsi="Times New Roman;Times;serif"/>
          <w:color w:val="231F20"/>
          <w:spacing w:val="-4"/>
          <w:sz w:val="20"/>
        </w:rPr>
        <w:t xml:space="preserve">do. </w:t>
      </w:r>
      <w:r>
        <w:rPr>
          <w:rFonts w:ascii="Times New Roman;Times;serif" w:hAnsi="Times New Roman;Times;serif"/>
          <w:color w:val="231F20"/>
          <w:sz w:val="20"/>
        </w:rPr>
        <w:t xml:space="preserve">Our competitors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market less expensive or more effective drugs that would compete with our drug candidates or reach market with competing drugs before we are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reach market with our drug candidates. These organizations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compete with us to attract qualified personnel and partners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acquisitions, joint ventures or other</w:t>
      </w:r>
      <w:r>
        <w:rPr>
          <w:rFonts w:ascii="Times New Roman;Times;serif" w:hAnsi="Times New Roman;Times;serif"/>
          <w:color w:val="231F20"/>
          <w:spacing w:val="3"/>
          <w:sz w:val="20"/>
        </w:rPr>
        <w:t xml:space="preserve"> </w:t>
      </w:r>
      <w:r>
        <w:rPr>
          <w:rFonts w:ascii="Times New Roman;Times;serif" w:hAnsi="Times New Roman;Times;serif"/>
          <w:color w:val="231F20"/>
          <w:sz w:val="20"/>
        </w:rPr>
        <w:t>collaborations.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Business interruptions could limit our ability to operate our business.</w:t>
      </w:r>
    </w:p>
    <w:p>
      <w:pPr>
        <w:pStyle w:val="TextBody"/>
        <w:spacing w:before="165"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Our operations as well as those of our collaborators on which we depend are vulnerable to damage or interruption from computer viruses, human </w:t>
      </w:r>
      <w:r>
        <w:rPr>
          <w:rFonts w:ascii="Times New Roman;Times;serif" w:hAnsi="Times New Roman;Times;serif"/>
          <w:color w:val="231F20"/>
          <w:spacing w:val="-5"/>
          <w:sz w:val="20"/>
        </w:rPr>
        <w:t xml:space="preserve">error, </w:t>
      </w:r>
      <w:r>
        <w:rPr>
          <w:rFonts w:ascii="Times New Roman;Times;serif" w:hAnsi="Times New Roman;Times;serif"/>
          <w:color w:val="231F20"/>
          <w:spacing w:val="-3"/>
          <w:sz w:val="20"/>
        </w:rPr>
        <w:t xml:space="preserve">natural </w:t>
      </w:r>
      <w:r>
        <w:rPr>
          <w:rFonts w:ascii="Times New Roman;Times;serif" w:hAnsi="Times New Roman;Times;serif"/>
          <w:color w:val="231F20"/>
          <w:sz w:val="20"/>
        </w:rPr>
        <w:t>disasters, electrical and telecommunication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 xml:space="preserve">failures, international acts of terror and similar </w:t>
      </w:r>
      <w:r>
        <w:rPr>
          <w:rFonts w:ascii="Times New Roman;Times;serif" w:hAnsi="Times New Roman;Times;serif"/>
          <w:color w:val="231F20"/>
          <w:spacing w:val="-3"/>
          <w:sz w:val="20"/>
        </w:rPr>
        <w:t xml:space="preserve">events. </w:t>
      </w:r>
      <w:r>
        <w:rPr>
          <w:rFonts w:ascii="Times New Roman;Times;serif" w:hAnsi="Times New Roman;Times;serif"/>
          <w:color w:val="231F20"/>
          <w:spacing w:val="-10"/>
          <w:sz w:val="20"/>
        </w:rPr>
        <w:t xml:space="preserve">We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not established a </w:t>
      </w:r>
      <w:r>
        <w:rPr>
          <w:rFonts w:ascii="Times New Roman;Times;serif" w:hAnsi="Times New Roman;Times;serif"/>
          <w:color w:val="231F20"/>
          <w:spacing w:val="-3"/>
          <w:sz w:val="20"/>
        </w:rPr>
        <w:t xml:space="preserve">formal </w:t>
      </w:r>
      <w:r>
        <w:rPr>
          <w:rFonts w:ascii="Times New Roman;Times;serif" w:hAnsi="Times New Roman;Times;serif"/>
          <w:color w:val="231F20"/>
          <w:sz w:val="20"/>
        </w:rPr>
        <w:t xml:space="preserve">disaster recovery plan and our back-up operations and our business interruption insurance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adequate to compensate us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losses we </w:t>
      </w:r>
      <w:r>
        <w:rPr>
          <w:rFonts w:ascii="Times New Roman;Times;serif" w:hAnsi="Times New Roman;Times;serif"/>
          <w:color w:val="231F20"/>
          <w:spacing w:val="-3"/>
          <w:sz w:val="20"/>
        </w:rPr>
        <w:t xml:space="preserve">may suffer. </w:t>
      </w:r>
      <w:r>
        <w:rPr>
          <w:rFonts w:ascii="Times New Roman;Times;serif" w:hAnsi="Times New Roman;Times;serif"/>
          <w:color w:val="231F20"/>
          <w:sz w:val="20"/>
        </w:rPr>
        <w:t>A significant business interruption could result in losses or damages incurred by us and require us to cease or curtail our</w:t>
      </w:r>
      <w:r>
        <w:rPr>
          <w:rFonts w:ascii="Times New Roman;Times;serif" w:hAnsi="Times New Roman;Times;serif"/>
          <w:color w:val="231F20"/>
          <w:spacing w:val="-24"/>
          <w:sz w:val="20"/>
        </w:rPr>
        <w:t xml:space="preserve"> </w:t>
      </w:r>
      <w:r>
        <w:rPr>
          <w:rFonts w:ascii="Times New Roman;Times;serif" w:hAnsi="Times New Roman;Times;serif"/>
          <w:color w:val="231F20"/>
          <w:sz w:val="20"/>
        </w:rPr>
        <w:t>operations.</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Cyber security attacks, internal system or service failures may adversely impact our business and operations.</w:t>
      </w:r>
    </w:p>
    <w:p>
      <w:pPr>
        <w:pStyle w:val="TextBody"/>
        <w:spacing w:lineRule="auto" w:line="288" w:before="165"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system or service disruptions, including those caused by projects to </w:t>
      </w:r>
      <w:r>
        <w:rPr>
          <w:rFonts w:ascii="Times New Roman;Times;serif" w:hAnsi="Times New Roman;Times;serif"/>
          <w:color w:val="231F20"/>
          <w:spacing w:val="-3"/>
          <w:sz w:val="20"/>
        </w:rPr>
        <w:t xml:space="preserve">improve </w:t>
      </w:r>
      <w:r>
        <w:rPr>
          <w:rFonts w:ascii="Times New Roman;Times;serif" w:hAnsi="Times New Roman;Times;serif"/>
          <w:color w:val="231F20"/>
          <w:sz w:val="20"/>
        </w:rPr>
        <w:t xml:space="preserve">our information technology systems, if not anticipated and appropriately mitigated, could disrupt our business and impair our ability to effectively provide products and related services to our customers and could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a material adverse effect on our business.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could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be subject to systems failures, including network, software or </w:t>
      </w:r>
      <w:r>
        <w:rPr>
          <w:rFonts w:ascii="Times New Roman;Times;serif" w:hAnsi="Times New Roman;Times;serif"/>
          <w:color w:val="231F20"/>
          <w:spacing w:val="-3"/>
          <w:sz w:val="20"/>
        </w:rPr>
        <w:t xml:space="preserve">hardware </w:t>
      </w:r>
      <w:r>
        <w:rPr>
          <w:rFonts w:ascii="Times New Roman;Times;serif" w:hAnsi="Times New Roman;Times;serif"/>
          <w:color w:val="231F20"/>
          <w:sz w:val="20"/>
        </w:rPr>
        <w:t xml:space="preserve">failures, whether caused by </w:t>
      </w:r>
      <w:r>
        <w:rPr>
          <w:rFonts w:ascii="Times New Roman;Times;serif" w:hAnsi="Times New Roman;Times;serif"/>
          <w:color w:val="231F20"/>
          <w:spacing w:val="-4"/>
          <w:sz w:val="20"/>
        </w:rPr>
        <w:t xml:space="preserve">us, </w:t>
      </w:r>
      <w:r>
        <w:rPr>
          <w:rFonts w:ascii="Times New Roman;Times;serif" w:hAnsi="Times New Roman;Times;serif"/>
          <w:color w:val="231F20"/>
          <w:sz w:val="20"/>
        </w:rPr>
        <w:t xml:space="preserve">third-party service </w:t>
      </w:r>
      <w:r>
        <w:rPr>
          <w:rFonts w:ascii="Times New Roman;Times;serif" w:hAnsi="Times New Roman;Times;serif"/>
          <w:color w:val="231F20"/>
          <w:spacing w:val="-3"/>
          <w:sz w:val="20"/>
        </w:rPr>
        <w:t xml:space="preserve">providers, </w:t>
      </w:r>
      <w:r>
        <w:rPr>
          <w:rFonts w:ascii="Times New Roman;Times;serif" w:hAnsi="Times New Roman;Times;serif"/>
          <w:color w:val="231F20"/>
          <w:sz w:val="20"/>
        </w:rPr>
        <w:t xml:space="preserve">intruders or </w:t>
      </w:r>
      <w:r>
        <w:rPr>
          <w:rFonts w:ascii="Times New Roman;Times;serif" w:hAnsi="Times New Roman;Times;serif"/>
          <w:color w:val="231F20"/>
          <w:spacing w:val="-3"/>
          <w:sz w:val="20"/>
        </w:rPr>
        <w:t xml:space="preserve">hackers, </w:t>
      </w:r>
      <w:r>
        <w:rPr>
          <w:rFonts w:ascii="Times New Roman;Times;serif" w:hAnsi="Times New Roman;Times;serif"/>
          <w:color w:val="231F20"/>
          <w:sz w:val="20"/>
        </w:rPr>
        <w:t>computer viruses,</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natural</w:t>
      </w:r>
      <w:r>
        <w:rPr>
          <w:rFonts w:ascii="Times New Roman;Times;serif" w:hAnsi="Times New Roman;Times;serif"/>
          <w:color w:val="231F20"/>
          <w:spacing w:val="-8"/>
          <w:sz w:val="20"/>
        </w:rPr>
        <w:t xml:space="preserve"> </w:t>
      </w:r>
      <w:r>
        <w:rPr>
          <w:rFonts w:ascii="Times New Roman;Times;serif" w:hAnsi="Times New Roman;Times;serif"/>
          <w:color w:val="231F20"/>
          <w:sz w:val="20"/>
        </w:rPr>
        <w:t>disasters,</w:t>
      </w:r>
      <w:r>
        <w:rPr>
          <w:rFonts w:ascii="Times New Roman;Times;serif" w:hAnsi="Times New Roman;Times;serif"/>
          <w:color w:val="231F20"/>
          <w:spacing w:val="-8"/>
          <w:sz w:val="20"/>
        </w:rPr>
        <w:t xml:space="preserve"> </w:t>
      </w:r>
      <w:r>
        <w:rPr>
          <w:rFonts w:ascii="Times New Roman;Times;serif" w:hAnsi="Times New Roman;Times;serif"/>
          <w:color w:val="231F20"/>
          <w:sz w:val="20"/>
        </w:rPr>
        <w:t>power</w:t>
      </w:r>
      <w:r>
        <w:rPr>
          <w:rFonts w:ascii="Times New Roman;Times;serif" w:hAnsi="Times New Roman;Times;serif"/>
          <w:color w:val="231F20"/>
          <w:spacing w:val="-8"/>
          <w:sz w:val="20"/>
        </w:rPr>
        <w:t xml:space="preserve"> </w:t>
      </w:r>
      <w:r>
        <w:rPr>
          <w:rFonts w:ascii="Times New Roman;Times;serif" w:hAnsi="Times New Roman;Times;serif"/>
          <w:color w:val="231F20"/>
          <w:sz w:val="20"/>
        </w:rPr>
        <w:t>shortages</w:t>
      </w:r>
      <w:r>
        <w:rPr>
          <w:rFonts w:ascii="Times New Roman;Times;serif" w:hAnsi="Times New Roman;Times;serif"/>
          <w:color w:val="231F20"/>
          <w:spacing w:val="-8"/>
          <w:sz w:val="20"/>
        </w:rPr>
        <w:t xml:space="preserve"> </w:t>
      </w:r>
      <w:r>
        <w:rPr>
          <w:rFonts w:ascii="Times New Roman;Times;serif" w:hAnsi="Times New Roman;Times;serif"/>
          <w:color w:val="231F20"/>
          <w:sz w:val="20"/>
        </w:rPr>
        <w:t>or</w:t>
      </w:r>
      <w:r>
        <w:rPr>
          <w:rFonts w:ascii="Times New Roman;Times;serif" w:hAnsi="Times New Roman;Times;serif"/>
          <w:color w:val="231F20"/>
          <w:spacing w:val="-8"/>
          <w:sz w:val="20"/>
        </w:rPr>
        <w:t xml:space="preserve"> </w:t>
      </w:r>
      <w:r>
        <w:rPr>
          <w:rFonts w:ascii="Times New Roman;Times;serif" w:hAnsi="Times New Roman;Times;serif"/>
          <w:color w:val="231F20"/>
          <w:sz w:val="20"/>
        </w:rPr>
        <w:t>terrorist</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attacks.</w:t>
      </w:r>
    </w:p>
    <w:p>
      <w:pPr>
        <w:pStyle w:val="TextBody"/>
        <w:spacing w:lineRule="auto" w:line="288" w:before="165" w:after="240"/>
        <w:ind w:left="0" w:right="0" w:firstLine="399"/>
        <w:jc w:val="both"/>
        <w:rPr>
          <w:rFonts w:ascii="Times New Roman;Times;serif" w:hAnsi="Times New Roman;Times;serif"/>
          <w:sz w:val="20"/>
        </w:rPr>
      </w:pPr>
      <w:r>
        <w:rPr>
          <w:rFonts w:ascii="Times New Roman;Times;serif" w:hAnsi="Times New Roman;Times;serif"/>
          <w:color w:val="231F20"/>
          <w:sz w:val="20"/>
        </w:rPr>
        <w:t>Cyber</w:t>
      </w:r>
      <w:r>
        <w:rPr>
          <w:rFonts w:ascii="Times New Roman;Times;serif" w:hAnsi="Times New Roman;Times;serif"/>
          <w:color w:val="231F20"/>
          <w:spacing w:val="-8"/>
          <w:sz w:val="20"/>
        </w:rPr>
        <w:t xml:space="preserve"> </w:t>
      </w:r>
      <w:r>
        <w:rPr>
          <w:rFonts w:ascii="Times New Roman;Times;serif" w:hAnsi="Times New Roman;Times;serif"/>
          <w:color w:val="231F20"/>
          <w:sz w:val="20"/>
        </w:rPr>
        <w:t>security</w:t>
      </w:r>
      <w:r>
        <w:rPr>
          <w:rFonts w:ascii="Times New Roman;Times;serif" w:hAnsi="Times New Roman;Times;serif"/>
          <w:color w:val="231F20"/>
          <w:spacing w:val="-7"/>
          <w:sz w:val="20"/>
        </w:rPr>
        <w:t xml:space="preserve"> </w:t>
      </w:r>
      <w:r>
        <w:rPr>
          <w:rFonts w:ascii="Times New Roman;Times;serif" w:hAnsi="Times New Roman;Times;serif"/>
          <w:color w:val="231F20"/>
          <w:sz w:val="20"/>
        </w:rPr>
        <w:t>threats</w:t>
      </w:r>
      <w:r>
        <w:rPr>
          <w:rFonts w:ascii="Times New Roman;Times;serif" w:hAnsi="Times New Roman;Times;serif"/>
          <w:color w:val="231F20"/>
          <w:spacing w:val="-8"/>
          <w:sz w:val="20"/>
        </w:rPr>
        <w:t xml:space="preserve"> </w:t>
      </w:r>
      <w:r>
        <w:rPr>
          <w:rFonts w:ascii="Times New Roman;Times;serif" w:hAnsi="Times New Roman;Times;serif"/>
          <w:color w:val="231F20"/>
          <w:sz w:val="20"/>
        </w:rPr>
        <w:t>are</w:t>
      </w:r>
      <w:r>
        <w:rPr>
          <w:rFonts w:ascii="Times New Roman;Times;serif" w:hAnsi="Times New Roman;Times;serif"/>
          <w:color w:val="231F20"/>
          <w:spacing w:val="-8"/>
          <w:sz w:val="20"/>
        </w:rPr>
        <w:t xml:space="preserve"> </w:t>
      </w:r>
      <w:r>
        <w:rPr>
          <w:rFonts w:ascii="Times New Roman;Times;serif" w:hAnsi="Times New Roman;Times;serif"/>
          <w:color w:val="231F20"/>
          <w:sz w:val="20"/>
        </w:rPr>
        <w:t>evolving</w:t>
      </w:r>
      <w:r>
        <w:rPr>
          <w:rFonts w:ascii="Times New Roman;Times;serif" w:hAnsi="Times New Roman;Times;serif"/>
          <w:color w:val="231F20"/>
          <w:spacing w:val="-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include, but are not limited </w:t>
      </w:r>
      <w:r>
        <w:rPr>
          <w:rFonts w:ascii="Times New Roman;Times;serif" w:hAnsi="Times New Roman;Times;serif"/>
          <w:color w:val="231F20"/>
          <w:spacing w:val="-3"/>
          <w:sz w:val="20"/>
        </w:rPr>
        <w:t xml:space="preserve">to, </w:t>
      </w:r>
      <w:r>
        <w:rPr>
          <w:rFonts w:ascii="Times New Roman;Times;serif" w:hAnsi="Times New Roman;Times;serif"/>
          <w:color w:val="231F20"/>
          <w:sz w:val="20"/>
        </w:rPr>
        <w:t>malicious software, phishing and other unauthorized attempts to gain access to sensitive, confidential or otherwise protected information related to us or our products, customers or suppliers, or other acts that could lead to disruptions in our business. The COVID-19 pandemic has forced many</w:t>
      </w:r>
      <w:r>
        <w:rPr>
          <w:rFonts w:ascii="Times New Roman;Times;serif" w:hAnsi="Times New Roman;Times;serif"/>
          <w:color w:val="231F20"/>
          <w:spacing w:val="-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5"/>
          <w:sz w:val="20"/>
        </w:rPr>
        <w:t xml:space="preserve"> </w:t>
      </w:r>
      <w:r>
        <w:rPr>
          <w:rFonts w:ascii="Times New Roman;Times;serif" w:hAnsi="Times New Roman;Times;serif"/>
          <w:color w:val="231F20"/>
          <w:sz w:val="20"/>
        </w:rPr>
        <w:t>employees</w:t>
      </w:r>
      <w:r>
        <w:rPr>
          <w:rFonts w:ascii="Times New Roman;Times;serif" w:hAnsi="Times New Roman;Times;serif"/>
          <w:color w:val="231F20"/>
          <w:spacing w:val="-6"/>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shift</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6"/>
          <w:sz w:val="20"/>
        </w:rPr>
        <w:t xml:space="preserve"> </w:t>
      </w:r>
      <w:r>
        <w:rPr>
          <w:rFonts w:ascii="Times New Roman;Times;serif" w:hAnsi="Times New Roman;Times;serif"/>
          <w:color w:val="231F20"/>
          <w:sz w:val="20"/>
        </w:rPr>
        <w:t>work-from-home</w:t>
      </w:r>
      <w:r>
        <w:rPr>
          <w:rFonts w:ascii="Times New Roman;Times;serif" w:hAnsi="Times New Roman;Times;serif"/>
          <w:color w:val="231F20"/>
          <w:spacing w:val="-5"/>
          <w:sz w:val="20"/>
        </w:rPr>
        <w:t xml:space="preserve"> </w:t>
      </w:r>
      <w:r>
        <w:rPr>
          <w:rFonts w:ascii="Times New Roman;Times;serif" w:hAnsi="Times New Roman;Times;serif"/>
          <w:color w:val="231F20"/>
          <w:sz w:val="20"/>
        </w:rPr>
        <w:t>arrangements,</w:t>
      </w:r>
      <w:r>
        <w:rPr>
          <w:rFonts w:ascii="Times New Roman;Times;serif" w:hAnsi="Times New Roman;Times;serif"/>
          <w:color w:val="231F20"/>
          <w:spacing w:val="-5"/>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6"/>
          <w:sz w:val="20"/>
        </w:rPr>
        <w:t xml:space="preserve"> </w:t>
      </w:r>
      <w:r>
        <w:rPr>
          <w:rFonts w:ascii="Times New Roman;Times;serif" w:hAnsi="Times New Roman;Times;serif"/>
          <w:color w:val="231F20"/>
          <w:sz w:val="20"/>
        </w:rPr>
        <w:t>increases</w:t>
      </w:r>
      <w:r>
        <w:rPr>
          <w:rFonts w:ascii="Times New Roman;Times;serif" w:hAnsi="Times New Roman;Times;serif"/>
          <w:color w:val="231F20"/>
          <w:spacing w:val="-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5"/>
          <w:sz w:val="20"/>
        </w:rPr>
        <w:t xml:space="preserve"> </w:t>
      </w:r>
      <w:r>
        <w:rPr>
          <w:rFonts w:ascii="Times New Roman;Times;serif" w:hAnsi="Times New Roman;Times;serif"/>
          <w:color w:val="231F20"/>
          <w:sz w:val="20"/>
        </w:rPr>
        <w:t>vulnerability</w:t>
      </w:r>
      <w:r>
        <w:rPr>
          <w:rFonts w:ascii="Times New Roman;Times;serif" w:hAnsi="Times New Roman;Times;serif"/>
          <w:color w:val="231F20"/>
          <w:spacing w:val="-6"/>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 xml:space="preserve">email phishing, social engineering or “hacking” through our remote </w:t>
      </w:r>
      <w:r>
        <w:rPr>
          <w:rFonts w:ascii="Times New Roman;Times;serif" w:hAnsi="Times New Roman;Times;serif"/>
          <w:color w:val="231F20"/>
          <w:spacing w:val="-3"/>
          <w:sz w:val="20"/>
        </w:rPr>
        <w:t xml:space="preserve">networks, </w:t>
      </w:r>
      <w:r>
        <w:rPr>
          <w:rFonts w:ascii="Times New Roman;Times;serif" w:hAnsi="Times New Roman;Times;serif"/>
          <w:color w:val="231F20"/>
          <w:sz w:val="20"/>
        </w:rPr>
        <w:t>and similar cyber-attacks</w:t>
      </w:r>
      <w:r>
        <w:rPr>
          <w:rFonts w:ascii="Times New Roman;Times;serif" w:hAnsi="Times New Roman;Times;serif"/>
          <w:color w:val="231F20"/>
          <w:spacing w:val="10"/>
          <w:sz w:val="20"/>
        </w:rPr>
        <w:t xml:space="preserve"> </w:t>
      </w:r>
      <w:r>
        <w:rPr>
          <w:rFonts w:ascii="Times New Roman;Times;serif" w:hAnsi="Times New Roman;Times;serif"/>
          <w:color w:val="231F20"/>
          <w:sz w:val="20"/>
        </w:rPr>
        <w:t xml:space="preserve">aimed </w:t>
      </w:r>
      <w:r>
        <w:rPr>
          <w:rFonts w:ascii="Times New Roman;Times;serif" w:hAnsi="Times New Roman;Times;serif"/>
          <w:color w:val="231F20"/>
          <w:spacing w:val="-3"/>
          <w:sz w:val="20"/>
        </w:rPr>
        <w:t>at</w:t>
      </w:r>
      <w:r>
        <w:rPr>
          <w:rFonts w:ascii="Times New Roman;Times;serif" w:hAnsi="Times New Roman;Times;serif"/>
          <w:color w:val="231F20"/>
          <w:spacing w:val="-19"/>
          <w:sz w:val="20"/>
        </w:rPr>
        <w:t xml:space="preserve"> </w:t>
      </w:r>
      <w:r>
        <w:rPr>
          <w:rFonts w:ascii="Times New Roman;Times;serif" w:hAnsi="Times New Roman;Times;serif"/>
          <w:color w:val="231F20"/>
          <w:sz w:val="20"/>
        </w:rPr>
        <w:t>employees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working</w:t>
      </w:r>
      <w:r>
        <w:rPr>
          <w:rFonts w:ascii="Times New Roman;Times;serif" w:hAnsi="Times New Roman;Times;serif"/>
          <w:color w:val="231F20"/>
          <w:spacing w:val="-18"/>
          <w:sz w:val="20"/>
        </w:rPr>
        <w:t xml:space="preserve"> </w:t>
      </w:r>
      <w:r>
        <w:rPr>
          <w:rFonts w:ascii="Times New Roman;Times;serif" w:hAnsi="Times New Roman;Times;serif"/>
          <w:color w:val="231F20"/>
          <w:spacing w:val="-5"/>
          <w:sz w:val="20"/>
        </w:rPr>
        <w:t>remotely.</w:t>
      </w:r>
      <w:r>
        <w:rPr>
          <w:rFonts w:ascii="Times New Roman;Times;serif" w:hAnsi="Times New Roman;Times;serif"/>
          <w:color w:val="231F20"/>
          <w:spacing w:val="-19"/>
          <w:sz w:val="20"/>
        </w:rPr>
        <w:t xml:space="preserve"> </w:t>
      </w:r>
      <w:r>
        <w:rPr>
          <w:rFonts w:ascii="Times New Roman;Times;serif" w:hAnsi="Times New Roman;Times;serif"/>
          <w:color w:val="231F20"/>
          <w:sz w:val="20"/>
        </w:rPr>
        <w:t>Because</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techniques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used</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by</w:t>
      </w:r>
      <w:r>
        <w:rPr>
          <w:rFonts w:ascii="Times New Roman;Times;serif" w:hAnsi="Times New Roman;Times;serif"/>
          <w:color w:val="231F20"/>
          <w:spacing w:val="-18"/>
          <w:sz w:val="20"/>
        </w:rPr>
        <w:t xml:space="preserve"> </w:t>
      </w:r>
      <w:r>
        <w:rPr>
          <w:rFonts w:ascii="Times New Roman;Times;serif" w:hAnsi="Times New Roman;Times;serif"/>
          <w:color w:val="231F20"/>
          <w:sz w:val="20"/>
        </w:rPr>
        <w:t>cyber-attackers</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access</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sabotage</w:t>
      </w:r>
      <w:r>
        <w:rPr>
          <w:rFonts w:ascii="Times New Roman;Times;serif" w:hAnsi="Times New Roman;Times;serif"/>
          <w:color w:val="231F20"/>
          <w:spacing w:val="-19"/>
          <w:sz w:val="20"/>
        </w:rPr>
        <w:t xml:space="preserve"> </w:t>
      </w:r>
      <w:r>
        <w:rPr>
          <w:rFonts w:ascii="Times New Roman;Times;serif" w:hAnsi="Times New Roman;Times;serif"/>
          <w:color w:val="231F20"/>
          <w:sz w:val="20"/>
        </w:rPr>
        <w:t xml:space="preserve">networks change frequently and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recognized until launched against a target,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unable to anticipate these tactics.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such failures to prevent or mitigate cyber-attacks could cause loss of data and interruptions or delays in our business, cause us to incur remediation costs or subject us to claims and damage our reputation.</w:t>
      </w:r>
    </w:p>
    <w:p>
      <w:pPr>
        <w:pStyle w:val="TextBody"/>
        <w:spacing w:lineRule="auto" w:line="288" w:before="165"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In addition, the failure or disruption of our communications or utilities could cause us to interrupt or suspend our operations or otherwise adversely affect our business. Although we utilize various procedures and controls to monitor and mitigate the risk of these </w:t>
      </w:r>
      <w:r>
        <w:rPr>
          <w:rFonts w:ascii="Times New Roman;Times;serif" w:hAnsi="Times New Roman;Times;serif"/>
          <w:color w:val="231F20"/>
          <w:spacing w:val="-3"/>
          <w:sz w:val="20"/>
        </w:rPr>
        <w:t xml:space="preserve">threats </w:t>
      </w:r>
      <w:r>
        <w:rPr>
          <w:rFonts w:ascii="Times New Roman;Times;serif" w:hAnsi="Times New Roman;Times;serif"/>
          <w:color w:val="231F20"/>
          <w:sz w:val="20"/>
        </w:rPr>
        <w:t xml:space="preserve">and training our employees to recognize attacks, there can be no assurance that these procedures and controls will be sufficient. Our property and business interruption insurance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inadequate to compensate us </w:t>
      </w:r>
      <w:r>
        <w:rPr>
          <w:rFonts w:ascii="Times New Roman;Times;serif" w:hAnsi="Times New Roman;Times;serif"/>
          <w:color w:val="231F20"/>
          <w:spacing w:val="-3"/>
          <w:sz w:val="20"/>
        </w:rPr>
        <w:t xml:space="preserve">for all </w:t>
      </w:r>
      <w:r>
        <w:rPr>
          <w:rFonts w:ascii="Times New Roman;Times;serif" w:hAnsi="Times New Roman;Times;serif"/>
          <w:color w:val="231F20"/>
          <w:sz w:val="20"/>
        </w:rPr>
        <w:t xml:space="preserve">losses that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occur as a result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system or operational failure or disruption which would adversely affect our business, results of operations and financial condition. </w:t>
      </w:r>
      <w:r>
        <w:rPr>
          <w:rFonts w:ascii="Times New Roman;Times;serif" w:hAnsi="Times New Roman;Times;serif"/>
          <w:color w:val="231F20"/>
          <w:spacing w:val="-4"/>
          <w:sz w:val="20"/>
        </w:rPr>
        <w:t xml:space="preserve">Moreover, </w:t>
      </w:r>
      <w:r>
        <w:rPr>
          <w:rFonts w:ascii="Times New Roman;Times;serif" w:hAnsi="Times New Roman;Times;serif"/>
          <w:color w:val="231F20"/>
          <w:sz w:val="20"/>
        </w:rPr>
        <w:t>expenditures incurred in implementing cyber</w:t>
      </w:r>
      <w:r>
        <w:rPr>
          <w:rFonts w:ascii="Times New Roman;Times;serif" w:hAnsi="Times New Roman;Times;serif"/>
          <w:color w:val="231F20"/>
          <w:spacing w:val="-11"/>
          <w:sz w:val="20"/>
        </w:rPr>
        <w:t xml:space="preserve"> </w:t>
      </w:r>
      <w:r>
        <w:rPr>
          <w:rFonts w:ascii="Times New Roman;Times;serif" w:hAnsi="Times New Roman;Times;serif"/>
          <w:color w:val="231F20"/>
          <w:sz w:val="20"/>
        </w:rPr>
        <w:t>security</w:t>
      </w:r>
      <w:r>
        <w:rPr>
          <w:rFonts w:ascii="Times New Roman;Times;serif" w:hAnsi="Times New Roman;Times;serif"/>
          <w:color w:val="231F20"/>
          <w:spacing w:val="-1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0"/>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1"/>
          <w:sz w:val="20"/>
        </w:rPr>
        <w:t xml:space="preserve"> </w:t>
      </w:r>
      <w:r>
        <w:rPr>
          <w:rFonts w:ascii="Times New Roman;Times;serif" w:hAnsi="Times New Roman;Times;serif"/>
          <w:color w:val="231F20"/>
          <w:sz w:val="20"/>
        </w:rPr>
        <w:t>procedures</w:t>
      </w:r>
      <w:r>
        <w:rPr>
          <w:rFonts w:ascii="Times New Roman;Times;serif" w:hAnsi="Times New Roman;Times;serif"/>
          <w:color w:val="231F20"/>
          <w:spacing w:val="-1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0"/>
          <w:sz w:val="20"/>
        </w:rPr>
        <w:t xml:space="preserve"> </w:t>
      </w:r>
      <w:r>
        <w:rPr>
          <w:rFonts w:ascii="Times New Roman;Times;serif" w:hAnsi="Times New Roman;Times;serif"/>
          <w:color w:val="231F20"/>
          <w:sz w:val="20"/>
        </w:rPr>
        <w:t>controls</w:t>
      </w:r>
      <w:r>
        <w:rPr>
          <w:rFonts w:ascii="Times New Roman;Times;serif" w:hAnsi="Times New Roman;Times;serif"/>
          <w:color w:val="231F20"/>
          <w:spacing w:val="-10"/>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11"/>
          <w:sz w:val="20"/>
        </w:rPr>
        <w:t xml:space="preserve"> </w:t>
      </w:r>
      <w:r>
        <w:rPr>
          <w:rFonts w:ascii="Times New Roman;Times;serif" w:hAnsi="Times New Roman;Times;serif"/>
          <w:color w:val="231F20"/>
          <w:sz w:val="20"/>
        </w:rPr>
        <w:t>adversely</w:t>
      </w:r>
      <w:r>
        <w:rPr>
          <w:rFonts w:ascii="Times New Roman;Times;serif" w:hAnsi="Times New Roman;Times;serif"/>
          <w:color w:val="231F20"/>
          <w:spacing w:val="-10"/>
          <w:sz w:val="20"/>
        </w:rPr>
        <w:t xml:space="preserve"> </w:t>
      </w:r>
      <w:r>
        <w:rPr>
          <w:rFonts w:ascii="Times New Roman;Times;serif" w:hAnsi="Times New Roman;Times;serif"/>
          <w:color w:val="231F20"/>
          <w:sz w:val="20"/>
        </w:rPr>
        <w:t>affect</w:t>
      </w:r>
      <w:r>
        <w:rPr>
          <w:rFonts w:ascii="Times New Roman;Times;serif" w:hAnsi="Times New Roman;Times;serif"/>
          <w:color w:val="231F20"/>
          <w:spacing w:val="-10"/>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0"/>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11"/>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operations</w:t>
      </w:r>
      <w:r>
        <w:rPr>
          <w:rFonts w:ascii="Times New Roman;Times;serif" w:hAnsi="Times New Roman;Times;serif"/>
          <w:color w:val="231F20"/>
          <w:spacing w:val="-1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0"/>
          <w:sz w:val="20"/>
        </w:rPr>
        <w:t xml:space="preserve"> </w:t>
      </w:r>
      <w:r>
        <w:rPr>
          <w:rFonts w:ascii="Times New Roman;Times;serif" w:hAnsi="Times New Roman;Times;serif"/>
          <w:color w:val="231F20"/>
          <w:sz w:val="20"/>
        </w:rPr>
        <w:t>financial condition.</w:t>
      </w:r>
    </w:p>
    <w:p>
      <w:pPr>
        <w:pStyle w:val="TextBody"/>
        <w:spacing w:lineRule="auto" w:line="288" w:before="1" w:after="240"/>
        <w:ind w:left="0" w:right="0" w:hanging="0"/>
        <w:jc w:val="both"/>
        <w:rPr>
          <w:rFonts w:ascii="Times New Roman;Times;serif" w:hAnsi="Times New Roman;Times;serif"/>
          <w:b/>
          <w:sz w:val="20"/>
        </w:rPr>
      </w:pPr>
      <w:r>
        <w:rPr>
          <w:rFonts w:ascii="Times New Roman;Times;serif" w:hAnsi="Times New Roman;Times;serif"/>
          <w:b/>
          <w:i/>
          <w:color w:val="231F20"/>
          <w:spacing w:val="-3"/>
          <w:sz w:val="20"/>
        </w:rPr>
        <w:t>Failure</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achieve</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maintain</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effective</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internal</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controls</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over</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financial</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reporting</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accordance</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Section</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404 of the Sarbanes-Oxley Act could impair our ability to produce timely and accurate financial statements or comply</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applicable</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regulations</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have</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a</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material</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adverse</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effect</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on</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business.</w:t>
      </w:r>
    </w:p>
    <w:p>
      <w:pPr>
        <w:pStyle w:val="TextBody"/>
        <w:spacing w:lineRule="auto" w:line="288" w:before="165"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Our management has significant requirements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enhanced financial reporting and internal controls as a</w:t>
      </w:r>
      <w:r>
        <w:rPr>
          <w:rFonts w:ascii="Times New Roman;Times;serif" w:hAnsi="Times New Roman;Times;serif"/>
          <w:color w:val="231F20"/>
          <w:spacing w:val="-13"/>
          <w:sz w:val="20"/>
        </w:rPr>
        <w:t xml:space="preserve"> </w:t>
      </w:r>
      <w:r>
        <w:rPr>
          <w:rFonts w:ascii="Times New Roman;Times;serif" w:hAnsi="Times New Roman;Times;serif"/>
          <w:color w:val="231F20"/>
          <w:sz w:val="20"/>
        </w:rPr>
        <w:t>public</w:t>
      </w:r>
      <w:r>
        <w:rPr>
          <w:rFonts w:ascii="Times New Roman;Times;serif" w:hAnsi="Times New Roman;Times;serif"/>
          <w:color w:val="231F20"/>
          <w:spacing w:val="-13"/>
          <w:sz w:val="20"/>
        </w:rPr>
        <w:t xml:space="preserve"> </w:t>
      </w:r>
      <w:r>
        <w:rPr>
          <w:rFonts w:ascii="Times New Roman;Times;serif" w:hAnsi="Times New Roman;Times;serif"/>
          <w:color w:val="231F20"/>
          <w:spacing w:val="-4"/>
          <w:sz w:val="20"/>
        </w:rPr>
        <w:t>company.</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2"/>
          <w:sz w:val="20"/>
        </w:rPr>
        <w:t xml:space="preserve"> </w:t>
      </w:r>
      <w:r>
        <w:rPr>
          <w:rFonts w:ascii="Times New Roman;Times;serif" w:hAnsi="Times New Roman;Times;serif"/>
          <w:color w:val="231F20"/>
          <w:sz w:val="20"/>
        </w:rPr>
        <w:t>process</w:t>
      </w:r>
      <w:r>
        <w:rPr>
          <w:rFonts w:ascii="Times New Roman;Times;serif" w:hAnsi="Times New Roman;Times;serif"/>
          <w:color w:val="231F20"/>
          <w:spacing w:val="-13"/>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designing</w:t>
      </w:r>
      <w:r>
        <w:rPr>
          <w:rFonts w:ascii="Times New Roman;Times;serif" w:hAnsi="Times New Roman;Times;serif"/>
          <w:color w:val="231F20"/>
          <w:spacing w:val="-1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3"/>
          <w:sz w:val="20"/>
        </w:rPr>
        <w:t xml:space="preserve"> </w:t>
      </w:r>
      <w:r>
        <w:rPr>
          <w:rFonts w:ascii="Times New Roman;Times;serif" w:hAnsi="Times New Roman;Times;serif"/>
          <w:color w:val="231F20"/>
          <w:sz w:val="20"/>
        </w:rPr>
        <w:t>implementing</w:t>
      </w:r>
      <w:r>
        <w:rPr>
          <w:rFonts w:ascii="Times New Roman;Times;serif" w:hAnsi="Times New Roman;Times;serif"/>
          <w:color w:val="231F20"/>
          <w:spacing w:val="-13"/>
          <w:sz w:val="20"/>
        </w:rPr>
        <w:t xml:space="preserve"> </w:t>
      </w:r>
      <w:r>
        <w:rPr>
          <w:rFonts w:ascii="Times New Roman;Times;serif" w:hAnsi="Times New Roman;Times;serif"/>
          <w:color w:val="231F20"/>
          <w:sz w:val="20"/>
        </w:rPr>
        <w:t>effective</w:t>
      </w:r>
      <w:r>
        <w:rPr>
          <w:rFonts w:ascii="Times New Roman;Times;serif" w:hAnsi="Times New Roman;Times;serif"/>
          <w:color w:val="231F20"/>
          <w:spacing w:val="-12"/>
          <w:sz w:val="20"/>
        </w:rPr>
        <w:t xml:space="preserve"> </w:t>
      </w:r>
      <w:r>
        <w:rPr>
          <w:rFonts w:ascii="Times New Roman;Times;serif" w:hAnsi="Times New Roman;Times;serif"/>
          <w:color w:val="231F20"/>
          <w:sz w:val="20"/>
        </w:rPr>
        <w:t>internal</w:t>
      </w:r>
      <w:r>
        <w:rPr>
          <w:rFonts w:ascii="Times New Roman;Times;serif" w:hAnsi="Times New Roman;Times;serif"/>
          <w:color w:val="231F20"/>
          <w:spacing w:val="-13"/>
          <w:sz w:val="20"/>
        </w:rPr>
        <w:t xml:space="preserve"> </w:t>
      </w:r>
      <w:r>
        <w:rPr>
          <w:rFonts w:ascii="Times New Roman;Times;serif" w:hAnsi="Times New Roman;Times;serif"/>
          <w:color w:val="231F20"/>
          <w:sz w:val="20"/>
        </w:rPr>
        <w:t>controls</w:t>
      </w:r>
      <w:r>
        <w:rPr>
          <w:rFonts w:ascii="Times New Roman;Times;serif" w:hAnsi="Times New Roman;Times;serif"/>
          <w:color w:val="231F20"/>
          <w:spacing w:val="-13"/>
          <w:sz w:val="20"/>
        </w:rPr>
        <w:t xml:space="preserve"> </w:t>
      </w:r>
      <w:r>
        <w:rPr>
          <w:rFonts w:ascii="Times New Roman;Times;serif" w:hAnsi="Times New Roman;Times;serif"/>
          <w:color w:val="231F20"/>
          <w:sz w:val="20"/>
        </w:rPr>
        <w:t>is</w:t>
      </w:r>
      <w:r>
        <w:rPr>
          <w:rFonts w:ascii="Times New Roman;Times;serif" w:hAnsi="Times New Roman;Times;serif"/>
          <w:color w:val="231F20"/>
          <w:spacing w:val="-12"/>
          <w:sz w:val="20"/>
        </w:rPr>
        <w:t xml:space="preserve"> </w:t>
      </w:r>
      <w:r>
        <w:rPr>
          <w:rFonts w:ascii="Times New Roman;Times;serif" w:hAnsi="Times New Roman;Times;serif"/>
          <w:color w:val="231F20"/>
          <w:sz w:val="20"/>
        </w:rPr>
        <w:t>a</w:t>
      </w:r>
      <w:r>
        <w:rPr>
          <w:rFonts w:ascii="Times New Roman;Times;serif" w:hAnsi="Times New Roman;Times;serif"/>
          <w:color w:val="231F20"/>
          <w:spacing w:val="-13"/>
          <w:sz w:val="20"/>
        </w:rPr>
        <w:t xml:space="preserve"> </w:t>
      </w:r>
      <w:r>
        <w:rPr>
          <w:rFonts w:ascii="Times New Roman;Times;serif" w:hAnsi="Times New Roman;Times;serif"/>
          <w:color w:val="231F20"/>
          <w:sz w:val="20"/>
        </w:rPr>
        <w:t>continuous</w:t>
      </w:r>
      <w:r>
        <w:rPr>
          <w:rFonts w:ascii="Times New Roman;Times;serif" w:hAnsi="Times New Roman;Times;serif"/>
          <w:color w:val="231F20"/>
          <w:spacing w:val="-13"/>
          <w:sz w:val="20"/>
        </w:rPr>
        <w:t xml:space="preserve"> </w:t>
      </w:r>
      <w:r>
        <w:rPr>
          <w:rFonts w:ascii="Times New Roman;Times;serif" w:hAnsi="Times New Roman;Times;serif"/>
          <w:color w:val="231F20"/>
          <w:spacing w:val="-5"/>
          <w:sz w:val="20"/>
        </w:rPr>
        <w:t xml:space="preserve">effort </w:t>
      </w:r>
      <w:r>
        <w:rPr>
          <w:rFonts w:ascii="Times New Roman;Times;serif" w:hAnsi="Times New Roman;Times;serif"/>
          <w:color w:val="231F20"/>
          <w:sz w:val="20"/>
        </w:rPr>
        <w:t xml:space="preserve">that will require us to anticipate and react to changes in our business and the economic and regulatory environments and to expend significant resources to maintain a system of internal controls that is adequate to satisfy our reporting obligations as a public </w:t>
      </w:r>
      <w:r>
        <w:rPr>
          <w:rFonts w:ascii="Times New Roman;Times;serif" w:hAnsi="Times New Roman;Times;serif"/>
          <w:color w:val="231F20"/>
          <w:spacing w:val="-4"/>
          <w:sz w:val="20"/>
        </w:rPr>
        <w:t xml:space="preserve">company.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99"/>
        <w:jc w:val="both"/>
        <w:rPr>
          <w:rFonts w:ascii="Times New Roman;Times;serif" w:hAnsi="Times New Roman;Times;serif"/>
          <w:sz w:val="20"/>
        </w:rPr>
      </w:pPr>
      <w:r>
        <w:rPr>
          <w:rFonts w:ascii="Times New Roman;Times;serif" w:hAnsi="Times New Roman;Times;serif"/>
          <w:color w:val="231F20"/>
          <w:sz w:val="20"/>
        </w:rPr>
        <w:t>If we are unable to establish and maintain appropriate internal</w:t>
      </w:r>
      <w:r>
        <w:rPr>
          <w:rFonts w:ascii="Times New Roman;Times;serif" w:hAnsi="Times New Roman;Times;serif"/>
          <w:color w:val="231F20"/>
          <w:spacing w:val="-6"/>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5"/>
          <w:sz w:val="20"/>
        </w:rPr>
        <w:t xml:space="preserve"> </w:t>
      </w:r>
      <w:r>
        <w:rPr>
          <w:rFonts w:ascii="Times New Roman;Times;serif" w:hAnsi="Times New Roman;Times;serif"/>
          <w:color w:val="231F20"/>
          <w:sz w:val="20"/>
        </w:rPr>
        <w:t>reporting</w:t>
      </w:r>
      <w:r>
        <w:rPr>
          <w:rFonts w:ascii="Times New Roman;Times;serif" w:hAnsi="Times New Roman;Times;serif"/>
          <w:color w:val="231F20"/>
          <w:spacing w:val="-5"/>
          <w:sz w:val="20"/>
        </w:rPr>
        <w:t xml:space="preserve"> </w:t>
      </w:r>
      <w:r>
        <w:rPr>
          <w:rFonts w:ascii="Times New Roman;Times;serif" w:hAnsi="Times New Roman;Times;serif"/>
          <w:color w:val="231F20"/>
          <w:sz w:val="20"/>
        </w:rPr>
        <w:t>controls</w:t>
      </w:r>
      <w:r>
        <w:rPr>
          <w:rFonts w:ascii="Times New Roman;Times;serif" w:hAnsi="Times New Roman;Times;serif"/>
          <w:color w:val="231F20"/>
          <w:spacing w:val="-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5"/>
          <w:sz w:val="20"/>
        </w:rPr>
        <w:t xml:space="preserve"> </w:t>
      </w:r>
      <w:r>
        <w:rPr>
          <w:rFonts w:ascii="Times New Roman;Times;serif" w:hAnsi="Times New Roman;Times;serif"/>
          <w:color w:val="231F20"/>
          <w:sz w:val="20"/>
        </w:rPr>
        <w:t>procedures,</w:t>
      </w:r>
      <w:r>
        <w:rPr>
          <w:rFonts w:ascii="Times New Roman;Times;serif" w:hAnsi="Times New Roman;Times;serif"/>
          <w:color w:val="231F20"/>
          <w:spacing w:val="-5"/>
          <w:sz w:val="20"/>
        </w:rPr>
        <w:t xml:space="preserve"> in accordance with Section 404 of the Sarbanes-Oxley Act, </w:t>
      </w:r>
      <w:r>
        <w:rPr>
          <w:rFonts w:ascii="Times New Roman;Times;serif" w:hAnsi="Times New Roman;Times;serif"/>
          <w:color w:val="231F20"/>
          <w:sz w:val="20"/>
        </w:rPr>
        <w:t>it</w:t>
      </w:r>
      <w:r>
        <w:rPr>
          <w:rFonts w:ascii="Times New Roman;Times;serif" w:hAnsi="Times New Roman;Times;serif"/>
          <w:color w:val="231F20"/>
          <w:spacing w:val="-5"/>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5"/>
          <w:sz w:val="20"/>
        </w:rPr>
        <w:t xml:space="preserve"> impact our operating results, result in material misstatements in our consolidated financial statements and </w:t>
      </w:r>
      <w:r>
        <w:rPr>
          <w:rFonts w:ascii="Times New Roman;Times;serif" w:hAnsi="Times New Roman;Times;serif"/>
          <w:color w:val="231F20"/>
          <w:sz w:val="20"/>
        </w:rPr>
        <w:t>cause</w:t>
      </w:r>
      <w:r>
        <w:rPr>
          <w:rFonts w:ascii="Times New Roman;Times;serif" w:hAnsi="Times New Roman;Times;serif"/>
          <w:color w:val="231F20"/>
          <w:spacing w:val="-5"/>
          <w:sz w:val="20"/>
        </w:rPr>
        <w:t xml:space="preserve"> </w:t>
      </w:r>
      <w:r>
        <w:rPr>
          <w:rFonts w:ascii="Times New Roman;Times;serif" w:hAnsi="Times New Roman;Times;serif"/>
          <w:color w:val="231F20"/>
          <w:sz w:val="20"/>
        </w:rPr>
        <w:t>us</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fail</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meet</w:t>
      </w:r>
      <w:r>
        <w:rPr>
          <w:rFonts w:ascii="Times New Roman;Times;serif" w:hAnsi="Times New Roman;Times;serif"/>
          <w:color w:val="231F20"/>
          <w:spacing w:val="-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5"/>
          <w:sz w:val="20"/>
        </w:rPr>
        <w:t xml:space="preserve"> </w:t>
      </w:r>
      <w:r>
        <w:rPr>
          <w:rFonts w:ascii="Times New Roman;Times;serif" w:hAnsi="Times New Roman;Times;serif"/>
          <w:color w:val="231F20"/>
          <w:sz w:val="20"/>
        </w:rPr>
        <w:t>reporting</w:t>
      </w:r>
      <w:r>
        <w:rPr>
          <w:rFonts w:ascii="Times New Roman;Times;serif" w:hAnsi="Times New Roman;Times;serif"/>
          <w:color w:val="231F20"/>
          <w:spacing w:val="-5"/>
          <w:sz w:val="20"/>
        </w:rPr>
        <w:t xml:space="preserve"> </w:t>
      </w:r>
      <w:r>
        <w:rPr>
          <w:rFonts w:ascii="Times New Roman;Times;serif" w:hAnsi="Times New Roman;Times;serif"/>
          <w:color w:val="231F20"/>
          <w:sz w:val="20"/>
        </w:rPr>
        <w:t xml:space="preserve">obligations on a timely basis. </w:t>
      </w:r>
      <w:r>
        <w:rPr>
          <w:rFonts w:ascii="Times New Roman;Times;serif" w:hAnsi="Times New Roman;Times;serif"/>
          <w:color w:val="231F20"/>
          <w:spacing w:val="-3"/>
          <w:sz w:val="20"/>
        </w:rPr>
        <w:t xml:space="preserve">Testing </w:t>
      </w:r>
      <w:r>
        <w:rPr>
          <w:rFonts w:ascii="Times New Roman;Times;serif" w:hAnsi="Times New Roman;Times;serif"/>
          <w:color w:val="231F20"/>
          <w:sz w:val="20"/>
        </w:rPr>
        <w:t xml:space="preserve">and maintaining internal controls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divert management’s attention from other matters that are important to our business. Our independent</w:t>
      </w:r>
      <w:r>
        <w:rPr>
          <w:rFonts w:ascii="Times New Roman;Times;serif" w:hAnsi="Times New Roman;Times;serif"/>
          <w:color w:val="231F20"/>
          <w:spacing w:val="-24"/>
          <w:sz w:val="20"/>
        </w:rPr>
        <w:t xml:space="preserve"> </w:t>
      </w:r>
      <w:r>
        <w:rPr>
          <w:rFonts w:ascii="Times New Roman;Times;serif" w:hAnsi="Times New Roman;Times;serif"/>
          <w:color w:val="231F20"/>
          <w:sz w:val="20"/>
        </w:rPr>
        <w:t>registered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public</w:t>
      </w:r>
      <w:r>
        <w:rPr>
          <w:rFonts w:ascii="Times New Roman;Times;serif" w:hAnsi="Times New Roman;Times;serif"/>
          <w:color w:val="231F20"/>
          <w:spacing w:val="-24"/>
          <w:sz w:val="20"/>
        </w:rPr>
        <w:t xml:space="preserve"> </w:t>
      </w:r>
      <w:r>
        <w:rPr>
          <w:rFonts w:ascii="Times New Roman;Times;serif" w:hAnsi="Times New Roman;Times;serif"/>
          <w:color w:val="231F20"/>
          <w:sz w:val="20"/>
        </w:rPr>
        <w:t>accounting</w:t>
      </w:r>
      <w:r>
        <w:rPr>
          <w:rFonts w:ascii="Times New Roman;Times;serif" w:hAnsi="Times New Roman;Times;serif"/>
          <w:color w:val="231F20"/>
          <w:spacing w:val="-24"/>
          <w:sz w:val="20"/>
        </w:rPr>
        <w:t xml:space="preserve"> </w:t>
      </w:r>
      <w:r>
        <w:rPr>
          <w:rFonts w:ascii="Times New Roman;Times;serif" w:hAnsi="Times New Roman;Times;serif"/>
          <w:color w:val="231F20"/>
          <w:sz w:val="20"/>
        </w:rPr>
        <w:t>firm</w:t>
      </w:r>
      <w:r>
        <w:rPr>
          <w:rFonts w:ascii="Times New Roman;Times;serif" w:hAnsi="Times New Roman;Times;serif"/>
          <w:color w:val="231F20"/>
          <w:spacing w:val="-24"/>
          <w:sz w:val="20"/>
        </w:rPr>
        <w:t xml:space="preserve"> </w:t>
      </w:r>
      <w:r>
        <w:rPr>
          <w:rFonts w:ascii="Times New Roman;Times;serif" w:hAnsi="Times New Roman;Times;serif"/>
          <w:color w:val="231F20"/>
          <w:sz w:val="20"/>
        </w:rPr>
        <w:t>may</w:t>
      </w:r>
      <w:r>
        <w:rPr>
          <w:rFonts w:ascii="Times New Roman;Times;serif" w:hAnsi="Times New Roman;Times;serif"/>
          <w:color w:val="231F20"/>
          <w:spacing w:val="-24"/>
          <w:sz w:val="20"/>
        </w:rPr>
        <w:t xml:space="preserve"> </w:t>
      </w:r>
      <w:r>
        <w:rPr>
          <w:rFonts w:ascii="Times New Roman;Times;serif" w:hAnsi="Times New Roman;Times;serif"/>
          <w:color w:val="231F20"/>
          <w:sz w:val="20"/>
        </w:rPr>
        <w:t>be</w:t>
      </w:r>
      <w:r>
        <w:rPr>
          <w:rFonts w:ascii="Times New Roman;Times;serif" w:hAnsi="Times New Roman;Times;serif"/>
          <w:color w:val="231F20"/>
          <w:spacing w:val="-24"/>
          <w:sz w:val="20"/>
        </w:rPr>
        <w:t xml:space="preserve"> </w:t>
      </w:r>
      <w:r>
        <w:rPr>
          <w:rFonts w:ascii="Times New Roman;Times;serif" w:hAnsi="Times New Roman;Times;serif"/>
          <w:color w:val="231F20"/>
          <w:sz w:val="20"/>
        </w:rPr>
        <w:t>required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3"/>
          <w:sz w:val="20"/>
        </w:rPr>
        <w:t xml:space="preserve"> </w:t>
      </w:r>
      <w:r>
        <w:rPr>
          <w:rFonts w:ascii="Times New Roman;Times;serif" w:hAnsi="Times New Roman;Times;serif"/>
          <w:color w:val="231F20"/>
          <w:sz w:val="20"/>
        </w:rPr>
        <w:t>attest</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effectiveness</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internal control</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over</w:t>
      </w:r>
      <w:r>
        <w:rPr>
          <w:rFonts w:ascii="Times New Roman;Times;serif" w:hAnsi="Times New Roman;Times;serif"/>
          <w:color w:val="231F20"/>
          <w:spacing w:val="-29"/>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29"/>
          <w:sz w:val="20"/>
        </w:rPr>
        <w:t xml:space="preserve"> </w:t>
      </w:r>
      <w:r>
        <w:rPr>
          <w:rFonts w:ascii="Times New Roman;Times;serif" w:hAnsi="Times New Roman;Times;serif"/>
          <w:color w:val="231F20"/>
          <w:sz w:val="20"/>
        </w:rPr>
        <w:t>reporting</w:t>
      </w:r>
      <w:r>
        <w:rPr>
          <w:rFonts w:ascii="Times New Roman;Times;serif" w:hAnsi="Times New Roman;Times;serif"/>
          <w:color w:val="231F20"/>
          <w:spacing w:val="-28"/>
          <w:sz w:val="20"/>
        </w:rPr>
        <w:t xml:space="preserve"> </w:t>
      </w:r>
      <w:r>
        <w:rPr>
          <w:rFonts w:ascii="Times New Roman;Times;serif" w:hAnsi="Times New Roman;Times;serif"/>
          <w:color w:val="231F20"/>
          <w:sz w:val="20"/>
        </w:rPr>
        <w:t>on</w:t>
      </w:r>
      <w:r>
        <w:rPr>
          <w:rFonts w:ascii="Times New Roman;Times;serif" w:hAnsi="Times New Roman;Times;serif"/>
          <w:color w:val="231F20"/>
          <w:spacing w:val="-29"/>
          <w:sz w:val="20"/>
        </w:rPr>
        <w:t xml:space="preserve"> </w:t>
      </w:r>
      <w:r>
        <w:rPr>
          <w:rFonts w:ascii="Times New Roman;Times;serif" w:hAnsi="Times New Roman;Times;serif"/>
          <w:color w:val="231F20"/>
          <w:sz w:val="20"/>
        </w:rPr>
        <w:t>an</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annual</w:t>
      </w:r>
      <w:r>
        <w:rPr>
          <w:rFonts w:ascii="Times New Roman;Times;serif" w:hAnsi="Times New Roman;Times;serif"/>
          <w:color w:val="231F20"/>
          <w:spacing w:val="-28"/>
          <w:sz w:val="20"/>
        </w:rPr>
        <w:t xml:space="preserve"> </w:t>
      </w:r>
      <w:r>
        <w:rPr>
          <w:rFonts w:ascii="Times New Roman;Times;serif" w:hAnsi="Times New Roman;Times;serif"/>
          <w:color w:val="231F20"/>
          <w:spacing w:val="-3"/>
          <w:sz w:val="20"/>
        </w:rPr>
        <w:t>basis in the future.</w:t>
      </w:r>
      <w:r>
        <w:rPr>
          <w:rFonts w:ascii="Times New Roman;Times;serif" w:hAnsi="Times New Roman;Times;serif"/>
          <w:color w:val="231F20"/>
          <w:spacing w:val="-29"/>
          <w:sz w:val="20"/>
        </w:rPr>
        <w:t xml:space="preserve"> </w:t>
      </w:r>
    </w:p>
    <w:p>
      <w:pPr>
        <w:pStyle w:val="TextBody"/>
        <w:spacing w:before="163"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Matters impacting our internal controls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cause us to be unable to report our financial information on</w:t>
      </w:r>
      <w:r>
        <w:rPr>
          <w:rFonts w:ascii="Times New Roman;Times;serif" w:hAnsi="Times New Roman;Times;serif"/>
          <w:color w:val="231F20"/>
          <w:spacing w:val="-3"/>
          <w:sz w:val="20"/>
        </w:rPr>
        <w:t xml:space="preserve"> </w:t>
      </w:r>
      <w:r>
        <w:rPr>
          <w:rFonts w:ascii="Times New Roman;Times;serif" w:hAnsi="Times New Roman;Times;serif"/>
          <w:color w:val="231F20"/>
          <w:sz w:val="20"/>
        </w:rPr>
        <w:t>a</w:t>
      </w:r>
      <w:r>
        <w:rPr>
          <w:rFonts w:ascii="Times New Roman;Times;serif" w:hAnsi="Times New Roman;Times;serif"/>
          <w:color w:val="231F20"/>
          <w:spacing w:val="-3"/>
          <w:sz w:val="20"/>
        </w:rPr>
        <w:t xml:space="preserve"> </w:t>
      </w:r>
      <w:r>
        <w:rPr>
          <w:rFonts w:ascii="Times New Roman;Times;serif" w:hAnsi="Times New Roman;Times;serif"/>
          <w:color w:val="231F20"/>
          <w:sz w:val="20"/>
        </w:rPr>
        <w:t>timely</w:t>
      </w:r>
      <w:r>
        <w:rPr>
          <w:rFonts w:ascii="Times New Roman;Times;serif" w:hAnsi="Times New Roman;Times;serif"/>
          <w:color w:val="231F20"/>
          <w:spacing w:val="-3"/>
          <w:sz w:val="20"/>
        </w:rPr>
        <w:t xml:space="preserve"> </w:t>
      </w:r>
      <w:r>
        <w:rPr>
          <w:rFonts w:ascii="Times New Roman;Times;serif" w:hAnsi="Times New Roman;Times;serif"/>
          <w:color w:val="231F20"/>
          <w:sz w:val="20"/>
        </w:rPr>
        <w:t>basis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
          <w:sz w:val="20"/>
        </w:rPr>
        <w:t xml:space="preserve"> </w:t>
      </w:r>
      <w:r>
        <w:rPr>
          <w:rFonts w:ascii="Times New Roman;Times;serif" w:hAnsi="Times New Roman;Times;serif"/>
          <w:color w:val="231F20"/>
          <w:sz w:val="20"/>
        </w:rPr>
        <w:t>thereby</w:t>
      </w:r>
      <w:r>
        <w:rPr>
          <w:rFonts w:ascii="Times New Roman;Times;serif" w:hAnsi="Times New Roman;Times;serif"/>
          <w:color w:val="231F20"/>
          <w:spacing w:val="-3"/>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3"/>
          <w:sz w:val="20"/>
        </w:rPr>
        <w:t xml:space="preserve"> </w:t>
      </w:r>
      <w:r>
        <w:rPr>
          <w:rFonts w:ascii="Times New Roman;Times;serif" w:hAnsi="Times New Roman;Times;serif"/>
          <w:color w:val="231F20"/>
          <w:sz w:val="20"/>
        </w:rPr>
        <w:t>us</w:t>
      </w:r>
      <w:r>
        <w:rPr>
          <w:rFonts w:ascii="Times New Roman;Times;serif" w:hAnsi="Times New Roman;Times;serif"/>
          <w:color w:val="231F20"/>
          <w:spacing w:val="-3"/>
          <w:sz w:val="20"/>
        </w:rPr>
        <w:t xml:space="preserve"> </w:t>
      </w:r>
      <w:r>
        <w:rPr>
          <w:rFonts w:ascii="Times New Roman;Times;serif" w:hAnsi="Times New Roman;Times;serif"/>
          <w:color w:val="231F20"/>
          <w:sz w:val="20"/>
        </w:rPr>
        <w:t>to</w:t>
      </w:r>
      <w:r>
        <w:rPr>
          <w:rFonts w:ascii="Times New Roman;Times;serif" w:hAnsi="Times New Roman;Times;serif"/>
          <w:color w:val="231F20"/>
          <w:spacing w:val="-3"/>
          <w:sz w:val="20"/>
        </w:rPr>
        <w:t xml:space="preserve"> </w:t>
      </w:r>
      <w:r>
        <w:rPr>
          <w:rFonts w:ascii="Times New Roman;Times;serif" w:hAnsi="Times New Roman;Times;serif"/>
          <w:color w:val="231F20"/>
          <w:sz w:val="20"/>
        </w:rPr>
        <w:t>adverse</w:t>
      </w:r>
      <w:r>
        <w:rPr>
          <w:rFonts w:ascii="Times New Roman;Times;serif" w:hAnsi="Times New Roman;Times;serif"/>
          <w:color w:val="231F20"/>
          <w:spacing w:val="-2"/>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3"/>
          <w:sz w:val="20"/>
        </w:rPr>
        <w:t xml:space="preserve"> </w:t>
      </w:r>
      <w:r>
        <w:rPr>
          <w:rFonts w:ascii="Times New Roman;Times;serif" w:hAnsi="Times New Roman;Times;serif"/>
          <w:color w:val="231F20"/>
          <w:sz w:val="20"/>
        </w:rPr>
        <w:t>consequences,</w:t>
      </w:r>
      <w:r>
        <w:rPr>
          <w:rFonts w:ascii="Times New Roman;Times;serif" w:hAnsi="Times New Roman;Times;serif"/>
          <w:color w:val="231F20"/>
          <w:spacing w:val="-3"/>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sanctions</w:t>
      </w:r>
      <w:r>
        <w:rPr>
          <w:rFonts w:ascii="Times New Roman;Times;serif" w:hAnsi="Times New Roman;Times;serif"/>
          <w:color w:val="231F20"/>
          <w:spacing w:val="-3"/>
          <w:sz w:val="20"/>
        </w:rPr>
        <w:t xml:space="preserve"> </w:t>
      </w:r>
      <w:r>
        <w:rPr>
          <w:rFonts w:ascii="Times New Roman;Times;serif" w:hAnsi="Times New Roman;Times;serif"/>
          <w:color w:val="231F20"/>
          <w:sz w:val="20"/>
        </w:rPr>
        <w:t>by</w:t>
      </w:r>
      <w:r>
        <w:rPr>
          <w:rFonts w:ascii="Times New Roman;Times;serif" w:hAnsi="Times New Roman;Times;serif"/>
          <w:color w:val="231F20"/>
          <w:spacing w:val="-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SEC or violations of applicable stock exchange listing rules, which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result in a breach of 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Common Stock.</w:t>
      </w:r>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Risks Related to Clinical and Regulatory Matters</w:t>
      </w:r>
    </w:p>
    <w:p>
      <w:pPr>
        <w:pStyle w:val="TextBody"/>
        <w:spacing w:before="0" w:after="0"/>
        <w:ind w:left="970" w:right="0" w:hanging="0"/>
        <w:jc w:val="both"/>
        <w:rPr/>
      </w:pPr>
      <w:r>
        <w:rPr/>
        <w:t>​</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If we fail to obtain the necessary regulatory approvals, or if such approvals are limited, we will not be allowed to commercialize our drug candidates, and we will not generate product revenues.</w:t>
      </w:r>
    </w:p>
    <w:p>
      <w:pPr>
        <w:pStyle w:val="TextBody"/>
        <w:spacing w:lineRule="auto" w:line="288" w:before="161"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Satisfaction of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regulatory requirements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commercialization of a drug candidate typically </w:t>
      </w:r>
      <w:r>
        <w:rPr>
          <w:rFonts w:ascii="Times New Roman;Times;serif" w:hAnsi="Times New Roman;Times;serif"/>
          <w:color w:val="231F20"/>
          <w:spacing w:val="-4"/>
          <w:sz w:val="20"/>
        </w:rPr>
        <w:t xml:space="preserve">takes </w:t>
      </w:r>
      <w:r>
        <w:rPr>
          <w:rFonts w:ascii="Times New Roman;Times;serif" w:hAnsi="Times New Roman;Times;serif"/>
          <w:color w:val="231F20"/>
          <w:sz w:val="20"/>
        </w:rPr>
        <w:t xml:space="preserve">many years, is dependent upon the type, complexity and novelty of the product candidate, and requires the expenditure of substantial resources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research and development. Our research and clinical</w:t>
      </w:r>
      <w:r>
        <w:rPr>
          <w:rFonts w:ascii="Times New Roman;Times;serif" w:hAnsi="Times New Roman;Times;serif"/>
          <w:color w:val="231F20"/>
          <w:spacing w:val="-4"/>
          <w:sz w:val="20"/>
        </w:rPr>
        <w:t xml:space="preserve"> </w:t>
      </w:r>
      <w:r>
        <w:rPr>
          <w:rFonts w:ascii="Times New Roman;Times;serif" w:hAnsi="Times New Roman;Times;serif"/>
          <w:color w:val="231F20"/>
          <w:sz w:val="20"/>
        </w:rPr>
        <w:t>approaches</w:t>
      </w:r>
      <w:r>
        <w:rPr>
          <w:rFonts w:ascii="Times New Roman;Times;serif" w:hAnsi="Times New Roman;Times;serif"/>
          <w:color w:val="231F20"/>
          <w:spacing w:val="-3"/>
          <w:sz w:val="20"/>
        </w:rPr>
        <w:t xml:space="preserve"> may </w:t>
      </w:r>
      <w:r>
        <w:rPr>
          <w:rFonts w:ascii="Times New Roman;Times;serif" w:hAnsi="Times New Roman;Times;serif"/>
          <w:color w:val="231F20"/>
          <w:sz w:val="20"/>
        </w:rPr>
        <w:t>not</w:t>
      </w:r>
      <w:r>
        <w:rPr>
          <w:rFonts w:ascii="Times New Roman;Times;serif" w:hAnsi="Times New Roman;Times;serif"/>
          <w:color w:val="231F20"/>
          <w:spacing w:val="-3"/>
          <w:sz w:val="20"/>
        </w:rPr>
        <w:t xml:space="preserve"> </w:t>
      </w:r>
      <w:r>
        <w:rPr>
          <w:rFonts w:ascii="Times New Roman;Times;serif" w:hAnsi="Times New Roman;Times;serif"/>
          <w:color w:val="231F20"/>
          <w:sz w:val="20"/>
        </w:rPr>
        <w:t>lead</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3"/>
          <w:sz w:val="20"/>
        </w:rPr>
        <w:t xml:space="preserve"> </w:t>
      </w:r>
      <w:r>
        <w:rPr>
          <w:rFonts w:ascii="Times New Roman;Times;serif" w:hAnsi="Times New Roman;Times;serif"/>
          <w:color w:val="231F20"/>
          <w:sz w:val="20"/>
        </w:rPr>
        <w:t>drugs</w:t>
      </w:r>
      <w:r>
        <w:rPr>
          <w:rFonts w:ascii="Times New Roman;Times;serif" w:hAnsi="Times New Roman;Times;serif"/>
          <w:color w:val="231F20"/>
          <w:spacing w:val="-3"/>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3"/>
          <w:sz w:val="20"/>
        </w:rPr>
        <w:t xml:space="preserve"> </w:t>
      </w:r>
      <w:r>
        <w:rPr>
          <w:rFonts w:ascii="Times New Roman;Times;serif" w:hAnsi="Times New Roman;Times;serif"/>
          <w:color w:val="231F20"/>
          <w:sz w:val="20"/>
        </w:rPr>
        <w:t>regulators</w:t>
      </w:r>
      <w:r>
        <w:rPr>
          <w:rFonts w:ascii="Times New Roman;Times;serif" w:hAnsi="Times New Roman;Times;serif"/>
          <w:color w:val="231F20"/>
          <w:spacing w:val="-3"/>
          <w:sz w:val="20"/>
        </w:rPr>
        <w:t xml:space="preserve"> </w:t>
      </w:r>
      <w:r>
        <w:rPr>
          <w:rFonts w:ascii="Times New Roman;Times;serif" w:hAnsi="Times New Roman;Times;serif"/>
          <w:color w:val="231F20"/>
          <w:sz w:val="20"/>
        </w:rPr>
        <w:t>consider</w:t>
      </w:r>
      <w:r>
        <w:rPr>
          <w:rFonts w:ascii="Times New Roman;Times;serif" w:hAnsi="Times New Roman;Times;serif"/>
          <w:color w:val="231F20"/>
          <w:spacing w:val="-4"/>
          <w:sz w:val="20"/>
        </w:rPr>
        <w:t xml:space="preserve"> </w:t>
      </w:r>
      <w:r>
        <w:rPr>
          <w:rFonts w:ascii="Times New Roman;Times;serif" w:hAnsi="Times New Roman;Times;serif"/>
          <w:color w:val="231F20"/>
          <w:sz w:val="20"/>
        </w:rPr>
        <w:t>safe</w:t>
      </w:r>
      <w:r>
        <w:rPr>
          <w:rFonts w:ascii="Times New Roman;Times;serif" w:hAnsi="Times New Roman;Times;serif"/>
          <w:color w:val="231F20"/>
          <w:spacing w:val="-3"/>
          <w:sz w:val="20"/>
        </w:rPr>
        <w:t xml:space="preserve"> for </w:t>
      </w:r>
      <w:r>
        <w:rPr>
          <w:rFonts w:ascii="Times New Roman;Times;serif" w:hAnsi="Times New Roman;Times;serif"/>
          <w:color w:val="231F20"/>
          <w:sz w:val="20"/>
        </w:rPr>
        <w:t>humans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
          <w:sz w:val="20"/>
        </w:rPr>
        <w:t xml:space="preserve"> </w:t>
      </w:r>
      <w:r>
        <w:rPr>
          <w:rFonts w:ascii="Times New Roman;Times;serif" w:hAnsi="Times New Roman;Times;serif"/>
          <w:color w:val="231F20"/>
          <w:sz w:val="20"/>
        </w:rPr>
        <w:t>effective</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indicated uses we are studying. Regulators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require additional studies, in which case we and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product collaborators would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to expend additional time and resources and would </w:t>
      </w:r>
      <w:r>
        <w:rPr>
          <w:rFonts w:ascii="Times New Roman;Times;serif" w:hAnsi="Times New Roman;Times;serif"/>
          <w:color w:val="231F20"/>
          <w:spacing w:val="-3"/>
          <w:sz w:val="20"/>
        </w:rPr>
        <w:t xml:space="preserve">likely delay </w:t>
      </w:r>
      <w:r>
        <w:rPr>
          <w:rFonts w:ascii="Times New Roman;Times;serif" w:hAnsi="Times New Roman;Times;serif"/>
          <w:color w:val="231F20"/>
          <w:sz w:val="20"/>
        </w:rPr>
        <w:t>the date of potentially</w:t>
      </w:r>
      <w:r>
        <w:rPr>
          <w:rFonts w:ascii="Times New Roman;Times;serif" w:hAnsi="Times New Roman;Times;serif"/>
          <w:color w:val="231F20"/>
          <w:spacing w:val="-14"/>
          <w:sz w:val="20"/>
        </w:rPr>
        <w:t xml:space="preserve"> </w:t>
      </w:r>
      <w:r>
        <w:rPr>
          <w:rFonts w:ascii="Times New Roman;Times;serif" w:hAnsi="Times New Roman;Times;serif"/>
          <w:color w:val="231F20"/>
          <w:sz w:val="20"/>
        </w:rPr>
        <w:t>receiving</w:t>
      </w:r>
      <w:r>
        <w:rPr>
          <w:rFonts w:ascii="Times New Roman;Times;serif" w:hAnsi="Times New Roman;Times;serif"/>
          <w:color w:val="231F20"/>
          <w:spacing w:val="-14"/>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13"/>
          <w:sz w:val="20"/>
        </w:rPr>
        <w:t xml:space="preserve"> </w:t>
      </w:r>
      <w:r>
        <w:rPr>
          <w:rFonts w:ascii="Times New Roman;Times;serif" w:hAnsi="Times New Roman;Times;serif"/>
          <w:color w:val="231F20"/>
          <w:spacing w:val="-4"/>
          <w:sz w:val="20"/>
        </w:rPr>
        <w:t>approval.</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4"/>
          <w:sz w:val="20"/>
        </w:rPr>
        <w:t xml:space="preserve"> </w:t>
      </w:r>
      <w:r>
        <w:rPr>
          <w:rFonts w:ascii="Times New Roman;Times;serif" w:hAnsi="Times New Roman;Times;serif"/>
          <w:color w:val="231F20"/>
          <w:spacing w:val="-4"/>
          <w:sz w:val="20"/>
        </w:rPr>
        <w:t>approval</w:t>
      </w:r>
      <w:r>
        <w:rPr>
          <w:rFonts w:ascii="Times New Roman;Times;serif" w:hAnsi="Times New Roman;Times;serif"/>
          <w:color w:val="231F20"/>
          <w:spacing w:val="-13"/>
          <w:sz w:val="20"/>
        </w:rPr>
        <w:t xml:space="preserve"> </w:t>
      </w:r>
      <w:r>
        <w:rPr>
          <w:rFonts w:ascii="Times New Roman;Times;serif" w:hAnsi="Times New Roman;Times;serif"/>
          <w:color w:val="231F20"/>
          <w:sz w:val="20"/>
        </w:rPr>
        <w:t>process</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also</w:t>
      </w:r>
      <w:r>
        <w:rPr>
          <w:rFonts w:ascii="Times New Roman;Times;serif" w:hAnsi="Times New Roman;Times;serif"/>
          <w:color w:val="231F20"/>
          <w:spacing w:val="-13"/>
          <w:sz w:val="20"/>
        </w:rPr>
        <w:t xml:space="preserve"> </w:t>
      </w:r>
      <w:r>
        <w:rPr>
          <w:rFonts w:ascii="Times New Roman;Times;serif" w:hAnsi="Times New Roman;Times;serif"/>
          <w:color w:val="231F20"/>
          <w:sz w:val="20"/>
        </w:rPr>
        <w:t>be</w:t>
      </w:r>
      <w:r>
        <w:rPr>
          <w:rFonts w:ascii="Times New Roman;Times;serif" w:hAnsi="Times New Roman;Times;serif"/>
          <w:color w:val="231F20"/>
          <w:spacing w:val="-14"/>
          <w:sz w:val="20"/>
        </w:rPr>
        <w:t xml:space="preserve"> </w:t>
      </w:r>
      <w:r>
        <w:rPr>
          <w:rFonts w:ascii="Times New Roman;Times;serif" w:hAnsi="Times New Roman;Times;serif"/>
          <w:color w:val="231F20"/>
          <w:sz w:val="20"/>
        </w:rPr>
        <w:t>delayed</w:t>
      </w:r>
      <w:r>
        <w:rPr>
          <w:rFonts w:ascii="Times New Roman;Times;serif" w:hAnsi="Times New Roman;Times;serif"/>
          <w:color w:val="231F20"/>
          <w:spacing w:val="-14"/>
          <w:sz w:val="20"/>
        </w:rPr>
        <w:t xml:space="preserve"> </w:t>
      </w:r>
      <w:r>
        <w:rPr>
          <w:rFonts w:ascii="Times New Roman;Times;serif" w:hAnsi="Times New Roman;Times;serif"/>
          <w:color w:val="231F20"/>
          <w:sz w:val="20"/>
        </w:rPr>
        <w:t>by</w:t>
      </w:r>
      <w:r>
        <w:rPr>
          <w:rFonts w:ascii="Times New Roman;Times;serif" w:hAnsi="Times New Roman;Times;serif"/>
          <w:color w:val="231F20"/>
          <w:spacing w:val="-13"/>
          <w:sz w:val="20"/>
        </w:rPr>
        <w:t xml:space="preserve"> </w:t>
      </w:r>
      <w:r>
        <w:rPr>
          <w:rFonts w:ascii="Times New Roman;Times;serif" w:hAnsi="Times New Roman;Times;serif"/>
          <w:color w:val="231F20"/>
          <w:sz w:val="20"/>
        </w:rPr>
        <w:t>changes</w:t>
      </w:r>
      <w:r>
        <w:rPr>
          <w:rFonts w:ascii="Times New Roman;Times;serif" w:hAnsi="Times New Roman;Times;serif"/>
          <w:color w:val="231F20"/>
          <w:spacing w:val="-14"/>
          <w:sz w:val="20"/>
        </w:rPr>
        <w:t xml:space="preserve"> </w:t>
      </w:r>
      <w:r>
        <w:rPr>
          <w:rFonts w:ascii="Times New Roman;Times;serif" w:hAnsi="Times New Roman;Times;serif"/>
          <w:color w:val="231F20"/>
          <w:sz w:val="20"/>
        </w:rPr>
        <w:t>in</w:t>
      </w:r>
      <w:r>
        <w:rPr>
          <w:rFonts w:ascii="Times New Roman;Times;serif" w:hAnsi="Times New Roman;Times;serif"/>
          <w:color w:val="231F20"/>
          <w:spacing w:val="-14"/>
          <w:sz w:val="20"/>
        </w:rPr>
        <w:t xml:space="preserve"> </w:t>
      </w:r>
      <w:r>
        <w:rPr>
          <w:rFonts w:ascii="Times New Roman;Times;serif" w:hAnsi="Times New Roman;Times;serif"/>
          <w:color w:val="231F20"/>
          <w:sz w:val="20"/>
        </w:rPr>
        <w:t>government regulation, future legislation or administrative action or changes in regulatory policy that occur prior to or during our regulatory</w:t>
      </w:r>
      <w:r>
        <w:rPr>
          <w:rFonts w:ascii="Times New Roman;Times;serif" w:hAnsi="Times New Roman;Times;serif"/>
          <w:color w:val="231F20"/>
          <w:spacing w:val="-10"/>
          <w:sz w:val="20"/>
        </w:rPr>
        <w:t xml:space="preserve"> </w:t>
      </w:r>
      <w:r>
        <w:rPr>
          <w:rFonts w:ascii="Times New Roman;Times;serif" w:hAnsi="Times New Roman;Times;serif"/>
          <w:color w:val="231F20"/>
          <w:spacing w:val="-5"/>
          <w:sz w:val="20"/>
        </w:rPr>
        <w:t>review.</w:t>
      </w:r>
    </w:p>
    <w:p>
      <w:pPr>
        <w:pStyle w:val="TextBody"/>
        <w:spacing w:lineRule="auto" w:line="288"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Delays in obtaining regulatory approvals would:</w:t>
      </w:r>
    </w:p>
    <w:tbl>
      <w:tblPr>
        <w:tblW w:w="7278" w:type="dxa"/>
        <w:jc w:val="left"/>
        <w:tblInd w:w="0" w:type="dxa"/>
        <w:tblCellMar>
          <w:top w:w="28" w:type="dxa"/>
          <w:left w:w="28" w:type="dxa"/>
          <w:bottom w:w="28" w:type="dxa"/>
          <w:right w:w="28" w:type="dxa"/>
        </w:tblCellMar>
      </w:tblPr>
      <w:tblGrid>
        <w:gridCol w:w="124"/>
        <w:gridCol w:w="196"/>
        <w:gridCol w:w="6958"/>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958"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pacing w:val="-3"/>
                <w:sz w:val="20"/>
              </w:rPr>
              <w:t xml:space="preserve">delay </w:t>
            </w:r>
            <w:r>
              <w:rPr>
                <w:rFonts w:ascii="Times New Roman;Times;serif" w:hAnsi="Times New Roman;Times;serif"/>
                <w:b w:val="false"/>
                <w:i w:val="false"/>
                <w:caps w:val="false"/>
                <w:smallCaps w:val="false"/>
                <w:color w:val="231F20"/>
                <w:sz w:val="20"/>
              </w:rPr>
              <w:t xml:space="preserve">commercialization of, and product </w:t>
            </w:r>
            <w:r>
              <w:rPr>
                <w:rFonts w:ascii="Times New Roman;Times;serif" w:hAnsi="Times New Roman;Times;serif"/>
                <w:b w:val="false"/>
                <w:i w:val="false"/>
                <w:caps w:val="false"/>
                <w:smallCaps w:val="false"/>
                <w:color w:val="231F20"/>
                <w:spacing w:val="-3"/>
                <w:sz w:val="20"/>
              </w:rPr>
              <w:t xml:space="preserve">revenues </w:t>
            </w:r>
            <w:r>
              <w:rPr>
                <w:rFonts w:ascii="Times New Roman;Times;serif" w:hAnsi="Times New Roman;Times;serif"/>
                <w:b w:val="false"/>
                <w:i w:val="false"/>
                <w:caps w:val="false"/>
                <w:smallCaps w:val="false"/>
                <w:color w:val="231F20"/>
                <w:sz w:val="20"/>
              </w:rPr>
              <w:t>from, our product candidates;</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diminish</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competitive</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advantages</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that</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we</w:t>
            </w:r>
            <w:r>
              <w:rPr>
                <w:caps w:val="false"/>
                <w:smallCaps w:val="false"/>
                <w:color w:val="231F20"/>
                <w:spacing w:val="-4"/>
              </w:rPr>
              <w:t xml:space="preserve"> </w:t>
            </w:r>
            <w:r>
              <w:rPr>
                <w:rFonts w:ascii="Times New Roman;Times;serif" w:hAnsi="Times New Roman;Times;serif"/>
                <w:b w:val="false"/>
                <w:i w:val="false"/>
                <w:caps w:val="false"/>
                <w:smallCaps w:val="false"/>
                <w:color w:val="231F20"/>
                <w:spacing w:val="-3"/>
                <w:sz w:val="20"/>
              </w:rPr>
              <w:t>may</w:t>
            </w:r>
            <w:r>
              <w:rPr>
                <w:caps w:val="false"/>
                <w:smallCaps w:val="false"/>
                <w:color w:val="231F20"/>
                <w:spacing w:val="-4"/>
              </w:rPr>
              <w:t xml:space="preserve"> </w:t>
            </w:r>
            <w:r>
              <w:rPr>
                <w:rFonts w:ascii="Times New Roman;Times;serif" w:hAnsi="Times New Roman;Times;serif"/>
                <w:b w:val="false"/>
                <w:i w:val="false"/>
                <w:caps w:val="false"/>
                <w:smallCaps w:val="false"/>
                <w:color w:val="231F20"/>
                <w:spacing w:val="-5"/>
                <w:sz w:val="20"/>
              </w:rPr>
              <w:t>have</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otherwise</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enjoyed,</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which</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would</w:t>
            </w:r>
            <w:r>
              <w:rPr>
                <w:caps w:val="false"/>
                <w:smallCaps w:val="false"/>
                <w:color w:val="231F20"/>
                <w:spacing w:val="-4"/>
              </w:rPr>
              <w:t xml:space="preserve"> </w:t>
            </w:r>
            <w:r>
              <w:rPr>
                <w:rFonts w:ascii="Times New Roman;Times;serif" w:hAnsi="Times New Roman;Times;serif"/>
                <w:b w:val="false"/>
                <w:i w:val="false"/>
                <w:caps w:val="false"/>
                <w:smallCaps w:val="false"/>
                <w:color w:val="231F20"/>
                <w:spacing w:val="-5"/>
                <w:sz w:val="20"/>
              </w:rPr>
              <w:t>have</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an adverse effect on our operating results and financial</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condition.</w:t>
            </w:r>
          </w:p>
        </w:tc>
      </w:tr>
    </w:tbl>
    <w:p>
      <w:pPr>
        <w:pStyle w:val="TextBody"/>
        <w:spacing w:lineRule="auto" w:line="288" w:before="161"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Even if we comply with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regulatory requirements, our product candidates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never obtain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If we fail to obtain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pacing w:val="-3"/>
          <w:sz w:val="20"/>
        </w:rPr>
        <w:t xml:space="preserve">for any </w:t>
      </w:r>
      <w:r>
        <w:rPr>
          <w:rFonts w:ascii="Times New Roman;Times;serif" w:hAnsi="Times New Roman;Times;serif"/>
          <w:color w:val="231F20"/>
          <w:sz w:val="20"/>
        </w:rPr>
        <w:t xml:space="preserve">of our product candidates we will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fewer commercial products, if </w:t>
      </w:r>
      <w:r>
        <w:rPr>
          <w:rFonts w:ascii="Times New Roman;Times;serif" w:hAnsi="Times New Roman;Times;serif"/>
          <w:color w:val="231F20"/>
          <w:spacing w:val="-7"/>
          <w:sz w:val="20"/>
        </w:rPr>
        <w:t xml:space="preserve">any, </w:t>
      </w:r>
      <w:r>
        <w:rPr>
          <w:rFonts w:ascii="Times New Roman;Times;serif" w:hAnsi="Times New Roman;Times;serif"/>
          <w:color w:val="231F20"/>
          <w:sz w:val="20"/>
        </w:rPr>
        <w:t xml:space="preserve">and corresponding lower product </w:t>
      </w:r>
      <w:r>
        <w:rPr>
          <w:rFonts w:ascii="Times New Roman;Times;serif" w:hAnsi="Times New Roman;Times;serif"/>
          <w:color w:val="231F20"/>
          <w:spacing w:val="-3"/>
          <w:sz w:val="20"/>
        </w:rPr>
        <w:t xml:space="preserve">revenues, </w:t>
      </w:r>
      <w:r>
        <w:rPr>
          <w:rFonts w:ascii="Times New Roman;Times;serif" w:hAnsi="Times New Roman;Times;serif"/>
          <w:color w:val="231F20"/>
          <w:sz w:val="20"/>
        </w:rPr>
        <w:t xml:space="preserve">if </w:t>
      </w:r>
      <w:r>
        <w:rPr>
          <w:rFonts w:ascii="Times New Roman;Times;serif" w:hAnsi="Times New Roman;Times;serif"/>
          <w:color w:val="231F20"/>
          <w:spacing w:val="-8"/>
          <w:sz w:val="20"/>
        </w:rPr>
        <w:t>any.</w:t>
      </w:r>
    </w:p>
    <w:p>
      <w:pPr>
        <w:pStyle w:val="TextBody"/>
        <w:spacing w:lineRule="auto" w:line="288"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Even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if</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drug</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product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approved,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regulators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impose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limitations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use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marketing</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of</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such product.</w:t>
      </w:r>
    </w:p>
    <w:p>
      <w:pPr>
        <w:pStyle w:val="TextBody"/>
        <w:spacing w:lineRule="auto" w:line="288"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Even if our product candidates receive regulatory approval from regulators, they may limit the approved indications for use of the product, require that contraindications, warnings or precautions be included in the product labeling, including a black boxed warning. Regulators may also require us or our collaborators to commit to perform lengthy Phase IV post-approval clinical efficacy or safety studies, require testing and surveillance programs to monitor the product after commercialization, or impose other conditions, including distribution restrictions or other risk management mechanisms that could materially affect the potential market and profitability of the product. Our expending of additional resources on such trials or programs would have an adverse effect on our operating results and financial condition.</w:t>
      </w:r>
    </w:p>
    <w:p>
      <w:pPr>
        <w:pStyle w:val="TextBody"/>
        <w:spacing w:lineRule="auto" w:line="288" w:before="164"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After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certain circumstances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require additional regulatory notification, </w:t>
      </w:r>
      <w:r>
        <w:rPr>
          <w:rFonts w:ascii="Times New Roman;Times;serif" w:hAnsi="Times New Roman;Times;serif"/>
          <w:color w:val="231F20"/>
          <w:spacing w:val="-4"/>
          <w:sz w:val="20"/>
        </w:rPr>
        <w:t xml:space="preserve">review, </w:t>
      </w:r>
      <w:r>
        <w:rPr>
          <w:rFonts w:ascii="Times New Roman;Times;serif" w:hAnsi="Times New Roman;Times;serif"/>
          <w:color w:val="231F20"/>
          <w:sz w:val="20"/>
        </w:rPr>
        <w:t>or</w:t>
      </w:r>
      <w:r>
        <w:rPr>
          <w:rFonts w:ascii="Times New Roman;Times;serif" w:hAnsi="Times New Roman;Times;serif"/>
          <w:color w:val="231F20"/>
          <w:spacing w:val="-35"/>
          <w:sz w:val="20"/>
        </w:rPr>
        <w:t xml:space="preserve">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as well as further testing. These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include some types of changes to the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product, such as adding new indications, manufacturing changes, and additional labeling claims, or new safety</w:t>
      </w:r>
      <w:r>
        <w:rPr>
          <w:rFonts w:ascii="Times New Roman;Times;serif" w:hAnsi="Times New Roman;Times;serif"/>
          <w:color w:val="231F20"/>
          <w:spacing w:val="-35"/>
          <w:sz w:val="20"/>
        </w:rPr>
        <w:t xml:space="preserve"> </w:t>
      </w:r>
      <w:r>
        <w:rPr>
          <w:rFonts w:ascii="Times New Roman;Times;serif" w:hAnsi="Times New Roman;Times;serif"/>
          <w:color w:val="231F20"/>
          <w:sz w:val="20"/>
        </w:rPr>
        <w:t>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After</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approval,</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later</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discovery</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of</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previously</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unknown</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problems</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a</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product</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have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adverse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consequences for</w:t>
      </w:r>
      <w:r>
        <w:rPr>
          <w:rFonts w:ascii="Times New Roman;Times;serif" w:hAnsi="Times New Roman;Times;serif"/>
          <w:b/>
          <w:color w:val="231F20"/>
          <w:spacing w:val="-2"/>
          <w:sz w:val="20"/>
        </w:rPr>
        <w:t xml:space="preserve"> </w:t>
      </w:r>
      <w:r>
        <w:rPr>
          <w:rFonts w:ascii="Times New Roman;Times;serif" w:hAnsi="Times New Roman;Times;serif"/>
          <w:b/>
          <w:i/>
          <w:color w:val="231F20"/>
          <w:sz w:val="20"/>
        </w:rPr>
        <w:t>us.</w:t>
      </w:r>
    </w:p>
    <w:p>
      <w:pPr>
        <w:pStyle w:val="TextBody"/>
        <w:spacing w:lineRule="auto" w:line="290" w:before="163" w:after="240"/>
        <w:ind w:left="0" w:right="0" w:firstLine="399"/>
        <w:jc w:val="both"/>
        <w:rPr>
          <w:rFonts w:ascii="Times New Roman;Times;serif" w:hAnsi="Times New Roman;Times;serif"/>
          <w:sz w:val="20"/>
        </w:rPr>
      </w:pPr>
      <w:r>
        <w:rPr>
          <w:rFonts w:ascii="Times New Roman;Times;serif" w:hAnsi="Times New Roman;Times;serif"/>
          <w:color w:val="231F20"/>
          <w:sz w:val="20"/>
        </w:rPr>
        <w:t>Later discovery of previously unknown problems with a product, including adverse events of unanticipated</w:t>
      </w:r>
      <w:r>
        <w:rPr>
          <w:rFonts w:ascii="Times New Roman;Times;serif" w:hAnsi="Times New Roman;Times;serif"/>
          <w:color w:val="231F20"/>
          <w:spacing w:val="-26"/>
          <w:sz w:val="20"/>
        </w:rPr>
        <w:t xml:space="preserve"> </w:t>
      </w:r>
      <w:r>
        <w:rPr>
          <w:rFonts w:ascii="Times New Roman;Times;serif" w:hAnsi="Times New Roman;Times;serif"/>
          <w:color w:val="231F20"/>
          <w:sz w:val="20"/>
        </w:rPr>
        <w:t>severity</w:t>
      </w:r>
      <w:r>
        <w:rPr>
          <w:rFonts w:ascii="Times New Roman;Times;serif" w:hAnsi="Times New Roman;Times;serif"/>
          <w:color w:val="231F20"/>
          <w:spacing w:val="-26"/>
          <w:sz w:val="20"/>
        </w:rPr>
        <w:t xml:space="preserve"> </w:t>
      </w:r>
      <w:r>
        <w:rPr>
          <w:rFonts w:ascii="Times New Roman;Times;serif" w:hAnsi="Times New Roman;Times;serif"/>
          <w:color w:val="231F20"/>
          <w:sz w:val="20"/>
        </w:rPr>
        <w:t>or</w:t>
      </w:r>
      <w:r>
        <w:rPr>
          <w:rFonts w:ascii="Times New Roman;Times;serif" w:hAnsi="Times New Roman;Times;serif"/>
          <w:color w:val="231F20"/>
          <w:spacing w:val="-26"/>
          <w:sz w:val="20"/>
        </w:rPr>
        <w:t xml:space="preserve"> </w:t>
      </w:r>
      <w:r>
        <w:rPr>
          <w:rFonts w:ascii="Times New Roman;Times;serif" w:hAnsi="Times New Roman;Times;serif"/>
          <w:color w:val="231F20"/>
          <w:spacing w:val="-3"/>
          <w:sz w:val="20"/>
        </w:rPr>
        <w:t>frequency,</w:t>
      </w:r>
      <w:r>
        <w:rPr>
          <w:rFonts w:ascii="Times New Roman;Times;serif" w:hAnsi="Times New Roman;Times;serif"/>
          <w:color w:val="231F20"/>
          <w:spacing w:val="-26"/>
          <w:sz w:val="20"/>
        </w:rPr>
        <w:t xml:space="preserve"> </w:t>
      </w:r>
      <w:r>
        <w:rPr>
          <w:rFonts w:ascii="Times New Roman;Times;serif" w:hAnsi="Times New Roman;Times;serif"/>
          <w:color w:val="231F20"/>
          <w:sz w:val="20"/>
        </w:rPr>
        <w:t>or</w:t>
      </w:r>
      <w:r>
        <w:rPr>
          <w:rFonts w:ascii="Times New Roman;Times;serif" w:hAnsi="Times New Roman;Times;serif"/>
          <w:color w:val="231F20"/>
          <w:spacing w:val="-26"/>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5"/>
          <w:sz w:val="20"/>
        </w:rPr>
        <w:t xml:space="preserve"> </w:t>
      </w:r>
      <w:r>
        <w:rPr>
          <w:rFonts w:ascii="Times New Roman;Times;serif" w:hAnsi="Times New Roman;Times;serif"/>
          <w:color w:val="231F20"/>
          <w:sz w:val="20"/>
        </w:rPr>
        <w:t>manufacturing</w:t>
      </w:r>
      <w:r>
        <w:rPr>
          <w:rFonts w:ascii="Times New Roman;Times;serif" w:hAnsi="Times New Roman;Times;serif"/>
          <w:color w:val="231F20"/>
          <w:spacing w:val="-26"/>
          <w:sz w:val="20"/>
        </w:rPr>
        <w:t xml:space="preserve"> </w:t>
      </w:r>
      <w:r>
        <w:rPr>
          <w:rFonts w:ascii="Times New Roman;Times;serif" w:hAnsi="Times New Roman;Times;serif"/>
          <w:color w:val="231F20"/>
          <w:sz w:val="20"/>
        </w:rPr>
        <w:t>processes,</w:t>
      </w:r>
      <w:r>
        <w:rPr>
          <w:rFonts w:ascii="Times New Roman;Times;serif" w:hAnsi="Times New Roman;Times;serif"/>
          <w:color w:val="231F20"/>
          <w:spacing w:val="-26"/>
          <w:sz w:val="20"/>
        </w:rPr>
        <w:t xml:space="preserve"> </w:t>
      </w:r>
      <w:r>
        <w:rPr>
          <w:rFonts w:ascii="Times New Roman;Times;serif" w:hAnsi="Times New Roman;Times;serif"/>
          <w:color w:val="231F20"/>
          <w:sz w:val="20"/>
        </w:rPr>
        <w:t>or</w:t>
      </w:r>
      <w:r>
        <w:rPr>
          <w:rFonts w:ascii="Times New Roman;Times;serif" w:hAnsi="Times New Roman;Times;serif"/>
          <w:color w:val="231F20"/>
          <w:spacing w:val="-26"/>
          <w:sz w:val="20"/>
        </w:rPr>
        <w:t xml:space="preserve"> </w:t>
      </w:r>
      <w:r>
        <w:rPr>
          <w:rFonts w:ascii="Times New Roman;Times;serif" w:hAnsi="Times New Roman;Times;serif"/>
          <w:color w:val="231F20"/>
          <w:sz w:val="20"/>
        </w:rPr>
        <w:t>failure</w:t>
      </w:r>
      <w:r>
        <w:rPr>
          <w:rFonts w:ascii="Times New Roman;Times;serif" w:hAnsi="Times New Roman;Times;serif"/>
          <w:color w:val="231F20"/>
          <w:spacing w:val="-26"/>
          <w:sz w:val="20"/>
        </w:rPr>
        <w:t xml:space="preserve"> </w:t>
      </w:r>
      <w:r>
        <w:rPr>
          <w:rFonts w:ascii="Times New Roman;Times;serif" w:hAnsi="Times New Roman;Times;serif"/>
          <w:color w:val="231F20"/>
          <w:sz w:val="20"/>
        </w:rPr>
        <w:t>to</w:t>
      </w:r>
      <w:r>
        <w:rPr>
          <w:rFonts w:ascii="Times New Roman;Times;serif" w:hAnsi="Times New Roman;Times;serif"/>
          <w:color w:val="231F20"/>
          <w:spacing w:val="-26"/>
          <w:sz w:val="20"/>
        </w:rPr>
        <w:t xml:space="preserve"> </w:t>
      </w:r>
      <w:r>
        <w:rPr>
          <w:rFonts w:ascii="Times New Roman;Times;serif" w:hAnsi="Times New Roman;Times;serif"/>
          <w:color w:val="231F20"/>
          <w:sz w:val="20"/>
        </w:rPr>
        <w:t>comply</w:t>
      </w:r>
      <w:r>
        <w:rPr>
          <w:rFonts w:ascii="Times New Roman;Times;serif" w:hAnsi="Times New Roman;Times;serif"/>
          <w:color w:val="231F20"/>
          <w:spacing w:val="-25"/>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6"/>
          <w:sz w:val="20"/>
        </w:rPr>
        <w:t xml:space="preserve"> </w:t>
      </w:r>
      <w:r>
        <w:rPr>
          <w:rFonts w:ascii="Times New Roman;Times;serif" w:hAnsi="Times New Roman;Times;serif"/>
          <w:color w:val="231F20"/>
          <w:sz w:val="20"/>
        </w:rPr>
        <w:t>regulatory requirements,</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9"/>
          <w:sz w:val="20"/>
        </w:rPr>
        <w:t xml:space="preserve"> </w:t>
      </w:r>
      <w:r>
        <w:rPr>
          <w:rFonts w:ascii="Times New Roman;Times;serif" w:hAnsi="Times New Roman;Times;serif"/>
          <w:color w:val="231F20"/>
          <w:sz w:val="20"/>
        </w:rPr>
        <w:t>result</w:t>
      </w:r>
      <w:r>
        <w:rPr>
          <w:rFonts w:ascii="Times New Roman;Times;serif" w:hAnsi="Times New Roman;Times;serif"/>
          <w:color w:val="231F20"/>
          <w:spacing w:val="-9"/>
          <w:sz w:val="20"/>
        </w:rPr>
        <w:t xml:space="preserve"> </w:t>
      </w:r>
      <w:r>
        <w:rPr>
          <w:rFonts w:ascii="Times New Roman;Times;serif" w:hAnsi="Times New Roman;Times;serif"/>
          <w:color w:val="231F20"/>
          <w:sz w:val="20"/>
        </w:rPr>
        <w:t>in</w:t>
      </w:r>
      <w:r>
        <w:rPr>
          <w:rFonts w:ascii="Times New Roman;Times;serif" w:hAnsi="Times New Roman;Times;serif"/>
          <w:color w:val="231F20"/>
          <w:spacing w:val="-9"/>
          <w:sz w:val="20"/>
        </w:rPr>
        <w:t xml:space="preserve"> </w:t>
      </w:r>
      <w:r>
        <w:rPr>
          <w:rFonts w:ascii="Times New Roman;Times;serif" w:hAnsi="Times New Roman;Times;serif"/>
          <w:color w:val="231F20"/>
          <w:sz w:val="20"/>
        </w:rPr>
        <w:t>mandatory</w:t>
      </w:r>
      <w:r>
        <w:rPr>
          <w:rFonts w:ascii="Times New Roman;Times;serif" w:hAnsi="Times New Roman;Times;serif"/>
          <w:color w:val="231F20"/>
          <w:spacing w:val="-9"/>
          <w:sz w:val="20"/>
        </w:rPr>
        <w:t xml:space="preserve"> </w:t>
      </w:r>
      <w:r>
        <w:rPr>
          <w:rFonts w:ascii="Times New Roman;Times;serif" w:hAnsi="Times New Roman;Times;serif"/>
          <w:color w:val="231F20"/>
          <w:sz w:val="20"/>
        </w:rPr>
        <w:t>revisions</w:t>
      </w:r>
      <w:r>
        <w:rPr>
          <w:rFonts w:ascii="Times New Roman;Times;serif" w:hAnsi="Times New Roman;Times;serif"/>
          <w:color w:val="231F20"/>
          <w:spacing w:val="-9"/>
          <w:sz w:val="20"/>
        </w:rPr>
        <w:t xml:space="preserve"> </w:t>
      </w:r>
      <w:r>
        <w:rPr>
          <w:rFonts w:ascii="Times New Roman;Times;serif" w:hAnsi="Times New Roman;Times;serif"/>
          <w:color w:val="231F20"/>
          <w:sz w:val="20"/>
        </w:rPr>
        <w:t>to</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approved</w:t>
      </w:r>
      <w:r>
        <w:rPr>
          <w:rFonts w:ascii="Times New Roman;Times;serif" w:hAnsi="Times New Roman;Times;serif"/>
          <w:color w:val="231F20"/>
          <w:spacing w:val="-9"/>
          <w:sz w:val="20"/>
        </w:rPr>
        <w:t xml:space="preserve"> </w:t>
      </w:r>
      <w:r>
        <w:rPr>
          <w:rFonts w:ascii="Times New Roman;Times;serif" w:hAnsi="Times New Roman;Times;serif"/>
          <w:color w:val="231F20"/>
          <w:sz w:val="20"/>
        </w:rPr>
        <w:t>labeling</w:t>
      </w:r>
      <w:r>
        <w:rPr>
          <w:rFonts w:ascii="Times New Roman;Times;serif" w:hAnsi="Times New Roman;Times;serif"/>
          <w:color w:val="231F20"/>
          <w:spacing w:val="-9"/>
          <w:sz w:val="20"/>
        </w:rPr>
        <w:t xml:space="preserve"> </w:t>
      </w:r>
      <w:r>
        <w:rPr>
          <w:rFonts w:ascii="Times New Roman;Times;serif" w:hAnsi="Times New Roman;Times;serif"/>
          <w:color w:val="231F20"/>
          <w:sz w:val="20"/>
        </w:rPr>
        <w:t>to</w:t>
      </w:r>
      <w:r>
        <w:rPr>
          <w:rFonts w:ascii="Times New Roman;Times;serif" w:hAnsi="Times New Roman;Times;serif"/>
          <w:color w:val="231F20"/>
          <w:spacing w:val="-9"/>
          <w:sz w:val="20"/>
        </w:rPr>
        <w:t xml:space="preserve"> </w:t>
      </w:r>
      <w:r>
        <w:rPr>
          <w:rFonts w:ascii="Times New Roman;Times;serif" w:hAnsi="Times New Roman;Times;serif"/>
          <w:color w:val="231F20"/>
          <w:sz w:val="20"/>
        </w:rPr>
        <w:t>add</w:t>
      </w:r>
      <w:r>
        <w:rPr>
          <w:rFonts w:ascii="Times New Roman;Times;serif" w:hAnsi="Times New Roman;Times;serif"/>
          <w:color w:val="231F20"/>
          <w:spacing w:val="-9"/>
          <w:sz w:val="20"/>
        </w:rPr>
        <w:t xml:space="preserve"> </w:t>
      </w:r>
      <w:r>
        <w:rPr>
          <w:rFonts w:ascii="Times New Roman;Times;serif" w:hAnsi="Times New Roman;Times;serif"/>
          <w:color w:val="231F20"/>
          <w:sz w:val="20"/>
        </w:rPr>
        <w:t>new</w:t>
      </w:r>
      <w:r>
        <w:rPr>
          <w:rFonts w:ascii="Times New Roman;Times;serif" w:hAnsi="Times New Roman;Times;serif"/>
          <w:color w:val="231F20"/>
          <w:spacing w:val="-9"/>
          <w:sz w:val="20"/>
        </w:rPr>
        <w:t xml:space="preserve"> </w:t>
      </w:r>
      <w:r>
        <w:rPr>
          <w:rFonts w:ascii="Times New Roman;Times;serif" w:hAnsi="Times New Roman;Times;serif"/>
          <w:color w:val="231F20"/>
          <w:sz w:val="20"/>
        </w:rPr>
        <w:t>safety</w:t>
      </w:r>
      <w:r>
        <w:rPr>
          <w:rFonts w:ascii="Times New Roman;Times;serif" w:hAnsi="Times New Roman;Times;serif"/>
          <w:color w:val="231F20"/>
          <w:spacing w:val="-9"/>
          <w:sz w:val="20"/>
        </w:rPr>
        <w:t xml:space="preserve"> </w:t>
      </w:r>
      <w:r>
        <w:rPr>
          <w:rFonts w:ascii="Times New Roman;Times;serif" w:hAnsi="Times New Roman;Times;serif"/>
          <w:color w:val="231F20"/>
          <w:sz w:val="20"/>
        </w:rPr>
        <w:t>information; imposition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post-market</w:t>
      </w:r>
      <w:r>
        <w:rPr>
          <w:rFonts w:ascii="Times New Roman;Times;serif" w:hAnsi="Times New Roman;Times;serif"/>
          <w:color w:val="231F20"/>
          <w:spacing w:val="-23"/>
          <w:sz w:val="20"/>
        </w:rPr>
        <w:t xml:space="preserve"> </w:t>
      </w:r>
      <w:r>
        <w:rPr>
          <w:rFonts w:ascii="Times New Roman;Times;serif" w:hAnsi="Times New Roman;Times;serif"/>
          <w:color w:val="231F20"/>
          <w:sz w:val="20"/>
        </w:rPr>
        <w:t>studies</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23"/>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3"/>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23"/>
          <w:sz w:val="20"/>
        </w:rPr>
        <w:t xml:space="preserve"> </w:t>
      </w:r>
      <w:r>
        <w:rPr>
          <w:rFonts w:ascii="Times New Roman;Times;serif" w:hAnsi="Times New Roman;Times;serif"/>
          <w:color w:val="231F20"/>
          <w:sz w:val="20"/>
        </w:rPr>
        <w:t>to</w:t>
      </w:r>
      <w:r>
        <w:rPr>
          <w:rFonts w:ascii="Times New Roman;Times;serif" w:hAnsi="Times New Roman;Times;serif"/>
          <w:color w:val="231F20"/>
          <w:spacing w:val="-22"/>
          <w:sz w:val="20"/>
        </w:rPr>
        <w:t xml:space="preserve"> </w:t>
      </w:r>
      <w:r>
        <w:rPr>
          <w:rFonts w:ascii="Times New Roman;Times;serif" w:hAnsi="Times New Roman;Times;serif"/>
          <w:color w:val="231F20"/>
          <w:sz w:val="20"/>
        </w:rPr>
        <w:t>assess</w:t>
      </w:r>
      <w:r>
        <w:rPr>
          <w:rFonts w:ascii="Times New Roman;Times;serif" w:hAnsi="Times New Roman;Times;serif"/>
          <w:color w:val="231F20"/>
          <w:spacing w:val="-23"/>
          <w:sz w:val="20"/>
        </w:rPr>
        <w:t xml:space="preserve"> </w:t>
      </w:r>
      <w:r>
        <w:rPr>
          <w:rFonts w:ascii="Times New Roman;Times;serif" w:hAnsi="Times New Roman;Times;serif"/>
          <w:color w:val="231F20"/>
          <w:sz w:val="20"/>
        </w:rPr>
        <w:t>new</w:t>
      </w:r>
      <w:r>
        <w:rPr>
          <w:rFonts w:ascii="Times New Roman;Times;serif" w:hAnsi="Times New Roman;Times;serif"/>
          <w:color w:val="231F20"/>
          <w:spacing w:val="-23"/>
          <w:sz w:val="20"/>
        </w:rPr>
        <w:t xml:space="preserve"> </w:t>
      </w:r>
      <w:r>
        <w:rPr>
          <w:rFonts w:ascii="Times New Roman;Times;serif" w:hAnsi="Times New Roman;Times;serif"/>
          <w:color w:val="231F20"/>
          <w:sz w:val="20"/>
        </w:rPr>
        <w:t>safety</w:t>
      </w:r>
      <w:r>
        <w:rPr>
          <w:rFonts w:ascii="Times New Roman;Times;serif" w:hAnsi="Times New Roman;Times;serif"/>
          <w:color w:val="231F20"/>
          <w:spacing w:val="-23"/>
          <w:sz w:val="20"/>
        </w:rPr>
        <w:t xml:space="preserve"> </w:t>
      </w:r>
      <w:r>
        <w:rPr>
          <w:rFonts w:ascii="Times New Roman;Times;serif" w:hAnsi="Times New Roman;Times;serif"/>
          <w:color w:val="231F20"/>
          <w:sz w:val="20"/>
        </w:rPr>
        <w:t>risks;</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23"/>
          <w:sz w:val="20"/>
        </w:rPr>
        <w:t xml:space="preserve"> </w:t>
      </w:r>
      <w:r>
        <w:rPr>
          <w:rFonts w:ascii="Times New Roman;Times;serif" w:hAnsi="Times New Roman;Times;serif"/>
          <w:color w:val="231F20"/>
          <w:sz w:val="20"/>
        </w:rPr>
        <w:t>imposition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distribution or</w:t>
      </w:r>
      <w:r>
        <w:rPr>
          <w:rFonts w:ascii="Times New Roman;Times;serif" w:hAnsi="Times New Roman;Times;serif"/>
          <w:color w:val="231F20"/>
          <w:spacing w:val="-26"/>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5"/>
          <w:sz w:val="20"/>
        </w:rPr>
        <w:t xml:space="preserve"> </w:t>
      </w:r>
      <w:r>
        <w:rPr>
          <w:rFonts w:ascii="Times New Roman;Times;serif" w:hAnsi="Times New Roman;Times;serif"/>
          <w:color w:val="231F20"/>
          <w:sz w:val="20"/>
        </w:rPr>
        <w:t>restrictions</w:t>
      </w:r>
      <w:r>
        <w:rPr>
          <w:rFonts w:ascii="Times New Roman;Times;serif" w:hAnsi="Times New Roman;Times;serif"/>
          <w:color w:val="231F20"/>
          <w:spacing w:val="-25"/>
          <w:sz w:val="20"/>
        </w:rPr>
        <w:t xml:space="preserve"> </w:t>
      </w:r>
      <w:r>
        <w:rPr>
          <w:rFonts w:ascii="Times New Roman;Times;serif" w:hAnsi="Times New Roman;Times;serif"/>
          <w:color w:val="231F20"/>
          <w:sz w:val="20"/>
        </w:rPr>
        <w:t>under</w:t>
      </w:r>
      <w:r>
        <w:rPr>
          <w:rFonts w:ascii="Times New Roman;Times;serif" w:hAnsi="Times New Roman;Times;serif"/>
          <w:color w:val="231F20"/>
          <w:spacing w:val="-25"/>
          <w:sz w:val="20"/>
        </w:rPr>
        <w:t xml:space="preserve"> </w:t>
      </w:r>
      <w:r>
        <w:rPr>
          <w:rFonts w:ascii="Times New Roman;Times;serif" w:hAnsi="Times New Roman;Times;serif"/>
          <w:color w:val="231F20"/>
          <w:sz w:val="20"/>
        </w:rPr>
        <w:t>a</w:t>
      </w:r>
      <w:r>
        <w:rPr>
          <w:rFonts w:ascii="Times New Roman;Times;serif" w:hAnsi="Times New Roman;Times;serif"/>
          <w:color w:val="231F20"/>
          <w:spacing w:val="-25"/>
          <w:sz w:val="20"/>
        </w:rPr>
        <w:t xml:space="preserve"> REMS </w:t>
      </w:r>
      <w:r>
        <w:rPr>
          <w:rFonts w:ascii="Times New Roman;Times;serif" w:hAnsi="Times New Roman;Times;serif"/>
          <w:color w:val="231F20"/>
          <w:sz w:val="20"/>
        </w:rPr>
        <w:t>program.</w:t>
      </w:r>
      <w:r>
        <w:rPr>
          <w:rFonts w:ascii="Times New Roman;Times;serif" w:hAnsi="Times New Roman;Times;serif"/>
          <w:color w:val="231F20"/>
          <w:spacing w:val="-25"/>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5"/>
          <w:sz w:val="20"/>
        </w:rPr>
        <w:t xml:space="preserve"> </w:t>
      </w:r>
      <w:r>
        <w:rPr>
          <w:rFonts w:ascii="Times New Roman;Times;serif" w:hAnsi="Times New Roman;Times;serif"/>
          <w:color w:val="231F20"/>
          <w:sz w:val="20"/>
        </w:rPr>
        <w:t>potential consequences include, among other</w:t>
      </w:r>
      <w:r>
        <w:rPr>
          <w:rFonts w:ascii="Times New Roman;Times;serif" w:hAnsi="Times New Roman;Times;serif"/>
          <w:color w:val="231F20"/>
          <w:spacing w:val="-30"/>
          <w:sz w:val="20"/>
        </w:rPr>
        <w:t xml:space="preserve"> </w:t>
      </w:r>
      <w:r>
        <w:rPr>
          <w:rFonts w:ascii="Times New Roman;Times;serif" w:hAnsi="Times New Roman;Times;serif"/>
          <w:color w:val="231F20"/>
          <w:sz w:val="20"/>
        </w:rPr>
        <w:t>things:</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restrictions</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on</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marketing</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manufacturing</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product,</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complete</w:t>
            </w:r>
            <w:r>
              <w:rPr>
                <w:caps w:val="false"/>
                <w:smallCaps w:val="false"/>
                <w:color w:val="231F20"/>
                <w:spacing w:val="-21"/>
              </w:rPr>
              <w:t xml:space="preserve"> </w:t>
            </w:r>
            <w:r>
              <w:rPr>
                <w:rFonts w:ascii="Times New Roman;Times;serif" w:hAnsi="Times New Roman;Times;serif"/>
                <w:b w:val="false"/>
                <w:i w:val="false"/>
                <w:caps w:val="false"/>
                <w:smallCaps w:val="false"/>
                <w:color w:val="231F20"/>
                <w:spacing w:val="-3"/>
                <w:sz w:val="20"/>
              </w:rPr>
              <w:t>withdrawal</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product from the market or product</w:t>
            </w:r>
            <w:r>
              <w:rPr>
                <w:caps w:val="false"/>
                <w:smallCaps w:val="false"/>
                <w:color w:val="231F20"/>
                <w:spacing w:val="-35"/>
              </w:rPr>
              <w:t xml:space="preserve"> </w:t>
            </w:r>
            <w:r>
              <w:rPr>
                <w:rFonts w:ascii="Times New Roman;Times;serif" w:hAnsi="Times New Roman;Times;serif"/>
                <w:b w:val="false"/>
                <w:i w:val="false"/>
                <w:caps w:val="false"/>
                <w:smallCaps w:val="false"/>
                <w:color w:val="231F20"/>
                <w:sz w:val="20"/>
              </w:rPr>
              <w:t>recalls;</w:t>
            </w:r>
          </w:p>
        </w:tc>
      </w:tr>
    </w:tbl>
    <w:tbl>
      <w:tblPr>
        <w:tblW w:w="9754" w:type="dxa"/>
        <w:jc w:val="left"/>
        <w:tblInd w:w="0" w:type="dxa"/>
        <w:tblCellMar>
          <w:top w:w="28" w:type="dxa"/>
          <w:left w:w="28" w:type="dxa"/>
          <w:bottom w:w="28" w:type="dxa"/>
          <w:right w:w="28" w:type="dxa"/>
        </w:tblCellMar>
      </w:tblPr>
      <w:tblGrid>
        <w:gridCol w:w="124"/>
        <w:gridCol w:w="196"/>
        <w:gridCol w:w="9434"/>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434"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fines,</w:t>
            </w:r>
            <w:r>
              <w:rPr>
                <w:caps w:val="false"/>
                <w:smallCaps w:val="false"/>
                <w:color w:val="231F20"/>
                <w:spacing w:val="-23"/>
              </w:rPr>
              <w:t xml:space="preserve"> </w:t>
            </w:r>
            <w:r>
              <w:rPr>
                <w:rFonts w:ascii="Times New Roman;Times;serif" w:hAnsi="Times New Roman;Times;serif"/>
                <w:b w:val="false"/>
                <w:i w:val="false"/>
                <w:caps w:val="false"/>
                <w:smallCaps w:val="false"/>
                <w:color w:val="231F20"/>
                <w:spacing w:val="-3"/>
                <w:sz w:val="20"/>
              </w:rPr>
              <w:t>Warning</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Letters</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23"/>
              </w:rPr>
              <w:t xml:space="preserve"> </w:t>
            </w:r>
            <w:r>
              <w:rPr>
                <w:rFonts w:ascii="Times New Roman;Times;serif" w:hAnsi="Times New Roman;Times;serif"/>
                <w:b w:val="false"/>
                <w:i w:val="false"/>
                <w:caps w:val="false"/>
                <w:smallCaps w:val="false"/>
                <w:color w:val="231F20"/>
                <w:sz w:val="20"/>
              </w:rPr>
              <w:t>Untitled</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Letters,</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holds</w:t>
            </w:r>
            <w:r>
              <w:rPr>
                <w:caps w:val="false"/>
                <w:smallCaps w:val="false"/>
                <w:color w:val="231F20"/>
                <w:spacing w:val="-23"/>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termination</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3"/>
                <w:sz w:val="20"/>
              </w:rPr>
              <w:t>post-approval</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clinical</w:t>
            </w:r>
            <w:r>
              <w:rPr>
                <w:caps w:val="false"/>
                <w:smallCaps w:val="false"/>
                <w:color w:val="231F20"/>
                <w:spacing w:val="-23"/>
              </w:rPr>
              <w:t xml:space="preserve"> </w:t>
            </w:r>
            <w:r>
              <w:rPr>
                <w:rFonts w:ascii="Times New Roman;Times;serif" w:hAnsi="Times New Roman;Times;serif"/>
                <w:b w:val="false"/>
                <w:i w:val="false"/>
                <w:caps w:val="false"/>
                <w:smallCaps w:val="false"/>
                <w:color w:val="231F20"/>
                <w:sz w:val="20"/>
              </w:rPr>
              <w:t>trials</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 xml:space="preserve">or </w:t>
            </w:r>
            <w:r>
              <w:rPr>
                <w:rFonts w:ascii="Times New Roman;Times;serif" w:hAnsi="Times New Roman;Times;serif"/>
                <w:b w:val="false"/>
                <w:i w:val="false"/>
                <w:caps w:val="false"/>
                <w:smallCaps w:val="false"/>
                <w:color w:val="231F20"/>
                <w:spacing w:val="-4"/>
                <w:sz w:val="20"/>
              </w:rPr>
              <w:t>FDA</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debarment;</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pacing w:val="-3"/>
                <w:sz w:val="20"/>
              </w:rPr>
              <w:t xml:space="preserve">delay </w:t>
            </w:r>
            <w:r>
              <w:rPr>
                <w:rFonts w:ascii="Times New Roman;Times;serif" w:hAnsi="Times New Roman;Times;serif"/>
                <w:b w:val="false"/>
                <w:i w:val="false"/>
                <w:caps w:val="false"/>
                <w:smallCaps w:val="false"/>
                <w:color w:val="231F20"/>
                <w:sz w:val="20"/>
              </w:rPr>
              <w:t xml:space="preserve">or refusal of regulators to </w:t>
            </w:r>
            <w:r>
              <w:rPr>
                <w:rFonts w:ascii="Times New Roman;Times;serif" w:hAnsi="Times New Roman;Times;serif"/>
                <w:b w:val="false"/>
                <w:i w:val="false"/>
                <w:caps w:val="false"/>
                <w:smallCaps w:val="false"/>
                <w:color w:val="231F20"/>
                <w:spacing w:val="-4"/>
                <w:sz w:val="20"/>
              </w:rPr>
              <w:t xml:space="preserve">approve </w:t>
            </w:r>
            <w:r>
              <w:rPr>
                <w:rFonts w:ascii="Times New Roman;Times;serif" w:hAnsi="Times New Roman;Times;serif"/>
                <w:b w:val="false"/>
                <w:i w:val="false"/>
                <w:caps w:val="false"/>
                <w:smallCaps w:val="false"/>
                <w:color w:val="231F20"/>
                <w:sz w:val="20"/>
              </w:rPr>
              <w:t xml:space="preserve">pending </w:t>
            </w:r>
            <w:r>
              <w:rPr>
                <w:rFonts w:ascii="Times New Roman;Times;serif" w:hAnsi="Times New Roman;Times;serif"/>
                <w:b w:val="false"/>
                <w:i w:val="false"/>
                <w:caps w:val="false"/>
                <w:smallCaps w:val="false"/>
                <w:color w:val="231F20"/>
                <w:spacing w:val="-3"/>
                <w:sz w:val="20"/>
              </w:rPr>
              <w:t xml:space="preserve">NDAs </w:t>
            </w:r>
            <w:r>
              <w:rPr>
                <w:rFonts w:ascii="Times New Roman;Times;serif" w:hAnsi="Times New Roman;Times;serif"/>
                <w:b w:val="false"/>
                <w:i w:val="false"/>
                <w:caps w:val="false"/>
                <w:smallCaps w:val="false"/>
                <w:color w:val="231F20"/>
                <w:sz w:val="20"/>
              </w:rPr>
              <w:t xml:space="preserve">or supplements to </w:t>
            </w:r>
            <w:r>
              <w:rPr>
                <w:rFonts w:ascii="Times New Roman;Times;serif" w:hAnsi="Times New Roman;Times;serif"/>
                <w:b w:val="false"/>
                <w:i w:val="false"/>
                <w:caps w:val="false"/>
                <w:smallCaps w:val="false"/>
                <w:color w:val="231F20"/>
                <w:spacing w:val="-3"/>
                <w:sz w:val="20"/>
              </w:rPr>
              <w:t xml:space="preserve">approved </w:t>
            </w:r>
            <w:r>
              <w:rPr>
                <w:rFonts w:ascii="Times New Roman;Times;serif" w:hAnsi="Times New Roman;Times;serif"/>
                <w:b w:val="false"/>
                <w:i w:val="false"/>
                <w:caps w:val="false"/>
                <w:smallCaps w:val="false"/>
                <w:color w:val="231F20"/>
                <w:spacing w:val="-5"/>
                <w:sz w:val="20"/>
              </w:rPr>
              <w:t xml:space="preserve">NDAs, </w:t>
            </w:r>
            <w:r>
              <w:rPr>
                <w:rFonts w:ascii="Times New Roman;Times;serif" w:hAnsi="Times New Roman;Times;serif"/>
                <w:b w:val="false"/>
                <w:i w:val="false"/>
                <w:caps w:val="false"/>
                <w:smallCaps w:val="false"/>
                <w:color w:val="231F20"/>
                <w:sz w:val="20"/>
              </w:rPr>
              <w:t xml:space="preserve">or suspension or revocation of product license </w:t>
            </w:r>
            <w:r>
              <w:rPr>
                <w:rFonts w:ascii="Times New Roman;Times;serif" w:hAnsi="Times New Roman;Times;serif"/>
                <w:b w:val="false"/>
                <w:i w:val="false"/>
                <w:caps w:val="false"/>
                <w:smallCaps w:val="false"/>
                <w:color w:val="231F20"/>
                <w:spacing w:val="-4"/>
                <w:sz w:val="20"/>
              </w:rPr>
              <w:t>approvals;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regulatory authority, including the </w:t>
            </w:r>
            <w:r>
              <w:rPr>
                <w:rFonts w:ascii="Times New Roman;Times;serif" w:hAnsi="Times New Roman;Times;serif"/>
                <w:b w:val="false"/>
                <w:i w:val="false"/>
                <w:caps w:val="false"/>
                <w:smallCaps w:val="false"/>
                <w:color w:val="231F20"/>
                <w:spacing w:val="-3"/>
                <w:sz w:val="20"/>
              </w:rPr>
              <w:t xml:space="preserve">FDA, </w:t>
            </w:r>
            <w:r>
              <w:rPr>
                <w:rFonts w:ascii="Times New Roman;Times;serif" w:hAnsi="Times New Roman;Times;serif"/>
                <w:b w:val="false"/>
                <w:i w:val="false"/>
                <w:caps w:val="false"/>
                <w:smallCaps w:val="false"/>
                <w:color w:val="231F20"/>
                <w:sz w:val="20"/>
              </w:rPr>
              <w:t xml:space="preserve">issued safety </w:t>
            </w:r>
            <w:r>
              <w:rPr>
                <w:rFonts w:ascii="Times New Roman;Times;serif" w:hAnsi="Times New Roman;Times;serif"/>
                <w:b w:val="false"/>
                <w:i w:val="false"/>
                <w:caps w:val="false"/>
                <w:smallCaps w:val="false"/>
                <w:color w:val="231F20"/>
                <w:spacing w:val="-3"/>
                <w:sz w:val="20"/>
              </w:rPr>
              <w:t xml:space="preserve">alerts, </w:t>
            </w:r>
            <w:r>
              <w:rPr>
                <w:rFonts w:ascii="Times New Roman;Times;serif" w:hAnsi="Times New Roman;Times;serif"/>
                <w:b w:val="false"/>
                <w:i w:val="false"/>
                <w:caps w:val="false"/>
                <w:smallCaps w:val="false"/>
                <w:color w:val="231F20"/>
                <w:sz w:val="20"/>
              </w:rPr>
              <w:t>Dear Healthcare Provider letters, press releases or other communications containing warnings about such</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products;</w:t>
            </w:r>
          </w:p>
        </w:tc>
      </w:tr>
    </w:tbl>
    <w:tbl>
      <w:tblPr>
        <w:tblW w:w="7476" w:type="dxa"/>
        <w:jc w:val="left"/>
        <w:tblInd w:w="0" w:type="dxa"/>
        <w:tblCellMar>
          <w:top w:w="28" w:type="dxa"/>
          <w:left w:w="28" w:type="dxa"/>
          <w:bottom w:w="28" w:type="dxa"/>
          <w:right w:w="28" w:type="dxa"/>
        </w:tblCellMar>
      </w:tblPr>
      <w:tblGrid>
        <w:gridCol w:w="124"/>
        <w:gridCol w:w="196"/>
        <w:gridCol w:w="71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mandated modifications to promotional material or issuance of corrective information;</w:t>
            </w:r>
          </w:p>
        </w:tc>
      </w:tr>
    </w:tbl>
    <w:tbl>
      <w:tblPr>
        <w:tblW w:w="7611" w:type="dxa"/>
        <w:jc w:val="left"/>
        <w:tblInd w:w="0" w:type="dxa"/>
        <w:tblCellMar>
          <w:top w:w="28" w:type="dxa"/>
          <w:left w:w="28" w:type="dxa"/>
          <w:bottom w:w="28" w:type="dxa"/>
          <w:right w:w="28" w:type="dxa"/>
        </w:tblCellMar>
      </w:tblPr>
      <w:tblGrid>
        <w:gridCol w:w="124"/>
        <w:gridCol w:w="196"/>
        <w:gridCol w:w="729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29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product</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seizure</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detention,</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refusal</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permit</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import</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export</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products;</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injunctions or the imposition of civil or criminal penalties, including imprisonment, disgorgement and restitution, as well as consent decrees, corporate integrity agreements, deferred prosecution agreements and exclusion from federal healthcare</w:t>
            </w:r>
            <w:r>
              <w:rPr>
                <w:caps w:val="false"/>
                <w:smallCaps w:val="false"/>
                <w:color w:val="231F20"/>
                <w:spacing w:val="-21"/>
              </w:rPr>
              <w:t xml:space="preserve"> </w:t>
            </w:r>
            <w:r>
              <w:rPr>
                <w:rFonts w:ascii="Times New Roman;Times;serif" w:hAnsi="Times New Roman;Times;serif"/>
                <w:b w:val="false"/>
                <w:i w:val="false"/>
                <w:caps w:val="false"/>
                <w:smallCaps w:val="false"/>
                <w:color w:val="231F20"/>
                <w:spacing w:val="-3"/>
                <w:sz w:val="20"/>
              </w:rPr>
              <w:t>programs.</w:t>
            </w:r>
          </w:p>
        </w:tc>
      </w:tr>
    </w:tbl>
    <w:p>
      <w:pPr>
        <w:pStyle w:val="TextBody"/>
        <w:spacing w:lineRule="auto" w:line="290" w:before="240" w:after="240"/>
        <w:ind w:left="0" w:right="0" w:hanging="0"/>
        <w:jc w:val="both"/>
        <w:rPr>
          <w:rFonts w:ascii="Times New Roman;Times;serif" w:hAnsi="Times New Roman;Times;serif"/>
          <w:b/>
          <w:sz w:val="20"/>
        </w:rPr>
      </w:pPr>
      <w:r>
        <w:rPr>
          <w:rFonts w:ascii="Times New Roman;Times;serif" w:hAnsi="Times New Roman;Times;serif"/>
          <w:b/>
          <w:i/>
          <w:color w:val="231F20"/>
          <w:sz w:val="20"/>
        </w:rPr>
        <w:t>If</w:t>
      </w:r>
      <w:r>
        <w:rPr>
          <w:rFonts w:ascii="Times New Roman;Times;serif" w:hAnsi="Times New Roman;Times;serif"/>
          <w:b/>
          <w:color w:val="231F20"/>
          <w:spacing w:val="5"/>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unable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design,</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conduct</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complete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clinical</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trials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successfully,</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drug</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candidates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be able to receive regulatory</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approval.</w:t>
      </w:r>
    </w:p>
    <w:p>
      <w:pPr>
        <w:pStyle w:val="TextBody"/>
        <w:spacing w:lineRule="auto" w:line="290" w:before="161"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In order to obtain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pacing w:val="-3"/>
          <w:sz w:val="20"/>
        </w:rPr>
        <w:t xml:space="preserve">for any </w:t>
      </w:r>
      <w:r>
        <w:rPr>
          <w:rFonts w:ascii="Times New Roman;Times;serif" w:hAnsi="Times New Roman;Times;serif"/>
          <w:color w:val="231F20"/>
          <w:sz w:val="20"/>
        </w:rPr>
        <w:t xml:space="preserve">of our drug candidates, we must submit an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or request </w:t>
      </w:r>
      <w:r>
        <w:rPr>
          <w:rFonts w:ascii="Times New Roman;Times;serif" w:hAnsi="Times New Roman;Times;serif"/>
          <w:color w:val="231F20"/>
          <w:spacing w:val="-3"/>
          <w:sz w:val="20"/>
        </w:rPr>
        <w:t xml:space="preserve">for </w:t>
      </w:r>
      <w:r>
        <w:rPr>
          <w:rFonts w:ascii="Times New Roman;Times;serif" w:hAnsi="Times New Roman;Times;serif"/>
          <w:color w:val="231F20"/>
          <w:spacing w:val="-6"/>
          <w:sz w:val="20"/>
        </w:rPr>
        <w:t xml:space="preserve">EUA </w:t>
      </w:r>
      <w:r>
        <w:rPr>
          <w:rFonts w:ascii="Times New Roman;Times;serif" w:hAnsi="Times New Roman;Times;serif"/>
          <w:color w:val="231F20"/>
          <w:sz w:val="20"/>
        </w:rPr>
        <w:t>that demonstrates with substantive evidence that the drug candidate is both safe and effective</w:t>
      </w:r>
      <w:r>
        <w:rPr>
          <w:rFonts w:ascii="Times New Roman;Times;serif" w:hAnsi="Times New Roman;Times;serif"/>
          <w:color w:val="231F20"/>
          <w:spacing w:val="-32"/>
          <w:sz w:val="20"/>
        </w:rPr>
        <w:t xml:space="preserve"> </w:t>
      </w:r>
      <w:r>
        <w:rPr>
          <w:rFonts w:ascii="Times New Roman;Times;serif" w:hAnsi="Times New Roman;Times;serif"/>
          <w:color w:val="231F20"/>
          <w:sz w:val="20"/>
        </w:rPr>
        <w:t>in</w:t>
      </w:r>
      <w:r>
        <w:rPr>
          <w:rFonts w:ascii="Times New Roman;Times;serif" w:hAnsi="Times New Roman;Times;serif"/>
          <w:color w:val="231F20"/>
          <w:spacing w:val="-31"/>
          <w:sz w:val="20"/>
        </w:rPr>
        <w:t xml:space="preserve"> </w:t>
      </w:r>
      <w:r>
        <w:rPr>
          <w:rFonts w:ascii="Times New Roman;Times;serif" w:hAnsi="Times New Roman;Times;serif"/>
          <w:color w:val="231F20"/>
          <w:sz w:val="20"/>
        </w:rPr>
        <w:t>humans</w:t>
      </w:r>
      <w:r>
        <w:rPr>
          <w:rFonts w:ascii="Times New Roman;Times;serif" w:hAnsi="Times New Roman;Times;serif"/>
          <w:color w:val="231F20"/>
          <w:spacing w:val="-31"/>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31"/>
          <w:sz w:val="20"/>
        </w:rPr>
        <w:t xml:space="preserve"> </w:t>
      </w:r>
      <w:r>
        <w:rPr>
          <w:rFonts w:ascii="Times New Roman;Times;serif" w:hAnsi="Times New Roman;Times;serif"/>
          <w:color w:val="231F20"/>
          <w:sz w:val="20"/>
        </w:rPr>
        <w:t>its</w:t>
      </w:r>
      <w:r>
        <w:rPr>
          <w:rFonts w:ascii="Times New Roman;Times;serif" w:hAnsi="Times New Roman;Times;serif"/>
          <w:color w:val="231F20"/>
          <w:spacing w:val="-31"/>
          <w:sz w:val="20"/>
        </w:rPr>
        <w:t xml:space="preserve"> </w:t>
      </w:r>
      <w:r>
        <w:rPr>
          <w:rFonts w:ascii="Times New Roman;Times;serif" w:hAnsi="Times New Roman;Times;serif"/>
          <w:color w:val="231F20"/>
          <w:sz w:val="20"/>
        </w:rPr>
        <w:t>intended</w:t>
      </w:r>
      <w:r>
        <w:rPr>
          <w:rFonts w:ascii="Times New Roman;Times;serif" w:hAnsi="Times New Roman;Times;serif"/>
          <w:color w:val="231F20"/>
          <w:spacing w:val="-31"/>
          <w:sz w:val="20"/>
        </w:rPr>
        <w:t xml:space="preserve"> </w:t>
      </w:r>
      <w:r>
        <w:rPr>
          <w:rFonts w:ascii="Times New Roman;Times;serif" w:hAnsi="Times New Roman;Times;serif"/>
          <w:color w:val="231F20"/>
          <w:spacing w:val="-3"/>
          <w:sz w:val="20"/>
        </w:rPr>
        <w:t>use.</w:t>
      </w:r>
      <w:r>
        <w:rPr>
          <w:rFonts w:ascii="Times New Roman;Times;serif" w:hAnsi="Times New Roman;Times;serif"/>
          <w:color w:val="231F20"/>
          <w:spacing w:val="-31"/>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31"/>
          <w:sz w:val="20"/>
        </w:rPr>
        <w:t xml:space="preserve"> </w:t>
      </w:r>
      <w:r>
        <w:rPr>
          <w:rFonts w:ascii="Times New Roman;Times;serif" w:hAnsi="Times New Roman;Times;serif"/>
          <w:color w:val="231F20"/>
          <w:sz w:val="20"/>
        </w:rPr>
        <w:t>demonstration</w:t>
      </w:r>
      <w:r>
        <w:rPr>
          <w:rFonts w:ascii="Times New Roman;Times;serif" w:hAnsi="Times New Roman;Times;serif"/>
          <w:color w:val="231F20"/>
          <w:spacing w:val="-31"/>
          <w:sz w:val="20"/>
        </w:rPr>
        <w:t xml:space="preserve"> </w:t>
      </w:r>
      <w:r>
        <w:rPr>
          <w:rFonts w:ascii="Times New Roman;Times;serif" w:hAnsi="Times New Roman;Times;serif"/>
          <w:color w:val="231F20"/>
          <w:sz w:val="20"/>
        </w:rPr>
        <w:t>requires</w:t>
      </w:r>
      <w:r>
        <w:rPr>
          <w:rFonts w:ascii="Times New Roman;Times;serif" w:hAnsi="Times New Roman;Times;serif"/>
          <w:color w:val="231F20"/>
          <w:spacing w:val="-31"/>
          <w:sz w:val="20"/>
        </w:rPr>
        <w:t xml:space="preserve"> </w:t>
      </w:r>
      <w:r>
        <w:rPr>
          <w:rFonts w:ascii="Times New Roman;Times;serif" w:hAnsi="Times New Roman;Times;serif"/>
          <w:color w:val="231F20"/>
          <w:sz w:val="20"/>
        </w:rPr>
        <w:t>significant</w:t>
      </w:r>
      <w:r>
        <w:rPr>
          <w:rFonts w:ascii="Times New Roman;Times;serif" w:hAnsi="Times New Roman;Times;serif"/>
          <w:color w:val="231F20"/>
          <w:spacing w:val="-31"/>
          <w:sz w:val="20"/>
        </w:rPr>
        <w:t xml:space="preserve"> </w:t>
      </w:r>
      <w:r>
        <w:rPr>
          <w:rFonts w:ascii="Times New Roman;Times;serif" w:hAnsi="Times New Roman;Times;serif"/>
          <w:color w:val="231F20"/>
          <w:sz w:val="20"/>
        </w:rPr>
        <w:t>research</w:t>
      </w:r>
      <w:r>
        <w:rPr>
          <w:rFonts w:ascii="Times New Roman;Times;serif" w:hAnsi="Times New Roman;Times;serif"/>
          <w:color w:val="231F20"/>
          <w:spacing w:val="-3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2"/>
          <w:sz w:val="20"/>
        </w:rPr>
        <w:t xml:space="preserve"> </w:t>
      </w:r>
      <w:r>
        <w:rPr>
          <w:rFonts w:ascii="Times New Roman;Times;serif" w:hAnsi="Times New Roman;Times;serif"/>
          <w:color w:val="231F20"/>
          <w:sz w:val="20"/>
        </w:rPr>
        <w:t>animal</w:t>
      </w:r>
      <w:r>
        <w:rPr>
          <w:rFonts w:ascii="Times New Roman;Times;serif" w:hAnsi="Times New Roman;Times;serif"/>
          <w:color w:val="231F20"/>
          <w:spacing w:val="-31"/>
          <w:sz w:val="20"/>
        </w:rPr>
        <w:t xml:space="preserve"> </w:t>
      </w:r>
      <w:r>
        <w:rPr>
          <w:rFonts w:ascii="Times New Roman;Times;serif" w:hAnsi="Times New Roman;Times;serif"/>
          <w:color w:val="231F20"/>
          <w:sz w:val="20"/>
        </w:rPr>
        <w:t>tests, which</w:t>
      </w:r>
      <w:r>
        <w:rPr>
          <w:rFonts w:ascii="Times New Roman;Times;serif" w:hAnsi="Times New Roman;Times;serif"/>
          <w:color w:val="231F20"/>
          <w:spacing w:val="-25"/>
          <w:sz w:val="20"/>
        </w:rPr>
        <w:t xml:space="preserve"> </w:t>
      </w:r>
      <w:r>
        <w:rPr>
          <w:rFonts w:ascii="Times New Roman;Times;serif" w:hAnsi="Times New Roman;Times;serif"/>
          <w:color w:val="231F20"/>
          <w:sz w:val="20"/>
        </w:rPr>
        <w:t>are</w:t>
      </w:r>
      <w:r>
        <w:rPr>
          <w:rFonts w:ascii="Times New Roman;Times;serif" w:hAnsi="Times New Roman;Times;serif"/>
          <w:color w:val="231F20"/>
          <w:spacing w:val="-24"/>
          <w:sz w:val="20"/>
        </w:rPr>
        <w:t xml:space="preserve"> </w:t>
      </w:r>
      <w:r>
        <w:rPr>
          <w:rFonts w:ascii="Times New Roman;Times;serif" w:hAnsi="Times New Roman;Times;serif"/>
          <w:color w:val="231F20"/>
          <w:sz w:val="20"/>
        </w:rPr>
        <w:t>referred</w:t>
      </w:r>
      <w:r>
        <w:rPr>
          <w:rFonts w:ascii="Times New Roman;Times;serif" w:hAnsi="Times New Roman;Times;serif"/>
          <w:color w:val="231F20"/>
          <w:spacing w:val="-25"/>
          <w:sz w:val="20"/>
        </w:rPr>
        <w:t xml:space="preserve"> </w:t>
      </w:r>
      <w:r>
        <w:rPr>
          <w:rFonts w:ascii="Times New Roman;Times;serif" w:hAnsi="Times New Roman;Times;serif"/>
          <w:color w:val="231F20"/>
          <w:sz w:val="20"/>
        </w:rPr>
        <w:t>to</w:t>
      </w:r>
      <w:r>
        <w:rPr>
          <w:rFonts w:ascii="Times New Roman;Times;serif" w:hAnsi="Times New Roman;Times;serif"/>
          <w:color w:val="231F20"/>
          <w:spacing w:val="-24"/>
          <w:sz w:val="20"/>
        </w:rPr>
        <w:t xml:space="preserve"> </w:t>
      </w:r>
      <w:r>
        <w:rPr>
          <w:rFonts w:ascii="Times New Roman;Times;serif" w:hAnsi="Times New Roman;Times;serif"/>
          <w:color w:val="231F20"/>
          <w:sz w:val="20"/>
        </w:rPr>
        <w:t>as</w:t>
      </w:r>
      <w:r>
        <w:rPr>
          <w:rFonts w:ascii="Times New Roman;Times;serif" w:hAnsi="Times New Roman;Times;serif"/>
          <w:color w:val="231F20"/>
          <w:spacing w:val="-25"/>
          <w:sz w:val="20"/>
        </w:rPr>
        <w:t xml:space="preserve"> </w:t>
      </w:r>
      <w:r>
        <w:rPr>
          <w:rFonts w:ascii="Times New Roman;Times;serif" w:hAnsi="Times New Roman;Times;serif"/>
          <w:color w:val="231F20"/>
          <w:sz w:val="20"/>
        </w:rPr>
        <w:t>preclinical</w:t>
      </w:r>
      <w:r>
        <w:rPr>
          <w:rFonts w:ascii="Times New Roman;Times;serif" w:hAnsi="Times New Roman;Times;serif"/>
          <w:color w:val="231F20"/>
          <w:spacing w:val="-24"/>
          <w:sz w:val="20"/>
        </w:rPr>
        <w:t xml:space="preserve"> </w:t>
      </w:r>
      <w:r>
        <w:rPr>
          <w:rFonts w:ascii="Times New Roman;Times;serif" w:hAnsi="Times New Roman;Times;serif"/>
          <w:color w:val="231F20"/>
          <w:sz w:val="20"/>
        </w:rPr>
        <w:t>studies,</w:t>
      </w:r>
      <w:r>
        <w:rPr>
          <w:rFonts w:ascii="Times New Roman;Times;serif" w:hAnsi="Times New Roman;Times;serif"/>
          <w:color w:val="231F20"/>
          <w:spacing w:val="-25"/>
          <w:sz w:val="20"/>
        </w:rPr>
        <w:t xml:space="preserve"> </w:t>
      </w:r>
      <w:r>
        <w:rPr>
          <w:rFonts w:ascii="Times New Roman;Times;serif" w:hAnsi="Times New Roman;Times;serif"/>
          <w:color w:val="231F20"/>
          <w:sz w:val="20"/>
        </w:rPr>
        <w:t>as</w:t>
      </w:r>
      <w:r>
        <w:rPr>
          <w:rFonts w:ascii="Times New Roman;Times;serif" w:hAnsi="Times New Roman;Times;serif"/>
          <w:color w:val="231F20"/>
          <w:spacing w:val="-24"/>
          <w:sz w:val="20"/>
        </w:rPr>
        <w:t xml:space="preserve"> </w:t>
      </w:r>
      <w:r>
        <w:rPr>
          <w:rFonts w:ascii="Times New Roman;Times;serif" w:hAnsi="Times New Roman;Times;serif"/>
          <w:color w:val="231F20"/>
          <w:sz w:val="20"/>
        </w:rPr>
        <w:t>well</w:t>
      </w:r>
      <w:r>
        <w:rPr>
          <w:rFonts w:ascii="Times New Roman;Times;serif" w:hAnsi="Times New Roman;Times;serif"/>
          <w:color w:val="231F20"/>
          <w:spacing w:val="-25"/>
          <w:sz w:val="20"/>
        </w:rPr>
        <w:t xml:space="preserve"> </w:t>
      </w:r>
      <w:r>
        <w:rPr>
          <w:rFonts w:ascii="Times New Roman;Times;serif" w:hAnsi="Times New Roman;Times;serif"/>
          <w:color w:val="231F20"/>
          <w:sz w:val="20"/>
        </w:rPr>
        <w:t>as</w:t>
      </w:r>
      <w:r>
        <w:rPr>
          <w:rFonts w:ascii="Times New Roman;Times;serif" w:hAnsi="Times New Roman;Times;serif"/>
          <w:color w:val="231F20"/>
          <w:spacing w:val="-24"/>
          <w:sz w:val="20"/>
        </w:rPr>
        <w:t xml:space="preserve"> </w:t>
      </w:r>
      <w:r>
        <w:rPr>
          <w:rFonts w:ascii="Times New Roman;Times;serif" w:hAnsi="Times New Roman;Times;serif"/>
          <w:color w:val="231F20"/>
          <w:sz w:val="20"/>
        </w:rPr>
        <w:t>human</w:t>
      </w:r>
      <w:r>
        <w:rPr>
          <w:rFonts w:ascii="Times New Roman;Times;serif" w:hAnsi="Times New Roman;Times;serif"/>
          <w:color w:val="231F20"/>
          <w:spacing w:val="-24"/>
          <w:sz w:val="20"/>
        </w:rPr>
        <w:t xml:space="preserve"> </w:t>
      </w:r>
      <w:r>
        <w:rPr>
          <w:rFonts w:ascii="Times New Roman;Times;serif" w:hAnsi="Times New Roman;Times;serif"/>
          <w:color w:val="231F20"/>
          <w:sz w:val="20"/>
        </w:rPr>
        <w:t>tests,</w:t>
      </w:r>
      <w:r>
        <w:rPr>
          <w:rFonts w:ascii="Times New Roman;Times;serif" w:hAnsi="Times New Roman;Times;serif"/>
          <w:color w:val="231F20"/>
          <w:spacing w:val="-25"/>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2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25"/>
          <w:sz w:val="20"/>
        </w:rPr>
        <w:t xml:space="preserve"> </w:t>
      </w:r>
      <w:r>
        <w:rPr>
          <w:rFonts w:ascii="Times New Roman;Times;serif" w:hAnsi="Times New Roman;Times;serif"/>
          <w:color w:val="231F20"/>
          <w:sz w:val="20"/>
        </w:rPr>
        <w:t>referred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as</w:t>
      </w:r>
      <w:r>
        <w:rPr>
          <w:rFonts w:ascii="Times New Roman;Times;serif" w:hAnsi="Times New Roman;Times;serif"/>
          <w:color w:val="231F20"/>
          <w:spacing w:val="-24"/>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5"/>
          <w:sz w:val="20"/>
        </w:rPr>
        <w:t xml:space="preserve"> </w:t>
      </w:r>
      <w:r>
        <w:rPr>
          <w:rFonts w:ascii="Times New Roman;Times;serif" w:hAnsi="Times New Roman;Times;serif"/>
          <w:color w:val="231F20"/>
          <w:spacing w:val="-4"/>
          <w:sz w:val="20"/>
        </w:rPr>
        <w:t>trials.</w:t>
      </w:r>
    </w:p>
    <w:p>
      <w:pPr>
        <w:pStyle w:val="TextBody"/>
        <w:spacing w:lineRule="auto" w:line="290" w:before="161" w:after="240"/>
        <w:ind w:left="0" w:right="0" w:firstLine="399"/>
        <w:jc w:val="both"/>
        <w:rPr>
          <w:rFonts w:ascii="Times New Roman;Times;serif" w:hAnsi="Times New Roman;Times;serif"/>
          <w:sz w:val="20"/>
        </w:rPr>
      </w:pPr>
      <w:r>
        <w:rPr>
          <w:rFonts w:ascii="Times New Roman;Times;serif" w:hAnsi="Times New Roman;Times;serif"/>
          <w:color w:val="231F20"/>
          <w:sz w:val="20"/>
        </w:rPr>
        <w:t>Results from Phase I clinical programs may not support moving a drug candidate to Phase II or Phase</w:t>
      </w:r>
      <w:r>
        <w:rPr>
          <w:rFonts w:ascii="Times New Roman;Times;serif" w:hAnsi="Times New Roman;Times;serif"/>
          <w:color w:val="231F20"/>
          <w:spacing w:val="-12"/>
          <w:sz w:val="20"/>
        </w:rPr>
        <w:t xml:space="preserve"> III</w:t>
      </w:r>
      <w:r>
        <w:rPr>
          <w:rFonts w:ascii="Times New Roman;Times;serif" w:hAnsi="Times New Roman;Times;serif"/>
          <w:color w:val="231F20"/>
          <w:spacing w:val="-11"/>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2"/>
          <w:sz w:val="20"/>
        </w:rPr>
        <w:t xml:space="preserve"> </w:t>
      </w:r>
      <w:r>
        <w:rPr>
          <w:rFonts w:ascii="Times New Roman;Times;serif" w:hAnsi="Times New Roman;Times;serif"/>
          <w:color w:val="231F20"/>
          <w:spacing w:val="-4"/>
          <w:sz w:val="20"/>
        </w:rPr>
        <w:t>trials.</w:t>
      </w:r>
      <w:r>
        <w:rPr>
          <w:rFonts w:ascii="Times New Roman;Times;serif" w:hAnsi="Times New Roman;Times;serif"/>
          <w:color w:val="231F20"/>
          <w:spacing w:val="-11"/>
          <w:sz w:val="20"/>
        </w:rPr>
        <w:t xml:space="preserve"> </w:t>
      </w:r>
      <w:r>
        <w:rPr>
          <w:rFonts w:ascii="Times New Roman;Times;serif" w:hAnsi="Times New Roman;Times;serif"/>
          <w:color w:val="231F20"/>
          <w:sz w:val="20"/>
        </w:rPr>
        <w:t>Phase</w:t>
      </w:r>
      <w:r>
        <w:rPr>
          <w:rFonts w:ascii="Times New Roman;Times;serif" w:hAnsi="Times New Roman;Times;serif"/>
          <w:color w:val="231F20"/>
          <w:spacing w:val="-12"/>
          <w:sz w:val="20"/>
        </w:rPr>
        <w:t xml:space="preserve"> </w:t>
      </w:r>
      <w:r>
        <w:rPr>
          <w:rFonts w:ascii="Times New Roman;Times;serif" w:hAnsi="Times New Roman;Times;serif"/>
          <w:color w:val="231F20"/>
          <w:sz w:val="20"/>
        </w:rPr>
        <w:t>III</w:t>
      </w:r>
      <w:r>
        <w:rPr>
          <w:rFonts w:ascii="Times New Roman;Times;serif" w:hAnsi="Times New Roman;Times;serif"/>
          <w:color w:val="231F20"/>
          <w:spacing w:val="-11"/>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2"/>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2"/>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1"/>
          <w:sz w:val="20"/>
        </w:rPr>
        <w:t xml:space="preserve"> </w:t>
      </w:r>
      <w:r>
        <w:rPr>
          <w:rFonts w:ascii="Times New Roman;Times;serif" w:hAnsi="Times New Roman;Times;serif"/>
          <w:color w:val="231F20"/>
          <w:sz w:val="20"/>
        </w:rPr>
        <w:t>demonstrate</w:t>
      </w:r>
      <w:r>
        <w:rPr>
          <w:rFonts w:ascii="Times New Roman;Times;serif" w:hAnsi="Times New Roman;Times;serif"/>
          <w:color w:val="231F20"/>
          <w:spacing w:val="-1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1"/>
          <w:sz w:val="20"/>
        </w:rPr>
        <w:t xml:space="preserve"> </w:t>
      </w:r>
      <w:r>
        <w:rPr>
          <w:rFonts w:ascii="Times New Roman;Times;serif" w:hAnsi="Times New Roman;Times;serif"/>
          <w:color w:val="231F20"/>
          <w:sz w:val="20"/>
        </w:rPr>
        <w:t>safety</w:t>
      </w:r>
      <w:r>
        <w:rPr>
          <w:rFonts w:ascii="Times New Roman;Times;serif" w:hAnsi="Times New Roman;Times;serif"/>
          <w:color w:val="231F20"/>
          <w:spacing w:val="-12"/>
          <w:sz w:val="20"/>
        </w:rPr>
        <w:t xml:space="preserve"> </w:t>
      </w:r>
      <w:r>
        <w:rPr>
          <w:rFonts w:ascii="Times New Roman;Times;serif" w:hAnsi="Times New Roman;Times;serif"/>
          <w:color w:val="231F20"/>
          <w:sz w:val="20"/>
        </w:rPr>
        <w:t>or</w:t>
      </w:r>
      <w:r>
        <w:rPr>
          <w:rFonts w:ascii="Times New Roman;Times;serif" w:hAnsi="Times New Roman;Times;serif"/>
          <w:color w:val="231F20"/>
          <w:spacing w:val="-11"/>
          <w:sz w:val="20"/>
        </w:rPr>
        <w:t xml:space="preserve"> </w:t>
      </w:r>
      <w:r>
        <w:rPr>
          <w:rFonts w:ascii="Times New Roman;Times;serif" w:hAnsi="Times New Roman;Times;serif"/>
          <w:color w:val="231F20"/>
          <w:sz w:val="20"/>
        </w:rPr>
        <w:t>efficacy</w:t>
      </w:r>
      <w:r>
        <w:rPr>
          <w:rFonts w:ascii="Times New Roman;Times;serif" w:hAnsi="Times New Roman;Times;serif"/>
          <w:color w:val="231F20"/>
          <w:spacing w:val="-12"/>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1"/>
          <w:sz w:val="20"/>
        </w:rPr>
        <w:t xml:space="preserve"> </w:t>
      </w:r>
      <w:r>
        <w:rPr>
          <w:rFonts w:ascii="Times New Roman;Times;serif" w:hAnsi="Times New Roman;Times;serif"/>
          <w:color w:val="231F20"/>
          <w:sz w:val="20"/>
        </w:rPr>
        <w:t>drug</w:t>
      </w:r>
      <w:r>
        <w:rPr>
          <w:rFonts w:ascii="Times New Roman;Times;serif" w:hAnsi="Times New Roman;Times;serif"/>
          <w:color w:val="231F20"/>
          <w:spacing w:val="-12"/>
          <w:sz w:val="20"/>
        </w:rPr>
        <w:t xml:space="preserve"> </w:t>
      </w:r>
      <w:r>
        <w:rPr>
          <w:rFonts w:ascii="Times New Roman;Times;serif" w:hAnsi="Times New Roman;Times;serif"/>
          <w:color w:val="231F20"/>
          <w:sz w:val="20"/>
        </w:rPr>
        <w:t>candidates. Success</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w:t>
      </w:r>
      <w:r>
        <w:rPr>
          <w:rFonts w:ascii="Times New Roman;Times;serif" w:hAnsi="Times New Roman;Times;serif"/>
          <w:color w:val="231F20"/>
          <w:spacing w:val="-19"/>
          <w:sz w:val="20"/>
        </w:rPr>
        <w:t xml:space="preserve"> </w:t>
      </w:r>
      <w:r>
        <w:rPr>
          <w:rFonts w:ascii="Times New Roman;Times;serif" w:hAnsi="Times New Roman;Times;serif"/>
          <w:color w:val="231F20"/>
          <w:sz w:val="20"/>
        </w:rPr>
        <w:t>preclinical</w:t>
      </w:r>
      <w:r>
        <w:rPr>
          <w:rFonts w:ascii="Times New Roman;Times;serif" w:hAnsi="Times New Roman;Times;serif"/>
          <w:color w:val="231F20"/>
          <w:spacing w:val="-19"/>
          <w:sz w:val="20"/>
        </w:rPr>
        <w:t xml:space="preserve"> </w:t>
      </w:r>
      <w:r>
        <w:rPr>
          <w:rFonts w:ascii="Times New Roman;Times;serif" w:hAnsi="Times New Roman;Times;serif"/>
          <w:color w:val="231F20"/>
          <w:sz w:val="20"/>
        </w:rPr>
        <w:t>studies</w:t>
      </w:r>
      <w:r>
        <w:rPr>
          <w:rFonts w:ascii="Times New Roman;Times;serif" w:hAnsi="Times New Roman;Times;serif"/>
          <w:color w:val="231F20"/>
          <w:spacing w:val="-1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early</w:t>
      </w:r>
      <w:r>
        <w:rPr>
          <w:rFonts w:ascii="Times New Roman;Times;serif" w:hAnsi="Times New Roman;Times;serif"/>
          <w:color w:val="231F20"/>
          <w:spacing w:val="-19"/>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19"/>
          <w:sz w:val="20"/>
        </w:rPr>
        <w:t xml:space="preserve"> </w:t>
      </w:r>
      <w:r>
        <w:rPr>
          <w:rFonts w:ascii="Times New Roman;Times;serif" w:hAnsi="Times New Roman;Times;serif"/>
          <w:color w:val="231F20"/>
          <w:sz w:val="20"/>
        </w:rPr>
        <w:t>does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8"/>
          <w:sz w:val="20"/>
        </w:rPr>
        <w:t xml:space="preserve"> </w:t>
      </w:r>
      <w:r>
        <w:rPr>
          <w:rFonts w:ascii="Times New Roman;Times;serif" w:hAnsi="Times New Roman;Times;serif"/>
          <w:color w:val="231F20"/>
          <w:sz w:val="20"/>
        </w:rPr>
        <w:t>ensure</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19"/>
          <w:sz w:val="20"/>
        </w:rPr>
        <w:t xml:space="preserve"> </w:t>
      </w:r>
      <w:r>
        <w:rPr>
          <w:rFonts w:ascii="Times New Roman;Times;serif" w:hAnsi="Times New Roman;Times;serif"/>
          <w:color w:val="231F20"/>
          <w:sz w:val="20"/>
        </w:rPr>
        <w:t>later</w:t>
      </w:r>
      <w:r>
        <w:rPr>
          <w:rFonts w:ascii="Times New Roman;Times;serif" w:hAnsi="Times New Roman;Times;serif"/>
          <w:color w:val="231F20"/>
          <w:spacing w:val="-18"/>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9"/>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19"/>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8"/>
          <w:sz w:val="20"/>
        </w:rPr>
        <w:t xml:space="preserve"> </w:t>
      </w:r>
      <w:r>
        <w:rPr>
          <w:rFonts w:ascii="Times New Roman;Times;serif" w:hAnsi="Times New Roman;Times;serif"/>
          <w:color w:val="231F20"/>
          <w:sz w:val="20"/>
        </w:rPr>
        <w:t>be</w:t>
      </w:r>
      <w:r>
        <w:rPr>
          <w:rFonts w:ascii="Times New Roman;Times;serif" w:hAnsi="Times New Roman;Times;serif"/>
          <w:color w:val="231F20"/>
          <w:spacing w:val="-19"/>
          <w:sz w:val="20"/>
        </w:rPr>
        <w:t xml:space="preserve"> </w:t>
      </w:r>
      <w:r>
        <w:rPr>
          <w:rFonts w:ascii="Times New Roman;Times;serif" w:hAnsi="Times New Roman;Times;serif"/>
          <w:color w:val="231F20"/>
          <w:sz w:val="20"/>
        </w:rPr>
        <w:t xml:space="preserve">successful. Results of later clinical trials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not replicate the results of prior clinical trials and preclinical</w:t>
      </w:r>
      <w:r>
        <w:rPr>
          <w:rFonts w:ascii="Times New Roman;Times;serif" w:hAnsi="Times New Roman;Times;serif"/>
          <w:color w:val="231F20"/>
          <w:spacing w:val="-33"/>
          <w:sz w:val="20"/>
        </w:rPr>
        <w:t xml:space="preserve"> </w:t>
      </w:r>
      <w:r>
        <w:rPr>
          <w:rFonts w:ascii="Times New Roman;Times;serif" w:hAnsi="Times New Roman;Times;serif"/>
          <w:color w:val="231F20"/>
          <w:sz w:val="20"/>
        </w:rPr>
        <w:t>studies.</w:t>
      </w:r>
    </w:p>
    <w:p>
      <w:pPr>
        <w:pStyle w:val="TextBody"/>
        <w:spacing w:lineRule="auto" w:line="290"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Even if the results of Phase III clinical trials are positive, we may have to commit substantial time and additional resources to conducting further preclinical studies and clinical trials before obtaining FDA approval for any of our drug candidates.</w:t>
      </w:r>
    </w:p>
    <w:p>
      <w:pPr>
        <w:pStyle w:val="TextBody"/>
        <w:spacing w:lineRule="auto" w:line="290" w:before="160" w:after="240"/>
        <w:ind w:left="0" w:right="0" w:firstLine="399"/>
        <w:jc w:val="both"/>
        <w:rPr>
          <w:rFonts w:ascii="Times New Roman;Times;serif" w:hAnsi="Times New Roman;Times;serif"/>
          <w:sz w:val="20"/>
        </w:rPr>
      </w:pPr>
      <w:r>
        <w:rPr>
          <w:rFonts w:ascii="Times New Roman;Times;serif" w:hAnsi="Times New Roman;Times;serif"/>
          <w:color w:val="231F20"/>
          <w:sz w:val="20"/>
        </w:rPr>
        <w:t>Clinical</w:t>
      </w:r>
      <w:r>
        <w:rPr>
          <w:rFonts w:ascii="Times New Roman;Times;serif" w:hAnsi="Times New Roman;Times;serif"/>
          <w:color w:val="231F20"/>
          <w:spacing w:val="-4"/>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4"/>
          <w:sz w:val="20"/>
        </w:rPr>
        <w:t xml:space="preserve"> </w:t>
      </w:r>
      <w:r>
        <w:rPr>
          <w:rFonts w:ascii="Times New Roman;Times;serif" w:hAnsi="Times New Roman;Times;serif"/>
          <w:color w:val="231F20"/>
          <w:sz w:val="20"/>
        </w:rPr>
        <w:t>very</w:t>
      </w:r>
      <w:r>
        <w:rPr>
          <w:rFonts w:ascii="Times New Roman;Times;serif" w:hAnsi="Times New Roman;Times;serif"/>
          <w:color w:val="231F20"/>
          <w:spacing w:val="-4"/>
          <w:sz w:val="20"/>
        </w:rPr>
        <w:t xml:space="preserve"> </w:t>
      </w:r>
      <w:r>
        <w:rPr>
          <w:rFonts w:ascii="Times New Roman;Times;serif" w:hAnsi="Times New Roman;Times;serif"/>
          <w:color w:val="231F20"/>
          <w:sz w:val="20"/>
        </w:rPr>
        <w:t>expensive</w:t>
      </w:r>
      <w:r>
        <w:rPr>
          <w:rFonts w:ascii="Times New Roman;Times;serif" w:hAnsi="Times New Roman;Times;serif"/>
          <w:color w:val="231F20"/>
          <w:spacing w:val="-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
          <w:sz w:val="20"/>
        </w:rPr>
        <w:t xml:space="preserve"> </w:t>
      </w:r>
      <w:r>
        <w:rPr>
          <w:rFonts w:ascii="Times New Roman;Times;serif" w:hAnsi="Times New Roman;Times;serif"/>
          <w:color w:val="231F20"/>
          <w:sz w:val="20"/>
        </w:rPr>
        <w:t>difficult</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design</w:t>
      </w:r>
      <w:r>
        <w:rPr>
          <w:rFonts w:ascii="Times New Roman;Times;serif" w:hAnsi="Times New Roman;Times;serif"/>
          <w:color w:val="231F20"/>
          <w:spacing w:val="-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4"/>
          <w:sz w:val="20"/>
        </w:rPr>
        <w:t xml:space="preserve"> </w:t>
      </w:r>
      <w:r>
        <w:rPr>
          <w:rFonts w:ascii="Times New Roman;Times;serif" w:hAnsi="Times New Roman;Times;serif"/>
          <w:color w:val="231F20"/>
          <w:sz w:val="20"/>
        </w:rPr>
        <w:t>implement,</w:t>
      </w:r>
      <w:r>
        <w:rPr>
          <w:rFonts w:ascii="Times New Roman;Times;serif" w:hAnsi="Times New Roman;Times;serif"/>
          <w:color w:val="231F20"/>
          <w:spacing w:val="-3"/>
          <w:sz w:val="20"/>
        </w:rPr>
        <w:t xml:space="preserve"> </w:t>
      </w:r>
      <w:r>
        <w:rPr>
          <w:rFonts w:ascii="Times New Roman;Times;serif" w:hAnsi="Times New Roman;Times;serif"/>
          <w:color w:val="231F20"/>
          <w:sz w:val="20"/>
        </w:rPr>
        <w:t>in</w:t>
      </w:r>
      <w:r>
        <w:rPr>
          <w:rFonts w:ascii="Times New Roman;Times;serif" w:hAnsi="Times New Roman;Times;serif"/>
          <w:color w:val="231F20"/>
          <w:spacing w:val="-4"/>
          <w:sz w:val="20"/>
        </w:rPr>
        <w:t xml:space="preserve"> </w:t>
      </w:r>
      <w:r>
        <w:rPr>
          <w:rFonts w:ascii="Times New Roman;Times;serif" w:hAnsi="Times New Roman;Times;serif"/>
          <w:color w:val="231F20"/>
          <w:sz w:val="20"/>
        </w:rPr>
        <w:t>part</w:t>
      </w:r>
      <w:r>
        <w:rPr>
          <w:rFonts w:ascii="Times New Roman;Times;serif" w:hAnsi="Times New Roman;Times;serif"/>
          <w:color w:val="231F20"/>
          <w:spacing w:val="-4"/>
          <w:sz w:val="20"/>
        </w:rPr>
        <w:t xml:space="preserve"> </w:t>
      </w:r>
      <w:r>
        <w:rPr>
          <w:rFonts w:ascii="Times New Roman;Times;serif" w:hAnsi="Times New Roman;Times;serif"/>
          <w:color w:val="231F20"/>
          <w:sz w:val="20"/>
        </w:rPr>
        <w:t>because</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they</w:t>
      </w:r>
      <w:r>
        <w:rPr>
          <w:rFonts w:ascii="Times New Roman;Times;serif" w:hAnsi="Times New Roman;Times;serif"/>
          <w:color w:val="231F20"/>
          <w:spacing w:val="-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4"/>
          <w:sz w:val="20"/>
        </w:rPr>
        <w:t xml:space="preserve"> </w:t>
      </w:r>
      <w:r>
        <w:rPr>
          <w:rFonts w:ascii="Times New Roman;Times;serif" w:hAnsi="Times New Roman;Times;serif"/>
          <w:color w:val="231F20"/>
          <w:sz w:val="20"/>
        </w:rPr>
        <w:t xml:space="preserve">subject to rigorous requirements. The clinical trial process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consumes a significant amount of </w:t>
      </w:r>
      <w:r>
        <w:rPr>
          <w:rFonts w:ascii="Times New Roman;Times;serif" w:hAnsi="Times New Roman;Times;serif"/>
          <w:color w:val="231F20"/>
          <w:spacing w:val="-3"/>
          <w:sz w:val="20"/>
        </w:rPr>
        <w:t>time.</w:t>
      </w:r>
      <w:r>
        <w:rPr>
          <w:rFonts w:ascii="Times New Roman;Times;serif" w:hAnsi="Times New Roman;Times;serif"/>
          <w:color w:val="231F20"/>
          <w:spacing w:val="-17"/>
          <w:sz w:val="20"/>
        </w:rPr>
        <w:t xml:space="preserve"> </w:t>
      </w:r>
      <w:r>
        <w:rPr>
          <w:rFonts w:ascii="Times New Roman;Times;serif" w:hAnsi="Times New Roman;Times;serif"/>
          <w:color w:val="231F20"/>
          <w:sz w:val="20"/>
        </w:rPr>
        <w:t>Furthermore, if participating patients in clinical trials suffer drug-related adverse reactions during the course of</w:t>
      </w:r>
      <w:r>
        <w:rPr>
          <w:rFonts w:ascii="Times New Roman;Times;serif" w:hAnsi="Times New Roman;Times;serif"/>
          <w:color w:val="231F20"/>
          <w:spacing w:val="-2"/>
          <w:sz w:val="20"/>
        </w:rPr>
        <w:t xml:space="preserve"> </w:t>
      </w:r>
      <w:r>
        <w:rPr>
          <w:rFonts w:ascii="Times New Roman;Times;serif" w:hAnsi="Times New Roman;Times;serif"/>
          <w:color w:val="231F20"/>
          <w:sz w:val="20"/>
        </w:rPr>
        <w:t xml:space="preserve">such clinical </w:t>
      </w:r>
      <w:r>
        <w:rPr>
          <w:rFonts w:ascii="Times New Roman;Times;serif" w:hAnsi="Times New Roman;Times;serif"/>
          <w:color w:val="231F20"/>
          <w:spacing w:val="-3"/>
          <w:sz w:val="20"/>
        </w:rPr>
        <w:t xml:space="preserve">trials, </w:t>
      </w:r>
      <w:r>
        <w:rPr>
          <w:rFonts w:ascii="Times New Roman;Times;serif" w:hAnsi="Times New Roman;Times;serif"/>
          <w:color w:val="231F20"/>
          <w:sz w:val="20"/>
        </w:rPr>
        <w:t xml:space="preserve">or if we or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believe that participating patients are being exposed to unacceptable health risks, such clinical trials will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to be suspended or terminated. </w:t>
      </w:r>
      <w:r>
        <w:rPr>
          <w:rFonts w:ascii="Times New Roman;Times;serif" w:hAnsi="Times New Roman;Times;serif"/>
          <w:color w:val="231F20"/>
          <w:spacing w:val="-3"/>
          <w:sz w:val="20"/>
        </w:rPr>
        <w:t xml:space="preserve">Failure </w:t>
      </w:r>
      <w:r>
        <w:rPr>
          <w:rFonts w:ascii="Times New Roman;Times;serif" w:hAnsi="Times New Roman;Times;serif"/>
          <w:color w:val="231F20"/>
          <w:sz w:val="20"/>
        </w:rPr>
        <w:t xml:space="preserve">can occur </w:t>
      </w:r>
      <w:r>
        <w:rPr>
          <w:rFonts w:ascii="Times New Roman;Times;serif" w:hAnsi="Times New Roman;Times;serif"/>
          <w:color w:val="231F20"/>
          <w:spacing w:val="-3"/>
          <w:sz w:val="20"/>
        </w:rPr>
        <w:t xml:space="preserve">at any </w:t>
      </w:r>
      <w:r>
        <w:rPr>
          <w:rFonts w:ascii="Times New Roman;Times;serif" w:hAnsi="Times New Roman;Times;serif"/>
          <w:color w:val="231F20"/>
          <w:sz w:val="20"/>
        </w:rPr>
        <w:t xml:space="preserve">stage of the clinical </w:t>
      </w:r>
      <w:r>
        <w:rPr>
          <w:rFonts w:ascii="Times New Roman;Times;serif" w:hAnsi="Times New Roman;Times;serif"/>
          <w:color w:val="231F20"/>
          <w:spacing w:val="-3"/>
          <w:sz w:val="20"/>
        </w:rPr>
        <w:t xml:space="preserve">trials, </w:t>
      </w:r>
      <w:r>
        <w:rPr>
          <w:rFonts w:ascii="Times New Roman;Times;serif" w:hAnsi="Times New Roman;Times;serif"/>
          <w:color w:val="231F20"/>
          <w:sz w:val="20"/>
        </w:rPr>
        <w:t xml:space="preserve">and we could encounter problems that cause abandonment or repetition of clinical </w:t>
      </w:r>
      <w:r>
        <w:rPr>
          <w:rFonts w:ascii="Times New Roman;Times;serif" w:hAnsi="Times New Roman;Times;serif"/>
          <w:color w:val="231F20"/>
          <w:spacing w:val="-4"/>
          <w:sz w:val="20"/>
        </w:rPr>
        <w:t xml:space="preserve">trials. </w:t>
      </w:r>
      <w:r>
        <w:rPr>
          <w:rFonts w:ascii="Times New Roman;Times;serif" w:hAnsi="Times New Roman;Times;serif"/>
          <w:color w:val="231F20"/>
          <w:sz w:val="20"/>
        </w:rPr>
        <w:t>The</w:t>
      </w:r>
      <w:r>
        <w:rPr>
          <w:rFonts w:ascii="Times New Roman;Times;serif" w:hAnsi="Times New Roman;Times;serif"/>
          <w:color w:val="231F20"/>
          <w:spacing w:val="-12"/>
          <w:sz w:val="20"/>
        </w:rPr>
        <w:t xml:space="preserve"> </w:t>
      </w:r>
      <w:r>
        <w:rPr>
          <w:rFonts w:ascii="Times New Roman;Times;serif" w:hAnsi="Times New Roman;Times;serif"/>
          <w:color w:val="231F20"/>
          <w:sz w:val="20"/>
        </w:rPr>
        <w:t>success</w:t>
      </w:r>
      <w:r>
        <w:rPr>
          <w:rFonts w:ascii="Times New Roman;Times;serif" w:hAnsi="Times New Roman;Times;serif"/>
          <w:color w:val="231F20"/>
          <w:spacing w:val="-11"/>
          <w:sz w:val="20"/>
        </w:rPr>
        <w:t xml:space="preserve"> </w:t>
      </w:r>
      <w:r>
        <w:rPr>
          <w:rFonts w:ascii="Times New Roman;Times;serif" w:hAnsi="Times New Roman;Times;serif"/>
          <w:color w:val="231F20"/>
          <w:sz w:val="20"/>
        </w:rPr>
        <w:t>in</w:t>
      </w:r>
      <w:r>
        <w:rPr>
          <w:rFonts w:ascii="Times New Roman;Times;serif" w:hAnsi="Times New Roman;Times;serif"/>
          <w:color w:val="231F20"/>
          <w:spacing w:val="-12"/>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1"/>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12"/>
          <w:sz w:val="20"/>
        </w:rPr>
        <w:t xml:space="preserve"> </w:t>
      </w:r>
      <w:r>
        <w:rPr>
          <w:rFonts w:ascii="Times New Roman;Times;serif" w:hAnsi="Times New Roman;Times;serif"/>
          <w:color w:val="231F20"/>
          <w:sz w:val="20"/>
        </w:rPr>
        <w:t>depends</w:t>
      </w:r>
      <w:r>
        <w:rPr>
          <w:rFonts w:ascii="Times New Roman;Times;serif" w:hAnsi="Times New Roman;Times;serif"/>
          <w:color w:val="231F20"/>
          <w:spacing w:val="-11"/>
          <w:sz w:val="20"/>
        </w:rPr>
        <w:t xml:space="preserve"> </w:t>
      </w:r>
      <w:r>
        <w:rPr>
          <w:rFonts w:ascii="Times New Roman;Times;serif" w:hAnsi="Times New Roman;Times;serif"/>
          <w:color w:val="231F20"/>
          <w:sz w:val="20"/>
        </w:rPr>
        <w:t>on</w:t>
      </w:r>
      <w:r>
        <w:rPr>
          <w:rFonts w:ascii="Times New Roman;Times;serif" w:hAnsi="Times New Roman;Times;serif"/>
          <w:color w:val="231F20"/>
          <w:spacing w:val="-11"/>
          <w:sz w:val="20"/>
        </w:rPr>
        <w:t xml:space="preserve"> </w:t>
      </w:r>
      <w:r>
        <w:rPr>
          <w:rFonts w:ascii="Times New Roman;Times;serif" w:hAnsi="Times New Roman;Times;serif"/>
          <w:color w:val="231F20"/>
          <w:sz w:val="20"/>
        </w:rPr>
        <w:t>reaching</w:t>
      </w:r>
      <w:r>
        <w:rPr>
          <w:rFonts w:ascii="Times New Roman;Times;serif" w:hAnsi="Times New Roman;Times;serif"/>
          <w:color w:val="231F20"/>
          <w:spacing w:val="-12"/>
          <w:sz w:val="20"/>
        </w:rPr>
        <w:t xml:space="preserve"> </w:t>
      </w:r>
      <w:r>
        <w:rPr>
          <w:rFonts w:ascii="Times New Roman;Times;serif" w:hAnsi="Times New Roman;Times;serif"/>
          <w:color w:val="231F20"/>
          <w:sz w:val="20"/>
        </w:rPr>
        <w:t>statistically</w:t>
      </w:r>
      <w:r>
        <w:rPr>
          <w:rFonts w:ascii="Times New Roman;Times;serif" w:hAnsi="Times New Roman;Times;serif"/>
          <w:color w:val="231F20"/>
          <w:spacing w:val="-11"/>
          <w:sz w:val="20"/>
        </w:rPr>
        <w:t xml:space="preserve"> </w:t>
      </w:r>
      <w:r>
        <w:rPr>
          <w:rFonts w:ascii="Times New Roman;Times;serif" w:hAnsi="Times New Roman;Times;serif"/>
          <w:color w:val="231F20"/>
          <w:sz w:val="20"/>
        </w:rPr>
        <w:t>significant</w:t>
      </w:r>
      <w:r>
        <w:rPr>
          <w:rFonts w:ascii="Times New Roman;Times;serif" w:hAnsi="Times New Roman;Times;serif"/>
          <w:color w:val="231F20"/>
          <w:spacing w:val="-12"/>
          <w:sz w:val="20"/>
        </w:rPr>
        <w:t xml:space="preserve"> </w:t>
      </w:r>
      <w:r>
        <w:rPr>
          <w:rFonts w:ascii="Times New Roman;Times;serif" w:hAnsi="Times New Roman;Times;serif"/>
          <w:color w:val="231F20"/>
          <w:sz w:val="20"/>
        </w:rPr>
        <w:t>changes</w:t>
      </w:r>
      <w:r>
        <w:rPr>
          <w:rFonts w:ascii="Times New Roman;Times;serif" w:hAnsi="Times New Roman;Times;serif"/>
          <w:color w:val="231F20"/>
          <w:spacing w:val="-11"/>
          <w:sz w:val="20"/>
        </w:rPr>
        <w:t xml:space="preserve"> </w:t>
      </w:r>
      <w:r>
        <w:rPr>
          <w:rFonts w:ascii="Times New Roman;Times;serif" w:hAnsi="Times New Roman;Times;serif"/>
          <w:color w:val="231F20"/>
          <w:sz w:val="20"/>
        </w:rPr>
        <w:t>in</w:t>
      </w:r>
      <w:r>
        <w:rPr>
          <w:rFonts w:ascii="Times New Roman;Times;serif" w:hAnsi="Times New Roman;Times;serif"/>
          <w:color w:val="231F20"/>
          <w:spacing w:val="-12"/>
          <w:sz w:val="20"/>
        </w:rPr>
        <w:t xml:space="preserve"> </w:t>
      </w:r>
      <w:r>
        <w:rPr>
          <w:rFonts w:ascii="Times New Roman;Times;serif" w:hAnsi="Times New Roman;Times;serif"/>
          <w:color w:val="231F20"/>
          <w:sz w:val="20"/>
        </w:rPr>
        <w:t>patients’</w:t>
      </w:r>
      <w:r>
        <w:rPr>
          <w:rFonts w:ascii="Times New Roman;Times;serif" w:hAnsi="Times New Roman;Times;serif"/>
          <w:color w:val="231F20"/>
          <w:spacing w:val="-19"/>
          <w:sz w:val="20"/>
        </w:rPr>
        <w:t xml:space="preserve"> </w:t>
      </w:r>
      <w:r>
        <w:rPr>
          <w:rFonts w:ascii="Times New Roman;Times;serif" w:hAnsi="Times New Roman;Times;serif"/>
          <w:color w:val="231F20"/>
          <w:sz w:val="20"/>
        </w:rPr>
        <w:t>symptoms</w:t>
      </w:r>
      <w:r>
        <w:rPr>
          <w:rFonts w:ascii="Times New Roman;Times;serif" w:hAnsi="Times New Roman;Times;serif"/>
          <w:color w:val="231F20"/>
          <w:spacing w:val="-12"/>
          <w:sz w:val="20"/>
        </w:rPr>
        <w:t xml:space="preserve"> </w:t>
      </w:r>
      <w:r>
        <w:rPr>
          <w:rFonts w:ascii="Times New Roman;Times;serif" w:hAnsi="Times New Roman;Times;serif"/>
          <w:color w:val="231F20"/>
          <w:sz w:val="20"/>
        </w:rPr>
        <w:t xml:space="preserve">based on clinician-rated </w:t>
      </w:r>
      <w:r>
        <w:rPr>
          <w:rFonts w:ascii="Times New Roman;Times;serif" w:hAnsi="Times New Roman;Times;serif"/>
          <w:color w:val="231F20"/>
          <w:spacing w:val="-4"/>
          <w:sz w:val="20"/>
        </w:rPr>
        <w:t xml:space="preserve">scales. </w:t>
      </w:r>
      <w:r>
        <w:rPr>
          <w:rFonts w:ascii="Times New Roman;Times;serif" w:hAnsi="Times New Roman;Times;serif"/>
          <w:color w:val="231F20"/>
          <w:sz w:val="20"/>
        </w:rPr>
        <w:t xml:space="preserve">Due in part to a lack of consensus on standardized processes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assessing clinical outcomes, these scores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or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4"/>
          <w:sz w:val="20"/>
        </w:rPr>
        <w:t xml:space="preserve">reliable, </w:t>
      </w:r>
      <w:r>
        <w:rPr>
          <w:rFonts w:ascii="Times New Roman;Times;serif" w:hAnsi="Times New Roman;Times;serif"/>
          <w:color w:val="231F20"/>
          <w:sz w:val="20"/>
        </w:rPr>
        <w:t>useful or acceptable to regulatory</w:t>
      </w:r>
      <w:r>
        <w:rPr>
          <w:rFonts w:ascii="Times New Roman;Times;serif" w:hAnsi="Times New Roman;Times;serif"/>
          <w:color w:val="231F20"/>
          <w:spacing w:val="-37"/>
          <w:sz w:val="20"/>
        </w:rPr>
        <w:t xml:space="preserve"> </w:t>
      </w:r>
      <w:r>
        <w:rPr>
          <w:rFonts w:ascii="Times New Roman;Times;serif" w:hAnsi="Times New Roman;Times;serif"/>
          <w:color w:val="231F20"/>
          <w:sz w:val="20"/>
        </w:rPr>
        <w:t>agencies.</w:t>
      </w:r>
    </w:p>
    <w:p>
      <w:pPr>
        <w:pStyle w:val="TextBody"/>
        <w:spacing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do not know whether any of our planned clinical trials will result in marketable drugs. In addition, completion of clinical trials can be delayed by numerous factors, including: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986" w:type="dxa"/>
        <w:jc w:val="left"/>
        <w:tblInd w:w="0" w:type="dxa"/>
        <w:tblCellMar>
          <w:top w:w="28" w:type="dxa"/>
          <w:left w:w="28" w:type="dxa"/>
          <w:bottom w:w="28" w:type="dxa"/>
          <w:right w:w="28" w:type="dxa"/>
        </w:tblCellMar>
      </w:tblPr>
      <w:tblGrid>
        <w:gridCol w:w="124"/>
        <w:gridCol w:w="196"/>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66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delays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identifying</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agreeing</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on</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acceptable</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terms</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with</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prospective</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clinical</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trial</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sites;</w:t>
            </w:r>
          </w:p>
        </w:tc>
      </w:tr>
    </w:tbl>
    <w:tbl>
      <w:tblPr>
        <w:tblW w:w="5751" w:type="dxa"/>
        <w:jc w:val="left"/>
        <w:tblInd w:w="0" w:type="dxa"/>
        <w:tblCellMar>
          <w:top w:w="28" w:type="dxa"/>
          <w:left w:w="28" w:type="dxa"/>
          <w:bottom w:w="28" w:type="dxa"/>
          <w:right w:w="28" w:type="dxa"/>
        </w:tblCellMar>
      </w:tblPr>
      <w:tblGrid>
        <w:gridCol w:w="124"/>
        <w:gridCol w:w="196"/>
        <w:gridCol w:w="543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43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slower than expected rates of patient recruitment and</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enrollment;</w:t>
            </w:r>
          </w:p>
        </w:tc>
      </w:tr>
    </w:tbl>
    <w:tbl>
      <w:tblPr>
        <w:tblW w:w="3741" w:type="dxa"/>
        <w:jc w:val="left"/>
        <w:tblInd w:w="0" w:type="dxa"/>
        <w:tblCellMar>
          <w:top w:w="28" w:type="dxa"/>
          <w:left w:w="28" w:type="dxa"/>
          <w:bottom w:w="28" w:type="dxa"/>
          <w:right w:w="28" w:type="dxa"/>
        </w:tblCellMar>
      </w:tblPr>
      <w:tblGrid>
        <w:gridCol w:w="124"/>
        <w:gridCol w:w="196"/>
        <w:gridCol w:w="342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342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unanticipated patient dropout rates;</w:t>
            </w:r>
            <w:r>
              <w:rPr>
                <w:caps w:val="false"/>
                <w:smallCaps w:val="false"/>
                <w:color w:val="231F20"/>
                <w:spacing w:val="-26"/>
              </w:rPr>
              <w:t xml:space="preserve"> </w:t>
            </w:r>
            <w:r>
              <w:rPr>
                <w:rFonts w:ascii="Times New Roman;Times;serif" w:hAnsi="Times New Roman;Times;serif"/>
                <w:b w:val="false"/>
                <w:i w:val="false"/>
                <w:caps w:val="false"/>
                <w:smallCaps w:val="false"/>
                <w:color w:val="231F20"/>
                <w:sz w:val="20"/>
              </w:rPr>
              <w:t>and</w:t>
            </w:r>
          </w:p>
        </w:tc>
      </w:tr>
    </w:tbl>
    <w:tbl>
      <w:tblPr>
        <w:tblW w:w="9351" w:type="dxa"/>
        <w:jc w:val="left"/>
        <w:tblInd w:w="0" w:type="dxa"/>
        <w:tblCellMar>
          <w:top w:w="28" w:type="dxa"/>
          <w:left w:w="28" w:type="dxa"/>
          <w:bottom w:w="28" w:type="dxa"/>
          <w:right w:w="28" w:type="dxa"/>
        </w:tblCellMar>
      </w:tblPr>
      <w:tblGrid>
        <w:gridCol w:w="124"/>
        <w:gridCol w:w="196"/>
        <w:gridCol w:w="903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03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increases</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time</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required</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complete</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monitoring</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patients</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during</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after</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participation</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22"/>
              </w:rPr>
              <w:t xml:space="preserve"> </w:t>
            </w:r>
            <w:r>
              <w:rPr>
                <w:rFonts w:ascii="Times New Roman;Times;serif" w:hAnsi="Times New Roman;Times;serif"/>
                <w:b w:val="false"/>
                <w:i w:val="false"/>
                <w:caps w:val="false"/>
                <w:smallCaps w:val="false"/>
                <w:color w:val="231F20"/>
                <w:sz w:val="20"/>
              </w:rPr>
              <w:t>a clinical</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trial.</w:t>
            </w:r>
          </w:p>
        </w:tc>
      </w:tr>
    </w:tbl>
    <w:p>
      <w:pPr>
        <w:pStyle w:val="TextBody"/>
        <w:spacing w:before="16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Any of these delays could significantly impact the timing, approval and commercialization of our drug candidates and could significantly increase our overall costs of drug development.</w:t>
      </w:r>
    </w:p>
    <w:p>
      <w:pPr>
        <w:pStyle w:val="TextBody"/>
        <w:spacing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Even if clinical trials are completed as planned, their results may not support expectations or intended marketing claims. The clinical trials process may fail to demonstrate that our drug candidates are safe and effective for indicated uses. Such failure would cause us to abandon a drug candidate and could delay development of other drug candidates.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 xml:space="preserve">We </w:t>
      </w:r>
      <w:r>
        <w:rPr>
          <w:rFonts w:ascii="Times New Roman;Times;serif" w:hAnsi="Times New Roman;Times;serif"/>
          <w:b/>
          <w:i/>
          <w:color w:val="231F20"/>
          <w:sz w:val="20"/>
        </w:rPr>
        <w:t>cannot predict whether regulatory agencies will determine that the data from our clinical trials of our product candidates supports marketing approval.</w:t>
      </w:r>
    </w:p>
    <w:p>
      <w:pPr>
        <w:pStyle w:val="TextBody"/>
        <w:spacing w:lineRule="auto" w:line="288"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 </w:t>
      </w:r>
      <w:r>
        <w:rPr>
          <w:rFonts w:ascii="Times New Roman;Times;serif" w:hAnsi="Times New Roman;Times;serif"/>
          <w:color w:val="231F20"/>
          <w:spacing w:val="-12"/>
          <w:sz w:val="20"/>
        </w:rPr>
        <w:t xml:space="preserve">FDA’s </w:t>
      </w:r>
      <w:r>
        <w:rPr>
          <w:rFonts w:ascii="Times New Roman;Times;serif" w:hAnsi="Times New Roman;Times;serif"/>
          <w:color w:val="231F20"/>
          <w:sz w:val="20"/>
        </w:rPr>
        <w:t xml:space="preserve">and other regulatory agencies’ decision to </w:t>
      </w:r>
      <w:r>
        <w:rPr>
          <w:rFonts w:ascii="Times New Roman;Times;serif" w:hAnsi="Times New Roman;Times;serif"/>
          <w:color w:val="231F20"/>
          <w:spacing w:val="-4"/>
          <w:sz w:val="20"/>
        </w:rPr>
        <w:t xml:space="preserve">approve </w:t>
      </w:r>
      <w:r>
        <w:rPr>
          <w:rFonts w:ascii="Times New Roman;Times;serif" w:hAnsi="Times New Roman;Times;serif"/>
          <w:color w:val="231F20"/>
          <w:sz w:val="20"/>
        </w:rPr>
        <w:t xml:space="preserve">our drug candidates will depend on our ability to demonstrate with substantial clinical evidence through well-controlled clinical </w:t>
      </w:r>
      <w:r>
        <w:rPr>
          <w:rFonts w:ascii="Times New Roman;Times;serif" w:hAnsi="Times New Roman;Times;serif"/>
          <w:color w:val="231F20"/>
          <w:spacing w:val="-3"/>
          <w:sz w:val="20"/>
        </w:rPr>
        <w:t xml:space="preserve">trials, </w:t>
      </w:r>
      <w:r>
        <w:rPr>
          <w:rFonts w:ascii="Times New Roman;Times;serif" w:hAnsi="Times New Roman;Times;serif"/>
          <w:color w:val="231F20"/>
          <w:sz w:val="20"/>
        </w:rPr>
        <w:t xml:space="preserve">that the product candidates are </w:t>
      </w:r>
      <w:r>
        <w:rPr>
          <w:rFonts w:ascii="Times New Roman;Times;serif" w:hAnsi="Times New Roman;Times;serif"/>
          <w:color w:val="231F20"/>
          <w:spacing w:val="-3"/>
          <w:sz w:val="20"/>
        </w:rPr>
        <w:t xml:space="preserve">effective, </w:t>
      </w:r>
      <w:r>
        <w:rPr>
          <w:rFonts w:ascii="Times New Roman;Times;serif" w:hAnsi="Times New Roman;Times;serif"/>
          <w:color w:val="231F20"/>
          <w:sz w:val="20"/>
        </w:rPr>
        <w:t xml:space="preserve">as measured statistically by comparing the </w:t>
      </w:r>
      <w:r>
        <w:rPr>
          <w:rFonts w:ascii="Times New Roman;Times;serif" w:hAnsi="Times New Roman;Times;serif"/>
          <w:color w:val="231F20"/>
          <w:spacing w:val="-3"/>
          <w:sz w:val="20"/>
        </w:rPr>
        <w:t xml:space="preserve">overall </w:t>
      </w:r>
      <w:r>
        <w:rPr>
          <w:rFonts w:ascii="Times New Roman;Times;serif" w:hAnsi="Times New Roman;Times;serif"/>
          <w:color w:val="231F20"/>
          <w:sz w:val="20"/>
        </w:rPr>
        <w:t xml:space="preserve">improvement in actively- treated patients against improvement in the control group (usually a placebo control).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there is a possibility that our data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fail to show a statistically significant difference from the placebo-control or </w:t>
      </w:r>
      <w:r>
        <w:rPr>
          <w:rFonts w:ascii="Times New Roman;Times;serif" w:hAnsi="Times New Roman;Times;serif"/>
          <w:color w:val="231F20"/>
          <w:spacing w:val="-4"/>
          <w:sz w:val="20"/>
        </w:rPr>
        <w:t xml:space="preserve">the </w:t>
      </w:r>
      <w:r>
        <w:rPr>
          <w:rFonts w:ascii="Times New Roman;Times;serif" w:hAnsi="Times New Roman;Times;serif"/>
          <w:color w:val="231F20"/>
          <w:sz w:val="20"/>
        </w:rPr>
        <w:t xml:space="preserve">active control. </w:t>
      </w:r>
      <w:r>
        <w:rPr>
          <w:rFonts w:ascii="Times New Roman;Times;serif" w:hAnsi="Times New Roman;Times;serif"/>
          <w:color w:val="231F20"/>
          <w:spacing w:val="-3"/>
          <w:sz w:val="20"/>
        </w:rPr>
        <w:t xml:space="preserve">Alternatively, </w:t>
      </w:r>
      <w:r>
        <w:rPr>
          <w:rFonts w:ascii="Times New Roman;Times;serif" w:hAnsi="Times New Roman;Times;serif"/>
          <w:color w:val="231F20"/>
          <w:sz w:val="20"/>
        </w:rPr>
        <w:t xml:space="preserve">there is a possibility that our data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statistically significant, but that the actual clinical benefit of the product candidates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considered to be clinically significant, clinically relevant or clinically meaningful. Consequently, we believe that regulators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consider additional data, such</w:t>
      </w:r>
      <w:r>
        <w:rPr>
          <w:rFonts w:ascii="Times New Roman;Times;serif" w:hAnsi="Times New Roman;Times;serif"/>
          <w:color w:val="231F20"/>
          <w:spacing w:val="-5"/>
          <w:sz w:val="20"/>
        </w:rPr>
        <w:t xml:space="preserve"> </w:t>
      </w:r>
      <w:r>
        <w:rPr>
          <w:rFonts w:ascii="Times New Roman;Times;serif" w:hAnsi="Times New Roman;Times;serif"/>
          <w:color w:val="231F20"/>
          <w:sz w:val="20"/>
        </w:rPr>
        <w:t>as</w:t>
      </w:r>
      <w:r>
        <w:rPr>
          <w:rFonts w:ascii="Times New Roman;Times;serif" w:hAnsi="Times New Roman;Times;serif"/>
          <w:color w:val="231F20"/>
          <w:spacing w:val="-4"/>
          <w:sz w:val="20"/>
        </w:rPr>
        <w:t xml:space="preserve"> </w:t>
      </w:r>
      <w:r>
        <w:rPr>
          <w:rFonts w:ascii="Times New Roman;Times;serif" w:hAnsi="Times New Roman;Times;serif"/>
          <w:color w:val="231F20"/>
          <w:sz w:val="20"/>
        </w:rPr>
        <w:t>a</w:t>
      </w:r>
      <w:r>
        <w:rPr>
          <w:rFonts w:ascii="Times New Roman;Times;serif" w:hAnsi="Times New Roman;Times;serif"/>
          <w:color w:val="231F20"/>
          <w:spacing w:val="-4"/>
          <w:sz w:val="20"/>
        </w:rPr>
        <w:t xml:space="preserve"> </w:t>
      </w:r>
      <w:r>
        <w:rPr>
          <w:rFonts w:ascii="Times New Roman;Times;serif" w:hAnsi="Times New Roman;Times;serif"/>
          <w:color w:val="231F20"/>
          <w:sz w:val="20"/>
        </w:rPr>
        <w:t>“responder”</w:t>
      </w:r>
      <w:r>
        <w:rPr>
          <w:rFonts w:ascii="Times New Roman;Times;serif" w:hAnsi="Times New Roman;Times;serif"/>
          <w:color w:val="231F20"/>
          <w:spacing w:val="-17"/>
          <w:sz w:val="20"/>
        </w:rPr>
        <w:t xml:space="preserve"> </w:t>
      </w:r>
      <w:r>
        <w:rPr>
          <w:rFonts w:ascii="Times New Roman;Times;serif" w:hAnsi="Times New Roman;Times;serif"/>
          <w:color w:val="231F20"/>
          <w:spacing w:val="-3"/>
          <w:sz w:val="20"/>
        </w:rPr>
        <w:t>analysis,</w:t>
      </w:r>
      <w:r>
        <w:rPr>
          <w:rFonts w:ascii="Times New Roman;Times;serif" w:hAnsi="Times New Roman;Times;serif"/>
          <w:color w:val="231F20"/>
          <w:spacing w:val="-4"/>
          <w:sz w:val="20"/>
        </w:rPr>
        <w:t xml:space="preserve"> </w:t>
      </w:r>
      <w:r>
        <w:rPr>
          <w:rFonts w:ascii="Times New Roman;Times;serif" w:hAnsi="Times New Roman;Times;serif"/>
          <w:color w:val="231F20"/>
          <w:sz w:val="20"/>
        </w:rPr>
        <w:t>secondary</w:t>
      </w:r>
      <w:r>
        <w:rPr>
          <w:rFonts w:ascii="Times New Roman;Times;serif" w:hAnsi="Times New Roman;Times;serif"/>
          <w:color w:val="231F20"/>
          <w:spacing w:val="-4"/>
          <w:sz w:val="20"/>
        </w:rPr>
        <w:t xml:space="preserve"> </w:t>
      </w:r>
      <w:r>
        <w:rPr>
          <w:rFonts w:ascii="Times New Roman;Times;serif" w:hAnsi="Times New Roman;Times;serif"/>
          <w:color w:val="231F20"/>
          <w:sz w:val="20"/>
        </w:rPr>
        <w:t>efficacy</w:t>
      </w:r>
      <w:r>
        <w:rPr>
          <w:rFonts w:ascii="Times New Roman;Times;serif" w:hAnsi="Times New Roman;Times;serif"/>
          <w:color w:val="231F20"/>
          <w:spacing w:val="-4"/>
          <w:sz w:val="20"/>
        </w:rPr>
        <w:t xml:space="preserve"> </w:t>
      </w:r>
      <w:r>
        <w:rPr>
          <w:rFonts w:ascii="Times New Roman;Times;serif" w:hAnsi="Times New Roman;Times;serif"/>
          <w:color w:val="231F20"/>
          <w:sz w:val="20"/>
        </w:rPr>
        <w:t>endpoints</w:t>
      </w:r>
      <w:r>
        <w:rPr>
          <w:rFonts w:ascii="Times New Roman;Times;serif" w:hAnsi="Times New Roman;Times;serif"/>
          <w:color w:val="231F20"/>
          <w:spacing w:val="-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4"/>
          <w:sz w:val="20"/>
        </w:rPr>
        <w:t xml:space="preserve"> </w:t>
      </w:r>
      <w:r>
        <w:rPr>
          <w:rFonts w:ascii="Times New Roman;Times;serif" w:hAnsi="Times New Roman;Times;serif"/>
          <w:color w:val="231F20"/>
          <w:sz w:val="20"/>
        </w:rPr>
        <w:t>safety</w:t>
      </w:r>
      <w:r>
        <w:rPr>
          <w:rFonts w:ascii="Times New Roman;Times;serif" w:hAnsi="Times New Roman;Times;serif"/>
          <w:color w:val="231F20"/>
          <w:spacing w:val="-4"/>
          <w:sz w:val="20"/>
        </w:rPr>
        <w:t xml:space="preserve"> </w:t>
      </w:r>
      <w:r>
        <w:rPr>
          <w:rFonts w:ascii="Times New Roman;Times;serif" w:hAnsi="Times New Roman;Times;serif"/>
          <w:color w:val="231F20"/>
          <w:sz w:val="20"/>
        </w:rPr>
        <w:t>when</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evaluating</w:t>
      </w:r>
      <w:r>
        <w:rPr>
          <w:rFonts w:ascii="Times New Roman;Times;serif" w:hAnsi="Times New Roman;Times;serif"/>
          <w:color w:val="231F20"/>
          <w:spacing w:val="-4"/>
          <w:sz w:val="20"/>
        </w:rPr>
        <w:t xml:space="preserve"> </w:t>
      </w:r>
      <w:r>
        <w:rPr>
          <w:rFonts w:ascii="Times New Roman;Times;serif" w:hAnsi="Times New Roman;Times;serif"/>
          <w:color w:val="231F20"/>
          <w:sz w:val="20"/>
        </w:rPr>
        <w:t>whether</w:t>
      </w:r>
      <w:r>
        <w:rPr>
          <w:rFonts w:ascii="Times New Roman;Times;serif" w:hAnsi="Times New Roman;Times;serif"/>
          <w:color w:val="231F20"/>
          <w:spacing w:val="-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5"/>
          <w:sz w:val="20"/>
        </w:rPr>
        <w:t xml:space="preserve"> </w:t>
      </w:r>
      <w:r>
        <w:rPr>
          <w:rFonts w:ascii="Times New Roman;Times;serif" w:hAnsi="Times New Roman;Times;serif"/>
          <w:color w:val="231F20"/>
          <w:sz w:val="20"/>
        </w:rPr>
        <w:t xml:space="preserve">product candidates can be </w:t>
      </w:r>
      <w:r>
        <w:rPr>
          <w:rFonts w:ascii="Times New Roman;Times;serif" w:hAnsi="Times New Roman;Times;serif"/>
          <w:color w:val="231F20"/>
          <w:spacing w:val="-3"/>
          <w:sz w:val="20"/>
        </w:rPr>
        <w:t xml:space="preserve">approved.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cannot predict whether the regulatory agencies will find that our clinical trial</w:t>
      </w:r>
      <w:r>
        <w:rPr>
          <w:rFonts w:ascii="Times New Roman;Times;serif" w:hAnsi="Times New Roman;Times;serif"/>
          <w:color w:val="231F20"/>
          <w:spacing w:val="-11"/>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11"/>
          <w:sz w:val="20"/>
        </w:rPr>
        <w:t xml:space="preserve"> </w:t>
      </w:r>
      <w:r>
        <w:rPr>
          <w:rFonts w:ascii="Times New Roman;Times;serif" w:hAnsi="Times New Roman;Times;serif"/>
          <w:color w:val="231F20"/>
          <w:sz w:val="20"/>
        </w:rPr>
        <w:t>provide</w:t>
      </w:r>
      <w:r>
        <w:rPr>
          <w:rFonts w:ascii="Times New Roman;Times;serif" w:hAnsi="Times New Roman;Times;serif"/>
          <w:color w:val="231F20"/>
          <w:spacing w:val="-11"/>
          <w:sz w:val="20"/>
        </w:rPr>
        <w:t xml:space="preserve"> </w:t>
      </w:r>
      <w:r>
        <w:rPr>
          <w:rFonts w:ascii="Times New Roman;Times;serif" w:hAnsi="Times New Roman;Times;serif"/>
          <w:color w:val="231F20"/>
          <w:sz w:val="20"/>
        </w:rPr>
        <w:t>compelling</w:t>
      </w:r>
      <w:r>
        <w:rPr>
          <w:rFonts w:ascii="Times New Roman;Times;serif" w:hAnsi="Times New Roman;Times;serif"/>
          <w:color w:val="231F20"/>
          <w:spacing w:val="-11"/>
          <w:sz w:val="20"/>
        </w:rPr>
        <w:t xml:space="preserve"> </w:t>
      </w:r>
      <w:r>
        <w:rPr>
          <w:rFonts w:ascii="Times New Roman;Times;serif" w:hAnsi="Times New Roman;Times;serif"/>
          <w:color w:val="231F20"/>
          <w:sz w:val="20"/>
        </w:rPr>
        <w:t>“responder”</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11"/>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1"/>
          <w:sz w:val="20"/>
        </w:rPr>
        <w:t xml:space="preserve"> </w:t>
      </w:r>
      <w:r>
        <w:rPr>
          <w:rFonts w:ascii="Times New Roman;Times;serif" w:hAnsi="Times New Roman;Times;serif"/>
          <w:color w:val="231F20"/>
          <w:sz w:val="20"/>
        </w:rPr>
        <w:t>secondary</w:t>
      </w:r>
      <w:r>
        <w:rPr>
          <w:rFonts w:ascii="Times New Roman;Times;serif" w:hAnsi="Times New Roman;Times;serif"/>
          <w:color w:val="231F20"/>
          <w:spacing w:val="-11"/>
          <w:sz w:val="20"/>
        </w:rPr>
        <w:t xml:space="preserve"> </w:t>
      </w:r>
      <w:r>
        <w:rPr>
          <w:rFonts w:ascii="Times New Roman;Times;serif" w:hAnsi="Times New Roman;Times;serif"/>
          <w:color w:val="231F20"/>
          <w:sz w:val="20"/>
        </w:rPr>
        <w:t>endpoint</w:t>
      </w:r>
      <w:r>
        <w:rPr>
          <w:rFonts w:ascii="Times New Roman;Times;serif" w:hAnsi="Times New Roman;Times;serif"/>
          <w:color w:val="231F20"/>
          <w:spacing w:val="-11"/>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10"/>
          <w:sz w:val="20"/>
        </w:rPr>
        <w:t xml:space="preserve"> </w:t>
      </w:r>
      <w:r>
        <w:rPr>
          <w:rFonts w:ascii="Times New Roman;Times;serif" w:hAnsi="Times New Roman;Times;serif"/>
          <w:color w:val="231F20"/>
          <w:sz w:val="20"/>
        </w:rPr>
        <w:t>Even</w:t>
      </w:r>
      <w:r>
        <w:rPr>
          <w:rFonts w:ascii="Times New Roman;Times;serif" w:hAnsi="Times New Roman;Times;serif"/>
          <w:color w:val="231F20"/>
          <w:spacing w:val="-11"/>
          <w:sz w:val="20"/>
        </w:rPr>
        <w:t xml:space="preserve"> </w:t>
      </w:r>
      <w:r>
        <w:rPr>
          <w:rFonts w:ascii="Times New Roman;Times;serif" w:hAnsi="Times New Roman;Times;serif"/>
          <w:color w:val="231F20"/>
          <w:sz w:val="20"/>
        </w:rPr>
        <w:t>if</w:t>
      </w:r>
      <w:r>
        <w:rPr>
          <w:rFonts w:ascii="Times New Roman;Times;serif" w:hAnsi="Times New Roman;Times;serif"/>
          <w:color w:val="231F20"/>
          <w:spacing w:val="10"/>
          <w:sz w:val="20"/>
        </w:rPr>
        <w:t xml:space="preserve"> </w:t>
      </w:r>
      <w:r>
        <w:rPr>
          <w:rFonts w:ascii="Times New Roman;Times;serif" w:hAnsi="Times New Roman;Times;serif"/>
          <w:color w:val="231F20"/>
          <w:sz w:val="20"/>
        </w:rPr>
        <w:t>we</w:t>
      </w:r>
      <w:r>
        <w:rPr>
          <w:rFonts w:ascii="Times New Roman;Times;serif" w:hAnsi="Times New Roman;Times;serif"/>
          <w:color w:val="231F20"/>
          <w:spacing w:val="-11"/>
          <w:sz w:val="20"/>
        </w:rPr>
        <w:t xml:space="preserve"> </w:t>
      </w:r>
      <w:r>
        <w:rPr>
          <w:rFonts w:ascii="Times New Roman;Times;serif" w:hAnsi="Times New Roman;Times;serif"/>
          <w:color w:val="231F20"/>
          <w:sz w:val="20"/>
        </w:rPr>
        <w:t>believe</w:t>
      </w:r>
      <w:r>
        <w:rPr>
          <w:rFonts w:ascii="Times New Roman;Times;serif" w:hAnsi="Times New Roman;Times;serif"/>
          <w:color w:val="231F20"/>
          <w:spacing w:val="-10"/>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1"/>
          <w:sz w:val="20"/>
        </w:rPr>
        <w:t xml:space="preserve"> </w:t>
      </w:r>
      <w:r>
        <w:rPr>
          <w:rFonts w:ascii="Times New Roman;Times;serif" w:hAnsi="Times New Roman;Times;serif"/>
          <w:color w:val="231F20"/>
          <w:sz w:val="20"/>
        </w:rPr>
        <w:t xml:space="preserve">data from our trials will support marketing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in the U.S. or in </w:t>
      </w:r>
      <w:r>
        <w:rPr>
          <w:rFonts w:ascii="Times New Roman;Times;serif" w:hAnsi="Times New Roman;Times;serif"/>
          <w:color w:val="231F20"/>
          <w:spacing w:val="-3"/>
          <w:sz w:val="20"/>
        </w:rPr>
        <w:t xml:space="preserve">Europe, </w:t>
      </w:r>
      <w:r>
        <w:rPr>
          <w:rFonts w:ascii="Times New Roman;Times;serif" w:hAnsi="Times New Roman;Times;serif"/>
          <w:color w:val="231F20"/>
          <w:sz w:val="20"/>
        </w:rPr>
        <w:t xml:space="preserve">we cannot predict whether the agencies will agree with our analysis and </w:t>
      </w:r>
      <w:r>
        <w:rPr>
          <w:rFonts w:ascii="Times New Roman;Times;serif" w:hAnsi="Times New Roman;Times;serif"/>
          <w:color w:val="231F20"/>
          <w:spacing w:val="-4"/>
          <w:sz w:val="20"/>
        </w:rPr>
        <w:t xml:space="preserve">approve </w:t>
      </w:r>
      <w:r>
        <w:rPr>
          <w:rFonts w:ascii="Times New Roman;Times;serif" w:hAnsi="Times New Roman;Times;serif"/>
          <w:color w:val="231F20"/>
          <w:sz w:val="20"/>
        </w:rPr>
        <w:t>our</w:t>
      </w:r>
      <w:r>
        <w:rPr>
          <w:rFonts w:ascii="Times New Roman;Times;serif" w:hAnsi="Times New Roman;Times;serif"/>
          <w:color w:val="231F20"/>
          <w:spacing w:val="-34"/>
          <w:sz w:val="20"/>
        </w:rPr>
        <w:t xml:space="preserve"> </w:t>
      </w:r>
      <w:r>
        <w:rPr>
          <w:rFonts w:ascii="Times New Roman;Times;serif" w:hAnsi="Times New Roman;Times;serif"/>
          <w:color w:val="231F20"/>
          <w:sz w:val="20"/>
        </w:rPr>
        <w:t>applications.</w:t>
      </w:r>
    </w:p>
    <w:p>
      <w:pPr>
        <w:pStyle w:val="TextBody"/>
        <w:spacing w:lineRule="auto" w:line="288"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 xml:space="preserve">There is no guarantee that regulatory authorities will grant </w:t>
      </w:r>
      <w:r>
        <w:rPr>
          <w:rFonts w:ascii="Times New Roman;Times;serif" w:hAnsi="Times New Roman;Times;serif"/>
          <w:b/>
          <w:i/>
          <w:color w:val="231F20"/>
          <w:spacing w:val="-5"/>
          <w:sz w:val="20"/>
        </w:rPr>
        <w:t xml:space="preserve">NDA </w:t>
      </w:r>
      <w:r>
        <w:rPr>
          <w:rFonts w:ascii="Times New Roman;Times;serif" w:hAnsi="Times New Roman;Times;serif"/>
          <w:b/>
          <w:i/>
          <w:color w:val="231F20"/>
          <w:sz w:val="20"/>
        </w:rPr>
        <w:t>approval of our current or future product candidates</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failure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obtain</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necessary</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clearances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approvals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for</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current</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future</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product</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 xml:space="preserve">candidates would adversely affect our ability to </w:t>
      </w:r>
      <w:r>
        <w:rPr>
          <w:rFonts w:ascii="Times New Roman;Times;serif" w:hAnsi="Times New Roman;Times;serif"/>
          <w:b/>
          <w:i/>
          <w:color w:val="231F20"/>
          <w:spacing w:val="-3"/>
          <w:sz w:val="20"/>
        </w:rPr>
        <w:t xml:space="preserve">grow </w:t>
      </w:r>
      <w:r>
        <w:rPr>
          <w:rFonts w:ascii="Times New Roman;Times;serif" w:hAnsi="Times New Roman;Times;serif"/>
          <w:b/>
          <w:i/>
          <w:color w:val="231F20"/>
          <w:sz w:val="20"/>
        </w:rPr>
        <w:t>our</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business.</w:t>
      </w:r>
    </w:p>
    <w:p>
      <w:pPr>
        <w:pStyle w:val="TextBody"/>
        <w:spacing w:lineRule="auto" w:line="288" w:before="161"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initiated a Phase IIb/III clinical research program of NRX-101 during the second </w:t>
      </w:r>
      <w:r>
        <w:rPr>
          <w:rFonts w:ascii="Times New Roman;Times;serif" w:hAnsi="Times New Roman;Times;serif"/>
          <w:color w:val="231F20"/>
          <w:spacing w:val="-3"/>
          <w:sz w:val="20"/>
        </w:rPr>
        <w:t xml:space="preserve">half </w:t>
      </w:r>
      <w:r>
        <w:rPr>
          <w:rFonts w:ascii="Times New Roman;Times;serif" w:hAnsi="Times New Roman;Times;serif"/>
          <w:color w:val="231F20"/>
          <w:sz w:val="20"/>
        </w:rPr>
        <w:t xml:space="preserve">of 2017 under an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Investigational New Drug (“IND”) application that was granted </w:t>
      </w:r>
      <w:r>
        <w:rPr>
          <w:rFonts w:ascii="Times New Roman;Times;serif" w:hAnsi="Times New Roman;Times;serif"/>
          <w:color w:val="231F20"/>
          <w:spacing w:val="-3"/>
          <w:sz w:val="20"/>
        </w:rPr>
        <w:t xml:space="preserve">Fast </w:t>
      </w:r>
      <w:r>
        <w:rPr>
          <w:rFonts w:ascii="Times New Roman;Times;serif" w:hAnsi="Times New Roman;Times;serif"/>
          <w:color w:val="231F20"/>
          <w:spacing w:val="-4"/>
          <w:sz w:val="20"/>
        </w:rPr>
        <w:t xml:space="preserve">Track </w:t>
      </w:r>
      <w:r>
        <w:rPr>
          <w:rFonts w:ascii="Times New Roman;Times;serif" w:hAnsi="Times New Roman;Times;serif"/>
          <w:color w:val="231F20"/>
          <w:sz w:val="20"/>
        </w:rPr>
        <w:t xml:space="preserve">designation by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in August 2017 and was granted the Breakthrough Therapy designation by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in November 2018. In April 2018,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granted a Special Protocol Agreement.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successfully completed a Phase II clinical trial of NRX-101 in patients with severe bipolar depression and acute suicidal ideation </w:t>
      </w:r>
      <w:r>
        <w:rPr>
          <w:rFonts w:ascii="Times New Roman;Times;serif" w:hAnsi="Times New Roman;Times;serif"/>
          <w:color w:val="231F20"/>
          <w:spacing w:val="-3"/>
          <w:sz w:val="20"/>
        </w:rPr>
        <w:t>following</w:t>
      </w:r>
      <w:r>
        <w:rPr>
          <w:rFonts w:ascii="Times New Roman;Times;serif" w:hAnsi="Times New Roman;Times;serif"/>
          <w:color w:val="231F20"/>
          <w:spacing w:val="-18"/>
          <w:sz w:val="20"/>
        </w:rPr>
        <w:t xml:space="preserve"> </w:t>
      </w:r>
      <w:r>
        <w:rPr>
          <w:rFonts w:ascii="Times New Roman;Times;serif" w:hAnsi="Times New Roman;Times;serif"/>
          <w:color w:val="231F20"/>
          <w:sz w:val="20"/>
        </w:rPr>
        <w:t>stabilization</w:t>
      </w:r>
      <w:r>
        <w:rPr>
          <w:rFonts w:ascii="Times New Roman;Times;serif" w:hAnsi="Times New Roman;Times;serif"/>
          <w:color w:val="231F20"/>
          <w:spacing w:val="-17"/>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7"/>
          <w:sz w:val="20"/>
        </w:rPr>
        <w:t xml:space="preserve"> </w:t>
      </w:r>
      <w:r>
        <w:rPr>
          <w:rFonts w:ascii="Times New Roman;Times;serif" w:hAnsi="Times New Roman;Times;serif"/>
          <w:color w:val="231F20"/>
          <w:sz w:val="20"/>
        </w:rPr>
        <w:t>a</w:t>
      </w:r>
      <w:r>
        <w:rPr>
          <w:rFonts w:ascii="Times New Roman;Times;serif" w:hAnsi="Times New Roman;Times;serif"/>
          <w:color w:val="231F20"/>
          <w:spacing w:val="-17"/>
          <w:sz w:val="20"/>
        </w:rPr>
        <w:t xml:space="preserve"> </w:t>
      </w:r>
      <w:r>
        <w:rPr>
          <w:rFonts w:ascii="Times New Roman;Times;serif" w:hAnsi="Times New Roman;Times;serif"/>
          <w:color w:val="231F20"/>
          <w:sz w:val="20"/>
        </w:rPr>
        <w:t>single</w:t>
      </w:r>
      <w:r>
        <w:rPr>
          <w:rFonts w:ascii="Times New Roman;Times;serif" w:hAnsi="Times New Roman;Times;serif"/>
          <w:color w:val="231F20"/>
          <w:spacing w:val="-17"/>
          <w:sz w:val="20"/>
        </w:rPr>
        <w:t xml:space="preserve"> </w:t>
      </w:r>
      <w:r>
        <w:rPr>
          <w:rFonts w:ascii="Times New Roman;Times;serif" w:hAnsi="Times New Roman;Times;serif"/>
          <w:color w:val="231F20"/>
          <w:sz w:val="20"/>
        </w:rPr>
        <w:t>dose</w:t>
      </w:r>
      <w:r>
        <w:rPr>
          <w:rFonts w:ascii="Times New Roman;Times;serif" w:hAnsi="Times New Roman;Times;serif"/>
          <w:color w:val="231F20"/>
          <w:spacing w:val="-17"/>
          <w:sz w:val="20"/>
        </w:rPr>
        <w:t xml:space="preserve"> </w:t>
      </w:r>
      <w:r>
        <w:rPr>
          <w:rFonts w:ascii="Times New Roman;Times;serif" w:hAnsi="Times New Roman;Times;serif"/>
          <w:color w:val="231F20"/>
          <w:sz w:val="20"/>
        </w:rPr>
        <w:t>of ketamine</w:t>
      </w:r>
      <w:r>
        <w:rPr>
          <w:rFonts w:ascii="Times New Roman;Times;serif" w:hAnsi="Times New Roman;Times;serif"/>
          <w:color w:val="231F20"/>
          <w:spacing w:val="-1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7"/>
          <w:sz w:val="20"/>
        </w:rPr>
        <w:t xml:space="preserve"> </w:t>
      </w:r>
      <w:r>
        <w:rPr>
          <w:rFonts w:ascii="Times New Roman;Times;serif" w:hAnsi="Times New Roman;Times;serif"/>
          <w:color w:val="231F20"/>
          <w:spacing w:val="-5"/>
          <w:sz w:val="20"/>
        </w:rPr>
        <w:t>saw</w:t>
      </w:r>
      <w:r>
        <w:rPr>
          <w:rFonts w:ascii="Times New Roman;Times;serif" w:hAnsi="Times New Roman;Times;serif"/>
          <w:color w:val="231F20"/>
          <w:spacing w:val="-18"/>
          <w:sz w:val="20"/>
        </w:rPr>
        <w:t xml:space="preserve"> </w:t>
      </w:r>
      <w:r>
        <w:rPr>
          <w:rFonts w:ascii="Times New Roman;Times;serif" w:hAnsi="Times New Roman;Times;serif"/>
          <w:color w:val="231F20"/>
          <w:sz w:val="20"/>
        </w:rPr>
        <w:t>a</w:t>
      </w:r>
      <w:r>
        <w:rPr>
          <w:rFonts w:ascii="Times New Roman;Times;serif" w:hAnsi="Times New Roman;Times;serif"/>
          <w:color w:val="231F20"/>
          <w:spacing w:val="-17"/>
          <w:sz w:val="20"/>
        </w:rPr>
        <w:t xml:space="preserve"> </w:t>
      </w:r>
      <w:r>
        <w:rPr>
          <w:rFonts w:ascii="Times New Roman;Times;serif" w:hAnsi="Times New Roman;Times;serif"/>
          <w:color w:val="231F20"/>
          <w:spacing w:val="-3"/>
          <w:sz w:val="20"/>
        </w:rPr>
        <w:t>statistically</w:t>
      </w:r>
      <w:r>
        <w:rPr>
          <w:rFonts w:ascii="Times New Roman;Times;serif" w:hAnsi="Times New Roman;Times;serif"/>
          <w:color w:val="231F20"/>
          <w:spacing w:val="-17"/>
          <w:sz w:val="20"/>
        </w:rPr>
        <w:t xml:space="preserve"> </w:t>
      </w:r>
      <w:r>
        <w:rPr>
          <w:rFonts w:ascii="Times New Roman;Times;serif" w:hAnsi="Times New Roman;Times;serif"/>
          <w:color w:val="231F20"/>
          <w:sz w:val="20"/>
        </w:rPr>
        <w:t>significant</w:t>
      </w:r>
      <w:r>
        <w:rPr>
          <w:rFonts w:ascii="Times New Roman;Times;serif" w:hAnsi="Times New Roman;Times;serif"/>
          <w:color w:val="231F20"/>
          <w:spacing w:val="-17"/>
          <w:sz w:val="20"/>
        </w:rPr>
        <w:t xml:space="preserve"> </w:t>
      </w:r>
      <w:r>
        <w:rPr>
          <w:rFonts w:ascii="Times New Roman;Times;serif" w:hAnsi="Times New Roman;Times;serif"/>
          <w:color w:val="231F20"/>
          <w:sz w:val="20"/>
        </w:rPr>
        <w:t>reduction</w:t>
      </w:r>
      <w:r>
        <w:rPr>
          <w:rFonts w:ascii="Times New Roman;Times;serif" w:hAnsi="Times New Roman;Times;serif"/>
          <w:color w:val="231F20"/>
          <w:spacing w:val="-17"/>
          <w:sz w:val="20"/>
        </w:rPr>
        <w:t xml:space="preserve"> </w:t>
      </w:r>
      <w:r>
        <w:rPr>
          <w:rFonts w:ascii="Times New Roman;Times;serif" w:hAnsi="Times New Roman;Times;serif"/>
          <w:color w:val="231F20"/>
          <w:sz w:val="20"/>
        </w:rPr>
        <w:t>in</w:t>
      </w:r>
      <w:r>
        <w:rPr>
          <w:rFonts w:ascii="Times New Roman;Times;serif" w:hAnsi="Times New Roman;Times;serif"/>
          <w:color w:val="231F20"/>
          <w:spacing w:val="-17"/>
          <w:sz w:val="20"/>
        </w:rPr>
        <w:t xml:space="preserve"> </w:t>
      </w:r>
      <w:r>
        <w:rPr>
          <w:rFonts w:ascii="Times New Roman;Times;serif" w:hAnsi="Times New Roman;Times;serif"/>
          <w:color w:val="231F20"/>
          <w:sz w:val="20"/>
        </w:rPr>
        <w:t xml:space="preserve">depression (P=0.04) and suicidal ideation (P=0.02) compared to lurasidone alone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42 days of treatment.</w:t>
      </w:r>
      <w:r>
        <w:rPr>
          <w:rFonts w:ascii="Times New Roman;Times;serif" w:hAnsi="Times New Roman;Times;serif"/>
          <w:color w:val="231F20"/>
          <w:spacing w:val="12"/>
          <w:sz w:val="20"/>
        </w:rPr>
        <w:t xml:space="preserve"> </w:t>
      </w:r>
      <w:r>
        <w:rPr>
          <w:rFonts w:ascii="Times New Roman;Times;serif" w:hAnsi="Times New Roman;Times;serif"/>
          <w:color w:val="231F20"/>
          <w:sz w:val="20"/>
        </w:rPr>
        <w:t>If</w:t>
      </w:r>
      <w:r>
        <w:rPr>
          <w:rFonts w:ascii="Times New Roman;Times;serif" w:hAnsi="Times New Roman;Times;serif"/>
          <w:color w:val="231F20"/>
          <w:spacing w:val="4"/>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15"/>
          <w:sz w:val="20"/>
        </w:rPr>
        <w:t xml:space="preserve"> </w:t>
      </w:r>
      <w:r>
        <w:rPr>
          <w:rFonts w:ascii="Times New Roman;Times;serif" w:hAnsi="Times New Roman;Times;serif"/>
          <w:color w:val="231F20"/>
          <w:sz w:val="20"/>
        </w:rPr>
        <w:t>statistically-significant</w:t>
      </w:r>
      <w:r>
        <w:rPr>
          <w:rFonts w:ascii="Times New Roman;Times;serif" w:hAnsi="Times New Roman;Times;serif"/>
          <w:color w:val="231F20"/>
          <w:spacing w:val="-15"/>
          <w:sz w:val="20"/>
        </w:rPr>
        <w:t xml:space="preserve"> </w:t>
      </w:r>
      <w:r>
        <w:rPr>
          <w:rFonts w:ascii="Times New Roman;Times;serif" w:hAnsi="Times New Roman;Times;serif"/>
          <w:color w:val="231F20"/>
          <w:sz w:val="20"/>
        </w:rPr>
        <w:t>advantage</w:t>
      </w:r>
      <w:r>
        <w:rPr>
          <w:rFonts w:ascii="Times New Roman;Times;serif" w:hAnsi="Times New Roman;Times;serif"/>
          <w:color w:val="231F20"/>
          <w:spacing w:val="-15"/>
          <w:sz w:val="20"/>
        </w:rPr>
        <w:t xml:space="preserve"> </w:t>
      </w:r>
      <w:r>
        <w:rPr>
          <w:rFonts w:ascii="Times New Roman;Times;serif" w:hAnsi="Times New Roman;Times;serif"/>
          <w:color w:val="231F20"/>
          <w:sz w:val="20"/>
        </w:rPr>
        <w:t>is</w:t>
      </w:r>
      <w:r>
        <w:rPr>
          <w:rFonts w:ascii="Times New Roman;Times;serif" w:hAnsi="Times New Roman;Times;serif"/>
          <w:color w:val="231F20"/>
          <w:spacing w:val="-14"/>
          <w:sz w:val="20"/>
        </w:rPr>
        <w:t xml:space="preserve"> </w:t>
      </w:r>
      <w:r>
        <w:rPr>
          <w:rFonts w:ascii="Times New Roman;Times;serif" w:hAnsi="Times New Roman;Times;serif"/>
          <w:color w:val="231F20"/>
          <w:sz w:val="20"/>
        </w:rPr>
        <w:t>replicated</w:t>
      </w:r>
      <w:r>
        <w:rPr>
          <w:rFonts w:ascii="Times New Roman;Times;serif" w:hAnsi="Times New Roman;Times;serif"/>
          <w:color w:val="231F20"/>
          <w:spacing w:val="-15"/>
          <w:sz w:val="20"/>
        </w:rPr>
        <w:t xml:space="preserve"> </w:t>
      </w:r>
      <w:r>
        <w:rPr>
          <w:rFonts w:ascii="Times New Roman;Times;serif" w:hAnsi="Times New Roman;Times;serif"/>
          <w:color w:val="231F20"/>
          <w:sz w:val="20"/>
        </w:rPr>
        <w:t>in</w:t>
      </w:r>
      <w:r>
        <w:rPr>
          <w:rFonts w:ascii="Times New Roman;Times;serif" w:hAnsi="Times New Roman;Times;serif"/>
          <w:color w:val="231F20"/>
          <w:spacing w:val="-1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5"/>
          <w:sz w:val="20"/>
        </w:rPr>
        <w:t xml:space="preserve"> current </w:t>
      </w:r>
      <w:r>
        <w:rPr>
          <w:rFonts w:ascii="Times New Roman;Times;serif" w:hAnsi="Times New Roman;Times;serif"/>
          <w:color w:val="231F20"/>
          <w:sz w:val="20"/>
        </w:rPr>
        <w:t>Phase</w:t>
      </w:r>
      <w:r>
        <w:rPr>
          <w:rFonts w:ascii="Times New Roman;Times;serif" w:hAnsi="Times New Roman;Times;serif"/>
          <w:color w:val="231F20"/>
          <w:spacing w:val="-15"/>
          <w:sz w:val="20"/>
        </w:rPr>
        <w:t xml:space="preserve"> </w:t>
      </w:r>
      <w:r>
        <w:rPr>
          <w:rFonts w:ascii="Times New Roman;Times;serif" w:hAnsi="Times New Roman;Times;serif"/>
          <w:color w:val="231F20"/>
          <w:sz w:val="20"/>
        </w:rPr>
        <w:t>III</w:t>
      </w:r>
      <w:r>
        <w:rPr>
          <w:rFonts w:ascii="Times New Roman;Times;serif" w:hAnsi="Times New Roman;Times;serif"/>
          <w:color w:val="231F20"/>
          <w:spacing w:val="-15"/>
          <w:sz w:val="20"/>
        </w:rPr>
        <w:t xml:space="preserve"> </w:t>
      </w:r>
      <w:r>
        <w:rPr>
          <w:rFonts w:ascii="Times New Roman;Times;serif" w:hAnsi="Times New Roman;Times;serif"/>
          <w:color w:val="231F20"/>
          <w:sz w:val="20"/>
        </w:rPr>
        <w:t xml:space="preserve">clinical trial, under the terms agreed to with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in our Special Protocol Agreement, we aim to submit a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to the </w:t>
      </w:r>
      <w:r>
        <w:rPr>
          <w:rFonts w:ascii="Times New Roman;Times;serif" w:hAnsi="Times New Roman;Times;serif"/>
          <w:color w:val="231F20"/>
          <w:spacing w:val="-4"/>
          <w:sz w:val="20"/>
        </w:rPr>
        <w:t xml:space="preserve">FDA [on a rolling basis]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and commercialization of NRX-101 in the U.S. in 2023.</w:t>
      </w:r>
    </w:p>
    <w:p>
      <w:pPr>
        <w:pStyle w:val="TextBody"/>
        <w:spacing w:lineRule="auto" w:line="300" w:before="155"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cannot assure investors that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or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other regulator will </w:t>
      </w:r>
      <w:r>
        <w:rPr>
          <w:rFonts w:ascii="Times New Roman;Times;serif" w:hAnsi="Times New Roman;Times;serif"/>
          <w:color w:val="231F20"/>
          <w:spacing w:val="-4"/>
          <w:sz w:val="20"/>
        </w:rPr>
        <w:t xml:space="preserve">approve </w:t>
      </w:r>
      <w:r>
        <w:rPr>
          <w:rFonts w:ascii="Times New Roman;Times;serif" w:hAnsi="Times New Roman;Times;serif"/>
          <w:color w:val="231F20"/>
          <w:sz w:val="20"/>
        </w:rPr>
        <w:t xml:space="preserve">or clear NRX-101 or other product candidates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indications that are necessary or desirable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successful commercialization. Indeed, the </w:t>
      </w:r>
      <w:r>
        <w:rPr>
          <w:rFonts w:ascii="Times New Roman;Times;serif" w:hAnsi="Times New Roman;Times;serif"/>
          <w:color w:val="231F20"/>
          <w:spacing w:val="-4"/>
          <w:sz w:val="20"/>
        </w:rPr>
        <w:t xml:space="preserve">FDA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refuse our requests </w:t>
      </w:r>
      <w:r>
        <w:rPr>
          <w:rFonts w:ascii="Times New Roman;Times;serif" w:hAnsi="Times New Roman;Times;serif"/>
          <w:color w:val="231F20"/>
          <w:spacing w:val="-3"/>
          <w:sz w:val="20"/>
        </w:rPr>
        <w:t xml:space="preserve">for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market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of new products, new intended uses or indications to existing or future </w:t>
      </w:r>
      <w:r>
        <w:rPr>
          <w:rFonts w:ascii="Times New Roman;Times;serif" w:hAnsi="Times New Roman;Times;serif"/>
          <w:color w:val="231F20"/>
          <w:spacing w:val="-3"/>
          <w:sz w:val="20"/>
        </w:rPr>
        <w:t xml:space="preserve">products. Failure </w:t>
      </w:r>
      <w:r>
        <w:rPr>
          <w:rFonts w:ascii="Times New Roman;Times;serif" w:hAnsi="Times New Roman;Times;serif"/>
          <w:color w:val="231F20"/>
          <w:sz w:val="20"/>
        </w:rPr>
        <w:t xml:space="preserve">to receive </w:t>
      </w:r>
      <w:r>
        <w:rPr>
          <w:rFonts w:ascii="Times New Roman;Times;serif" w:hAnsi="Times New Roman;Times;serif"/>
          <w:color w:val="231F20"/>
          <w:spacing w:val="-4"/>
          <w:sz w:val="20"/>
        </w:rPr>
        <w:t xml:space="preserve">approval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our new products would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an adverse effect on our ability to expand our</w:t>
      </w:r>
      <w:r>
        <w:rPr>
          <w:rFonts w:ascii="Times New Roman;Times;serif" w:hAnsi="Times New Roman;Times;serif"/>
          <w:color w:val="231F20"/>
          <w:spacing w:val="-36"/>
          <w:sz w:val="20"/>
        </w:rPr>
        <w:t xml:space="preserve"> </w:t>
      </w:r>
      <w:r>
        <w:rPr>
          <w:rFonts w:ascii="Times New Roman;Times;serif" w:hAnsi="Times New Roman;Times;serif"/>
          <w:color w:val="231F20"/>
          <w:sz w:val="20"/>
        </w:rPr>
        <w:t>business.</w:t>
      </w:r>
    </w:p>
    <w:p>
      <w:pPr>
        <w:pStyle w:val="TextBody"/>
        <w:spacing w:lineRule="auto" w:line="300" w:before="1" w:after="240"/>
        <w:ind w:left="0" w:right="0" w:hanging="0"/>
        <w:jc w:val="both"/>
        <w:rPr>
          <w:rFonts w:ascii="Times New Roman;Times;serif" w:hAnsi="Times New Roman;Times;serif"/>
          <w:b/>
          <w:sz w:val="20"/>
        </w:rPr>
      </w:pPr>
      <w:r>
        <w:rPr>
          <w:rFonts w:ascii="Times New Roman;Times;serif" w:hAnsi="Times New Roman;Times;serif"/>
          <w:b/>
          <w:i/>
          <w:color w:val="231F20"/>
          <w:sz w:val="20"/>
        </w:rPr>
        <w:t>With</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respect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clinical</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trials,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discussions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guidance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binding</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obligations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on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part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of</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regulatory authorities.</w:t>
      </w:r>
    </w:p>
    <w:p>
      <w:pPr>
        <w:pStyle w:val="TextBody"/>
        <w:spacing w:lineRule="auto" w:line="300" w:before="240" w:after="240"/>
        <w:ind w:left="0" w:right="0" w:firstLine="399"/>
        <w:jc w:val="both"/>
        <w:rPr>
          <w:rFonts w:ascii="Times New Roman;Times;serif" w:hAnsi="Times New Roman;Times;serif"/>
          <w:sz w:val="20"/>
        </w:rPr>
      </w:pPr>
      <w:r>
        <w:rPr>
          <w:rFonts w:ascii="Times New Roman;Times;serif" w:hAnsi="Times New Roman;Times;serif"/>
          <w:color w:val="231F20"/>
          <w:sz w:val="20"/>
        </w:rPr>
        <w:t>Regulatory</w:t>
      </w:r>
      <w:r>
        <w:rPr>
          <w:rFonts w:ascii="Times New Roman;Times;serif" w:hAnsi="Times New Roman;Times;serif"/>
          <w:color w:val="231F20"/>
          <w:spacing w:val="-29"/>
          <w:sz w:val="20"/>
        </w:rPr>
        <w:t xml:space="preserve"> </w:t>
      </w:r>
      <w:r>
        <w:rPr>
          <w:rFonts w:ascii="Times New Roman;Times;serif" w:hAnsi="Times New Roman;Times;serif"/>
          <w:color w:val="231F20"/>
          <w:sz w:val="20"/>
        </w:rPr>
        <w:t>authorities</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9"/>
          <w:sz w:val="20"/>
        </w:rPr>
        <w:t xml:space="preserve"> </w:t>
      </w:r>
      <w:r>
        <w:rPr>
          <w:rFonts w:ascii="Times New Roman;Times;serif" w:hAnsi="Times New Roman;Times;serif"/>
          <w:color w:val="231F20"/>
          <w:sz w:val="20"/>
        </w:rPr>
        <w:t>revise</w:t>
      </w:r>
      <w:r>
        <w:rPr>
          <w:rFonts w:ascii="Times New Roman;Times;serif" w:hAnsi="Times New Roman;Times;serif"/>
          <w:color w:val="231F20"/>
          <w:spacing w:val="-28"/>
          <w:sz w:val="20"/>
        </w:rPr>
        <w:t xml:space="preserve"> </w:t>
      </w:r>
      <w:r>
        <w:rPr>
          <w:rFonts w:ascii="Times New Roman;Times;serif" w:hAnsi="Times New Roman;Times;serif"/>
          <w:color w:val="231F20"/>
          <w:sz w:val="20"/>
        </w:rPr>
        <w:t>previous</w:t>
      </w:r>
      <w:r>
        <w:rPr>
          <w:rFonts w:ascii="Times New Roman;Times;serif" w:hAnsi="Times New Roman;Times;serif"/>
          <w:color w:val="231F20"/>
          <w:spacing w:val="-29"/>
          <w:sz w:val="20"/>
        </w:rPr>
        <w:t xml:space="preserve"> </w:t>
      </w:r>
      <w:r>
        <w:rPr>
          <w:rFonts w:ascii="Times New Roman;Times;serif" w:hAnsi="Times New Roman;Times;serif"/>
          <w:color w:val="231F20"/>
          <w:sz w:val="20"/>
        </w:rPr>
        <w:t>guidance</w:t>
      </w:r>
      <w:r>
        <w:rPr>
          <w:rFonts w:ascii="Times New Roman;Times;serif" w:hAnsi="Times New Roman;Times;serif"/>
          <w:color w:val="231F20"/>
          <w:spacing w:val="-29"/>
          <w:sz w:val="20"/>
        </w:rPr>
        <w:t xml:space="preserve"> </w:t>
      </w:r>
      <w:r>
        <w:rPr>
          <w:rFonts w:ascii="Times New Roman;Times;serif" w:hAnsi="Times New Roman;Times;serif"/>
          <w:color w:val="231F20"/>
          <w:sz w:val="20"/>
        </w:rPr>
        <w:t>or</w:t>
      </w:r>
      <w:r>
        <w:rPr>
          <w:rFonts w:ascii="Times New Roman;Times;serif" w:hAnsi="Times New Roman;Times;serif"/>
          <w:color w:val="231F20"/>
          <w:spacing w:val="-28"/>
          <w:sz w:val="20"/>
        </w:rPr>
        <w:t xml:space="preserve"> </w:t>
      </w:r>
      <w:r>
        <w:rPr>
          <w:rFonts w:ascii="Times New Roman;Times;serif" w:hAnsi="Times New Roman;Times;serif"/>
          <w:color w:val="231F20"/>
          <w:sz w:val="20"/>
        </w:rPr>
        <w:t>decide</w:t>
      </w:r>
      <w:r>
        <w:rPr>
          <w:rFonts w:ascii="Times New Roman;Times;serif" w:hAnsi="Times New Roman;Times;serif"/>
          <w:color w:val="231F20"/>
          <w:spacing w:val="-29"/>
          <w:sz w:val="20"/>
        </w:rPr>
        <w:t xml:space="preserve"> </w:t>
      </w:r>
      <w:r>
        <w:rPr>
          <w:rFonts w:ascii="Times New Roman;Times;serif" w:hAnsi="Times New Roman;Times;serif"/>
          <w:color w:val="231F20"/>
          <w:sz w:val="20"/>
        </w:rPr>
        <w:t>to</w:t>
      </w:r>
      <w:r>
        <w:rPr>
          <w:rFonts w:ascii="Times New Roman;Times;serif" w:hAnsi="Times New Roman;Times;serif"/>
          <w:color w:val="231F20"/>
          <w:spacing w:val="-29"/>
          <w:sz w:val="20"/>
        </w:rPr>
        <w:t xml:space="preserve"> </w:t>
      </w:r>
      <w:r>
        <w:rPr>
          <w:rFonts w:ascii="Times New Roman;Times;serif" w:hAnsi="Times New Roman;Times;serif"/>
          <w:color w:val="231F20"/>
          <w:sz w:val="20"/>
        </w:rPr>
        <w:t>ignore</w:t>
      </w:r>
      <w:r>
        <w:rPr>
          <w:rFonts w:ascii="Times New Roman;Times;serif" w:hAnsi="Times New Roman;Times;serif"/>
          <w:color w:val="231F20"/>
          <w:spacing w:val="-28"/>
          <w:sz w:val="20"/>
        </w:rPr>
        <w:t xml:space="preserve"> </w:t>
      </w:r>
      <w:r>
        <w:rPr>
          <w:rFonts w:ascii="Times New Roman;Times;serif" w:hAnsi="Times New Roman;Times;serif"/>
          <w:color w:val="231F20"/>
          <w:sz w:val="20"/>
        </w:rPr>
        <w:t>previous</w:t>
      </w:r>
      <w:r>
        <w:rPr>
          <w:rFonts w:ascii="Times New Roman;Times;serif" w:hAnsi="Times New Roman;Times;serif"/>
          <w:color w:val="231F20"/>
          <w:spacing w:val="-29"/>
          <w:sz w:val="20"/>
        </w:rPr>
        <w:t xml:space="preserve"> </w:t>
      </w:r>
      <w:r>
        <w:rPr>
          <w:rFonts w:ascii="Times New Roman;Times;serif" w:hAnsi="Times New Roman;Times;serif"/>
          <w:color w:val="231F20"/>
          <w:sz w:val="20"/>
        </w:rPr>
        <w:t>guidance</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28"/>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9"/>
          <w:sz w:val="20"/>
        </w:rPr>
        <w:t xml:space="preserve"> </w:t>
      </w:r>
      <w:r>
        <w:rPr>
          <w:rFonts w:ascii="Times New Roman;Times;serif" w:hAnsi="Times New Roman;Times;serif"/>
          <w:color w:val="231F20"/>
          <w:sz w:val="20"/>
        </w:rPr>
        <w:t>time during</w:t>
      </w:r>
      <w:r>
        <w:rPr>
          <w:rFonts w:ascii="Times New Roman;Times;serif" w:hAnsi="Times New Roman;Times;serif"/>
          <w:color w:val="231F20"/>
          <w:spacing w:val="-2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6"/>
          <w:sz w:val="20"/>
        </w:rPr>
        <w:t xml:space="preserve"> </w:t>
      </w:r>
      <w:r>
        <w:rPr>
          <w:rFonts w:ascii="Times New Roman;Times;serif" w:hAnsi="Times New Roman;Times;serif"/>
          <w:color w:val="231F20"/>
          <w:sz w:val="20"/>
        </w:rPr>
        <w:t>course</w:t>
      </w:r>
      <w:r>
        <w:rPr>
          <w:rFonts w:ascii="Times New Roman;Times;serif" w:hAnsi="Times New Roman;Times;serif"/>
          <w:color w:val="231F20"/>
          <w:spacing w:val="-2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7"/>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6"/>
          <w:sz w:val="20"/>
        </w:rPr>
        <w:t xml:space="preserve"> </w:t>
      </w:r>
      <w:r>
        <w:rPr>
          <w:rFonts w:ascii="Times New Roman;Times;serif" w:hAnsi="Times New Roman;Times;serif"/>
          <w:color w:val="231F20"/>
          <w:sz w:val="20"/>
        </w:rPr>
        <w:t>activities</w:t>
      </w:r>
      <w:r>
        <w:rPr>
          <w:rFonts w:ascii="Times New Roman;Times;serif" w:hAnsi="Times New Roman;Times;serif"/>
          <w:color w:val="231F20"/>
          <w:spacing w:val="-27"/>
          <w:sz w:val="20"/>
        </w:rPr>
        <w:t xml:space="preserve"> </w:t>
      </w:r>
      <w:r>
        <w:rPr>
          <w:rFonts w:ascii="Times New Roman;Times;serif" w:hAnsi="Times New Roman;Times;serif"/>
          <w:color w:val="231F20"/>
          <w:sz w:val="20"/>
        </w:rPr>
        <w:t>or</w:t>
      </w:r>
      <w:r>
        <w:rPr>
          <w:rFonts w:ascii="Times New Roman;Times;serif" w:hAnsi="Times New Roman;Times;serif"/>
          <w:color w:val="231F20"/>
          <w:spacing w:val="-26"/>
          <w:sz w:val="20"/>
        </w:rPr>
        <w:t xml:space="preserve"> </w:t>
      </w:r>
      <w:r>
        <w:rPr>
          <w:rFonts w:ascii="Times New Roman;Times;serif" w:hAnsi="Times New Roman;Times;serif"/>
          <w:color w:val="231F20"/>
          <w:sz w:val="20"/>
        </w:rPr>
        <w:t>after</w:t>
      </w:r>
      <w:r>
        <w:rPr>
          <w:rFonts w:ascii="Times New Roman;Times;serif" w:hAnsi="Times New Roman;Times;serif"/>
          <w:color w:val="231F20"/>
          <w:spacing w:val="-2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6"/>
          <w:sz w:val="20"/>
        </w:rPr>
        <w:t xml:space="preserve"> </w:t>
      </w:r>
      <w:r>
        <w:rPr>
          <w:rFonts w:ascii="Times New Roman;Times;serif" w:hAnsi="Times New Roman;Times;serif"/>
          <w:color w:val="231F20"/>
          <w:sz w:val="20"/>
        </w:rPr>
        <w:t>completion</w:t>
      </w:r>
      <w:r>
        <w:rPr>
          <w:rFonts w:ascii="Times New Roman;Times;serif" w:hAnsi="Times New Roman;Times;serif"/>
          <w:color w:val="231F20"/>
          <w:spacing w:val="-2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7"/>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6"/>
          <w:sz w:val="20"/>
        </w:rPr>
        <w:t xml:space="preserve"> </w:t>
      </w:r>
      <w:r>
        <w:rPr>
          <w:rFonts w:ascii="Times New Roman;Times;serif" w:hAnsi="Times New Roman;Times;serif"/>
          <w:color w:val="231F20"/>
          <w:spacing w:val="-4"/>
          <w:sz w:val="20"/>
        </w:rPr>
        <w:t>trials.</w:t>
      </w:r>
      <w:r>
        <w:rPr>
          <w:rFonts w:ascii="Times New Roman;Times;serif" w:hAnsi="Times New Roman;Times;serif"/>
          <w:color w:val="231F20"/>
          <w:spacing w:val="-27"/>
          <w:sz w:val="20"/>
        </w:rPr>
        <w:t xml:space="preserve"> </w:t>
      </w:r>
      <w:r>
        <w:rPr>
          <w:rFonts w:ascii="Times New Roman;Times;serif" w:hAnsi="Times New Roman;Times;serif"/>
          <w:color w:val="231F20"/>
          <w:sz w:val="20"/>
        </w:rPr>
        <w:t>Even</w:t>
      </w:r>
      <w:r>
        <w:rPr>
          <w:rFonts w:ascii="Times New Roman;Times;serif" w:hAnsi="Times New Roman;Times;serif"/>
          <w:color w:val="231F20"/>
          <w:spacing w:val="-26"/>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7"/>
          <w:sz w:val="20"/>
        </w:rPr>
        <w:t xml:space="preserve"> </w:t>
      </w:r>
      <w:r>
        <w:rPr>
          <w:rFonts w:ascii="Times New Roman;Times;serif" w:hAnsi="Times New Roman;Times;serif"/>
          <w:color w:val="231F20"/>
          <w:sz w:val="20"/>
        </w:rPr>
        <w:t>successful clinical</w:t>
      </w:r>
      <w:r>
        <w:rPr>
          <w:rFonts w:ascii="Times New Roman;Times;serif" w:hAnsi="Times New Roman;Times;serif"/>
          <w:color w:val="231F20"/>
          <w:spacing w:val="-22"/>
          <w:sz w:val="20"/>
        </w:rPr>
        <w:t xml:space="preserve"> </w:t>
      </w:r>
      <w:r>
        <w:rPr>
          <w:rFonts w:ascii="Times New Roman;Times;serif" w:hAnsi="Times New Roman;Times;serif"/>
          <w:color w:val="231F20"/>
          <w:sz w:val="20"/>
        </w:rPr>
        <w:t>safety</w:t>
      </w:r>
      <w:r>
        <w:rPr>
          <w:rFonts w:ascii="Times New Roman;Times;serif" w:hAnsi="Times New Roman;Times;serif"/>
          <w:color w:val="231F20"/>
          <w:spacing w:val="-2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2"/>
          <w:sz w:val="20"/>
        </w:rPr>
        <w:t xml:space="preserve"> </w:t>
      </w:r>
      <w:r>
        <w:rPr>
          <w:rFonts w:ascii="Times New Roman;Times;serif" w:hAnsi="Times New Roman;Times;serif"/>
          <w:color w:val="231F20"/>
          <w:sz w:val="20"/>
        </w:rPr>
        <w:t>efficacy</w:t>
      </w:r>
      <w:r>
        <w:rPr>
          <w:rFonts w:ascii="Times New Roman;Times;serif" w:hAnsi="Times New Roman;Times;serif"/>
          <w:color w:val="231F20"/>
          <w:spacing w:val="-21"/>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2"/>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21"/>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22"/>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1"/>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21"/>
          <w:sz w:val="20"/>
        </w:rPr>
        <w:t xml:space="preserve"> </w:t>
      </w:r>
      <w:r>
        <w:rPr>
          <w:rFonts w:ascii="Times New Roman;Times;serif" w:hAnsi="Times New Roman;Times;serif"/>
          <w:color w:val="231F20"/>
          <w:sz w:val="20"/>
        </w:rPr>
        <w:t>a</w:t>
      </w:r>
      <w:r>
        <w:rPr>
          <w:rFonts w:ascii="Times New Roman;Times;serif" w:hAnsi="Times New Roman;Times;serif"/>
          <w:color w:val="231F20"/>
          <w:spacing w:val="-22"/>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1"/>
          <w:sz w:val="20"/>
        </w:rPr>
        <w:t xml:space="preserve"> </w:t>
      </w:r>
      <w:r>
        <w:rPr>
          <w:rFonts w:ascii="Times New Roman;Times;serif" w:hAnsi="Times New Roman;Times;serif"/>
          <w:color w:val="231F20"/>
          <w:sz w:val="20"/>
        </w:rPr>
        <w:t>trial</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conducted</w:t>
      </w:r>
      <w:r>
        <w:rPr>
          <w:rFonts w:ascii="Times New Roman;Times;serif" w:hAnsi="Times New Roman;Times;serif"/>
          <w:color w:val="231F20"/>
          <w:spacing w:val="-21"/>
          <w:sz w:val="20"/>
        </w:rPr>
        <w:t xml:space="preserve"> </w:t>
      </w:r>
      <w:r>
        <w:rPr>
          <w:rFonts w:ascii="Times New Roman;Times;serif" w:hAnsi="Times New Roman;Times;serif"/>
          <w:color w:val="231F20"/>
          <w:sz w:val="20"/>
        </w:rPr>
        <w:t>pursuant</w:t>
      </w:r>
      <w:r>
        <w:rPr>
          <w:rFonts w:ascii="Times New Roman;Times;serif" w:hAnsi="Times New Roman;Times;serif"/>
          <w:color w:val="231F20"/>
          <w:spacing w:val="-22"/>
          <w:sz w:val="20"/>
        </w:rPr>
        <w:t xml:space="preserve"> </w:t>
      </w:r>
      <w:r>
        <w:rPr>
          <w:rFonts w:ascii="Times New Roman;Times;serif" w:hAnsi="Times New Roman;Times;serif"/>
          <w:color w:val="231F20"/>
          <w:sz w:val="20"/>
        </w:rPr>
        <w:t>to</w:t>
      </w:r>
      <w:r>
        <w:rPr>
          <w:rFonts w:ascii="Times New Roman;Times;serif" w:hAnsi="Times New Roman;Times;serif"/>
          <w:color w:val="231F20"/>
          <w:spacing w:val="-21"/>
          <w:sz w:val="20"/>
        </w:rPr>
        <w:t xml:space="preserve"> </w:t>
      </w:r>
      <w:r>
        <w:rPr>
          <w:rFonts w:ascii="Times New Roman;Times;serif" w:hAnsi="Times New Roman;Times;serif"/>
          <w:color w:val="231F20"/>
          <w:sz w:val="20"/>
        </w:rPr>
        <w:t>a</w:t>
      </w:r>
      <w:r>
        <w:rPr>
          <w:rFonts w:ascii="Times New Roman;Times;serif" w:hAnsi="Times New Roman;Times;serif"/>
          <w:color w:val="231F20"/>
          <w:spacing w:val="-21"/>
          <w:sz w:val="20"/>
        </w:rPr>
        <w:t xml:space="preserve"> </w:t>
      </w:r>
      <w:r>
        <w:rPr>
          <w:rFonts w:ascii="Times New Roman;Times;serif" w:hAnsi="Times New Roman;Times;serif"/>
          <w:color w:val="231F20"/>
          <w:sz w:val="20"/>
        </w:rPr>
        <w:t>special protocol</w:t>
      </w:r>
      <w:r>
        <w:rPr>
          <w:rFonts w:ascii="Times New Roman;Times;serif" w:hAnsi="Times New Roman;Times;serif"/>
          <w:color w:val="231F20"/>
          <w:spacing w:val="-30"/>
          <w:sz w:val="20"/>
        </w:rPr>
        <w:t xml:space="preserve"> </w:t>
      </w:r>
      <w:r>
        <w:rPr>
          <w:rFonts w:ascii="Times New Roman;Times;serif" w:hAnsi="Times New Roman;Times;serif"/>
          <w:color w:val="231F20"/>
          <w:sz w:val="20"/>
        </w:rPr>
        <w:t>agreement,</w:t>
      </w:r>
      <w:r>
        <w:rPr>
          <w:rFonts w:ascii="Times New Roman;Times;serif" w:hAnsi="Times New Roman;Times;serif"/>
          <w:color w:val="231F20"/>
          <w:spacing w:val="-30"/>
          <w:sz w:val="20"/>
        </w:rPr>
        <w:t xml:space="preserve"> </w:t>
      </w:r>
      <w:r>
        <w:rPr>
          <w:rFonts w:ascii="Times New Roman;Times;serif" w:hAnsi="Times New Roman;Times;serif"/>
          <w:color w:val="231F20"/>
          <w:sz w:val="20"/>
        </w:rPr>
        <w:t>we</w:t>
      </w:r>
      <w:r>
        <w:rPr>
          <w:rFonts w:ascii="Times New Roman;Times;serif" w:hAnsi="Times New Roman;Times;serif"/>
          <w:color w:val="231F20"/>
          <w:spacing w:val="-30"/>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9"/>
          <w:sz w:val="20"/>
        </w:rPr>
        <w:t xml:space="preserve"> </w:t>
      </w:r>
      <w:r>
        <w:rPr>
          <w:rFonts w:ascii="Times New Roman;Times;serif" w:hAnsi="Times New Roman;Times;serif"/>
          <w:color w:val="231F20"/>
          <w:sz w:val="20"/>
        </w:rPr>
        <w:t>be</w:t>
      </w:r>
      <w:r>
        <w:rPr>
          <w:rFonts w:ascii="Times New Roman;Times;serif" w:hAnsi="Times New Roman;Times;serif"/>
          <w:color w:val="231F20"/>
          <w:spacing w:val="-30"/>
          <w:sz w:val="20"/>
        </w:rPr>
        <w:t xml:space="preserve"> </w:t>
      </w:r>
      <w:r>
        <w:rPr>
          <w:rFonts w:ascii="Times New Roman;Times;serif" w:hAnsi="Times New Roman;Times;serif"/>
          <w:color w:val="231F20"/>
          <w:sz w:val="20"/>
        </w:rPr>
        <w:t>required</w:t>
      </w:r>
      <w:r>
        <w:rPr>
          <w:rFonts w:ascii="Times New Roman;Times;serif" w:hAnsi="Times New Roman;Times;serif"/>
          <w:color w:val="231F20"/>
          <w:spacing w:val="-30"/>
          <w:sz w:val="20"/>
        </w:rPr>
        <w:t xml:space="preserve"> </w:t>
      </w:r>
      <w:r>
        <w:rPr>
          <w:rFonts w:ascii="Times New Roman;Times;serif" w:hAnsi="Times New Roman;Times;serif"/>
          <w:color w:val="231F20"/>
          <w:sz w:val="20"/>
        </w:rPr>
        <w:t>to</w:t>
      </w:r>
      <w:r>
        <w:rPr>
          <w:rFonts w:ascii="Times New Roman;Times;serif" w:hAnsi="Times New Roman;Times;serif"/>
          <w:color w:val="231F20"/>
          <w:spacing w:val="-30"/>
          <w:sz w:val="20"/>
        </w:rPr>
        <w:t xml:space="preserve"> </w:t>
      </w:r>
      <w:r>
        <w:rPr>
          <w:rFonts w:ascii="Times New Roman;Times;serif" w:hAnsi="Times New Roman;Times;serif"/>
          <w:color w:val="231F20"/>
          <w:sz w:val="20"/>
        </w:rPr>
        <w:t>conduct</w:t>
      </w:r>
      <w:r>
        <w:rPr>
          <w:rFonts w:ascii="Times New Roman;Times;serif" w:hAnsi="Times New Roman;Times;serif"/>
          <w:color w:val="231F20"/>
          <w:spacing w:val="-29"/>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30"/>
          <w:sz w:val="20"/>
        </w:rPr>
        <w:t xml:space="preserve"> </w:t>
      </w:r>
      <w:r>
        <w:rPr>
          <w:rFonts w:ascii="Times New Roman;Times;serif" w:hAnsi="Times New Roman;Times;serif"/>
          <w:color w:val="231F20"/>
          <w:sz w:val="20"/>
        </w:rPr>
        <w:t>expensive</w:t>
      </w:r>
      <w:r>
        <w:rPr>
          <w:rFonts w:ascii="Times New Roman;Times;serif" w:hAnsi="Times New Roman;Times;serif"/>
          <w:color w:val="231F20"/>
          <w:spacing w:val="-30"/>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30"/>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29"/>
          <w:sz w:val="20"/>
        </w:rPr>
        <w:t xml:space="preserve"> </w:t>
      </w:r>
      <w:r>
        <w:rPr>
          <w:rFonts w:ascii="Times New Roman;Times;serif" w:hAnsi="Times New Roman;Times;serif"/>
          <w:color w:val="231F20"/>
          <w:sz w:val="20"/>
        </w:rPr>
        <w:t>to</w:t>
      </w:r>
      <w:r>
        <w:rPr>
          <w:rFonts w:ascii="Times New Roman;Times;serif" w:hAnsi="Times New Roman;Times;serif"/>
          <w:color w:val="231F20"/>
          <w:spacing w:val="-30"/>
          <w:sz w:val="20"/>
        </w:rPr>
        <w:t xml:space="preserve"> </w:t>
      </w:r>
      <w:r>
        <w:rPr>
          <w:rFonts w:ascii="Times New Roman;Times;serif" w:hAnsi="Times New Roman;Times;serif"/>
          <w:color w:val="231F20"/>
          <w:sz w:val="20"/>
        </w:rPr>
        <w:t>obtain</w:t>
      </w:r>
      <w:r>
        <w:rPr>
          <w:rFonts w:ascii="Times New Roman;Times;serif" w:hAnsi="Times New Roman;Times;serif"/>
          <w:color w:val="231F20"/>
          <w:spacing w:val="-30"/>
          <w:sz w:val="20"/>
        </w:rPr>
        <w:t xml:space="preserve"> </w:t>
      </w:r>
      <w:r>
        <w:rPr>
          <w:rFonts w:ascii="Times New Roman;Times;serif" w:hAnsi="Times New Roman;Times;serif"/>
          <w:color w:val="231F20"/>
          <w:sz w:val="20"/>
        </w:rPr>
        <w:t xml:space="preserve">regulatory </w:t>
      </w:r>
      <w:r>
        <w:rPr>
          <w:rFonts w:ascii="Times New Roman;Times;serif" w:hAnsi="Times New Roman;Times;serif"/>
          <w:color w:val="231F20"/>
          <w:spacing w:val="-4"/>
          <w:sz w:val="20"/>
        </w:rPr>
        <w:t>approval.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The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results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of</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current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future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clinical</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trials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support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product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candidate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claims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result in the discovery of unexpected adverse side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effects.</w:t>
      </w:r>
    </w:p>
    <w:p>
      <w:pPr>
        <w:pStyle w:val="TextBody"/>
        <w:spacing w:lineRule="auto" w:line="300" w:before="158" w:after="240"/>
        <w:ind w:left="0" w:right="0" w:firstLine="399"/>
        <w:jc w:val="both"/>
        <w:rPr>
          <w:rFonts w:ascii="Times New Roman;Times;serif" w:hAnsi="Times New Roman;Times;serif"/>
          <w:sz w:val="20"/>
        </w:rPr>
      </w:pPr>
      <w:r>
        <w:rPr>
          <w:rFonts w:ascii="Times New Roman;Times;serif" w:hAnsi="Times New Roman;Times;serif"/>
          <w:color w:val="231F20"/>
          <w:sz w:val="20"/>
        </w:rPr>
        <w:t>Even if our clinical trials are completed as planned, we cannot be certain that their results will support our</w:t>
      </w:r>
      <w:r>
        <w:rPr>
          <w:rFonts w:ascii="Times New Roman;Times;serif" w:hAnsi="Times New Roman;Times;serif"/>
          <w:color w:val="231F20"/>
          <w:spacing w:val="-4"/>
          <w:sz w:val="20"/>
        </w:rPr>
        <w:t xml:space="preserve"> </w:t>
      </w:r>
      <w:r>
        <w:rPr>
          <w:rFonts w:ascii="Times New Roman;Times;serif" w:hAnsi="Times New Roman;Times;serif"/>
          <w:color w:val="231F20"/>
          <w:sz w:val="20"/>
        </w:rPr>
        <w:t>drug</w:t>
      </w:r>
      <w:r>
        <w:rPr>
          <w:rFonts w:ascii="Times New Roman;Times;serif" w:hAnsi="Times New Roman;Times;serif"/>
          <w:color w:val="231F20"/>
          <w:spacing w:val="-4"/>
          <w:sz w:val="20"/>
        </w:rPr>
        <w:t xml:space="preserve"> </w:t>
      </w:r>
      <w:r>
        <w:rPr>
          <w:rFonts w:ascii="Times New Roman;Times;serif" w:hAnsi="Times New Roman;Times;serif"/>
          <w:color w:val="231F20"/>
          <w:sz w:val="20"/>
        </w:rPr>
        <w:t>candidates’</w:t>
      </w:r>
      <w:r>
        <w:rPr>
          <w:rFonts w:ascii="Times New Roman;Times;serif" w:hAnsi="Times New Roman;Times;serif"/>
          <w:color w:val="231F20"/>
          <w:spacing w:val="-13"/>
          <w:sz w:val="20"/>
        </w:rPr>
        <w:t xml:space="preserve"> </w:t>
      </w:r>
      <w:r>
        <w:rPr>
          <w:rFonts w:ascii="Times New Roman;Times;serif" w:hAnsi="Times New Roman;Times;serif"/>
          <w:color w:val="231F20"/>
          <w:sz w:val="20"/>
        </w:rPr>
        <w:t>claims</w:t>
      </w:r>
      <w:r>
        <w:rPr>
          <w:rFonts w:ascii="Times New Roman;Times;serif" w:hAnsi="Times New Roman;Times;serif"/>
          <w:color w:val="231F20"/>
          <w:spacing w:val="-4"/>
          <w:sz w:val="20"/>
        </w:rPr>
        <w:t xml:space="preserve"> </w:t>
      </w:r>
      <w:r>
        <w:rPr>
          <w:rFonts w:ascii="Times New Roman;Times;serif" w:hAnsi="Times New Roman;Times;serif"/>
          <w:color w:val="231F20"/>
          <w:sz w:val="20"/>
        </w:rPr>
        <w:t>or</w:t>
      </w:r>
      <w:r>
        <w:rPr>
          <w:rFonts w:ascii="Times New Roman;Times;serif" w:hAnsi="Times New Roman;Times;serif"/>
          <w:color w:val="231F20"/>
          <w:spacing w:val="-4"/>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4"/>
          <w:sz w:val="20"/>
        </w:rPr>
        <w:t xml:space="preserve"> </w:t>
      </w:r>
      <w:r>
        <w:rPr>
          <w:rFonts w:ascii="Times New Roman;Times;serif" w:hAnsi="Times New Roman;Times;serif"/>
          <w:color w:val="231F20"/>
          <w:sz w:val="20"/>
        </w:rPr>
        <w:t>authorities</w:t>
      </w:r>
      <w:r>
        <w:rPr>
          <w:rFonts w:ascii="Times New Roman;Times;serif" w:hAnsi="Times New Roman;Times;serif"/>
          <w:color w:val="231F20"/>
          <w:spacing w:val="-4"/>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4"/>
          <w:sz w:val="20"/>
        </w:rPr>
        <w:t xml:space="preserve"> </w:t>
      </w:r>
      <w:r>
        <w:rPr>
          <w:rFonts w:ascii="Times New Roman;Times;serif" w:hAnsi="Times New Roman;Times;serif"/>
          <w:color w:val="231F20"/>
          <w:sz w:val="20"/>
        </w:rPr>
        <w:t>agree</w:t>
      </w:r>
      <w:r>
        <w:rPr>
          <w:rFonts w:ascii="Times New Roman;Times;serif" w:hAnsi="Times New Roman;Times;serif"/>
          <w:color w:val="231F20"/>
          <w:spacing w:val="-4"/>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4"/>
          <w:sz w:val="20"/>
        </w:rPr>
        <w:t xml:space="preserve"> </w:t>
      </w:r>
      <w:r>
        <w:rPr>
          <w:rFonts w:ascii="Times New Roman;Times;serif" w:hAnsi="Times New Roman;Times;serif"/>
          <w:color w:val="231F20"/>
          <w:sz w:val="20"/>
        </w:rPr>
        <w:t>conclusions</w:t>
      </w:r>
      <w:r>
        <w:rPr>
          <w:rFonts w:ascii="Times New Roman;Times;serif" w:hAnsi="Times New Roman;Times;serif"/>
          <w:color w:val="231F20"/>
          <w:spacing w:val="-4"/>
          <w:sz w:val="20"/>
        </w:rPr>
        <w:t xml:space="preserve"> </w:t>
      </w:r>
      <w:r>
        <w:rPr>
          <w:rFonts w:ascii="Times New Roman;Times;serif" w:hAnsi="Times New Roman;Times;serif"/>
          <w:color w:val="231F20"/>
          <w:sz w:val="20"/>
        </w:rPr>
        <w:t>regarding</w:t>
      </w:r>
      <w:r>
        <w:rPr>
          <w:rFonts w:ascii="Times New Roman;Times;serif" w:hAnsi="Times New Roman;Times;serif"/>
          <w:color w:val="231F20"/>
          <w:spacing w:val="-4"/>
          <w:sz w:val="20"/>
        </w:rPr>
        <w:t xml:space="preserve"> </w:t>
      </w:r>
      <w:r>
        <w:rPr>
          <w:rFonts w:ascii="Times New Roman;Times;serif" w:hAnsi="Times New Roman;Times;serif"/>
          <w:color w:val="231F20"/>
          <w:sz w:val="20"/>
        </w:rPr>
        <w:t xml:space="preserve">them. Success in pre-clinical studies and early clinical trials does not ensure that later clinical trials will be successful, and we cannot be sure that the later trials will replicate the results of prior trials and pre-clinical studies. In particular, our clinical trials performed until now </w:t>
      </w:r>
      <w:r>
        <w:rPr>
          <w:rFonts w:ascii="Times New Roman;Times;serif" w:hAnsi="Times New Roman;Times;serif"/>
          <w:color w:val="231F20"/>
          <w:spacing w:val="-3"/>
          <w:sz w:val="20"/>
        </w:rPr>
        <w:t xml:space="preserve">involve </w:t>
      </w:r>
      <w:r>
        <w:rPr>
          <w:rFonts w:ascii="Times New Roman;Times;serif" w:hAnsi="Times New Roman;Times;serif"/>
          <w:color w:val="231F20"/>
          <w:sz w:val="20"/>
        </w:rPr>
        <w:t xml:space="preserve">a </w:t>
      </w:r>
      <w:r>
        <w:rPr>
          <w:rFonts w:ascii="Times New Roman;Times;serif" w:hAnsi="Times New Roman;Times;serif"/>
          <w:color w:val="231F20"/>
          <w:spacing w:val="-3"/>
          <w:sz w:val="20"/>
        </w:rPr>
        <w:t xml:space="preserve">relatively </w:t>
      </w:r>
      <w:r>
        <w:rPr>
          <w:rFonts w:ascii="Times New Roman;Times;serif" w:hAnsi="Times New Roman;Times;serif"/>
          <w:color w:val="231F20"/>
          <w:sz w:val="20"/>
        </w:rPr>
        <w:t xml:space="preserve">small patient population. Because of the small sample size, their results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indicative of future results. It is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possible that patients</w:t>
      </w:r>
      <w:r>
        <w:rPr>
          <w:rFonts w:ascii="Times New Roman;Times;serif" w:hAnsi="Times New Roman;Times;serif"/>
          <w:color w:val="231F20"/>
          <w:spacing w:val="-8"/>
          <w:sz w:val="20"/>
        </w:rPr>
        <w:t xml:space="preserve"> </w:t>
      </w:r>
      <w:r>
        <w:rPr>
          <w:rFonts w:ascii="Times New Roman;Times;serif" w:hAnsi="Times New Roman;Times;serif"/>
          <w:color w:val="231F20"/>
          <w:sz w:val="20"/>
        </w:rPr>
        <w:t>enrolled</w:t>
      </w:r>
      <w:r>
        <w:rPr>
          <w:rFonts w:ascii="Times New Roman;Times;serif" w:hAnsi="Times New Roman;Times;serif"/>
          <w:color w:val="231F20"/>
          <w:spacing w:val="-8"/>
          <w:sz w:val="20"/>
        </w:rPr>
        <w:t xml:space="preserve"> </w:t>
      </w:r>
      <w:r>
        <w:rPr>
          <w:rFonts w:ascii="Times New Roman;Times;serif" w:hAnsi="Times New Roman;Times;serif"/>
          <w:color w:val="231F20"/>
          <w:sz w:val="20"/>
        </w:rPr>
        <w:t>in</w:t>
      </w:r>
      <w:r>
        <w:rPr>
          <w:rFonts w:ascii="Times New Roman;Times;serif" w:hAnsi="Times New Roman;Times;serif"/>
          <w:color w:val="231F20"/>
          <w:spacing w:val="-8"/>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8"/>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7"/>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8"/>
          <w:sz w:val="20"/>
        </w:rPr>
        <w:t xml:space="preserve"> </w:t>
      </w:r>
      <w:r>
        <w:rPr>
          <w:rFonts w:ascii="Times New Roman;Times;serif" w:hAnsi="Times New Roman;Times;serif"/>
          <w:color w:val="231F20"/>
          <w:sz w:val="20"/>
        </w:rPr>
        <w:t>experience</w:t>
      </w:r>
      <w:r>
        <w:rPr>
          <w:rFonts w:ascii="Times New Roman;Times;serif" w:hAnsi="Times New Roman;Times;serif"/>
          <w:color w:val="231F20"/>
          <w:spacing w:val="-8"/>
          <w:sz w:val="20"/>
        </w:rPr>
        <w:t xml:space="preserve"> </w:t>
      </w:r>
      <w:r>
        <w:rPr>
          <w:rFonts w:ascii="Times New Roman;Times;serif" w:hAnsi="Times New Roman;Times;serif"/>
          <w:color w:val="231F20"/>
          <w:sz w:val="20"/>
        </w:rPr>
        <w:t>adverse</w:t>
      </w:r>
      <w:r>
        <w:rPr>
          <w:rFonts w:ascii="Times New Roman;Times;serif" w:hAnsi="Times New Roman;Times;serif"/>
          <w:color w:val="231F20"/>
          <w:spacing w:val="-8"/>
          <w:sz w:val="20"/>
        </w:rPr>
        <w:t xml:space="preserve"> </w:t>
      </w:r>
      <w:r>
        <w:rPr>
          <w:rFonts w:ascii="Times New Roman;Times;serif" w:hAnsi="Times New Roman;Times;serif"/>
          <w:color w:val="231F20"/>
          <w:sz w:val="20"/>
        </w:rPr>
        <w:t>side</w:t>
      </w:r>
      <w:r>
        <w:rPr>
          <w:rFonts w:ascii="Times New Roman;Times;serif" w:hAnsi="Times New Roman;Times;serif"/>
          <w:color w:val="231F20"/>
          <w:spacing w:val="-7"/>
          <w:sz w:val="20"/>
        </w:rPr>
        <w:t xml:space="preserve"> </w:t>
      </w:r>
      <w:r>
        <w:rPr>
          <w:rFonts w:ascii="Times New Roman;Times;serif" w:hAnsi="Times New Roman;Times;serif"/>
          <w:color w:val="231F20"/>
          <w:sz w:val="20"/>
        </w:rPr>
        <w:t>effects</w:t>
      </w:r>
      <w:r>
        <w:rPr>
          <w:rFonts w:ascii="Times New Roman;Times;serif" w:hAnsi="Times New Roman;Times;serif"/>
          <w:color w:val="231F20"/>
          <w:spacing w:val="-8"/>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8"/>
          <w:sz w:val="20"/>
        </w:rPr>
        <w:t xml:space="preserve"> </w:t>
      </w:r>
      <w:r>
        <w:rPr>
          <w:rFonts w:ascii="Times New Roman;Times;serif" w:hAnsi="Times New Roman;Times;serif"/>
          <w:color w:val="231F20"/>
          <w:sz w:val="20"/>
        </w:rPr>
        <w:t>are</w:t>
      </w:r>
      <w:r>
        <w:rPr>
          <w:rFonts w:ascii="Times New Roman;Times;serif" w:hAnsi="Times New Roman;Times;serif"/>
          <w:color w:val="231F20"/>
          <w:spacing w:val="-8"/>
          <w:sz w:val="20"/>
        </w:rPr>
        <w:t xml:space="preserve"> </w:t>
      </w:r>
      <w:r>
        <w:rPr>
          <w:rFonts w:ascii="Times New Roman;Times;serif" w:hAnsi="Times New Roman;Times;serif"/>
          <w:color w:val="231F20"/>
          <w:sz w:val="20"/>
        </w:rPr>
        <w:t>not</w:t>
      </w:r>
      <w:r>
        <w:rPr>
          <w:rFonts w:ascii="Times New Roman;Times;serif" w:hAnsi="Times New Roman;Times;serif"/>
          <w:color w:val="231F20"/>
          <w:spacing w:val="-8"/>
          <w:sz w:val="20"/>
        </w:rPr>
        <w:t xml:space="preserve"> </w:t>
      </w:r>
      <w:r>
        <w:rPr>
          <w:rFonts w:ascii="Times New Roman;Times;serif" w:hAnsi="Times New Roman;Times;serif"/>
          <w:color w:val="231F20"/>
          <w:sz w:val="20"/>
        </w:rPr>
        <w:t>currently</w:t>
      </w:r>
      <w:r>
        <w:rPr>
          <w:rFonts w:ascii="Times New Roman;Times;serif" w:hAnsi="Times New Roman;Times;serif"/>
          <w:color w:val="231F20"/>
          <w:spacing w:val="-7"/>
          <w:sz w:val="20"/>
        </w:rPr>
        <w:t xml:space="preserve"> </w:t>
      </w:r>
      <w:r>
        <w:rPr>
          <w:rFonts w:ascii="Times New Roman;Times;serif" w:hAnsi="Times New Roman;Times;serif"/>
          <w:color w:val="231F20"/>
          <w:sz w:val="20"/>
        </w:rPr>
        <w:t>part</w:t>
      </w:r>
      <w:r>
        <w:rPr>
          <w:rFonts w:ascii="Times New Roman;Times;serif" w:hAnsi="Times New Roman;Times;serif"/>
          <w:color w:val="231F20"/>
          <w:spacing w:val="-8"/>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product </w:t>
      </w:r>
      <w:r>
        <w:rPr>
          <w:rFonts w:ascii="Times New Roman;Times;serif" w:hAnsi="Times New Roman;Times;serif"/>
          <w:color w:val="231F20"/>
          <w:spacing w:val="-3"/>
          <w:sz w:val="20"/>
        </w:rPr>
        <w:t xml:space="preserve">candidate’s </w:t>
      </w:r>
      <w:r>
        <w:rPr>
          <w:rFonts w:ascii="Times New Roman;Times;serif" w:hAnsi="Times New Roman;Times;serif"/>
          <w:color w:val="231F20"/>
          <w:sz w:val="20"/>
        </w:rPr>
        <w:t xml:space="preserve">profile. </w:t>
      </w:r>
      <w:r>
        <w:rPr>
          <w:rFonts w:ascii="Times New Roman;Times;serif" w:hAnsi="Times New Roman;Times;serif"/>
          <w:color w:val="231F20"/>
          <w:spacing w:val="-3"/>
          <w:sz w:val="20"/>
        </w:rPr>
        <w:t xml:space="preserve">Accordingly, </w:t>
      </w:r>
      <w:r>
        <w:rPr>
          <w:rFonts w:ascii="Times New Roman;Times;serif" w:hAnsi="Times New Roman;Times;serif"/>
          <w:color w:val="231F20"/>
          <w:sz w:val="20"/>
        </w:rPr>
        <w:t xml:space="preserve">the clinical trial process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fail to demonstrate that our drug candidates are safe and effective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proposed indicated </w:t>
      </w:r>
      <w:r>
        <w:rPr>
          <w:rFonts w:ascii="Times New Roman;Times;serif" w:hAnsi="Times New Roman;Times;serif"/>
          <w:color w:val="231F20"/>
          <w:spacing w:val="-3"/>
          <w:sz w:val="20"/>
        </w:rPr>
        <w:t xml:space="preserve">uses. </w:t>
      </w:r>
      <w:r>
        <w:rPr>
          <w:rFonts w:ascii="Times New Roman;Times;serif" w:hAnsi="Times New Roman;Times;serif"/>
          <w:color w:val="231F20"/>
          <w:sz w:val="20"/>
        </w:rPr>
        <w:t xml:space="preserve">If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concludes that the clinical trials </w:t>
      </w:r>
      <w:r>
        <w:rPr>
          <w:rFonts w:ascii="Times New Roman;Times;serif" w:hAnsi="Times New Roman;Times;serif"/>
          <w:color w:val="231F20"/>
          <w:spacing w:val="-3"/>
          <w:sz w:val="20"/>
        </w:rPr>
        <w:t xml:space="preserve">for any </w:t>
      </w:r>
      <w:r>
        <w:rPr>
          <w:rFonts w:ascii="Times New Roman;Times;serif" w:hAnsi="Times New Roman;Times;serif"/>
          <w:color w:val="231F20"/>
          <w:sz w:val="20"/>
        </w:rPr>
        <w:t xml:space="preserve">of our products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which we might seek clearance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failed to demonstrate safety and effectiveness, we would not receive regulatory clearance to market that product in the applicable countries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indications sought. In addition, such an outcome could cause us to abandon the product candidate and might </w:t>
      </w:r>
      <w:r>
        <w:rPr>
          <w:rFonts w:ascii="Times New Roman;Times;serif" w:hAnsi="Times New Roman;Times;serif"/>
          <w:color w:val="231F20"/>
          <w:spacing w:val="-3"/>
          <w:sz w:val="20"/>
        </w:rPr>
        <w:t xml:space="preserve">delay </w:t>
      </w:r>
      <w:r>
        <w:rPr>
          <w:rFonts w:ascii="Times New Roman;Times;serif" w:hAnsi="Times New Roman;Times;serif"/>
          <w:color w:val="231F20"/>
          <w:sz w:val="20"/>
        </w:rPr>
        <w:t xml:space="preserve">development of others. </w:t>
      </w:r>
      <w:r>
        <w:rPr>
          <w:rFonts w:ascii="Times New Roman;Times;serif" w:hAnsi="Times New Roman;Times;serif"/>
          <w:color w:val="231F20"/>
          <w:spacing w:val="-3"/>
          <w:sz w:val="20"/>
        </w:rPr>
        <w:t xml:space="preserve">Any delay </w:t>
      </w:r>
      <w:r>
        <w:rPr>
          <w:rFonts w:ascii="Times New Roman;Times;serif" w:hAnsi="Times New Roman;Times;serif"/>
          <w:color w:val="231F20"/>
          <w:sz w:val="20"/>
        </w:rPr>
        <w:t xml:space="preserve">or termination of our clinical trials will </w:t>
      </w:r>
      <w:r>
        <w:rPr>
          <w:rFonts w:ascii="Times New Roman;Times;serif" w:hAnsi="Times New Roman;Times;serif"/>
          <w:color w:val="231F20"/>
          <w:spacing w:val="-3"/>
          <w:sz w:val="20"/>
        </w:rPr>
        <w:t xml:space="preserve">delay </w:t>
      </w:r>
      <w:r>
        <w:rPr>
          <w:rFonts w:ascii="Times New Roman;Times;serif" w:hAnsi="Times New Roman;Times;serif"/>
          <w:color w:val="231F20"/>
          <w:sz w:val="20"/>
        </w:rPr>
        <w:t xml:space="preserve">the filing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product submissions with regulatory authorities and, </w:t>
      </w:r>
      <w:r>
        <w:rPr>
          <w:rFonts w:ascii="Times New Roman;Times;serif" w:hAnsi="Times New Roman;Times;serif"/>
          <w:color w:val="231F20"/>
          <w:spacing w:val="-3"/>
          <w:sz w:val="20"/>
        </w:rPr>
        <w:t xml:space="preserve">ultimately, </w:t>
      </w:r>
      <w:r>
        <w:rPr>
          <w:rFonts w:ascii="Times New Roman;Times;serif" w:hAnsi="Times New Roman;Times;serif"/>
          <w:color w:val="231F20"/>
          <w:sz w:val="20"/>
        </w:rPr>
        <w:t>our ability to commercialize our product candidates and generate</w:t>
      </w:r>
      <w:r>
        <w:rPr>
          <w:rFonts w:ascii="Times New Roman;Times;serif" w:hAnsi="Times New Roman;Times;serif"/>
          <w:color w:val="231F20"/>
          <w:spacing w:val="-7"/>
          <w:sz w:val="20"/>
        </w:rPr>
        <w:t xml:space="preserve"> </w:t>
      </w:r>
      <w:r>
        <w:rPr>
          <w:rFonts w:ascii="Times New Roman;Times;serif" w:hAnsi="Times New Roman;Times;serif"/>
          <w:color w:val="231F20"/>
          <w:spacing w:val="-4"/>
          <w:sz w:val="20"/>
        </w:rPr>
        <w:t>revenues.</w:t>
      </w:r>
    </w:p>
    <w:p>
      <w:pPr>
        <w:pStyle w:val="TextBody"/>
        <w:spacing w:lineRule="auto" w:line="300" w:before="222" w:after="240"/>
        <w:ind w:left="0" w:right="0" w:hanging="0"/>
        <w:jc w:val="both"/>
        <w:rPr>
          <w:rFonts w:ascii="Times New Roman;Times;serif" w:hAnsi="Times New Roman;Times;serif"/>
          <w:b/>
          <w:sz w:val="20"/>
        </w:rPr>
      </w:pPr>
      <w:r>
        <w:rPr>
          <w:rFonts w:ascii="Times New Roman;Times;serif" w:hAnsi="Times New Roman;Times;serif"/>
          <w:b/>
          <w:i/>
          <w:color w:val="231F20"/>
          <w:sz w:val="20"/>
        </w:rPr>
        <w:t>Delays</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commencement</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completion</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of</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pharmaceutical</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development,</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manufacturing</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clinical</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efficacy and</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safety</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testing</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could</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result</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increased</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costs</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us</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delay</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ability</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generate</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revenues.</w:t>
      </w:r>
    </w:p>
    <w:p>
      <w:pPr>
        <w:pStyle w:val="TextBody"/>
        <w:spacing w:lineRule="auto" w:line="300" w:before="159"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We do not know whether our pharmaceutical development, manufacturing or clinical efficacy and safety testing will begin on time or be completed on schedule, if at all. For example, we may encounter delays during the manufacture of pilot scale batches including delays with our contract development or manufacturing organization, sourcing satisfactory quantities of active pharmaceutical ingredient, narcotic import and export permits, sourcing of excipients, contract disputes with our third-party vendors and manufacturers, or failure of the product to meet specification.</w:t>
      </w:r>
    </w:p>
    <w:p>
      <w:pPr>
        <w:pStyle w:val="TextBody"/>
        <w:spacing w:lineRule="auto" w:line="300"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commencement and completion of clinical trials can be disrupted for a variety of reasons, including difficulties in:</w:t>
      </w:r>
    </w:p>
    <w:tbl>
      <w:tblPr>
        <w:tblW w:w="2886" w:type="dxa"/>
        <w:jc w:val="left"/>
        <w:tblInd w:w="0" w:type="dxa"/>
        <w:tblCellMar>
          <w:top w:w="28" w:type="dxa"/>
          <w:left w:w="28" w:type="dxa"/>
          <w:bottom w:w="28" w:type="dxa"/>
          <w:right w:w="28" w:type="dxa"/>
        </w:tblCellMar>
      </w:tblPr>
      <w:tblGrid>
        <w:gridCol w:w="124"/>
        <w:gridCol w:w="196"/>
        <w:gridCol w:w="256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finding suitable clinical sites;</w:t>
            </w:r>
          </w:p>
        </w:tc>
      </w:tr>
    </w:tbl>
    <w:tbl>
      <w:tblPr>
        <w:tblW w:w="5796" w:type="dxa"/>
        <w:jc w:val="left"/>
        <w:tblInd w:w="0" w:type="dxa"/>
        <w:tblCellMar>
          <w:top w:w="28" w:type="dxa"/>
          <w:left w:w="28" w:type="dxa"/>
          <w:bottom w:w="28" w:type="dxa"/>
          <w:right w:w="28" w:type="dxa"/>
        </w:tblCellMar>
      </w:tblPr>
      <w:tblGrid>
        <w:gridCol w:w="124"/>
        <w:gridCol w:w="19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47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recruiting</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enrolling</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patients</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participate</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a</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clinical</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trial;</w:t>
            </w:r>
          </w:p>
        </w:tc>
      </w:tr>
    </w:tbl>
    <w:tbl>
      <w:tblPr>
        <w:tblW w:w="5348" w:type="dxa"/>
        <w:jc w:val="left"/>
        <w:tblInd w:w="0" w:type="dxa"/>
        <w:tblCellMar>
          <w:top w:w="28" w:type="dxa"/>
          <w:left w:w="28" w:type="dxa"/>
          <w:bottom w:w="28" w:type="dxa"/>
          <w:right w:w="28" w:type="dxa"/>
        </w:tblCellMar>
      </w:tblPr>
      <w:tblGrid>
        <w:gridCol w:w="124"/>
        <w:gridCol w:w="196"/>
        <w:gridCol w:w="5028"/>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028"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obtaining</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regulatory</w:t>
            </w:r>
            <w:r>
              <w:rPr>
                <w:caps w:val="false"/>
                <w:smallCaps w:val="false"/>
                <w:color w:val="231F20"/>
                <w:spacing w:val="-8"/>
              </w:rPr>
              <w:t xml:space="preserve"> </w:t>
            </w:r>
            <w:r>
              <w:rPr>
                <w:rFonts w:ascii="Times New Roman;Times;serif" w:hAnsi="Times New Roman;Times;serif"/>
                <w:b w:val="false"/>
                <w:i w:val="false"/>
                <w:caps w:val="false"/>
                <w:smallCaps w:val="false"/>
                <w:color w:val="231F20"/>
                <w:spacing w:val="-4"/>
                <w:sz w:val="20"/>
              </w:rPr>
              <w:t>approval</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commence</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a</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clinical</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trial;</w:t>
            </w:r>
          </w:p>
        </w:tc>
      </w:tr>
    </w:tbl>
    <w:tbl>
      <w:tblPr>
        <w:tblW w:w="8976" w:type="dxa"/>
        <w:jc w:val="left"/>
        <w:tblInd w:w="0" w:type="dxa"/>
        <w:tblCellMar>
          <w:top w:w="28" w:type="dxa"/>
          <w:left w:w="28" w:type="dxa"/>
          <w:bottom w:w="28" w:type="dxa"/>
          <w:right w:w="28" w:type="dxa"/>
        </w:tblCellMar>
      </w:tblPr>
      <w:tblGrid>
        <w:gridCol w:w="124"/>
        <w:gridCol w:w="196"/>
        <w:gridCol w:w="86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65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reaching</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agreement</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on</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acceptable</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terms</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with</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prospective</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clinical</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research</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organizations</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trial sites;</w:t>
            </w:r>
          </w:p>
        </w:tc>
      </w:tr>
    </w:tbl>
    <w:tbl>
      <w:tblPr>
        <w:tblW w:w="5256" w:type="dxa"/>
        <w:jc w:val="left"/>
        <w:tblInd w:w="0" w:type="dxa"/>
        <w:tblCellMar>
          <w:top w:w="28" w:type="dxa"/>
          <w:left w:w="28" w:type="dxa"/>
          <w:bottom w:w="28" w:type="dxa"/>
          <w:right w:w="28" w:type="dxa"/>
        </w:tblCellMar>
      </w:tblPr>
      <w:tblGrid>
        <w:gridCol w:w="124"/>
        <w:gridCol w:w="196"/>
        <w:gridCol w:w="493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93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manufacturing sufficient quantities of a product</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candidate;</w:t>
            </w:r>
          </w:p>
        </w:tc>
      </w:tr>
    </w:tbl>
    <w:tbl>
      <w:tblPr>
        <w:tblW w:w="6321" w:type="dxa"/>
        <w:jc w:val="left"/>
        <w:tblInd w:w="0" w:type="dxa"/>
        <w:tblCellMar>
          <w:top w:w="28" w:type="dxa"/>
          <w:left w:w="28" w:type="dxa"/>
          <w:bottom w:w="28" w:type="dxa"/>
          <w:right w:w="28" w:type="dxa"/>
        </w:tblCellMar>
      </w:tblPr>
      <w:tblGrid>
        <w:gridCol w:w="124"/>
        <w:gridCol w:w="196"/>
        <w:gridCol w:w="600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00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investigator fraud, including data fabrication by clinical trial</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personnel;</w:t>
            </w:r>
          </w:p>
        </w:tc>
      </w:tr>
    </w:tbl>
    <w:tbl>
      <w:tblPr>
        <w:tblW w:w="5796" w:type="dxa"/>
        <w:jc w:val="left"/>
        <w:tblInd w:w="0" w:type="dxa"/>
        <w:tblCellMar>
          <w:top w:w="28" w:type="dxa"/>
          <w:left w:w="28" w:type="dxa"/>
          <w:bottom w:w="28" w:type="dxa"/>
          <w:right w:w="28" w:type="dxa"/>
        </w:tblCellMar>
      </w:tblPr>
      <w:tblGrid>
        <w:gridCol w:w="124"/>
        <w:gridCol w:w="19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47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diversion of controlled substances by clinical trial personnel;</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a</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clinical</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trial</w:t>
            </w:r>
            <w:r>
              <w:rPr>
                <w:caps w:val="false"/>
                <w:smallCaps w:val="false"/>
                <w:color w:val="231F20"/>
                <w:spacing w:val="-19"/>
              </w:rPr>
              <w:t xml:space="preserve"> </w:t>
            </w:r>
            <w:r>
              <w:rPr>
                <w:rFonts w:ascii="Times New Roman;Times;serif" w:hAnsi="Times New Roman;Times;serif"/>
                <w:b w:val="false"/>
                <w:i w:val="false"/>
                <w:caps w:val="false"/>
                <w:smallCaps w:val="false"/>
                <w:color w:val="231F20"/>
                <w:spacing w:val="-3"/>
                <w:sz w:val="20"/>
              </w:rPr>
              <w:t>may</w:t>
            </w:r>
            <w:r>
              <w:rPr>
                <w:caps w:val="false"/>
                <w:smallCaps w:val="false"/>
                <w:color w:val="231F20"/>
                <w:spacing w:val="-20"/>
              </w:rPr>
              <w:t xml:space="preserve"> </w:t>
            </w:r>
            <w:r>
              <w:rPr>
                <w:rFonts w:ascii="Times New Roman;Times;serif" w:hAnsi="Times New Roman;Times;serif"/>
                <w:b w:val="false"/>
                <w:i w:val="false"/>
                <w:caps w:val="false"/>
                <w:smallCaps w:val="false"/>
                <w:color w:val="231F20"/>
                <w:spacing w:val="-3"/>
                <w:sz w:val="20"/>
              </w:rPr>
              <w:t>also</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be</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suspended</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terminated</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by</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us</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by</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regulatory</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authorities</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due</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a number of factors,</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including:</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failure to conduct the clinical trial in accordance with regulatory requirements or in accordance with our clinical</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protocols;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inspection of the clinical trial operations or trial site by regulatory authorities resulting in the imposition of a clinical</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hold;</w:t>
            </w:r>
          </w:p>
        </w:tc>
      </w:tr>
    </w:tbl>
    <w:tbl>
      <w:tblPr>
        <w:tblW w:w="2691" w:type="dxa"/>
        <w:jc w:val="left"/>
        <w:tblInd w:w="0" w:type="dxa"/>
        <w:tblCellMar>
          <w:top w:w="28" w:type="dxa"/>
          <w:left w:w="28" w:type="dxa"/>
          <w:bottom w:w="28" w:type="dxa"/>
          <w:right w:w="28" w:type="dxa"/>
        </w:tblCellMar>
      </w:tblPr>
      <w:tblGrid>
        <w:gridCol w:w="124"/>
        <w:gridCol w:w="196"/>
        <w:gridCol w:w="237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3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unforeseen safety issues;</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or</w:t>
            </w:r>
          </w:p>
        </w:tc>
      </w:tr>
    </w:tbl>
    <w:tbl>
      <w:tblPr>
        <w:tblW w:w="7731" w:type="dxa"/>
        <w:jc w:val="left"/>
        <w:tblInd w:w="0" w:type="dxa"/>
        <w:tblCellMar>
          <w:top w:w="28" w:type="dxa"/>
          <w:left w:w="28" w:type="dxa"/>
          <w:bottom w:w="28" w:type="dxa"/>
          <w:right w:w="28" w:type="dxa"/>
        </w:tblCellMar>
      </w:tblPr>
      <w:tblGrid>
        <w:gridCol w:w="124"/>
        <w:gridCol w:w="196"/>
        <w:gridCol w:w="741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41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inadequate</w:t>
            </w:r>
            <w:r>
              <w:rPr>
                <w:caps w:val="false"/>
                <w:smallCaps w:val="false"/>
                <w:color w:val="231F20"/>
                <w:spacing w:val="-11"/>
              </w:rPr>
              <w:t xml:space="preserve"> </w:t>
            </w:r>
            <w:r>
              <w:rPr>
                <w:rFonts w:ascii="Times New Roman;Times;serif" w:hAnsi="Times New Roman;Times;serif"/>
                <w:b w:val="false"/>
                <w:i w:val="false"/>
                <w:caps w:val="false"/>
                <w:smallCaps w:val="false"/>
                <w:color w:val="231F20"/>
                <w:sz w:val="20"/>
              </w:rPr>
              <w:t>patient</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enrollment</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lack</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adequate</w:t>
            </w:r>
            <w:r>
              <w:rPr>
                <w:caps w:val="false"/>
                <w:smallCaps w:val="false"/>
                <w:color w:val="231F20"/>
                <w:spacing w:val="-11"/>
              </w:rPr>
              <w:t xml:space="preserve"> </w:t>
            </w:r>
            <w:r>
              <w:rPr>
                <w:rFonts w:ascii="Times New Roman;Times;serif" w:hAnsi="Times New Roman;Times;serif"/>
                <w:b w:val="false"/>
                <w:i w:val="false"/>
                <w:caps w:val="false"/>
                <w:smallCaps w:val="false"/>
                <w:color w:val="231F20"/>
                <w:sz w:val="20"/>
              </w:rPr>
              <w:t>funding</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continue</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clinical</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trial.</w:t>
            </w:r>
          </w:p>
        </w:tc>
      </w:tr>
    </w:tbl>
    <w:p>
      <w:pPr>
        <w:pStyle w:val="TextBody"/>
        <w:spacing w:lineRule="auto" w:line="300" w:before="175" w:after="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In addition, changes in regulatory requirements and guidance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occur and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need to amend clinical trial protocols to reflect these changes, which could impact the cost, timing or successful completion of a clinical trial. If we experience delays in the commencement or completion of our clinical </w:t>
      </w:r>
      <w:r>
        <w:rPr>
          <w:rFonts w:ascii="Times New Roman;Times;serif" w:hAnsi="Times New Roman;Times;serif"/>
          <w:color w:val="231F20"/>
          <w:spacing w:val="-3"/>
          <w:sz w:val="20"/>
        </w:rPr>
        <w:t xml:space="preserve">trials, </w:t>
      </w:r>
      <w:r>
        <w:rPr>
          <w:rFonts w:ascii="Times New Roman;Times;serif" w:hAnsi="Times New Roman;Times;serif"/>
          <w:color w:val="231F20"/>
          <w:sz w:val="20"/>
        </w:rPr>
        <w:t xml:space="preserve">the commercial prospects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our product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sz w:val="20"/>
        </w:rPr>
      </w:pPr>
      <w:r>
        <w:rPr>
          <w:rFonts w:ascii="Times New Roman;Times;serif" w:hAnsi="Times New Roman;Times;serif"/>
          <w:color w:val="231F20"/>
          <w:sz w:val="20"/>
        </w:rPr>
        <w:t>candidates will be harmed, and our ability to generate product</w:t>
      </w:r>
      <w:r>
        <w:rPr>
          <w:rFonts w:ascii="Times New Roman;Times;serif" w:hAnsi="Times New Roman;Times;serif"/>
          <w:color w:val="231F20"/>
          <w:spacing w:val="-5"/>
          <w:sz w:val="20"/>
        </w:rPr>
        <w:t xml:space="preserve"> revenues </w:t>
      </w:r>
      <w:r>
        <w:rPr>
          <w:rFonts w:ascii="Times New Roman;Times;serif" w:hAnsi="Times New Roman;Times;serif"/>
          <w:color w:val="231F20"/>
          <w:sz w:val="20"/>
        </w:rPr>
        <w:t xml:space="preserve">will be delayed. Many of the factors that cause, or lead </w:t>
      </w:r>
      <w:r>
        <w:rPr>
          <w:rFonts w:ascii="Times New Roman;Times;serif" w:hAnsi="Times New Roman;Times;serif"/>
          <w:color w:val="231F20"/>
          <w:spacing w:val="-3"/>
          <w:sz w:val="20"/>
        </w:rPr>
        <w:t xml:space="preserve">to, </w:t>
      </w:r>
      <w:r>
        <w:rPr>
          <w:rFonts w:ascii="Times New Roman;Times;serif" w:hAnsi="Times New Roman;Times;serif"/>
          <w:color w:val="231F20"/>
          <w:sz w:val="20"/>
        </w:rPr>
        <w:t xml:space="preserve">a </w:t>
      </w:r>
      <w:r>
        <w:rPr>
          <w:rFonts w:ascii="Times New Roman;Times;serif" w:hAnsi="Times New Roman;Times;serif"/>
          <w:color w:val="231F20"/>
          <w:spacing w:val="-3"/>
          <w:sz w:val="20"/>
        </w:rPr>
        <w:t xml:space="preserve">delay </w:t>
      </w:r>
      <w:r>
        <w:rPr>
          <w:rFonts w:ascii="Times New Roman;Times;serif" w:hAnsi="Times New Roman;Times;serif"/>
          <w:color w:val="231F20"/>
          <w:sz w:val="20"/>
        </w:rPr>
        <w:t xml:space="preserve">in the commencement or completion of clinical trials </w:t>
      </w:r>
      <w:r>
        <w:rPr>
          <w:rFonts w:ascii="Times New Roman;Times;serif" w:hAnsi="Times New Roman;Times;serif"/>
          <w:color w:val="231F20"/>
          <w:spacing w:val="-3"/>
          <w:sz w:val="20"/>
        </w:rPr>
        <w:t xml:space="preserve">may also </w:t>
      </w:r>
      <w:r>
        <w:rPr>
          <w:rFonts w:ascii="Times New Roman;Times;serif" w:hAnsi="Times New Roman;Times;serif"/>
          <w:color w:val="231F20"/>
          <w:sz w:val="20"/>
        </w:rPr>
        <w:t xml:space="preserve">lead to the denial of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of a product candidate.</w:t>
      </w:r>
    </w:p>
    <w:p>
      <w:pPr>
        <w:pStyle w:val="TextBody"/>
        <w:spacing w:lineRule="auto" w:line="300"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may require the enrollment of large numbers of patients, and suitable patients may be difficult to identify and recruit.</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w:t>
      </w:r>
      <w:r>
        <w:rPr>
          <w:rFonts w:ascii="Times New Roman;Times;serif" w:hAnsi="Times New Roman;Times;serif"/>
          <w:color w:val="231F20"/>
          <w:spacing w:val="-3"/>
          <w:sz w:val="20"/>
        </w:rPr>
        <w:t xml:space="preserve">availability </w:t>
      </w:r>
      <w:r>
        <w:rPr>
          <w:rFonts w:ascii="Times New Roman;Times;serif" w:hAnsi="Times New Roman;Times;serif"/>
          <w:color w:val="231F20"/>
          <w:sz w:val="20"/>
        </w:rPr>
        <w:t xml:space="preserve">of appropriate clinical trial investigators; support staff; the number of ongoing clinical trials in the same indication that compete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the same patients; and proximity of patients to clinical sites and ability to comply</w:t>
      </w:r>
      <w:r>
        <w:rPr>
          <w:rFonts w:ascii="Times New Roman;Times;serif" w:hAnsi="Times New Roman;Times;serif"/>
          <w:color w:val="231F20"/>
          <w:spacing w:val="-4"/>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
          <w:sz w:val="20"/>
        </w:rPr>
        <w:t xml:space="preserve"> </w:t>
      </w:r>
      <w:r>
        <w:rPr>
          <w:rFonts w:ascii="Times New Roman;Times;serif" w:hAnsi="Times New Roman;Times;serif"/>
          <w:color w:val="231F20"/>
          <w:sz w:val="20"/>
        </w:rPr>
        <w:t>eligibility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
          <w:sz w:val="20"/>
        </w:rPr>
        <w:t xml:space="preserve"> </w:t>
      </w:r>
      <w:r>
        <w:rPr>
          <w:rFonts w:ascii="Times New Roman;Times;serif" w:hAnsi="Times New Roman;Times;serif"/>
          <w:color w:val="231F20"/>
          <w:sz w:val="20"/>
        </w:rPr>
        <w:t>exclusion</w:t>
      </w:r>
      <w:r>
        <w:rPr>
          <w:rFonts w:ascii="Times New Roman;Times;serif" w:hAnsi="Times New Roman;Times;serif"/>
          <w:color w:val="231F20"/>
          <w:spacing w:val="-4"/>
          <w:sz w:val="20"/>
        </w:rPr>
        <w:t xml:space="preserve"> </w:t>
      </w:r>
      <w:r>
        <w:rPr>
          <w:rFonts w:ascii="Times New Roman;Times;serif" w:hAnsi="Times New Roman;Times;serif"/>
          <w:color w:val="231F20"/>
          <w:sz w:val="20"/>
        </w:rPr>
        <w:t>criteria</w:t>
      </w:r>
      <w:r>
        <w:rPr>
          <w:rFonts w:ascii="Times New Roman;Times;serif" w:hAnsi="Times New Roman;Times;serif"/>
          <w:color w:val="231F20"/>
          <w:spacing w:val="-3"/>
          <w:sz w:val="20"/>
        </w:rPr>
        <w:t xml:space="preserve"> for </w:t>
      </w:r>
      <w:r>
        <w:rPr>
          <w:rFonts w:ascii="Times New Roman;Times;serif" w:hAnsi="Times New Roman;Times;serif"/>
          <w:color w:val="231F20"/>
          <w:sz w:val="20"/>
        </w:rPr>
        <w:t>participation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in</w:t>
      </w:r>
      <w:r>
        <w:rPr>
          <w:rFonts w:ascii="Times New Roman;Times;serif" w:hAnsi="Times New Roman;Times;serif"/>
          <w:color w:val="231F20"/>
          <w:spacing w:val="-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3"/>
          <w:sz w:val="20"/>
        </w:rPr>
        <w:t xml:space="preserve"> </w:t>
      </w:r>
      <w:r>
        <w:rPr>
          <w:rFonts w:ascii="Times New Roman;Times;serif" w:hAnsi="Times New Roman;Times;serif"/>
          <w:color w:val="231F20"/>
          <w:sz w:val="20"/>
        </w:rPr>
        <w:t>trial</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
          <w:sz w:val="20"/>
        </w:rPr>
        <w:t xml:space="preserve"> </w:t>
      </w:r>
      <w:r>
        <w:rPr>
          <w:rFonts w:ascii="Times New Roman;Times;serif" w:hAnsi="Times New Roman;Times;serif"/>
          <w:color w:val="231F20"/>
          <w:sz w:val="20"/>
        </w:rPr>
        <w:t>patient</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compliance. </w:t>
      </w:r>
      <w:r>
        <w:rPr>
          <w:rFonts w:ascii="Times New Roman;Times;serif" w:hAnsi="Times New Roman;Times;serif"/>
          <w:color w:val="231F20"/>
          <w:spacing w:val="-6"/>
          <w:sz w:val="20"/>
        </w:rPr>
        <w:t xml:space="preserve">For </w:t>
      </w:r>
      <w:r>
        <w:rPr>
          <w:rFonts w:ascii="Times New Roman;Times;serif" w:hAnsi="Times New Roman;Times;serif"/>
          <w:color w:val="231F20"/>
          <w:sz w:val="20"/>
        </w:rPr>
        <w:t xml:space="preserve">example, patients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 discouraged from enrolling in our clinical trials if the trial protocol requires them</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4"/>
          <w:sz w:val="20"/>
        </w:rPr>
        <w:t xml:space="preserve"> </w:t>
      </w:r>
      <w:r>
        <w:rPr>
          <w:rFonts w:ascii="Times New Roman;Times;serif" w:hAnsi="Times New Roman;Times;serif"/>
          <w:color w:val="231F20"/>
          <w:sz w:val="20"/>
        </w:rPr>
        <w:t>undergo</w:t>
      </w:r>
      <w:r>
        <w:rPr>
          <w:rFonts w:ascii="Times New Roman;Times;serif" w:hAnsi="Times New Roman;Times;serif"/>
          <w:color w:val="231F20"/>
          <w:spacing w:val="-14"/>
          <w:sz w:val="20"/>
        </w:rPr>
        <w:t xml:space="preserve"> </w:t>
      </w:r>
      <w:r>
        <w:rPr>
          <w:rFonts w:ascii="Times New Roman;Times;serif" w:hAnsi="Times New Roman;Times;serif"/>
          <w:color w:val="231F20"/>
          <w:sz w:val="20"/>
        </w:rPr>
        <w:t>extensive</w:t>
      </w:r>
      <w:r>
        <w:rPr>
          <w:rFonts w:ascii="Times New Roman;Times;serif" w:hAnsi="Times New Roman;Times;serif"/>
          <w:color w:val="231F20"/>
          <w:spacing w:val="-14"/>
          <w:sz w:val="20"/>
        </w:rPr>
        <w:t xml:space="preserve"> </w:t>
      </w:r>
      <w:r>
        <w:rPr>
          <w:rFonts w:ascii="Times New Roman;Times;serif" w:hAnsi="Times New Roman;Times;serif"/>
          <w:color w:val="231F20"/>
          <w:sz w:val="20"/>
        </w:rPr>
        <w:t>post-treatment</w:t>
      </w:r>
      <w:r>
        <w:rPr>
          <w:rFonts w:ascii="Times New Roman;Times;serif" w:hAnsi="Times New Roman;Times;serif"/>
          <w:color w:val="231F20"/>
          <w:spacing w:val="-14"/>
          <w:sz w:val="20"/>
        </w:rPr>
        <w:t xml:space="preserve"> </w:t>
      </w:r>
      <w:r>
        <w:rPr>
          <w:rFonts w:ascii="Times New Roman;Times;serif" w:hAnsi="Times New Roman;Times;serif"/>
          <w:color w:val="231F20"/>
          <w:sz w:val="20"/>
        </w:rPr>
        <w:t>procedures</w:t>
      </w:r>
      <w:r>
        <w:rPr>
          <w:rFonts w:ascii="Times New Roman;Times;serif" w:hAnsi="Times New Roman;Times;serif"/>
          <w:color w:val="231F20"/>
          <w:spacing w:val="-14"/>
          <w:sz w:val="20"/>
        </w:rPr>
        <w:t xml:space="preserve"> </w:t>
      </w:r>
      <w:r>
        <w:rPr>
          <w:rFonts w:ascii="Times New Roman;Times;serif" w:hAnsi="Times New Roman;Times;serif"/>
          <w:color w:val="231F20"/>
          <w:sz w:val="20"/>
        </w:rPr>
        <w:t>or</w:t>
      </w:r>
      <w:r>
        <w:rPr>
          <w:rFonts w:ascii="Times New Roman;Times;serif" w:hAnsi="Times New Roman;Times;serif"/>
          <w:color w:val="231F20"/>
          <w:spacing w:val="-14"/>
          <w:sz w:val="20"/>
        </w:rPr>
        <w:t xml:space="preserve"> </w:t>
      </w:r>
      <w:r>
        <w:rPr>
          <w:rFonts w:ascii="Times New Roman;Times;serif" w:hAnsi="Times New Roman;Times;serif"/>
          <w:color w:val="231F20"/>
          <w:sz w:val="20"/>
        </w:rPr>
        <w:t>follow-up</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4"/>
          <w:sz w:val="20"/>
        </w:rPr>
        <w:t xml:space="preserve"> </w:t>
      </w:r>
      <w:r>
        <w:rPr>
          <w:rFonts w:ascii="Times New Roman;Times;serif" w:hAnsi="Times New Roman;Times;serif"/>
          <w:color w:val="231F20"/>
          <w:sz w:val="20"/>
        </w:rPr>
        <w:t>assess</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4"/>
          <w:sz w:val="20"/>
        </w:rPr>
        <w:t xml:space="preserve"> </w:t>
      </w:r>
      <w:r>
        <w:rPr>
          <w:rFonts w:ascii="Times New Roman;Times;serif" w:hAnsi="Times New Roman;Times;serif"/>
          <w:color w:val="231F20"/>
          <w:sz w:val="20"/>
        </w:rPr>
        <w:t>safety</w:t>
      </w:r>
      <w:r>
        <w:rPr>
          <w:rFonts w:ascii="Times New Roman;Times;serif" w:hAnsi="Times New Roman;Times;serif"/>
          <w:color w:val="231F20"/>
          <w:spacing w:val="-1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4"/>
          <w:sz w:val="20"/>
        </w:rPr>
        <w:t xml:space="preserve"> </w:t>
      </w:r>
      <w:r>
        <w:rPr>
          <w:rFonts w:ascii="Times New Roman;Times;serif" w:hAnsi="Times New Roman;Times;serif"/>
          <w:color w:val="231F20"/>
          <w:sz w:val="20"/>
        </w:rPr>
        <w:t>effectiveness</w:t>
      </w:r>
      <w:r>
        <w:rPr>
          <w:rFonts w:ascii="Times New Roman;Times;serif" w:hAnsi="Times New Roman;Times;serif"/>
          <w:color w:val="231F20"/>
          <w:spacing w:val="-14"/>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 xml:space="preserve">our products or if they determine that the treatments received under the trial protocols are not attractive or </w:t>
      </w:r>
      <w:r>
        <w:rPr>
          <w:rFonts w:ascii="Times New Roman;Times;serif" w:hAnsi="Times New Roman;Times;serif"/>
          <w:color w:val="231F20"/>
          <w:spacing w:val="-3"/>
          <w:sz w:val="20"/>
        </w:rPr>
        <w:t>involve</w:t>
      </w:r>
      <w:r>
        <w:rPr>
          <w:rFonts w:ascii="Times New Roman;Times;serif" w:hAnsi="Times New Roman;Times;serif"/>
          <w:color w:val="231F20"/>
          <w:spacing w:val="-9"/>
          <w:sz w:val="20"/>
        </w:rPr>
        <w:t xml:space="preserve"> </w:t>
      </w:r>
      <w:r>
        <w:rPr>
          <w:rFonts w:ascii="Times New Roman;Times;serif" w:hAnsi="Times New Roman;Times;serif"/>
          <w:color w:val="231F20"/>
          <w:sz w:val="20"/>
        </w:rPr>
        <w:t>unacceptable</w:t>
      </w:r>
      <w:r>
        <w:rPr>
          <w:rFonts w:ascii="Times New Roman;Times;serif" w:hAnsi="Times New Roman;Times;serif"/>
          <w:color w:val="231F20"/>
          <w:spacing w:val="-9"/>
          <w:sz w:val="20"/>
        </w:rPr>
        <w:t xml:space="preserve"> </w:t>
      </w:r>
      <w:r>
        <w:rPr>
          <w:rFonts w:ascii="Times New Roman;Times;serif" w:hAnsi="Times New Roman;Times;serif"/>
          <w:color w:val="231F20"/>
          <w:sz w:val="20"/>
        </w:rPr>
        <w:t>risks</w:t>
      </w:r>
      <w:r>
        <w:rPr>
          <w:rFonts w:ascii="Times New Roman;Times;serif" w:hAnsi="Times New Roman;Times;serif"/>
          <w:color w:val="231F20"/>
          <w:spacing w:val="-8"/>
          <w:sz w:val="20"/>
        </w:rPr>
        <w:t xml:space="preserve"> </w:t>
      </w:r>
      <w:r>
        <w:rPr>
          <w:rFonts w:ascii="Times New Roman;Times;serif" w:hAnsi="Times New Roman;Times;serif"/>
          <w:color w:val="231F20"/>
          <w:sz w:val="20"/>
        </w:rPr>
        <w:t>or</w:t>
      </w:r>
      <w:r>
        <w:rPr>
          <w:rFonts w:ascii="Times New Roman;Times;serif" w:hAnsi="Times New Roman;Times;serif"/>
          <w:color w:val="231F20"/>
          <w:spacing w:val="-9"/>
          <w:sz w:val="20"/>
        </w:rPr>
        <w:t xml:space="preserve"> </w:t>
      </w:r>
      <w:r>
        <w:rPr>
          <w:rFonts w:ascii="Times New Roman;Times;serif" w:hAnsi="Times New Roman;Times;serif"/>
          <w:color w:val="231F20"/>
          <w:sz w:val="20"/>
        </w:rPr>
        <w:t>discomforts.</w:t>
      </w:r>
      <w:r>
        <w:rPr>
          <w:rFonts w:ascii="Times New Roman;Times;serif" w:hAnsi="Times New Roman;Times;serif"/>
          <w:color w:val="231F20"/>
          <w:spacing w:val="-9"/>
          <w:sz w:val="20"/>
        </w:rPr>
        <w:t xml:space="preserve"> </w:t>
      </w:r>
      <w:r>
        <w:rPr>
          <w:rFonts w:ascii="Times New Roman;Times;serif" w:hAnsi="Times New Roman;Times;serif"/>
          <w:color w:val="231F20"/>
          <w:sz w:val="20"/>
        </w:rPr>
        <w:t>Patients</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also</w:t>
      </w:r>
      <w:r>
        <w:rPr>
          <w:rFonts w:ascii="Times New Roman;Times;serif" w:hAnsi="Times New Roman;Times;serif"/>
          <w:color w:val="231F20"/>
          <w:spacing w:val="-9"/>
          <w:sz w:val="20"/>
        </w:rPr>
        <w:t xml:space="preserve"> </w:t>
      </w:r>
      <w:r>
        <w:rPr>
          <w:rFonts w:ascii="Times New Roman;Times;serif" w:hAnsi="Times New Roman;Times;serif"/>
          <w:color w:val="231F20"/>
          <w:sz w:val="20"/>
        </w:rPr>
        <w:t>not</w:t>
      </w:r>
      <w:r>
        <w:rPr>
          <w:rFonts w:ascii="Times New Roman;Times;serif" w:hAnsi="Times New Roman;Times;serif"/>
          <w:color w:val="231F20"/>
          <w:spacing w:val="-8"/>
          <w:sz w:val="20"/>
        </w:rPr>
        <w:t xml:space="preserve"> </w:t>
      </w:r>
      <w:r>
        <w:rPr>
          <w:rFonts w:ascii="Times New Roman;Times;serif" w:hAnsi="Times New Roman;Times;serif"/>
          <w:color w:val="231F20"/>
          <w:sz w:val="20"/>
        </w:rPr>
        <w:t>participate</w:t>
      </w:r>
      <w:r>
        <w:rPr>
          <w:rFonts w:ascii="Times New Roman;Times;serif" w:hAnsi="Times New Roman;Times;serif"/>
          <w:color w:val="231F20"/>
          <w:spacing w:val="-9"/>
          <w:sz w:val="20"/>
        </w:rPr>
        <w:t xml:space="preserve"> </w:t>
      </w:r>
      <w:r>
        <w:rPr>
          <w:rFonts w:ascii="Times New Roman;Times;serif" w:hAnsi="Times New Roman;Times;serif"/>
          <w:color w:val="231F20"/>
          <w:sz w:val="20"/>
        </w:rPr>
        <w:t>in</w:t>
      </w:r>
      <w:r>
        <w:rPr>
          <w:rFonts w:ascii="Times New Roman;Times;serif" w:hAnsi="Times New Roman;Times;serif"/>
          <w:color w:val="231F20"/>
          <w:spacing w:val="-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8"/>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9"/>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9"/>
          <w:sz w:val="20"/>
        </w:rPr>
        <w:t xml:space="preserve"> </w:t>
      </w:r>
      <w:r>
        <w:rPr>
          <w:rFonts w:ascii="Times New Roman;Times;serif" w:hAnsi="Times New Roman;Times;serif"/>
          <w:color w:val="231F20"/>
          <w:sz w:val="20"/>
        </w:rPr>
        <w:t>if</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they</w:t>
      </w:r>
      <w:r>
        <w:rPr>
          <w:rFonts w:ascii="Times New Roman;Times;serif" w:hAnsi="Times New Roman;Times;serif"/>
          <w:color w:val="231F20"/>
          <w:spacing w:val="-9"/>
          <w:sz w:val="20"/>
        </w:rPr>
        <w:t xml:space="preserve"> </w:t>
      </w:r>
      <w:r>
        <w:rPr>
          <w:rFonts w:ascii="Times New Roman;Times;serif" w:hAnsi="Times New Roman;Times;serif"/>
          <w:color w:val="231F20"/>
          <w:sz w:val="20"/>
        </w:rPr>
        <w:t>choose to participate in contemporaneous clinical trials of competitive</w:t>
      </w:r>
      <w:r>
        <w:rPr>
          <w:rFonts w:ascii="Times New Roman;Times;serif" w:hAnsi="Times New Roman;Times;serif"/>
          <w:color w:val="231F20"/>
          <w:spacing w:val="-1"/>
          <w:sz w:val="20"/>
        </w:rPr>
        <w:t xml:space="preserve"> </w:t>
      </w:r>
      <w:r>
        <w:rPr>
          <w:rFonts w:ascii="Times New Roman;Times;serif" w:hAnsi="Times New Roman;Times;serif"/>
          <w:color w:val="231F20"/>
          <w:spacing w:val="-3"/>
          <w:sz w:val="20"/>
        </w:rPr>
        <w:t>products. Pandemic or pandemic-like conditions may limit the ability of patients to participate in studies.</w:t>
      </w:r>
    </w:p>
    <w:p>
      <w:pPr>
        <w:pStyle w:val="TextBody"/>
        <w:spacing w:lineRule="auto" w:line="300"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Development of sufficient and appropriate clinical protocols to demonstrate safety and efficacy are required and we may not adequately develop such protocols to support clearance and approval.</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z w:val="20"/>
        </w:rPr>
        <w:t>Regulators</w:t>
      </w:r>
      <w:r>
        <w:rPr>
          <w:rFonts w:ascii="Times New Roman;Times;serif" w:hAnsi="Times New Roman;Times;serif"/>
          <w:color w:val="231F20"/>
          <w:spacing w:val="-25"/>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5"/>
          <w:sz w:val="20"/>
        </w:rPr>
        <w:t xml:space="preserve"> </w:t>
      </w:r>
      <w:r>
        <w:rPr>
          <w:rFonts w:ascii="Times New Roman;Times;serif" w:hAnsi="Times New Roman;Times;serif"/>
          <w:color w:val="231F20"/>
          <w:sz w:val="20"/>
        </w:rPr>
        <w:t>require</w:t>
      </w:r>
      <w:r>
        <w:rPr>
          <w:rFonts w:ascii="Times New Roman;Times;serif" w:hAnsi="Times New Roman;Times;serif"/>
          <w:color w:val="231F20"/>
          <w:spacing w:val="-25"/>
          <w:sz w:val="20"/>
        </w:rPr>
        <w:t xml:space="preserve"> </w:t>
      </w:r>
      <w:r>
        <w:rPr>
          <w:rFonts w:ascii="Times New Roman;Times;serif" w:hAnsi="Times New Roman;Times;serif"/>
          <w:color w:val="231F20"/>
          <w:sz w:val="20"/>
        </w:rPr>
        <w:t>us</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submit</w:t>
      </w:r>
      <w:r>
        <w:rPr>
          <w:rFonts w:ascii="Times New Roman;Times;serif" w:hAnsi="Times New Roman;Times;serif"/>
          <w:color w:val="231F20"/>
          <w:spacing w:val="-25"/>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5"/>
          <w:sz w:val="20"/>
        </w:rPr>
        <w:t xml:space="preserve"> </w:t>
      </w:r>
      <w:r>
        <w:rPr>
          <w:rFonts w:ascii="Times New Roman;Times;serif" w:hAnsi="Times New Roman;Times;serif"/>
          <w:color w:val="231F20"/>
          <w:sz w:val="20"/>
        </w:rPr>
        <w:t>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a</w:t>
      </w:r>
      <w:r>
        <w:rPr>
          <w:rFonts w:ascii="Times New Roman;Times;serif" w:hAnsi="Times New Roman;Times;serif"/>
          <w:color w:val="231F20"/>
          <w:spacing w:val="-25"/>
          <w:sz w:val="20"/>
        </w:rPr>
        <w:t xml:space="preserve"> </w:t>
      </w:r>
      <w:r>
        <w:rPr>
          <w:rFonts w:ascii="Times New Roman;Times;serif" w:hAnsi="Times New Roman;Times;serif"/>
          <w:color w:val="231F20"/>
          <w:sz w:val="20"/>
        </w:rPr>
        <w:t>greater</w:t>
      </w:r>
      <w:r>
        <w:rPr>
          <w:rFonts w:ascii="Times New Roman;Times;serif" w:hAnsi="Times New Roman;Times;serif"/>
          <w:color w:val="231F20"/>
          <w:spacing w:val="-25"/>
          <w:sz w:val="20"/>
        </w:rPr>
        <w:t xml:space="preserve"> </w:t>
      </w:r>
      <w:r>
        <w:rPr>
          <w:rFonts w:ascii="Times New Roman;Times;serif" w:hAnsi="Times New Roman;Times;serif"/>
          <w:color w:val="231F20"/>
          <w:sz w:val="20"/>
        </w:rPr>
        <w:t>number</w:t>
      </w:r>
      <w:r>
        <w:rPr>
          <w:rFonts w:ascii="Times New Roman;Times;serif" w:hAnsi="Times New Roman;Times;serif"/>
          <w:color w:val="231F20"/>
          <w:spacing w:val="-25"/>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patients</w:t>
      </w:r>
      <w:r>
        <w:rPr>
          <w:rFonts w:ascii="Times New Roman;Times;serif" w:hAnsi="Times New Roman;Times;serif"/>
          <w:color w:val="231F20"/>
          <w:spacing w:val="-25"/>
          <w:sz w:val="20"/>
        </w:rPr>
        <w:t xml:space="preserve"> </w:t>
      </w:r>
      <w:r>
        <w:rPr>
          <w:rFonts w:ascii="Times New Roman;Times;serif" w:hAnsi="Times New Roman;Times;serif"/>
          <w:color w:val="231F20"/>
          <w:sz w:val="20"/>
        </w:rPr>
        <w:t>than</w:t>
      </w:r>
      <w:r>
        <w:rPr>
          <w:rFonts w:ascii="Times New Roman;Times;serif" w:hAnsi="Times New Roman;Times;serif"/>
          <w:color w:val="231F20"/>
          <w:spacing w:val="-25"/>
          <w:sz w:val="20"/>
        </w:rPr>
        <w:t xml:space="preserve"> </w:t>
      </w:r>
      <w:r>
        <w:rPr>
          <w:rFonts w:ascii="Times New Roman;Times;serif" w:hAnsi="Times New Roman;Times;serif"/>
          <w:color w:val="231F20"/>
          <w:sz w:val="20"/>
        </w:rPr>
        <w:t>we</w:t>
      </w:r>
      <w:r>
        <w:rPr>
          <w:rFonts w:ascii="Times New Roman;Times;serif" w:hAnsi="Times New Roman;Times;serif"/>
          <w:color w:val="231F20"/>
          <w:spacing w:val="-25"/>
          <w:sz w:val="20"/>
        </w:rPr>
        <w:t xml:space="preserve"> </w:t>
      </w:r>
      <w:r>
        <w:rPr>
          <w:rFonts w:ascii="Times New Roman;Times;serif" w:hAnsi="Times New Roman;Times;serif"/>
          <w:color w:val="231F20"/>
          <w:sz w:val="20"/>
        </w:rPr>
        <w:t>originally</w:t>
      </w:r>
      <w:r>
        <w:rPr>
          <w:rFonts w:ascii="Times New Roman;Times;serif" w:hAnsi="Times New Roman;Times;serif"/>
          <w:color w:val="231F20"/>
          <w:spacing w:val="-24"/>
          <w:sz w:val="20"/>
        </w:rPr>
        <w:t xml:space="preserve"> </w:t>
      </w:r>
      <w:r>
        <w:rPr>
          <w:rFonts w:ascii="Times New Roman;Times;serif" w:hAnsi="Times New Roman;Times;serif"/>
          <w:color w:val="231F20"/>
          <w:sz w:val="20"/>
        </w:rPr>
        <w:t>anticipated and/or</w:t>
      </w:r>
      <w:r>
        <w:rPr>
          <w:rFonts w:ascii="Times New Roman;Times;serif" w:hAnsi="Times New Roman;Times;serif"/>
          <w:color w:val="231F20"/>
          <w:spacing w:val="-23"/>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3"/>
          <w:sz w:val="20"/>
        </w:rPr>
        <w:t xml:space="preserve"> </w:t>
      </w:r>
      <w:r>
        <w:rPr>
          <w:rFonts w:ascii="Times New Roman;Times;serif" w:hAnsi="Times New Roman;Times;serif"/>
          <w:color w:val="231F20"/>
          <w:sz w:val="20"/>
        </w:rPr>
        <w:t>a</w:t>
      </w:r>
      <w:r>
        <w:rPr>
          <w:rFonts w:ascii="Times New Roman;Times;serif" w:hAnsi="Times New Roman;Times;serif"/>
          <w:color w:val="231F20"/>
          <w:spacing w:val="-23"/>
          <w:sz w:val="20"/>
        </w:rPr>
        <w:t xml:space="preserve"> </w:t>
      </w:r>
      <w:r>
        <w:rPr>
          <w:rFonts w:ascii="Times New Roman;Times;serif" w:hAnsi="Times New Roman;Times;serif"/>
          <w:color w:val="231F20"/>
          <w:sz w:val="20"/>
        </w:rPr>
        <w:t>longer</w:t>
      </w:r>
      <w:r>
        <w:rPr>
          <w:rFonts w:ascii="Times New Roman;Times;serif" w:hAnsi="Times New Roman;Times;serif"/>
          <w:color w:val="231F20"/>
          <w:spacing w:val="-23"/>
          <w:sz w:val="20"/>
        </w:rPr>
        <w:t xml:space="preserve"> </w:t>
      </w:r>
      <w:r>
        <w:rPr>
          <w:rFonts w:ascii="Times New Roman;Times;serif" w:hAnsi="Times New Roman;Times;serif"/>
          <w:color w:val="231F20"/>
          <w:sz w:val="20"/>
        </w:rPr>
        <w:t>follow-up</w:t>
      </w:r>
      <w:r>
        <w:rPr>
          <w:rFonts w:ascii="Times New Roman;Times;serif" w:hAnsi="Times New Roman;Times;serif"/>
          <w:color w:val="231F20"/>
          <w:spacing w:val="-23"/>
          <w:sz w:val="20"/>
        </w:rPr>
        <w:t xml:space="preserve"> </w:t>
      </w:r>
      <w:r>
        <w:rPr>
          <w:rFonts w:ascii="Times New Roman;Times;serif" w:hAnsi="Times New Roman;Times;serif"/>
          <w:color w:val="231F20"/>
          <w:sz w:val="20"/>
        </w:rPr>
        <w:t>period</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22"/>
          <w:sz w:val="20"/>
        </w:rPr>
        <w:t xml:space="preserve"> </w:t>
      </w:r>
      <w:r>
        <w:rPr>
          <w:rFonts w:ascii="Times New Roman;Times;serif" w:hAnsi="Times New Roman;Times;serif"/>
          <w:color w:val="231F20"/>
          <w:sz w:val="20"/>
        </w:rPr>
        <w:t>change</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collection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22"/>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3"/>
          <w:sz w:val="20"/>
        </w:rPr>
        <w:t xml:space="preserve"> </w:t>
      </w:r>
      <w:r>
        <w:rPr>
          <w:rFonts w:ascii="Times New Roman;Times;serif" w:hAnsi="Times New Roman;Times;serif"/>
          <w:color w:val="231F20"/>
          <w:sz w:val="20"/>
        </w:rPr>
        <w:t>analysis</w:t>
      </w:r>
      <w:r>
        <w:rPr>
          <w:rFonts w:ascii="Times New Roman;Times;serif" w:hAnsi="Times New Roman;Times;serif"/>
          <w:color w:val="231F20"/>
          <w:spacing w:val="-23"/>
          <w:sz w:val="20"/>
        </w:rPr>
        <w:t xml:space="preserve"> </w:t>
      </w:r>
      <w:r>
        <w:rPr>
          <w:rFonts w:ascii="Times New Roman;Times;serif" w:hAnsi="Times New Roman;Times;serif"/>
          <w:color w:val="231F20"/>
          <w:sz w:val="20"/>
        </w:rPr>
        <w:t>applicable to</w:t>
      </w:r>
      <w:r>
        <w:rPr>
          <w:rFonts w:ascii="Times New Roman;Times;serif" w:hAnsi="Times New Roman;Times;serif"/>
          <w:color w:val="231F20"/>
          <w:spacing w:val="-2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7"/>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6"/>
          <w:sz w:val="20"/>
        </w:rPr>
        <w:t xml:space="preserve"> </w:t>
      </w:r>
      <w:r>
        <w:rPr>
          <w:rFonts w:ascii="Times New Roman;Times;serif" w:hAnsi="Times New Roman;Times;serif"/>
          <w:color w:val="231F20"/>
          <w:spacing w:val="-4"/>
          <w:sz w:val="20"/>
        </w:rPr>
        <w:t>trials.</w:t>
      </w:r>
      <w:r>
        <w:rPr>
          <w:rFonts w:ascii="Times New Roman;Times;serif" w:hAnsi="Times New Roman;Times;serif"/>
          <w:color w:val="231F20"/>
          <w:spacing w:val="-27"/>
          <w:sz w:val="20"/>
        </w:rPr>
        <w:t xml:space="preserve"> </w:t>
      </w:r>
      <w:r>
        <w:rPr>
          <w:rFonts w:ascii="Times New Roman;Times;serif" w:hAnsi="Times New Roman;Times;serif"/>
          <w:color w:val="231F20"/>
          <w:sz w:val="20"/>
        </w:rPr>
        <w:t>They</w:t>
      </w:r>
      <w:r>
        <w:rPr>
          <w:rFonts w:ascii="Times New Roman;Times;serif" w:hAnsi="Times New Roman;Times;serif"/>
          <w:color w:val="231F20"/>
          <w:spacing w:val="-27"/>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6"/>
          <w:sz w:val="20"/>
        </w:rPr>
        <w:t xml:space="preserve"> </w:t>
      </w:r>
      <w:r>
        <w:rPr>
          <w:rFonts w:ascii="Times New Roman;Times;serif" w:hAnsi="Times New Roman;Times;serif"/>
          <w:color w:val="231F20"/>
          <w:spacing w:val="-3"/>
          <w:sz w:val="20"/>
        </w:rPr>
        <w:t>also</w:t>
      </w:r>
      <w:r>
        <w:rPr>
          <w:rFonts w:ascii="Times New Roman;Times;serif" w:hAnsi="Times New Roman;Times;serif"/>
          <w:color w:val="231F20"/>
          <w:spacing w:val="-27"/>
          <w:sz w:val="20"/>
        </w:rPr>
        <w:t xml:space="preserve"> </w:t>
      </w:r>
      <w:r>
        <w:rPr>
          <w:rFonts w:ascii="Times New Roman;Times;serif" w:hAnsi="Times New Roman;Times;serif"/>
          <w:color w:val="231F20"/>
          <w:sz w:val="20"/>
        </w:rPr>
        <w:t>require</w:t>
      </w:r>
      <w:r>
        <w:rPr>
          <w:rFonts w:ascii="Times New Roman;Times;serif" w:hAnsi="Times New Roman;Times;serif"/>
          <w:color w:val="231F20"/>
          <w:spacing w:val="-27"/>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26"/>
          <w:sz w:val="20"/>
        </w:rPr>
        <w:t xml:space="preserve"> </w:t>
      </w:r>
      <w:r>
        <w:rPr>
          <w:rFonts w:ascii="Times New Roman;Times;serif" w:hAnsi="Times New Roman;Times;serif"/>
          <w:color w:val="231F20"/>
          <w:sz w:val="20"/>
        </w:rPr>
        <w:t>data</w:t>
      </w:r>
      <w:r>
        <w:rPr>
          <w:rFonts w:ascii="Times New Roman;Times;serif" w:hAnsi="Times New Roman;Times;serif"/>
          <w:color w:val="231F20"/>
          <w:spacing w:val="-27"/>
          <w:sz w:val="20"/>
        </w:rPr>
        <w:t xml:space="preserve"> </w:t>
      </w:r>
      <w:r>
        <w:rPr>
          <w:rFonts w:ascii="Times New Roman;Times;serif" w:hAnsi="Times New Roman;Times;serif"/>
          <w:color w:val="231F20"/>
          <w:sz w:val="20"/>
        </w:rPr>
        <w:t>on</w:t>
      </w:r>
      <w:r>
        <w:rPr>
          <w:rFonts w:ascii="Times New Roman;Times;serif" w:hAnsi="Times New Roman;Times;serif"/>
          <w:color w:val="231F20"/>
          <w:spacing w:val="-26"/>
          <w:sz w:val="20"/>
        </w:rPr>
        <w:t xml:space="preserve"> </w:t>
      </w:r>
      <w:r>
        <w:rPr>
          <w:rFonts w:ascii="Times New Roman;Times;serif" w:hAnsi="Times New Roman;Times;serif"/>
          <w:color w:val="231F20"/>
          <w:sz w:val="20"/>
        </w:rPr>
        <w:t>certain</w:t>
      </w:r>
      <w:r>
        <w:rPr>
          <w:rFonts w:ascii="Times New Roman;Times;serif" w:hAnsi="Times New Roman;Times;serif"/>
          <w:color w:val="231F20"/>
          <w:spacing w:val="-27"/>
          <w:sz w:val="20"/>
        </w:rPr>
        <w:t xml:space="preserve"> </w:t>
      </w:r>
      <w:r>
        <w:rPr>
          <w:rFonts w:ascii="Times New Roman;Times;serif" w:hAnsi="Times New Roman;Times;serif"/>
          <w:color w:val="231F20"/>
          <w:sz w:val="20"/>
        </w:rPr>
        <w:t>categories</w:t>
      </w:r>
      <w:r>
        <w:rPr>
          <w:rFonts w:ascii="Times New Roman;Times;serif" w:hAnsi="Times New Roman;Times;serif"/>
          <w:color w:val="231F20"/>
          <w:spacing w:val="-27"/>
          <w:sz w:val="20"/>
        </w:rPr>
        <w:t xml:space="preserve"> </w:t>
      </w:r>
      <w:r>
        <w:rPr>
          <w:rFonts w:ascii="Times New Roman;Times;serif" w:hAnsi="Times New Roman;Times;serif"/>
          <w:color w:val="231F20"/>
          <w:sz w:val="20"/>
        </w:rPr>
        <w:t>of</w:t>
      </w:r>
      <w:r>
        <w:rPr>
          <w:rFonts w:ascii="Times New Roman;Times;serif" w:hAnsi="Times New Roman;Times;serif"/>
          <w:color w:val="231F20"/>
          <w:spacing w:val="-15"/>
          <w:sz w:val="20"/>
        </w:rPr>
        <w:t xml:space="preserve"> </w:t>
      </w:r>
      <w:r>
        <w:rPr>
          <w:rFonts w:ascii="Times New Roman;Times;serif" w:hAnsi="Times New Roman;Times;serif"/>
          <w:color w:val="231F20"/>
          <w:sz w:val="20"/>
        </w:rPr>
        <w:t>patients,</w:t>
      </w:r>
      <w:r>
        <w:rPr>
          <w:rFonts w:ascii="Times New Roman;Times;serif" w:hAnsi="Times New Roman;Times;serif"/>
          <w:color w:val="231F20"/>
          <w:spacing w:val="-26"/>
          <w:sz w:val="20"/>
        </w:rPr>
        <w:t xml:space="preserve"> </w:t>
      </w:r>
      <w:r>
        <w:rPr>
          <w:rFonts w:ascii="Times New Roman;Times;serif" w:hAnsi="Times New Roman;Times;serif"/>
          <w:color w:val="231F20"/>
          <w:sz w:val="20"/>
        </w:rPr>
        <w:t>should</w:t>
      </w:r>
      <w:r>
        <w:rPr>
          <w:rFonts w:ascii="Times New Roman;Times;serif" w:hAnsi="Times New Roman;Times;serif"/>
          <w:color w:val="231F20"/>
          <w:spacing w:val="-27"/>
          <w:sz w:val="20"/>
        </w:rPr>
        <w:t xml:space="preserve"> </w:t>
      </w:r>
      <w:r>
        <w:rPr>
          <w:rFonts w:ascii="Times New Roman;Times;serif" w:hAnsi="Times New Roman;Times;serif"/>
          <w:color w:val="231F20"/>
          <w:sz w:val="20"/>
        </w:rPr>
        <w:t>it</w:t>
      </w:r>
      <w:r>
        <w:rPr>
          <w:rFonts w:ascii="Times New Roman;Times;serif" w:hAnsi="Times New Roman;Times;serif"/>
          <w:color w:val="231F20"/>
          <w:spacing w:val="-26"/>
          <w:sz w:val="20"/>
        </w:rPr>
        <w:t xml:space="preserve"> </w:t>
      </w:r>
      <w:r>
        <w:rPr>
          <w:rFonts w:ascii="Times New Roman;Times;serif" w:hAnsi="Times New Roman;Times;serif"/>
          <w:color w:val="231F20"/>
          <w:sz w:val="20"/>
        </w:rPr>
        <w:t xml:space="preserve">emerge during the conduct of our clinical trials that certain categories of patients are </w:t>
      </w:r>
      <w:r>
        <w:rPr>
          <w:rFonts w:ascii="Times New Roman;Times;serif" w:hAnsi="Times New Roman;Times;serif"/>
          <w:color w:val="231F20"/>
          <w:spacing w:val="-3"/>
          <w:sz w:val="20"/>
        </w:rPr>
        <w:t xml:space="preserve">likely </w:t>
      </w:r>
      <w:r>
        <w:rPr>
          <w:rFonts w:ascii="Times New Roman;Times;serif" w:hAnsi="Times New Roman;Times;serif"/>
          <w:color w:val="231F20"/>
          <w:sz w:val="20"/>
        </w:rPr>
        <w:t>to be affected in different</w:t>
      </w:r>
      <w:r>
        <w:rPr>
          <w:rFonts w:ascii="Times New Roman;Times;serif" w:hAnsi="Times New Roman;Times;serif"/>
          <w:color w:val="231F20"/>
          <w:spacing w:val="-34"/>
          <w:sz w:val="20"/>
        </w:rPr>
        <w:t xml:space="preserve"> </w:t>
      </w:r>
      <w:r>
        <w:rPr>
          <w:rFonts w:ascii="Times New Roman;Times;serif" w:hAnsi="Times New Roman;Times;serif"/>
          <w:color w:val="231F20"/>
          <w:sz w:val="20"/>
        </w:rPr>
        <w:t>and/or</w:t>
      </w:r>
      <w:r>
        <w:rPr>
          <w:rFonts w:ascii="Times New Roman;Times;serif" w:hAnsi="Times New Roman;Times;serif"/>
          <w:color w:val="231F20"/>
          <w:spacing w:val="-33"/>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33"/>
          <w:sz w:val="20"/>
        </w:rPr>
        <w:t xml:space="preserve"> </w:t>
      </w:r>
      <w:r>
        <w:rPr>
          <w:rFonts w:ascii="Times New Roman;Times;serif" w:hAnsi="Times New Roman;Times;serif"/>
          <w:color w:val="231F20"/>
          <w:sz w:val="20"/>
        </w:rPr>
        <w:t>manner</w:t>
      </w:r>
      <w:r>
        <w:rPr>
          <w:rFonts w:ascii="Times New Roman;Times;serif" w:hAnsi="Times New Roman;Times;serif"/>
          <w:color w:val="231F20"/>
          <w:spacing w:val="-34"/>
          <w:sz w:val="20"/>
        </w:rPr>
        <w:t xml:space="preserve"> </w:t>
      </w:r>
      <w:r>
        <w:rPr>
          <w:rFonts w:ascii="Times New Roman;Times;serif" w:hAnsi="Times New Roman;Times;serif"/>
          <w:color w:val="231F20"/>
          <w:sz w:val="20"/>
        </w:rPr>
        <w:t>than</w:t>
      </w:r>
      <w:r>
        <w:rPr>
          <w:rFonts w:ascii="Times New Roman;Times;serif" w:hAnsi="Times New Roman;Times;serif"/>
          <w:color w:val="231F20"/>
          <w:spacing w:val="-33"/>
          <w:sz w:val="20"/>
        </w:rPr>
        <w:t xml:space="preserve"> </w:t>
      </w:r>
      <w:r>
        <w:rPr>
          <w:rFonts w:ascii="Times New Roman;Times;serif" w:hAnsi="Times New Roman;Times;serif"/>
          <w:color w:val="231F20"/>
          <w:sz w:val="20"/>
        </w:rPr>
        <w:t>most</w:t>
      </w:r>
      <w:r>
        <w:rPr>
          <w:rFonts w:ascii="Times New Roman;Times;serif" w:hAnsi="Times New Roman;Times;serif"/>
          <w:color w:val="231F20"/>
          <w:spacing w:val="-33"/>
          <w:sz w:val="20"/>
        </w:rPr>
        <w:t xml:space="preserve"> </w:t>
      </w:r>
      <w:r>
        <w:rPr>
          <w:rFonts w:ascii="Times New Roman;Times;serif" w:hAnsi="Times New Roman;Times;serif"/>
          <w:color w:val="231F20"/>
          <w:sz w:val="20"/>
        </w:rPr>
        <w:t>of</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3"/>
          <w:sz w:val="20"/>
        </w:rPr>
        <w:t xml:space="preserve"> </w:t>
      </w:r>
      <w:r>
        <w:rPr>
          <w:rFonts w:ascii="Times New Roman;Times;serif" w:hAnsi="Times New Roman;Times;serif"/>
          <w:color w:val="231F20"/>
          <w:spacing w:val="-3"/>
          <w:sz w:val="20"/>
        </w:rPr>
        <w:t>patients.</w:t>
      </w:r>
      <w:r>
        <w:rPr>
          <w:rFonts w:ascii="Times New Roman;Times;serif" w:hAnsi="Times New Roman;Times;serif"/>
          <w:color w:val="231F20"/>
          <w:spacing w:val="-34"/>
          <w:sz w:val="20"/>
        </w:rPr>
        <w:t xml:space="preserve"> </w:t>
      </w:r>
      <w:r>
        <w:rPr>
          <w:rFonts w:ascii="Times New Roman;Times;serif" w:hAnsi="Times New Roman;Times;serif"/>
          <w:color w:val="231F20"/>
          <w:sz w:val="20"/>
        </w:rPr>
        <w:t>In</w:t>
      </w:r>
      <w:r>
        <w:rPr>
          <w:rFonts w:ascii="Times New Roman;Times;serif" w:hAnsi="Times New Roman;Times;serif"/>
          <w:color w:val="231F20"/>
          <w:spacing w:val="-33"/>
          <w:sz w:val="20"/>
        </w:rPr>
        <w:t xml:space="preserve"> </w:t>
      </w:r>
      <w:r>
        <w:rPr>
          <w:rFonts w:ascii="Times New Roman;Times;serif" w:hAnsi="Times New Roman;Times;serif"/>
          <w:color w:val="231F20"/>
          <w:sz w:val="20"/>
        </w:rPr>
        <w:t>addition</w:t>
      </w:r>
      <w:r>
        <w:rPr>
          <w:rFonts w:ascii="Times New Roman;Times;serif" w:hAnsi="Times New Roman;Times;serif"/>
          <w:color w:val="231F20"/>
          <w:spacing w:val="-33"/>
          <w:sz w:val="20"/>
        </w:rPr>
        <w:t xml:space="preserve"> </w:t>
      </w:r>
      <w:r>
        <w:rPr>
          <w:rFonts w:ascii="Times New Roman;Times;serif" w:hAnsi="Times New Roman;Times;serif"/>
          <w:color w:val="231F20"/>
          <w:sz w:val="20"/>
        </w:rPr>
        <w:t>to</w:t>
      </w:r>
      <w:r>
        <w:rPr>
          <w:rFonts w:ascii="Times New Roman;Times;serif" w:hAnsi="Times New Roman;Times;serif"/>
          <w:color w:val="231F20"/>
          <w:spacing w:val="-33"/>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34"/>
          <w:sz w:val="20"/>
        </w:rPr>
        <w:t xml:space="preserve"> </w:t>
      </w:r>
      <w:r>
        <w:rPr>
          <w:rFonts w:ascii="Times New Roman;Times;serif" w:hAnsi="Times New Roman;Times;serif"/>
          <w:color w:val="231F20"/>
          <w:sz w:val="20"/>
        </w:rPr>
        <w:t>authority</w:t>
      </w:r>
      <w:r>
        <w:rPr>
          <w:rFonts w:ascii="Times New Roman;Times;serif" w:hAnsi="Times New Roman;Times;serif"/>
          <w:color w:val="231F20"/>
          <w:spacing w:val="-33"/>
          <w:sz w:val="20"/>
        </w:rPr>
        <w:t xml:space="preserve"> </w:t>
      </w:r>
      <w:r>
        <w:rPr>
          <w:rFonts w:ascii="Times New Roman;Times;serif" w:hAnsi="Times New Roman;Times;serif"/>
          <w:color w:val="231F20"/>
          <w:spacing w:val="-3"/>
          <w:sz w:val="20"/>
        </w:rPr>
        <w:t xml:space="preserve">requirements, </w:t>
      </w:r>
      <w:r>
        <w:rPr>
          <w:rFonts w:ascii="Times New Roman;Times;serif" w:hAnsi="Times New Roman;Times;serif"/>
          <w:color w:val="231F20"/>
          <w:sz w:val="20"/>
        </w:rPr>
        <w:t xml:space="preserve">our clinical trial requires the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of the institutional review board (“IRB”)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each site selected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participation in our clinical</w:t>
      </w:r>
      <w:r>
        <w:rPr>
          <w:rFonts w:ascii="Times New Roman;Times;serif" w:hAnsi="Times New Roman;Times;serif"/>
          <w:color w:val="231F20"/>
          <w:spacing w:val="-27"/>
          <w:sz w:val="20"/>
        </w:rPr>
        <w:t xml:space="preserve"> </w:t>
      </w:r>
      <w:r>
        <w:rPr>
          <w:rFonts w:ascii="Times New Roman;Times;serif" w:hAnsi="Times New Roman;Times;serif"/>
          <w:color w:val="231F20"/>
          <w:sz w:val="20"/>
        </w:rPr>
        <w:t>trial.</w:t>
      </w:r>
    </w:p>
    <w:p>
      <w:pPr>
        <w:pStyle w:val="TextBody"/>
        <w:spacing w:lineRule="auto" w:line="300" w:before="87" w:after="240"/>
        <w:ind w:left="0" w:right="0" w:hanging="0"/>
        <w:jc w:val="both"/>
        <w:rPr>
          <w:rFonts w:ascii="Times New Roman;Times;serif" w:hAnsi="Times New Roman;Times;serif"/>
          <w:b/>
          <w:sz w:val="20"/>
        </w:rPr>
      </w:pPr>
      <w:r>
        <w:rPr>
          <w:rFonts w:ascii="Times New Roman;Times;serif" w:hAnsi="Times New Roman;Times;serif"/>
          <w:b/>
          <w:i/>
          <w:color w:val="231F20"/>
          <w:sz w:val="20"/>
        </w:rPr>
        <w:t>Additional delays to the completion of clinical studies may result from modifications being made to the protocol</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during</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clinical</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trial,</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if</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such</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modifications</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warranted</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and/or</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required</w:t>
      </w:r>
      <w:r>
        <w:rPr>
          <w:rFonts w:ascii="Times New Roman;Times;serif" w:hAnsi="Times New Roman;Times;serif"/>
          <w:b/>
          <w:color w:val="231F20"/>
          <w:spacing w:val="-11"/>
          <w:sz w:val="20"/>
        </w:rPr>
        <w:t xml:space="preserve"> </w:t>
      </w:r>
      <w:r>
        <w:rPr>
          <w:rFonts w:ascii="Times New Roman;Times;serif" w:hAnsi="Times New Roman;Times;serif"/>
          <w:b/>
          <w:i/>
          <w:color w:val="231F20"/>
          <w:spacing w:val="-3"/>
          <w:sz w:val="20"/>
        </w:rPr>
        <w:t>by</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occurrences</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the given</w:t>
      </w:r>
      <w:r>
        <w:rPr>
          <w:rFonts w:ascii="Times New Roman;Times;serif" w:hAnsi="Times New Roman;Times;serif"/>
          <w:b/>
          <w:color w:val="231F20"/>
          <w:spacing w:val="-2"/>
          <w:sz w:val="20"/>
        </w:rPr>
        <w:t xml:space="preserve"> </w:t>
      </w:r>
      <w:r>
        <w:rPr>
          <w:rFonts w:ascii="Times New Roman;Times;serif" w:hAnsi="Times New Roman;Times;serif"/>
          <w:b/>
          <w:i/>
          <w:color w:val="231F20"/>
          <w:sz w:val="20"/>
        </w:rPr>
        <w:t>trial.</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choose to </w:t>
      </w:r>
      <w:r>
        <w:rPr>
          <w:rFonts w:ascii="Times New Roman;Times;serif" w:hAnsi="Times New Roman;Times;serif"/>
          <w:color w:val="231F20"/>
          <w:spacing w:val="-4"/>
          <w:sz w:val="20"/>
        </w:rPr>
        <w:t xml:space="preserve">make </w:t>
      </w:r>
      <w:r>
        <w:rPr>
          <w:rFonts w:ascii="Times New Roman;Times;serif" w:hAnsi="Times New Roman;Times;serif"/>
          <w:color w:val="231F20"/>
          <w:sz w:val="20"/>
        </w:rPr>
        <w:t xml:space="preserve">modifications to a clinical trial protocol during the clinical trial if such modifications are warranted and/or required by the occurrences in the trial. Each of such modifications has to be submitted to a regulatory </w:t>
      </w:r>
      <w:r>
        <w:rPr>
          <w:rFonts w:ascii="Times New Roman;Times;serif" w:hAnsi="Times New Roman;Times;serif"/>
          <w:color w:val="231F20"/>
          <w:spacing w:val="-3"/>
          <w:sz w:val="20"/>
        </w:rPr>
        <w:t xml:space="preserve">authority. </w:t>
      </w:r>
      <w:r>
        <w:rPr>
          <w:rFonts w:ascii="Times New Roman;Times;serif" w:hAnsi="Times New Roman;Times;serif"/>
          <w:color w:val="231F20"/>
          <w:sz w:val="20"/>
        </w:rPr>
        <w:t xml:space="preserve">This could result in the </w:t>
      </w:r>
      <w:r>
        <w:rPr>
          <w:rFonts w:ascii="Times New Roman;Times;serif" w:hAnsi="Times New Roman;Times;serif"/>
          <w:color w:val="231F20"/>
          <w:spacing w:val="-3"/>
          <w:sz w:val="20"/>
        </w:rPr>
        <w:t xml:space="preserve">delay </w:t>
      </w:r>
      <w:r>
        <w:rPr>
          <w:rFonts w:ascii="Times New Roman;Times;serif" w:hAnsi="Times New Roman;Times;serif"/>
          <w:color w:val="231F20"/>
          <w:sz w:val="20"/>
        </w:rPr>
        <w:t xml:space="preserve">or </w:t>
      </w:r>
      <w:r>
        <w:rPr>
          <w:rFonts w:ascii="Times New Roman;Times;serif" w:hAnsi="Times New Roman;Times;serif"/>
          <w:color w:val="231F20"/>
          <w:spacing w:val="-3"/>
          <w:sz w:val="20"/>
        </w:rPr>
        <w:t xml:space="preserve">halt </w:t>
      </w:r>
      <w:r>
        <w:rPr>
          <w:rFonts w:ascii="Times New Roman;Times;serif" w:hAnsi="Times New Roman;Times;serif"/>
          <w:color w:val="231F20"/>
          <w:sz w:val="20"/>
        </w:rPr>
        <w:t xml:space="preserve">of a clinical trial while the modification is </w:t>
      </w:r>
      <w:r>
        <w:rPr>
          <w:rFonts w:ascii="Times New Roman;Times;serif" w:hAnsi="Times New Roman;Times;serif"/>
          <w:color w:val="231F20"/>
          <w:spacing w:val="-3"/>
          <w:sz w:val="20"/>
        </w:rPr>
        <w:t xml:space="preserve">evaluated. </w:t>
      </w:r>
      <w:r>
        <w:rPr>
          <w:rFonts w:ascii="Times New Roman;Times;serif" w:hAnsi="Times New Roman;Times;serif"/>
          <w:color w:val="231F20"/>
          <w:sz w:val="20"/>
        </w:rPr>
        <w:t xml:space="preserve">In addition, depending on the magnitude and nature of the changes made, the regulatory authority could </w:t>
      </w:r>
      <w:r>
        <w:rPr>
          <w:rFonts w:ascii="Times New Roman;Times;serif" w:hAnsi="Times New Roman;Times;serif"/>
          <w:color w:val="231F20"/>
          <w:spacing w:val="-4"/>
          <w:sz w:val="20"/>
        </w:rPr>
        <w:t xml:space="preserve">take </w:t>
      </w:r>
      <w:r>
        <w:rPr>
          <w:rFonts w:ascii="Times New Roman;Times;serif" w:hAnsi="Times New Roman;Times;serif"/>
          <w:color w:val="231F20"/>
          <w:sz w:val="20"/>
        </w:rPr>
        <w:t xml:space="preserve">the position that the data generated by the clinical trial cannot be pooled because the same protocol was not used throughout the trial. This might require the enrollment of additional subjects, which could result in the extension of the clinical trial and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delaying clearance or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of a</w:t>
      </w:r>
      <w:r>
        <w:rPr>
          <w:rFonts w:ascii="Times New Roman;Times;serif" w:hAnsi="Times New Roman;Times;serif"/>
          <w:color w:val="231F20"/>
          <w:spacing w:val="11"/>
          <w:sz w:val="20"/>
        </w:rPr>
        <w:t xml:space="preserve"> </w:t>
      </w:r>
      <w:r>
        <w:rPr>
          <w:rFonts w:ascii="Times New Roman;Times;serif" w:hAnsi="Times New Roman;Times;serif"/>
          <w:color w:val="231F20"/>
          <w:sz w:val="20"/>
        </w:rPr>
        <w:t>product.</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There can be no assurance that the data generated using modified protocols will be acceptable to regulators.</w:t>
      </w:r>
    </w:p>
    <w:p>
      <w:pPr>
        <w:pStyle w:val="TextBody"/>
        <w:spacing w:lineRule="auto" w:line="300" w:before="171"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There can be no assurance that the data generated using modified protocols will be acceptable to the regulators or that if future modifications during the trial are necessary, any such modifications will be acceptable to regulators. If the regulators believe that prior approval is required for a particular modification, they can delay or halt a clinical trial while they evaluate additional information regarding the change.</w:t>
      </w:r>
    </w:p>
    <w:p>
      <w:pPr>
        <w:pStyle w:val="TextBody"/>
        <w:spacing w:lineRule="auto" w:line="300"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If an adverse event occurs during a clinical trial, the regulators or an IRB may delay (clinical hold) or terminate the trial, which could adversely affect our business and prospects.</w:t>
      </w:r>
    </w:p>
    <w:p>
      <w:pPr>
        <w:pStyle w:val="TextBody"/>
        <w:spacing w:lineRule="auto" w:line="300" w:before="159"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Serious injury or death resulting from a failure of one of our drug candidates during current or future clinical trials could result in the regulators delaying our clinical trials or denying or delaying clearance or approval of a product. Even though an adverse event may not be the result of the failure of our drug candidate, the regulators or an IRB could delay 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halt a clinical trial for an indefinite period of time while an adverse event is reviewed, and likely would do so in the event of multiple such events.</w:t>
      </w:r>
    </w:p>
    <w:p>
      <w:pPr>
        <w:pStyle w:val="TextBody"/>
        <w:spacing w:lineRule="auto" w:line="300" w:before="160"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Any delay </w:t>
      </w:r>
      <w:r>
        <w:rPr>
          <w:rFonts w:ascii="Times New Roman;Times;serif" w:hAnsi="Times New Roman;Times;serif"/>
          <w:color w:val="231F20"/>
          <w:sz w:val="20"/>
        </w:rPr>
        <w:t xml:space="preserve">or termination of our current or future clinical trials as a result of the risks summarized </w:t>
      </w:r>
      <w:r>
        <w:rPr>
          <w:rFonts w:ascii="Times New Roman;Times;serif" w:hAnsi="Times New Roman;Times;serif"/>
          <w:color w:val="231F20"/>
          <w:spacing w:val="-5"/>
          <w:sz w:val="20"/>
        </w:rPr>
        <w:t xml:space="preserve">above, </w:t>
      </w:r>
      <w:r>
        <w:rPr>
          <w:rFonts w:ascii="Times New Roman;Times;serif" w:hAnsi="Times New Roman;Times;serif"/>
          <w:color w:val="231F20"/>
          <w:sz w:val="20"/>
        </w:rPr>
        <w:t xml:space="preserve">including delays in obtaining or maintaining required </w:t>
      </w:r>
      <w:r>
        <w:rPr>
          <w:rFonts w:ascii="Times New Roman;Times;serif" w:hAnsi="Times New Roman;Times;serif"/>
          <w:color w:val="231F20"/>
          <w:spacing w:val="-4"/>
          <w:sz w:val="20"/>
        </w:rPr>
        <w:t xml:space="preserve">approvals </w:t>
      </w:r>
      <w:r>
        <w:rPr>
          <w:rFonts w:ascii="Times New Roman;Times;serif" w:hAnsi="Times New Roman;Times;serif"/>
          <w:color w:val="231F20"/>
          <w:sz w:val="20"/>
        </w:rPr>
        <w:t>from IRBs, delays in patient enrollment, the failure of patients to continue to participate in a clinical trial, and delays or termination of clinical</w:t>
      </w:r>
      <w:r>
        <w:rPr>
          <w:rFonts w:ascii="Times New Roman;Times;serif" w:hAnsi="Times New Roman;Times;serif"/>
          <w:color w:val="231F20"/>
          <w:spacing w:val="-9"/>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9"/>
          <w:sz w:val="20"/>
        </w:rPr>
        <w:t xml:space="preserve"> </w:t>
      </w:r>
      <w:r>
        <w:rPr>
          <w:rFonts w:ascii="Times New Roman;Times;serif" w:hAnsi="Times New Roman;Times;serif"/>
          <w:color w:val="231F20"/>
          <w:sz w:val="20"/>
        </w:rPr>
        <w:t>as</w:t>
      </w:r>
      <w:r>
        <w:rPr>
          <w:rFonts w:ascii="Times New Roman;Times;serif" w:hAnsi="Times New Roman;Times;serif"/>
          <w:color w:val="231F20"/>
          <w:spacing w:val="-9"/>
          <w:sz w:val="20"/>
        </w:rPr>
        <w:t xml:space="preserve"> </w:t>
      </w:r>
      <w:r>
        <w:rPr>
          <w:rFonts w:ascii="Times New Roman;Times;serif" w:hAnsi="Times New Roman;Times;serif"/>
          <w:color w:val="231F20"/>
          <w:sz w:val="20"/>
        </w:rPr>
        <w:t>a</w:t>
      </w:r>
      <w:r>
        <w:rPr>
          <w:rFonts w:ascii="Times New Roman;Times;serif" w:hAnsi="Times New Roman;Times;serif"/>
          <w:color w:val="231F20"/>
          <w:spacing w:val="-9"/>
          <w:sz w:val="20"/>
        </w:rPr>
        <w:t xml:space="preserve"> </w:t>
      </w:r>
      <w:r>
        <w:rPr>
          <w:rFonts w:ascii="Times New Roman;Times;serif" w:hAnsi="Times New Roman;Times;serif"/>
          <w:color w:val="231F20"/>
          <w:sz w:val="20"/>
        </w:rPr>
        <w:t>result</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protocol</w:t>
      </w:r>
      <w:r>
        <w:rPr>
          <w:rFonts w:ascii="Times New Roman;Times;serif" w:hAnsi="Times New Roman;Times;serif"/>
          <w:color w:val="231F20"/>
          <w:spacing w:val="-9"/>
          <w:sz w:val="20"/>
        </w:rPr>
        <w:t xml:space="preserve"> </w:t>
      </w:r>
      <w:r>
        <w:rPr>
          <w:rFonts w:ascii="Times New Roman;Times;serif" w:hAnsi="Times New Roman;Times;serif"/>
          <w:color w:val="231F20"/>
          <w:sz w:val="20"/>
        </w:rPr>
        <w:t>modifications</w:t>
      </w:r>
      <w:r>
        <w:rPr>
          <w:rFonts w:ascii="Times New Roman;Times;serif" w:hAnsi="Times New Roman;Times;serif"/>
          <w:color w:val="231F20"/>
          <w:spacing w:val="-9"/>
          <w:sz w:val="20"/>
        </w:rPr>
        <w:t xml:space="preserve"> </w:t>
      </w:r>
      <w:r>
        <w:rPr>
          <w:rFonts w:ascii="Times New Roman;Times;serif" w:hAnsi="Times New Roman;Times;serif"/>
          <w:color w:val="231F20"/>
          <w:sz w:val="20"/>
        </w:rPr>
        <w:t>or</w:t>
      </w:r>
      <w:r>
        <w:rPr>
          <w:rFonts w:ascii="Times New Roman;Times;serif" w:hAnsi="Times New Roman;Times;serif"/>
          <w:color w:val="231F20"/>
          <w:spacing w:val="-9"/>
          <w:sz w:val="20"/>
        </w:rPr>
        <w:t xml:space="preserve"> </w:t>
      </w:r>
      <w:r>
        <w:rPr>
          <w:rFonts w:ascii="Times New Roman;Times;serif" w:hAnsi="Times New Roman;Times;serif"/>
          <w:color w:val="231F20"/>
          <w:sz w:val="20"/>
        </w:rPr>
        <w:t>adverse</w:t>
      </w:r>
      <w:r>
        <w:rPr>
          <w:rFonts w:ascii="Times New Roman;Times;serif" w:hAnsi="Times New Roman;Times;serif"/>
          <w:color w:val="231F20"/>
          <w:spacing w:val="-9"/>
          <w:sz w:val="20"/>
        </w:rPr>
        <w:t xml:space="preserve"> </w:t>
      </w:r>
      <w:r>
        <w:rPr>
          <w:rFonts w:ascii="Times New Roman;Times;serif" w:hAnsi="Times New Roman;Times;serif"/>
          <w:color w:val="231F20"/>
          <w:sz w:val="20"/>
        </w:rPr>
        <w:t>events</w:t>
      </w:r>
      <w:r>
        <w:rPr>
          <w:rFonts w:ascii="Times New Roman;Times;serif" w:hAnsi="Times New Roman;Times;serif"/>
          <w:color w:val="231F20"/>
          <w:spacing w:val="-9"/>
          <w:sz w:val="20"/>
        </w:rPr>
        <w:t xml:space="preserve"> </w:t>
      </w:r>
      <w:r>
        <w:rPr>
          <w:rFonts w:ascii="Times New Roman;Times;serif" w:hAnsi="Times New Roman;Times;serif"/>
          <w:color w:val="231F20"/>
          <w:sz w:val="20"/>
        </w:rPr>
        <w:t>during</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trials,</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9"/>
          <w:sz w:val="20"/>
        </w:rPr>
        <w:t xml:space="preserve"> </w:t>
      </w:r>
      <w:r>
        <w:rPr>
          <w:rFonts w:ascii="Times New Roman;Times;serif" w:hAnsi="Times New Roman;Times;serif"/>
          <w:color w:val="231F20"/>
          <w:sz w:val="20"/>
        </w:rPr>
        <w:t>cause</w:t>
      </w:r>
      <w:r>
        <w:rPr>
          <w:rFonts w:ascii="Times New Roman;Times;serif" w:hAnsi="Times New Roman;Times;serif"/>
          <w:color w:val="231F20"/>
          <w:spacing w:val="-9"/>
          <w:sz w:val="20"/>
        </w:rPr>
        <w:t xml:space="preserve"> </w:t>
      </w:r>
      <w:r>
        <w:rPr>
          <w:rFonts w:ascii="Times New Roman;Times;serif" w:hAnsi="Times New Roman;Times;serif"/>
          <w:color w:val="231F20"/>
          <w:sz w:val="20"/>
        </w:rPr>
        <w:t>an</w:t>
      </w:r>
      <w:r>
        <w:rPr>
          <w:rFonts w:ascii="Times New Roman;Times;serif" w:hAnsi="Times New Roman;Times;serif"/>
          <w:color w:val="231F20"/>
          <w:spacing w:val="-9"/>
          <w:sz w:val="20"/>
        </w:rPr>
        <w:t xml:space="preserve"> </w:t>
      </w:r>
      <w:r>
        <w:rPr>
          <w:rFonts w:ascii="Times New Roman;Times;serif" w:hAnsi="Times New Roman;Times;serif"/>
          <w:color w:val="231F20"/>
          <w:sz w:val="20"/>
        </w:rPr>
        <w:t>increase</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in costs and delays in the filing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product submissions with the </w:t>
      </w:r>
      <w:r>
        <w:rPr>
          <w:rFonts w:ascii="Times New Roman;Times;serif" w:hAnsi="Times New Roman;Times;serif"/>
          <w:color w:val="231F20"/>
          <w:spacing w:val="-3"/>
          <w:sz w:val="20"/>
        </w:rPr>
        <w:t xml:space="preserve">FDA, delay </w:t>
      </w:r>
      <w:r>
        <w:rPr>
          <w:rFonts w:ascii="Times New Roman;Times;serif" w:hAnsi="Times New Roman;Times;serif"/>
          <w:color w:val="231F20"/>
          <w:sz w:val="20"/>
        </w:rPr>
        <w:t xml:space="preserve">the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and commercialization of our products or result in the failure of the clinical trial, which could adversely affect our</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business,</w:t>
      </w:r>
      <w:r>
        <w:rPr>
          <w:rFonts w:ascii="Times New Roman;Times;serif" w:hAnsi="Times New Roman;Times;serif"/>
          <w:color w:val="231F20"/>
          <w:spacing w:val="-14"/>
          <w:sz w:val="20"/>
        </w:rPr>
        <w:t xml:space="preserve"> </w:t>
      </w:r>
      <w:r>
        <w:rPr>
          <w:rFonts w:ascii="Times New Roman;Times;serif" w:hAnsi="Times New Roman;Times;serif"/>
          <w:color w:val="231F20"/>
          <w:sz w:val="20"/>
        </w:rPr>
        <w:t>operating</w:t>
      </w:r>
      <w:r>
        <w:rPr>
          <w:rFonts w:ascii="Times New Roman;Times;serif" w:hAnsi="Times New Roman;Times;serif"/>
          <w:color w:val="231F20"/>
          <w:spacing w:val="-13"/>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1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prospects.</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Lengthy</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delays</w:t>
      </w:r>
      <w:r>
        <w:rPr>
          <w:rFonts w:ascii="Times New Roman;Times;serif" w:hAnsi="Times New Roman;Times;serif"/>
          <w:color w:val="231F20"/>
          <w:spacing w:val="-14"/>
          <w:sz w:val="20"/>
        </w:rPr>
        <w:t xml:space="preserve"> </w:t>
      </w:r>
      <w:r>
        <w:rPr>
          <w:rFonts w:ascii="Times New Roman;Times;serif" w:hAnsi="Times New Roman;Times;serif"/>
          <w:color w:val="231F20"/>
          <w:sz w:val="20"/>
        </w:rPr>
        <w:t>in</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4"/>
          <w:sz w:val="20"/>
        </w:rPr>
        <w:t xml:space="preserve"> </w:t>
      </w:r>
      <w:r>
        <w:rPr>
          <w:rFonts w:ascii="Times New Roman;Times;serif" w:hAnsi="Times New Roman;Times;serif"/>
          <w:color w:val="231F20"/>
          <w:sz w:val="20"/>
        </w:rPr>
        <w:t>completion</w:t>
      </w:r>
      <w:r>
        <w:rPr>
          <w:rFonts w:ascii="Times New Roman;Times;serif" w:hAnsi="Times New Roman;Times;serif"/>
          <w:color w:val="231F20"/>
          <w:spacing w:val="-14"/>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trials</w:t>
      </w:r>
      <w:r>
        <w:rPr>
          <w:rFonts w:ascii="Times New Roman;Times;serif" w:hAnsi="Times New Roman;Times;serif"/>
          <w:color w:val="231F20"/>
          <w:spacing w:val="-14"/>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4"/>
          <w:sz w:val="20"/>
        </w:rPr>
        <w:t xml:space="preserve"> </w:t>
      </w:r>
      <w:r>
        <w:rPr>
          <w:rFonts w:ascii="Times New Roman;Times;serif" w:hAnsi="Times New Roman;Times;serif"/>
          <w:color w:val="231F20"/>
          <w:sz w:val="20"/>
        </w:rPr>
        <w:t>products would</w:t>
      </w:r>
      <w:r>
        <w:rPr>
          <w:rFonts w:ascii="Times New Roman;Times;serif" w:hAnsi="Times New Roman;Times;serif"/>
          <w:color w:val="231F20"/>
          <w:spacing w:val="-4"/>
          <w:sz w:val="20"/>
        </w:rPr>
        <w:t xml:space="preserve"> </w:t>
      </w:r>
      <w:r>
        <w:rPr>
          <w:rFonts w:ascii="Times New Roman;Times;serif" w:hAnsi="Times New Roman;Times;serif"/>
          <w:color w:val="231F20"/>
          <w:sz w:val="20"/>
        </w:rPr>
        <w:t>adversely</w:t>
      </w:r>
      <w:r>
        <w:rPr>
          <w:rFonts w:ascii="Times New Roman;Times;serif" w:hAnsi="Times New Roman;Times;serif"/>
          <w:color w:val="231F20"/>
          <w:spacing w:val="-3"/>
          <w:sz w:val="20"/>
        </w:rPr>
        <w:t xml:space="preserve"> </w:t>
      </w:r>
      <w:r>
        <w:rPr>
          <w:rFonts w:ascii="Times New Roman;Times;serif" w:hAnsi="Times New Roman;Times;serif"/>
          <w:color w:val="231F20"/>
          <w:sz w:val="20"/>
        </w:rPr>
        <w:t>affect</w:t>
      </w:r>
      <w:r>
        <w:rPr>
          <w:rFonts w:ascii="Times New Roman;Times;serif" w:hAnsi="Times New Roman;Times;serif"/>
          <w:color w:val="231F20"/>
          <w:spacing w:val="-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prospects</w:t>
      </w:r>
      <w:r>
        <w:rPr>
          <w:rFonts w:ascii="Times New Roman;Times;serif" w:hAnsi="Times New Roman;Times;serif"/>
          <w:color w:val="231F20"/>
          <w:spacing w:val="-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3"/>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3"/>
          <w:sz w:val="20"/>
        </w:rPr>
        <w:t xml:space="preserve"> </w:t>
      </w:r>
      <w:r>
        <w:rPr>
          <w:rFonts w:ascii="Times New Roman;Times;serif" w:hAnsi="Times New Roman;Times;serif"/>
          <w:color w:val="231F20"/>
          <w:sz w:val="20"/>
        </w:rPr>
        <w:t>cause</w:t>
      </w:r>
      <w:r>
        <w:rPr>
          <w:rFonts w:ascii="Times New Roman;Times;serif" w:hAnsi="Times New Roman;Times;serif"/>
          <w:color w:val="231F20"/>
          <w:spacing w:val="-4"/>
          <w:sz w:val="20"/>
        </w:rPr>
        <w:t xml:space="preserve"> </w:t>
      </w:r>
      <w:r>
        <w:rPr>
          <w:rFonts w:ascii="Times New Roman;Times;serif" w:hAnsi="Times New Roman;Times;serif"/>
          <w:color w:val="231F20"/>
          <w:sz w:val="20"/>
        </w:rPr>
        <w:t>us</w:t>
      </w:r>
      <w:r>
        <w:rPr>
          <w:rFonts w:ascii="Times New Roman;Times;serif" w:hAnsi="Times New Roman;Times;serif"/>
          <w:color w:val="231F20"/>
          <w:spacing w:val="-3"/>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cease</w:t>
      </w:r>
      <w:r>
        <w:rPr>
          <w:rFonts w:ascii="Times New Roman;Times;serif" w:hAnsi="Times New Roman;Times;serif"/>
          <w:color w:val="231F20"/>
          <w:spacing w:val="-3"/>
          <w:sz w:val="20"/>
        </w:rPr>
        <w:t xml:space="preserve"> </w:t>
      </w:r>
      <w:r>
        <w:rPr>
          <w:rFonts w:ascii="Times New Roman;Times;serif" w:hAnsi="Times New Roman;Times;serif"/>
          <w:color w:val="231F20"/>
          <w:sz w:val="20"/>
        </w:rPr>
        <w:t>operations.</w:t>
      </w:r>
    </w:p>
    <w:p>
      <w:pPr>
        <w:pStyle w:val="TextBody"/>
        <w:spacing w:lineRule="auto" w:line="300"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Developments by competitors may establish standards of care that affect our ability to conduct our clinical trials as planned.</w:t>
      </w:r>
    </w:p>
    <w:p>
      <w:pPr>
        <w:pStyle w:val="TextBody"/>
        <w:spacing w:lineRule="auto" w:line="300" w:before="160"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Changes in standards related to clinical trial design could affect our ability to design and conduct clinical trials as planned. </w:t>
      </w:r>
      <w:r>
        <w:rPr>
          <w:rFonts w:ascii="Times New Roman;Times;serif" w:hAnsi="Times New Roman;Times;serif"/>
          <w:color w:val="231F20"/>
          <w:spacing w:val="-6"/>
          <w:sz w:val="20"/>
        </w:rPr>
        <w:t xml:space="preserve">For </w:t>
      </w:r>
      <w:r>
        <w:rPr>
          <w:rFonts w:ascii="Times New Roman;Times;serif" w:hAnsi="Times New Roman;Times;serif"/>
          <w:color w:val="231F20"/>
          <w:sz w:val="20"/>
        </w:rPr>
        <w:t xml:space="preserve">example, regulatory authorities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w:t>
      </w:r>
      <w:r>
        <w:rPr>
          <w:rFonts w:ascii="Times New Roman;Times;serif" w:hAnsi="Times New Roman;Times;serif"/>
          <w:color w:val="231F20"/>
          <w:spacing w:val="-3"/>
          <w:sz w:val="20"/>
        </w:rPr>
        <w:t xml:space="preserve">allow </w:t>
      </w:r>
      <w:r>
        <w:rPr>
          <w:rFonts w:ascii="Times New Roman;Times;serif" w:hAnsi="Times New Roman;Times;serif"/>
          <w:color w:val="231F20"/>
          <w:sz w:val="20"/>
        </w:rPr>
        <w:t>us to compare our drug candidates</w:t>
      </w:r>
      <w:r>
        <w:rPr>
          <w:rFonts w:ascii="Times New Roman;Times;serif" w:hAnsi="Times New Roman;Times;serif"/>
          <w:color w:val="231F20"/>
          <w:spacing w:val="-25"/>
          <w:sz w:val="20"/>
        </w:rPr>
        <w:t xml:space="preserve"> </w:t>
      </w:r>
      <w:r>
        <w:rPr>
          <w:rFonts w:ascii="Times New Roman;Times;serif" w:hAnsi="Times New Roman;Times;serif"/>
          <w:color w:val="231F20"/>
          <w:sz w:val="20"/>
        </w:rPr>
        <w:t>to</w:t>
      </w:r>
      <w:r>
        <w:rPr>
          <w:rFonts w:ascii="Times New Roman;Times;serif" w:hAnsi="Times New Roman;Times;serif"/>
          <w:color w:val="231F20"/>
          <w:spacing w:val="-24"/>
          <w:sz w:val="20"/>
        </w:rPr>
        <w:t xml:space="preserve"> </w:t>
      </w:r>
      <w:r>
        <w:rPr>
          <w:rFonts w:ascii="Times New Roman;Times;serif" w:hAnsi="Times New Roman;Times;serif"/>
          <w:color w:val="231F20"/>
          <w:sz w:val="20"/>
        </w:rPr>
        <w:t>placebo</w:t>
      </w:r>
      <w:r>
        <w:rPr>
          <w:rFonts w:ascii="Times New Roman;Times;serif" w:hAnsi="Times New Roman;Times;serif"/>
          <w:color w:val="231F20"/>
          <w:spacing w:val="-25"/>
          <w:sz w:val="20"/>
        </w:rPr>
        <w:t xml:space="preserve"> </w:t>
      </w:r>
      <w:r>
        <w:rPr>
          <w:rFonts w:ascii="Times New Roman;Times;serif" w:hAnsi="Times New Roman;Times;serif"/>
          <w:color w:val="231F20"/>
          <w:sz w:val="20"/>
        </w:rPr>
        <w:t>in</w:t>
      </w:r>
      <w:r>
        <w:rPr>
          <w:rFonts w:ascii="Times New Roman;Times;serif" w:hAnsi="Times New Roman;Times;serif"/>
          <w:color w:val="231F20"/>
          <w:spacing w:val="-24"/>
          <w:sz w:val="20"/>
        </w:rPr>
        <w:t xml:space="preserve"> </w:t>
      </w:r>
      <w:r>
        <w:rPr>
          <w:rFonts w:ascii="Times New Roman;Times;serif" w:hAnsi="Times New Roman;Times;serif"/>
          <w:color w:val="231F20"/>
          <w:sz w:val="20"/>
        </w:rPr>
        <w:t>a</w:t>
      </w:r>
      <w:r>
        <w:rPr>
          <w:rFonts w:ascii="Times New Roman;Times;serif" w:hAnsi="Times New Roman;Times;serif"/>
          <w:color w:val="231F20"/>
          <w:spacing w:val="-24"/>
          <w:sz w:val="20"/>
        </w:rPr>
        <w:t xml:space="preserve"> </w:t>
      </w:r>
      <w:r>
        <w:rPr>
          <w:rFonts w:ascii="Times New Roman;Times;serif" w:hAnsi="Times New Roman;Times;serif"/>
          <w:color w:val="231F20"/>
          <w:sz w:val="20"/>
        </w:rPr>
        <w:t>particular</w:t>
      </w:r>
      <w:r>
        <w:rPr>
          <w:rFonts w:ascii="Times New Roman;Times;serif" w:hAnsi="Times New Roman;Times;serif"/>
          <w:color w:val="231F20"/>
          <w:spacing w:val="-25"/>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indication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where</w:t>
      </w:r>
      <w:r>
        <w:rPr>
          <w:rFonts w:ascii="Times New Roman;Times;serif" w:hAnsi="Times New Roman;Times;serif"/>
          <w:color w:val="231F20"/>
          <w:spacing w:val="-25"/>
          <w:sz w:val="20"/>
        </w:rPr>
        <w:t xml:space="preserve"> </w:t>
      </w:r>
      <w:r>
        <w:rPr>
          <w:rFonts w:ascii="Times New Roman;Times;serif" w:hAnsi="Times New Roman;Times;serif"/>
          <w:color w:val="231F20"/>
          <w:spacing w:val="-3"/>
          <w:sz w:val="20"/>
        </w:rPr>
        <w:t>approved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2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25"/>
          <w:sz w:val="20"/>
        </w:rPr>
        <w:t xml:space="preserve"> </w:t>
      </w:r>
      <w:r>
        <w:rPr>
          <w:rFonts w:ascii="Times New Roman;Times;serif" w:hAnsi="Times New Roman;Times;serif"/>
          <w:color w:val="231F20"/>
          <w:spacing w:val="-5"/>
          <w:sz w:val="20"/>
        </w:rPr>
        <w:t>available.</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w:t>
      </w:r>
      <w:r>
        <w:rPr>
          <w:rFonts w:ascii="Times New Roman;Times;serif" w:hAnsi="Times New Roman;Times;serif"/>
          <w:color w:val="231F20"/>
          <w:spacing w:val="-25"/>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4"/>
          <w:sz w:val="20"/>
        </w:rPr>
        <w:t xml:space="preserve"> </w:t>
      </w:r>
      <w:r>
        <w:rPr>
          <w:rFonts w:ascii="Times New Roman;Times;serif" w:hAnsi="Times New Roman;Times;serif"/>
          <w:color w:val="231F20"/>
          <w:sz w:val="20"/>
        </w:rPr>
        <w:t>case, both</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0"/>
          <w:sz w:val="20"/>
        </w:rPr>
        <w:t xml:space="preserve"> </w:t>
      </w:r>
      <w:r>
        <w:rPr>
          <w:rFonts w:ascii="Times New Roman;Times;serif" w:hAnsi="Times New Roman;Times;serif"/>
          <w:color w:val="231F20"/>
          <w:sz w:val="20"/>
        </w:rPr>
        <w:t>cost</w:t>
      </w:r>
      <w:r>
        <w:rPr>
          <w:rFonts w:ascii="Times New Roman;Times;serif" w:hAnsi="Times New Roman;Times;serif"/>
          <w:color w:val="231F20"/>
          <w:spacing w:val="-1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0"/>
          <w:sz w:val="20"/>
        </w:rPr>
        <w:t xml:space="preserve"> </w:t>
      </w:r>
      <w:r>
        <w:rPr>
          <w:rFonts w:ascii="Times New Roman;Times;serif" w:hAnsi="Times New Roman;Times;serif"/>
          <w:color w:val="231F20"/>
          <w:sz w:val="20"/>
        </w:rPr>
        <w:t>amount</w:t>
      </w:r>
      <w:r>
        <w:rPr>
          <w:rFonts w:ascii="Times New Roman;Times;serif" w:hAnsi="Times New Roman;Times;serif"/>
          <w:color w:val="231F20"/>
          <w:spacing w:val="-10"/>
          <w:sz w:val="20"/>
        </w:rPr>
        <w:t xml:space="preserve"> </w:t>
      </w:r>
      <w:r>
        <w:rPr>
          <w:rFonts w:ascii="Times New Roman;Times;serif" w:hAnsi="Times New Roman;Times;serif"/>
          <w:color w:val="231F20"/>
          <w:sz w:val="20"/>
        </w:rPr>
        <w:t>of</w:t>
      </w:r>
      <w:r>
        <w:rPr>
          <w:rFonts w:ascii="Times New Roman;Times;serif" w:hAnsi="Times New Roman;Times;serif"/>
          <w:color w:val="231F20"/>
          <w:spacing w:val="7"/>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11"/>
          <w:sz w:val="20"/>
        </w:rPr>
        <w:t xml:space="preserve"> </w:t>
      </w:r>
      <w:r>
        <w:rPr>
          <w:rFonts w:ascii="Times New Roman;Times;serif" w:hAnsi="Times New Roman;Times;serif"/>
          <w:color w:val="231F20"/>
          <w:sz w:val="20"/>
        </w:rPr>
        <w:t>required</w:t>
      </w:r>
      <w:r>
        <w:rPr>
          <w:rFonts w:ascii="Times New Roman;Times;serif" w:hAnsi="Times New Roman;Times;serif"/>
          <w:color w:val="231F20"/>
          <w:spacing w:val="-10"/>
          <w:sz w:val="20"/>
        </w:rPr>
        <w:t xml:space="preserve"> </w:t>
      </w:r>
      <w:r>
        <w:rPr>
          <w:rFonts w:ascii="Times New Roman;Times;serif" w:hAnsi="Times New Roman;Times;serif"/>
          <w:color w:val="231F20"/>
          <w:sz w:val="20"/>
        </w:rPr>
        <w:t>to</w:t>
      </w:r>
      <w:r>
        <w:rPr>
          <w:rFonts w:ascii="Times New Roman;Times;serif" w:hAnsi="Times New Roman;Times;serif"/>
          <w:color w:val="231F20"/>
          <w:spacing w:val="-10"/>
          <w:sz w:val="20"/>
        </w:rPr>
        <w:t xml:space="preserve"> </w:t>
      </w:r>
      <w:r>
        <w:rPr>
          <w:rFonts w:ascii="Times New Roman;Times;serif" w:hAnsi="Times New Roman;Times;serif"/>
          <w:color w:val="231F20"/>
          <w:sz w:val="20"/>
        </w:rPr>
        <w:t>conduct</w:t>
      </w:r>
      <w:r>
        <w:rPr>
          <w:rFonts w:ascii="Times New Roman;Times;serif" w:hAnsi="Times New Roman;Times;serif"/>
          <w:color w:val="231F20"/>
          <w:spacing w:val="-11"/>
          <w:sz w:val="20"/>
        </w:rPr>
        <w:t xml:space="preserve"> </w:t>
      </w:r>
      <w:r>
        <w:rPr>
          <w:rFonts w:ascii="Times New Roman;Times;serif" w:hAnsi="Times New Roman;Times;serif"/>
          <w:color w:val="231F20"/>
          <w:sz w:val="20"/>
        </w:rPr>
        <w:t>a</w:t>
      </w:r>
      <w:r>
        <w:rPr>
          <w:rFonts w:ascii="Times New Roman;Times;serif" w:hAnsi="Times New Roman;Times;serif"/>
          <w:color w:val="231F20"/>
          <w:spacing w:val="-10"/>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10"/>
          <w:sz w:val="20"/>
        </w:rPr>
        <w:t xml:space="preserve"> </w:t>
      </w:r>
      <w:r>
        <w:rPr>
          <w:rFonts w:ascii="Times New Roman;Times;serif" w:hAnsi="Times New Roman;Times;serif"/>
          <w:color w:val="231F20"/>
          <w:sz w:val="20"/>
        </w:rPr>
        <w:t>trial</w:t>
      </w:r>
      <w:r>
        <w:rPr>
          <w:rFonts w:ascii="Times New Roman;Times;serif" w:hAnsi="Times New Roman;Times;serif"/>
          <w:color w:val="231F20"/>
          <w:spacing w:val="-11"/>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10"/>
          <w:sz w:val="20"/>
        </w:rPr>
        <w:t xml:space="preserve"> </w:t>
      </w:r>
      <w:r>
        <w:rPr>
          <w:rFonts w:ascii="Times New Roman;Times;serif" w:hAnsi="Times New Roman;Times;serif"/>
          <w:color w:val="231F20"/>
          <w:sz w:val="20"/>
        </w:rPr>
        <w:t>increase.</w:t>
      </w:r>
    </w:p>
    <w:p>
      <w:pPr>
        <w:pStyle w:val="TextBody"/>
        <w:spacing w:lineRule="auto" w:line="300"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 xml:space="preserve">Even if our products are approved </w:t>
      </w:r>
      <w:r>
        <w:rPr>
          <w:rFonts w:ascii="Times New Roman;Times;serif" w:hAnsi="Times New Roman;Times;serif"/>
          <w:b/>
          <w:i/>
          <w:color w:val="231F20"/>
          <w:spacing w:val="-3"/>
          <w:sz w:val="20"/>
        </w:rPr>
        <w:t xml:space="preserve">by </w:t>
      </w:r>
      <w:r>
        <w:rPr>
          <w:rFonts w:ascii="Times New Roman;Times;serif" w:hAnsi="Times New Roman;Times;serif"/>
          <w:b/>
          <w:i/>
          <w:color w:val="231F20"/>
          <w:sz w:val="20"/>
        </w:rPr>
        <w:t xml:space="preserve">regulatory authorities, if </w:t>
      </w:r>
      <w:r>
        <w:rPr>
          <w:rFonts w:ascii="Times New Roman;Times;serif" w:hAnsi="Times New Roman;Times;serif"/>
          <w:b/>
          <w:i/>
          <w:color w:val="231F20"/>
          <w:spacing w:val="-4"/>
          <w:sz w:val="20"/>
        </w:rPr>
        <w:t xml:space="preserve">we </w:t>
      </w:r>
      <w:r>
        <w:rPr>
          <w:rFonts w:ascii="Times New Roman;Times;serif" w:hAnsi="Times New Roman;Times;serif"/>
          <w:b/>
          <w:i/>
          <w:color w:val="231F20"/>
          <w:sz w:val="20"/>
        </w:rPr>
        <w:t xml:space="preserve">or our suppliers fail to comply with ongoing </w:t>
      </w:r>
      <w:r>
        <w:rPr>
          <w:rFonts w:ascii="Times New Roman;Times;serif" w:hAnsi="Times New Roman;Times;serif"/>
          <w:b/>
          <w:i/>
          <w:color w:val="231F20"/>
          <w:spacing w:val="-5"/>
          <w:sz w:val="20"/>
        </w:rPr>
        <w:t>FDA</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regulation</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if</w:t>
      </w:r>
      <w:r>
        <w:rPr>
          <w:rFonts w:ascii="Times New Roman;Times;serif" w:hAnsi="Times New Roman;Times;serif"/>
          <w:b/>
          <w:color w:val="231F20"/>
          <w:spacing w:val="4"/>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experience</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unanticipated</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problems</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products,</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these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products</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could</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be</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subject</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to restrictions or withdrawal from the</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market.</w:t>
      </w:r>
    </w:p>
    <w:p>
      <w:pPr>
        <w:pStyle w:val="TextBody"/>
        <w:spacing w:lineRule="auto" w:line="300" w:before="15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In particular, we and our suppliers are required to comply with the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clearance or approval.</w:t>
      </w:r>
    </w:p>
    <w:p>
      <w:pPr>
        <w:pStyle w:val="TextBody"/>
        <w:spacing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Regulatory bodies, such as the FDA, enforce these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enforcement actions by the FDA.</w:t>
      </w:r>
    </w:p>
    <w:p>
      <w:pPr>
        <w:pStyle w:val="TextBody"/>
        <w:spacing w:before="155"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of these actions were to occur it would harm our reputation and cause our product sales and profitability to suffer and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prevent us from generating </w:t>
      </w:r>
      <w:r>
        <w:rPr>
          <w:rFonts w:ascii="Times New Roman;Times;serif" w:hAnsi="Times New Roman;Times;serif"/>
          <w:color w:val="231F20"/>
          <w:spacing w:val="-4"/>
          <w:sz w:val="20"/>
        </w:rPr>
        <w:t xml:space="preserve">revenue. </w:t>
      </w:r>
      <w:r>
        <w:rPr>
          <w:rFonts w:ascii="Times New Roman;Times;serif" w:hAnsi="Times New Roman;Times;serif"/>
          <w:color w:val="231F20"/>
          <w:sz w:val="20"/>
        </w:rPr>
        <w:t xml:space="preserve">Furthermore, our </w:t>
      </w:r>
      <w:r>
        <w:rPr>
          <w:rFonts w:ascii="Times New Roman;Times;serif" w:hAnsi="Times New Roman;Times;serif"/>
          <w:color w:val="231F20"/>
          <w:spacing w:val="-3"/>
          <w:sz w:val="20"/>
        </w:rPr>
        <w:t xml:space="preserve">key </w:t>
      </w:r>
      <w:r>
        <w:rPr>
          <w:rFonts w:ascii="Times New Roman;Times;serif" w:hAnsi="Times New Roman;Times;serif"/>
          <w:color w:val="231F20"/>
          <w:sz w:val="20"/>
        </w:rPr>
        <w:t xml:space="preserve">component suppliers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currently be or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continue to be in compliance with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applicable regulatory requirements which could result in our failure to produce our products on a timely basis and in the required quantities, if </w:t>
      </w:r>
      <w:r>
        <w:rPr>
          <w:rFonts w:ascii="Times New Roman;Times;serif" w:hAnsi="Times New Roman;Times;serif"/>
          <w:color w:val="231F20"/>
          <w:spacing w:val="-3"/>
          <w:sz w:val="20"/>
        </w:rPr>
        <w:t>at</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all.</w:t>
      </w:r>
    </w:p>
    <w:p>
      <w:pPr>
        <w:pStyle w:val="TextBody"/>
        <w:spacing w:before="154"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Even if regulatory clearance or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 xml:space="preserve">of a product is granted, such clearance or </w:t>
      </w:r>
      <w:r>
        <w:rPr>
          <w:rFonts w:ascii="Times New Roman;Times;serif" w:hAnsi="Times New Roman;Times;serif"/>
          <w:color w:val="231F20"/>
          <w:spacing w:val="-4"/>
          <w:sz w:val="20"/>
        </w:rPr>
        <w:t xml:space="preserve">approval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subject to limitations on the intended uses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which the product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marketed and reduce the potential to successfully commercialize the product and generate </w:t>
      </w:r>
      <w:r>
        <w:rPr>
          <w:rFonts w:ascii="Times New Roman;Times;serif" w:hAnsi="Times New Roman;Times;serif"/>
          <w:color w:val="231F20"/>
          <w:spacing w:val="-3"/>
          <w:sz w:val="20"/>
        </w:rPr>
        <w:t xml:space="preserve">revenue </w:t>
      </w:r>
      <w:r>
        <w:rPr>
          <w:rFonts w:ascii="Times New Roman;Times;serif" w:hAnsi="Times New Roman;Times;serif"/>
          <w:color w:val="231F20"/>
          <w:sz w:val="20"/>
        </w:rPr>
        <w:t xml:space="preserve">from the product. If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determines that the product promotional </w:t>
      </w:r>
      <w:r>
        <w:rPr>
          <w:rFonts w:ascii="Times New Roman;Times;serif" w:hAnsi="Times New Roman;Times;serif"/>
          <w:color w:val="231F20"/>
          <w:spacing w:val="-3"/>
          <w:sz w:val="20"/>
        </w:rPr>
        <w:t xml:space="preserve">materials, </w:t>
      </w:r>
      <w:r>
        <w:rPr>
          <w:rFonts w:ascii="Times New Roman;Times;serif" w:hAnsi="Times New Roman;Times;serif"/>
          <w:color w:val="231F20"/>
          <w:sz w:val="20"/>
        </w:rPr>
        <w:t xml:space="preserve">labeling, training or other marketing or educational activities constitute promotion of an </w:t>
      </w:r>
      <w:r>
        <w:rPr>
          <w:rFonts w:ascii="Times New Roman;Times;serif" w:hAnsi="Times New Roman;Times;serif"/>
          <w:color w:val="231F20"/>
          <w:spacing w:val="-3"/>
          <w:sz w:val="20"/>
        </w:rPr>
        <w:t xml:space="preserve">unapproved use, </w:t>
      </w:r>
      <w:r>
        <w:rPr>
          <w:rFonts w:ascii="Times New Roman;Times;serif" w:hAnsi="Times New Roman;Times;serif"/>
          <w:color w:val="231F20"/>
          <w:sz w:val="20"/>
        </w:rPr>
        <w:t xml:space="preserve">it could request that we or our commercialization partners cease or modify our training or promotional materials or subject us to regulatory enforcement actions. It is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possible that other federal, state or foreign enforcement authorities might </w:t>
      </w:r>
      <w:r>
        <w:rPr>
          <w:rFonts w:ascii="Times New Roman;Times;serif" w:hAnsi="Times New Roman;Times;serif"/>
          <w:color w:val="231F20"/>
          <w:spacing w:val="-4"/>
          <w:sz w:val="20"/>
        </w:rPr>
        <w:t xml:space="preserve">take </w:t>
      </w:r>
      <w:r>
        <w:rPr>
          <w:rFonts w:ascii="Times New Roman;Times;serif" w:hAnsi="Times New Roman;Times;serif"/>
          <w:color w:val="231F20"/>
          <w:sz w:val="20"/>
        </w:rPr>
        <w:t xml:space="preserve">action if they consider such training or other promotional materials to constitute promotion of an </w:t>
      </w:r>
      <w:r>
        <w:rPr>
          <w:rFonts w:ascii="Times New Roman;Times;serif" w:hAnsi="Times New Roman;Times;serif"/>
          <w:color w:val="231F20"/>
          <w:spacing w:val="-3"/>
          <w:sz w:val="20"/>
        </w:rPr>
        <w:t xml:space="preserve">unapproved use, </w:t>
      </w:r>
      <w:r>
        <w:rPr>
          <w:rFonts w:ascii="Times New Roman;Times;serif" w:hAnsi="Times New Roman;Times;serif"/>
          <w:color w:val="231F20"/>
          <w:sz w:val="20"/>
        </w:rPr>
        <w:t xml:space="preserve">which could result in significant fines or penalties under other statutory authorities, such as </w:t>
      </w:r>
      <w:r>
        <w:rPr>
          <w:rFonts w:ascii="Times New Roman;Times;serif" w:hAnsi="Times New Roman;Times;serif"/>
          <w:color w:val="231F20"/>
          <w:spacing w:val="-4"/>
          <w:sz w:val="20"/>
        </w:rPr>
        <w:t xml:space="preserve">laws </w:t>
      </w:r>
      <w:r>
        <w:rPr>
          <w:rFonts w:ascii="Times New Roman;Times;serif" w:hAnsi="Times New Roman;Times;serif"/>
          <w:color w:val="231F20"/>
          <w:sz w:val="20"/>
        </w:rPr>
        <w:t xml:space="preserve">prohibiting false claims </w:t>
      </w:r>
      <w:r>
        <w:rPr>
          <w:rFonts w:ascii="Times New Roman;Times;serif" w:hAnsi="Times New Roman;Times;serif"/>
          <w:color w:val="231F20"/>
          <w:spacing w:val="-3"/>
          <w:sz w:val="20"/>
        </w:rPr>
        <w:t>for</w:t>
      </w:r>
      <w:r>
        <w:rPr>
          <w:rFonts w:ascii="Times New Roman;Times;serif" w:hAnsi="Times New Roman;Times;serif"/>
          <w:color w:val="231F20"/>
          <w:spacing w:val="-4"/>
          <w:sz w:val="20"/>
        </w:rPr>
        <w:t xml:space="preserve"> </w:t>
      </w:r>
      <w:r>
        <w:rPr>
          <w:rFonts w:ascii="Times New Roman;Times;serif" w:hAnsi="Times New Roman;Times;serif"/>
          <w:color w:val="231F20"/>
          <w:sz w:val="20"/>
        </w:rPr>
        <w:t>reimbursement.</w:t>
      </w:r>
    </w:p>
    <w:p>
      <w:pPr>
        <w:pStyle w:val="TextBody"/>
        <w:spacing w:before="169" w:after="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In addition,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required to conduct costly post-market testing and surveillance to monitor the safety or effectiveness of our products, and we must comply with adverse event and pharmacovigilance reporting requirements, including the reporting of adverse events which occur in connection with, and whether or not directly related </w:t>
      </w:r>
      <w:r>
        <w:rPr>
          <w:rFonts w:ascii="Times New Roman;Times;serif" w:hAnsi="Times New Roman;Times;serif"/>
          <w:color w:val="231F20"/>
          <w:spacing w:val="-3"/>
          <w:sz w:val="20"/>
        </w:rPr>
        <w:t xml:space="preserve">to, </w:t>
      </w:r>
      <w:r>
        <w:rPr>
          <w:rFonts w:ascii="Times New Roman;Times;serif" w:hAnsi="Times New Roman;Times;serif"/>
          <w:color w:val="231F20"/>
          <w:sz w:val="20"/>
        </w:rPr>
        <w:t xml:space="preserve">our </w:t>
      </w:r>
      <w:r>
        <w:rPr>
          <w:rFonts w:ascii="Times New Roman;Times;serif" w:hAnsi="Times New Roman;Times;serif"/>
          <w:color w:val="231F20"/>
          <w:spacing w:val="-3"/>
          <w:sz w:val="20"/>
        </w:rPr>
        <w:t xml:space="preserve">products. </w:t>
      </w:r>
      <w:r>
        <w:rPr>
          <w:rFonts w:ascii="Times New Roman;Times;serif" w:hAnsi="Times New Roman;Times;serif"/>
          <w:color w:val="231F20"/>
          <w:sz w:val="20"/>
        </w:rPr>
        <w:t xml:space="preserve">Later discovery of previously unknown problems with our products, including unanticipated adverse events or adverse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color w:val="231F20"/>
          <w:sz w:val="20"/>
        </w:rPr>
        <w:t xml:space="preserve">events of unanticipated severity or </w:t>
      </w:r>
      <w:r>
        <w:rPr>
          <w:rFonts w:ascii="Times New Roman;Times;serif" w:hAnsi="Times New Roman;Times;serif"/>
          <w:color w:val="231F20"/>
          <w:spacing w:val="-3"/>
          <w:sz w:val="20"/>
        </w:rPr>
        <w:t xml:space="preserve">frequency, </w:t>
      </w:r>
      <w:r>
        <w:rPr>
          <w:rFonts w:ascii="Times New Roman;Times;serif" w:hAnsi="Times New Roman;Times;serif"/>
          <w:color w:val="231F20"/>
          <w:sz w:val="20"/>
        </w:rPr>
        <w:t xml:space="preserve">manufacturing </w:t>
      </w:r>
      <w:r>
        <w:rPr>
          <w:rFonts w:ascii="Times New Roman;Times;serif" w:hAnsi="Times New Roman;Times;serif"/>
          <w:color w:val="231F20"/>
          <w:spacing w:val="-3"/>
          <w:sz w:val="20"/>
        </w:rPr>
        <w:t xml:space="preserve">problems, </w:t>
      </w:r>
      <w:r>
        <w:rPr>
          <w:rFonts w:ascii="Times New Roman;Times;serif" w:hAnsi="Times New Roman;Times;serif"/>
          <w:color w:val="231F20"/>
          <w:sz w:val="20"/>
        </w:rPr>
        <w:t xml:space="preserve">or failure to comply with regulatory requirements,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result in changes to labeling, restrictions on such products or manufacturing processes, </w:t>
      </w:r>
      <w:r>
        <w:rPr>
          <w:rFonts w:ascii="Times New Roman;Times;serif" w:hAnsi="Times New Roman;Times;serif"/>
          <w:color w:val="231F20"/>
          <w:spacing w:val="-3"/>
          <w:sz w:val="20"/>
        </w:rPr>
        <w:t xml:space="preserve">withdrawal </w:t>
      </w:r>
      <w:r>
        <w:rPr>
          <w:rFonts w:ascii="Times New Roman;Times;serif" w:hAnsi="Times New Roman;Times;serif"/>
          <w:color w:val="231F20"/>
          <w:sz w:val="20"/>
        </w:rPr>
        <w:t xml:space="preserve">of the products from the market, voluntary or mandatory </w:t>
      </w:r>
      <w:r>
        <w:rPr>
          <w:rFonts w:ascii="Times New Roman;Times;serif" w:hAnsi="Times New Roman;Times;serif"/>
          <w:color w:val="231F20"/>
          <w:spacing w:val="-3"/>
          <w:sz w:val="20"/>
        </w:rPr>
        <w:t xml:space="preserve">recalls, </w:t>
      </w:r>
      <w:r>
        <w:rPr>
          <w:rFonts w:ascii="Times New Roman;Times;serif" w:hAnsi="Times New Roman;Times;serif"/>
          <w:color w:val="231F20"/>
          <w:sz w:val="20"/>
        </w:rPr>
        <w:t xml:space="preserve">a requirement to recall, replace or refund the cost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product we manufacture or distribute, fines, suspension of regulatory </w:t>
      </w:r>
      <w:r>
        <w:rPr>
          <w:rFonts w:ascii="Times New Roman;Times;serif" w:hAnsi="Times New Roman;Times;serif"/>
          <w:color w:val="231F20"/>
          <w:spacing w:val="-5"/>
          <w:sz w:val="20"/>
        </w:rPr>
        <w:t xml:space="preserve">approvals, </w:t>
      </w:r>
      <w:r>
        <w:rPr>
          <w:rFonts w:ascii="Times New Roman;Times;serif" w:hAnsi="Times New Roman;Times;serif"/>
          <w:color w:val="231F20"/>
          <w:sz w:val="20"/>
        </w:rPr>
        <w:t>product seizures, injunctions or the imposition of civil or criminal penalties which would adversely affect our business, operating results and prospects.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Future government regulation may affect the commercialization of our product candidate.</w:t>
      </w:r>
    </w:p>
    <w:p>
      <w:pPr>
        <w:pStyle w:val="TextBody"/>
        <w:spacing w:before="165" w:after="240"/>
        <w:ind w:left="0" w:right="0" w:firstLine="403"/>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cannot predict the likelihood, nature or extent of adverse government regulation that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arise from future legislation or administrative action, either in the U.S. or </w:t>
      </w:r>
      <w:r>
        <w:rPr>
          <w:rFonts w:ascii="Times New Roman;Times;serif" w:hAnsi="Times New Roman;Times;serif"/>
          <w:color w:val="231F20"/>
          <w:spacing w:val="-3"/>
          <w:sz w:val="20"/>
        </w:rPr>
        <w:t xml:space="preserve">abroad. </w:t>
      </w:r>
      <w:r>
        <w:rPr>
          <w:rFonts w:ascii="Times New Roman;Times;serif" w:hAnsi="Times New Roman;Times;serif"/>
          <w:color w:val="231F20"/>
          <w:sz w:val="20"/>
        </w:rPr>
        <w:t xml:space="preserve">If we are not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to maintain</w:t>
      </w:r>
      <w:r>
        <w:rPr>
          <w:rFonts w:ascii="Times New Roman;Times;serif" w:hAnsi="Times New Roman;Times;serif"/>
          <w:color w:val="231F20"/>
          <w:spacing w:val="-15"/>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15"/>
          <w:sz w:val="20"/>
        </w:rPr>
        <w:t xml:space="preserve"> </w:t>
      </w:r>
      <w:r>
        <w:rPr>
          <w:rFonts w:ascii="Times New Roman;Times;serif" w:hAnsi="Times New Roman;Times;serif"/>
          <w:color w:val="231F20"/>
          <w:sz w:val="20"/>
        </w:rPr>
        <w:t>compliance,</w:t>
      </w:r>
      <w:r>
        <w:rPr>
          <w:rFonts w:ascii="Times New Roman;Times;serif" w:hAnsi="Times New Roman;Times;serif"/>
          <w:color w:val="231F20"/>
          <w:spacing w:val="-14"/>
          <w:sz w:val="20"/>
        </w:rPr>
        <w:t xml:space="preserve"> </w:t>
      </w:r>
      <w:r>
        <w:rPr>
          <w:rFonts w:ascii="Times New Roman;Times;serif" w:hAnsi="Times New Roman;Times;serif"/>
          <w:color w:val="231F20"/>
          <w:sz w:val="20"/>
        </w:rPr>
        <w:t>we</w:t>
      </w:r>
      <w:r>
        <w:rPr>
          <w:rFonts w:ascii="Times New Roman;Times;serif" w:hAnsi="Times New Roman;Times;serif"/>
          <w:color w:val="231F20"/>
          <w:spacing w:val="-15"/>
          <w:sz w:val="20"/>
        </w:rPr>
        <w:t xml:space="preserve"> </w:t>
      </w:r>
      <w:r>
        <w:rPr>
          <w:rFonts w:ascii="Times New Roman;Times;serif" w:hAnsi="Times New Roman;Times;serif"/>
          <w:color w:val="231F20"/>
          <w:spacing w:val="-4"/>
          <w:sz w:val="20"/>
        </w:rPr>
        <w:t>may</w:t>
      </w:r>
      <w:r>
        <w:rPr>
          <w:rFonts w:ascii="Times New Roman;Times;serif" w:hAnsi="Times New Roman;Times;serif"/>
          <w:color w:val="231F20"/>
          <w:spacing w:val="-14"/>
          <w:sz w:val="20"/>
        </w:rPr>
        <w:t xml:space="preserve"> </w:t>
      </w:r>
      <w:r>
        <w:rPr>
          <w:rFonts w:ascii="Times New Roman;Times;serif" w:hAnsi="Times New Roman;Times;serif"/>
          <w:color w:val="231F20"/>
          <w:sz w:val="20"/>
        </w:rPr>
        <w:t>be</w:t>
      </w:r>
      <w:r>
        <w:rPr>
          <w:rFonts w:ascii="Times New Roman;Times;serif" w:hAnsi="Times New Roman;Times;serif"/>
          <w:color w:val="231F20"/>
          <w:spacing w:val="-15"/>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5"/>
          <w:sz w:val="20"/>
        </w:rPr>
        <w:t xml:space="preserve"> </w:t>
      </w:r>
      <w:r>
        <w:rPr>
          <w:rFonts w:ascii="Times New Roman;Times;serif" w:hAnsi="Times New Roman;Times;serif"/>
          <w:color w:val="231F20"/>
          <w:sz w:val="20"/>
        </w:rPr>
        <w:t>fines,</w:t>
      </w:r>
      <w:r>
        <w:rPr>
          <w:rFonts w:ascii="Times New Roman;Times;serif" w:hAnsi="Times New Roman;Times;serif"/>
          <w:color w:val="231F20"/>
          <w:spacing w:val="-14"/>
          <w:sz w:val="20"/>
        </w:rPr>
        <w:t xml:space="preserve"> </w:t>
      </w:r>
      <w:r>
        <w:rPr>
          <w:rFonts w:ascii="Times New Roman;Times;serif" w:hAnsi="Times New Roman;Times;serif"/>
          <w:color w:val="231F20"/>
          <w:sz w:val="20"/>
        </w:rPr>
        <w:t>suspension</w:t>
      </w:r>
      <w:r>
        <w:rPr>
          <w:rFonts w:ascii="Times New Roman;Times;serif" w:hAnsi="Times New Roman;Times;serif"/>
          <w:color w:val="231F20"/>
          <w:spacing w:val="-15"/>
          <w:sz w:val="20"/>
        </w:rPr>
        <w:t xml:space="preserve"> </w:t>
      </w:r>
      <w:r>
        <w:rPr>
          <w:rFonts w:ascii="Times New Roman;Times;serif" w:hAnsi="Times New Roman;Times;serif"/>
          <w:color w:val="231F20"/>
          <w:sz w:val="20"/>
        </w:rPr>
        <w:t>or</w:t>
      </w:r>
      <w:r>
        <w:rPr>
          <w:rFonts w:ascii="Times New Roman;Times;serif" w:hAnsi="Times New Roman;Times;serif"/>
          <w:color w:val="231F20"/>
          <w:spacing w:val="-14"/>
          <w:sz w:val="20"/>
        </w:rPr>
        <w:t xml:space="preserve"> </w:t>
      </w:r>
      <w:r>
        <w:rPr>
          <w:rFonts w:ascii="Times New Roman;Times;serif" w:hAnsi="Times New Roman;Times;serif"/>
          <w:color w:val="231F20"/>
          <w:spacing w:val="-4"/>
          <w:sz w:val="20"/>
        </w:rPr>
        <w:t>withdrawal</w:t>
      </w:r>
      <w:r>
        <w:rPr>
          <w:rFonts w:ascii="Times New Roman;Times;serif" w:hAnsi="Times New Roman;Times;serif"/>
          <w:color w:val="231F20"/>
          <w:spacing w:val="-15"/>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14"/>
          <w:sz w:val="20"/>
        </w:rPr>
        <w:t xml:space="preserve"> </w:t>
      </w:r>
      <w:r>
        <w:rPr>
          <w:rFonts w:ascii="Times New Roman;Times;serif" w:hAnsi="Times New Roman;Times;serif"/>
          <w:color w:val="231F20"/>
          <w:spacing w:val="-5"/>
          <w:sz w:val="20"/>
        </w:rPr>
        <w:t xml:space="preserve">approvals, </w:t>
      </w:r>
      <w:r>
        <w:rPr>
          <w:rFonts w:ascii="Times New Roman;Times;serif" w:hAnsi="Times New Roman;Times;serif"/>
          <w:color w:val="231F20"/>
          <w:sz w:val="20"/>
        </w:rPr>
        <w:t xml:space="preserve">product </w:t>
      </w:r>
      <w:r>
        <w:rPr>
          <w:rFonts w:ascii="Times New Roman;Times;serif" w:hAnsi="Times New Roman;Times;serif"/>
          <w:color w:val="231F20"/>
          <w:spacing w:val="-3"/>
          <w:sz w:val="20"/>
        </w:rPr>
        <w:t xml:space="preserve">recalls, </w:t>
      </w:r>
      <w:r>
        <w:rPr>
          <w:rFonts w:ascii="Times New Roman;Times;serif" w:hAnsi="Times New Roman;Times;serif"/>
          <w:color w:val="231F20"/>
          <w:sz w:val="20"/>
        </w:rPr>
        <w:t xml:space="preserve">seizure of products, operating restrictions and criminal prosecution.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of these events could prevent us from marketing our drugs and our business could </w:t>
      </w:r>
      <w:r>
        <w:rPr>
          <w:rFonts w:ascii="Times New Roman;Times;serif" w:hAnsi="Times New Roman;Times;serif"/>
          <w:color w:val="231F20"/>
          <w:spacing w:val="-3"/>
          <w:sz w:val="20"/>
        </w:rPr>
        <w:t xml:space="preserve">suffer. </w:t>
      </w:r>
      <w:r>
        <w:rPr>
          <w:rFonts w:ascii="Times New Roman;Times;serif" w:hAnsi="Times New Roman;Times;serif"/>
          <w:color w:val="231F20"/>
          <w:sz w:val="20"/>
        </w:rPr>
        <w:t>If time and resources devoted are limited or there is a failure to fund the continued development of our drug candidates or there is</w:t>
      </w:r>
      <w:r>
        <w:rPr>
          <w:rFonts w:ascii="Times New Roman;Times;serif" w:hAnsi="Times New Roman;Times;serif"/>
          <w:color w:val="231F20"/>
          <w:spacing w:val="13"/>
          <w:sz w:val="20"/>
        </w:rPr>
        <w:t xml:space="preserve"> </w:t>
      </w:r>
      <w:r>
        <w:rPr>
          <w:rFonts w:ascii="Times New Roman;Times;serif" w:hAnsi="Times New Roman;Times;serif"/>
          <w:color w:val="231F20"/>
          <w:sz w:val="20"/>
        </w:rPr>
        <w:t>otherwise a</w:t>
      </w:r>
      <w:r>
        <w:rPr>
          <w:rFonts w:ascii="Times New Roman;Times;serif" w:hAnsi="Times New Roman;Times;serif"/>
          <w:color w:val="231F20"/>
          <w:spacing w:val="-27"/>
          <w:sz w:val="20"/>
        </w:rPr>
        <w:t xml:space="preserve"> </w:t>
      </w:r>
      <w:r>
        <w:rPr>
          <w:rFonts w:ascii="Times New Roman;Times;serif" w:hAnsi="Times New Roman;Times;serif"/>
          <w:color w:val="231F20"/>
          <w:sz w:val="20"/>
        </w:rPr>
        <w:t>failure</w:t>
      </w:r>
      <w:r>
        <w:rPr>
          <w:rFonts w:ascii="Times New Roman;Times;serif" w:hAnsi="Times New Roman;Times;serif"/>
          <w:color w:val="231F20"/>
          <w:spacing w:val="-27"/>
          <w:sz w:val="20"/>
        </w:rPr>
        <w:t xml:space="preserve"> </w:t>
      </w:r>
      <w:r>
        <w:rPr>
          <w:rFonts w:ascii="Times New Roman;Times;serif" w:hAnsi="Times New Roman;Times;serif"/>
          <w:color w:val="231F20"/>
          <w:sz w:val="20"/>
        </w:rPr>
        <w:t>to</w:t>
      </w:r>
      <w:r>
        <w:rPr>
          <w:rFonts w:ascii="Times New Roman;Times;serif" w:hAnsi="Times New Roman;Times;serif"/>
          <w:color w:val="231F20"/>
          <w:spacing w:val="-27"/>
          <w:sz w:val="20"/>
        </w:rPr>
        <w:t xml:space="preserve"> </w:t>
      </w:r>
      <w:r>
        <w:rPr>
          <w:rFonts w:ascii="Times New Roman;Times;serif" w:hAnsi="Times New Roman;Times;serif"/>
          <w:color w:val="231F20"/>
          <w:sz w:val="20"/>
        </w:rPr>
        <w:t>perform</w:t>
      </w:r>
      <w:r>
        <w:rPr>
          <w:rFonts w:ascii="Times New Roman;Times;serif" w:hAnsi="Times New Roman;Times;serif"/>
          <w:color w:val="231F20"/>
          <w:spacing w:val="-26"/>
          <w:sz w:val="20"/>
        </w:rPr>
        <w:t xml:space="preserve"> </w:t>
      </w:r>
      <w:r>
        <w:rPr>
          <w:rFonts w:ascii="Times New Roman;Times;serif" w:hAnsi="Times New Roman;Times;serif"/>
          <w:color w:val="231F20"/>
          <w:sz w:val="20"/>
        </w:rPr>
        <w:t>as</w:t>
      </w:r>
      <w:r>
        <w:rPr>
          <w:rFonts w:ascii="Times New Roman;Times;serif" w:hAnsi="Times New Roman;Times;serif"/>
          <w:color w:val="231F20"/>
          <w:spacing w:val="-27"/>
          <w:sz w:val="20"/>
        </w:rPr>
        <w:t xml:space="preserve"> </w:t>
      </w:r>
      <w:r>
        <w:rPr>
          <w:rFonts w:ascii="Times New Roman;Times;serif" w:hAnsi="Times New Roman;Times;serif"/>
          <w:color w:val="231F20"/>
          <w:sz w:val="20"/>
        </w:rPr>
        <w:t>we</w:t>
      </w:r>
      <w:r>
        <w:rPr>
          <w:rFonts w:ascii="Times New Roman;Times;serif" w:hAnsi="Times New Roman;Times;serif"/>
          <w:color w:val="231F20"/>
          <w:spacing w:val="-27"/>
          <w:sz w:val="20"/>
        </w:rPr>
        <w:t xml:space="preserve"> </w:t>
      </w:r>
      <w:r>
        <w:rPr>
          <w:rFonts w:ascii="Times New Roman;Times;serif" w:hAnsi="Times New Roman;Times;serif"/>
          <w:color w:val="231F20"/>
          <w:sz w:val="20"/>
        </w:rPr>
        <w:t>expect</w:t>
      </w:r>
      <w:r>
        <w:rPr>
          <w:rFonts w:ascii="Times New Roman;Times;serif" w:hAnsi="Times New Roman;Times;serif"/>
          <w:color w:val="231F20"/>
          <w:spacing w:val="-27"/>
          <w:sz w:val="20"/>
        </w:rPr>
        <w:t xml:space="preserve"> </w:t>
      </w:r>
      <w:r>
        <w:rPr>
          <w:rFonts w:ascii="Times New Roman;Times;serif" w:hAnsi="Times New Roman;Times;serif"/>
          <w:color w:val="231F20"/>
          <w:sz w:val="20"/>
        </w:rPr>
        <w:t>to</w:t>
      </w:r>
      <w:r>
        <w:rPr>
          <w:rFonts w:ascii="Times New Roman;Times;serif" w:hAnsi="Times New Roman;Times;serif"/>
          <w:color w:val="231F20"/>
          <w:spacing w:val="-26"/>
          <w:sz w:val="20"/>
        </w:rPr>
        <w:t xml:space="preserve"> </w:t>
      </w:r>
      <w:r>
        <w:rPr>
          <w:rFonts w:ascii="Times New Roman;Times;serif" w:hAnsi="Times New Roman;Times;serif"/>
          <w:color w:val="231F20"/>
          <w:spacing w:val="-3"/>
          <w:sz w:val="20"/>
        </w:rPr>
        <w:t>do,</w:t>
      </w:r>
      <w:r>
        <w:rPr>
          <w:rFonts w:ascii="Times New Roman;Times;serif" w:hAnsi="Times New Roman;Times;serif"/>
          <w:color w:val="231F20"/>
          <w:spacing w:val="-27"/>
          <w:sz w:val="20"/>
        </w:rPr>
        <w:t xml:space="preserve"> </w:t>
      </w:r>
      <w:r>
        <w:rPr>
          <w:rFonts w:ascii="Times New Roman;Times;serif" w:hAnsi="Times New Roman;Times;serif"/>
          <w:color w:val="231F20"/>
          <w:sz w:val="20"/>
        </w:rPr>
        <w:t>we</w:t>
      </w:r>
      <w:r>
        <w:rPr>
          <w:rFonts w:ascii="Times New Roman;Times;serif" w:hAnsi="Times New Roman;Times;serif"/>
          <w:color w:val="231F20"/>
          <w:spacing w:val="-27"/>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7"/>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6"/>
          <w:sz w:val="20"/>
        </w:rPr>
        <w:t xml:space="preserve"> </w:t>
      </w:r>
      <w:r>
        <w:rPr>
          <w:rFonts w:ascii="Times New Roman;Times;serif" w:hAnsi="Times New Roman;Times;serif"/>
          <w:color w:val="231F20"/>
          <w:sz w:val="20"/>
        </w:rPr>
        <w:t>achieve</w:t>
      </w:r>
      <w:r>
        <w:rPr>
          <w:rFonts w:ascii="Times New Roman;Times;serif" w:hAnsi="Times New Roman;Times;serif"/>
          <w:color w:val="231F20"/>
          <w:spacing w:val="-27"/>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7"/>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26"/>
          <w:sz w:val="20"/>
        </w:rPr>
        <w:t xml:space="preserve"> </w:t>
      </w:r>
      <w:r>
        <w:rPr>
          <w:rFonts w:ascii="Times New Roman;Times;serif" w:hAnsi="Times New Roman;Times;serif"/>
          <w:color w:val="231F20"/>
          <w:sz w:val="20"/>
        </w:rPr>
        <w:t>milestones</w:t>
      </w:r>
      <w:r>
        <w:rPr>
          <w:rFonts w:ascii="Times New Roman;Times;serif" w:hAnsi="Times New Roman;Times;serif"/>
          <w:color w:val="231F20"/>
          <w:spacing w:val="-2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7"/>
          <w:sz w:val="20"/>
        </w:rPr>
        <w:t xml:space="preserve"> </w:t>
      </w:r>
      <w:r>
        <w:rPr>
          <w:rFonts w:ascii="Times New Roman;Times;serif" w:hAnsi="Times New Roman;Times;serif"/>
          <w:color w:val="231F20"/>
          <w:spacing w:val="-3"/>
          <w:sz w:val="20"/>
        </w:rPr>
        <w:t xml:space="preserve">regulatory </w:t>
      </w:r>
      <w:r>
        <w:rPr>
          <w:rFonts w:ascii="Times New Roman;Times;serif" w:hAnsi="Times New Roman;Times;serif"/>
          <w:color w:val="231F20"/>
          <w:sz w:val="20"/>
        </w:rPr>
        <w:t>submissions</w:t>
      </w:r>
      <w:r>
        <w:rPr>
          <w:rFonts w:ascii="Times New Roman;Times;serif" w:hAnsi="Times New Roman;Times;serif"/>
          <w:color w:val="231F20"/>
          <w:spacing w:val="-2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1"/>
          <w:sz w:val="20"/>
        </w:rPr>
        <w:t xml:space="preserve"> </w:t>
      </w:r>
      <w:r>
        <w:rPr>
          <w:rFonts w:ascii="Times New Roman;Times;serif" w:hAnsi="Times New Roman;Times;serif"/>
          <w:color w:val="231F20"/>
          <w:sz w:val="20"/>
        </w:rPr>
        <w:t>related</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introductions</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1"/>
          <w:sz w:val="20"/>
        </w:rPr>
        <w:t xml:space="preserve"> </w:t>
      </w:r>
      <w:r>
        <w:rPr>
          <w:rFonts w:ascii="Times New Roman;Times;serif" w:hAnsi="Times New Roman;Times;serif"/>
          <w:color w:val="231F20"/>
          <w:sz w:val="20"/>
        </w:rPr>
        <w:t>be</w:t>
      </w:r>
      <w:r>
        <w:rPr>
          <w:rFonts w:ascii="Times New Roman;Times;serif" w:hAnsi="Times New Roman;Times;serif"/>
          <w:color w:val="231F20"/>
          <w:spacing w:val="-21"/>
          <w:sz w:val="20"/>
        </w:rPr>
        <w:t xml:space="preserve"> </w:t>
      </w:r>
      <w:r>
        <w:rPr>
          <w:rFonts w:ascii="Times New Roman;Times;serif" w:hAnsi="Times New Roman;Times;serif"/>
          <w:color w:val="231F20"/>
          <w:sz w:val="20"/>
        </w:rPr>
        <w:t>delayed</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prevented,</w:t>
      </w:r>
      <w:r>
        <w:rPr>
          <w:rFonts w:ascii="Times New Roman;Times;serif" w:hAnsi="Times New Roman;Times;serif"/>
          <w:color w:val="231F20"/>
          <w:spacing w:val="-21"/>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revenues</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1"/>
          <w:sz w:val="20"/>
        </w:rPr>
        <w:t xml:space="preserve"> </w:t>
      </w:r>
      <w:r>
        <w:rPr>
          <w:rFonts w:ascii="Times New Roman;Times;serif" w:hAnsi="Times New Roman;Times;serif"/>
          <w:color w:val="231F20"/>
          <w:sz w:val="20"/>
        </w:rPr>
        <w:t>we</w:t>
      </w:r>
      <w:r>
        <w:rPr>
          <w:rFonts w:ascii="Times New Roman;Times;serif" w:hAnsi="Times New Roman;Times;serif"/>
          <w:color w:val="231F20"/>
          <w:spacing w:val="-22"/>
          <w:sz w:val="20"/>
        </w:rPr>
        <w:t xml:space="preserve"> </w:t>
      </w:r>
      <w:r>
        <w:rPr>
          <w:rFonts w:ascii="Times New Roman;Times;serif" w:hAnsi="Times New Roman;Times;serif"/>
          <w:color w:val="231F20"/>
          <w:sz w:val="20"/>
        </w:rPr>
        <w:t>would receive</w:t>
      </w:r>
      <w:r>
        <w:rPr>
          <w:rFonts w:ascii="Times New Roman;Times;serif" w:hAnsi="Times New Roman;Times;serif"/>
          <w:color w:val="231F20"/>
          <w:spacing w:val="-9"/>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these</w:t>
      </w:r>
      <w:r>
        <w:rPr>
          <w:rFonts w:ascii="Times New Roman;Times;serif" w:hAnsi="Times New Roman;Times;serif"/>
          <w:color w:val="231F20"/>
          <w:spacing w:val="-9"/>
          <w:sz w:val="20"/>
        </w:rPr>
        <w:t xml:space="preserve"> </w:t>
      </w:r>
      <w:r>
        <w:rPr>
          <w:rFonts w:ascii="Times New Roman;Times;serif" w:hAnsi="Times New Roman;Times;serif"/>
          <w:color w:val="231F20"/>
          <w:sz w:val="20"/>
        </w:rPr>
        <w:t>activities</w:t>
      </w:r>
      <w:r>
        <w:rPr>
          <w:rFonts w:ascii="Times New Roman;Times;serif" w:hAnsi="Times New Roman;Times;serif"/>
          <w:color w:val="231F20"/>
          <w:spacing w:val="-8"/>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9"/>
          <w:sz w:val="20"/>
        </w:rPr>
        <w:t xml:space="preserve"> </w:t>
      </w:r>
      <w:r>
        <w:rPr>
          <w:rFonts w:ascii="Times New Roman;Times;serif" w:hAnsi="Times New Roman;Times;serif"/>
          <w:color w:val="231F20"/>
          <w:sz w:val="20"/>
        </w:rPr>
        <w:t>be</w:t>
      </w:r>
      <w:r>
        <w:rPr>
          <w:rFonts w:ascii="Times New Roman;Times;serif" w:hAnsi="Times New Roman;Times;serif"/>
          <w:color w:val="231F20"/>
          <w:spacing w:val="-9"/>
          <w:sz w:val="20"/>
        </w:rPr>
        <w:t xml:space="preserve"> </w:t>
      </w:r>
      <w:r>
        <w:rPr>
          <w:rFonts w:ascii="Times New Roman;Times;serif" w:hAnsi="Times New Roman;Times;serif"/>
          <w:color w:val="231F20"/>
          <w:sz w:val="20"/>
        </w:rPr>
        <w:t>less</w:t>
      </w:r>
      <w:r>
        <w:rPr>
          <w:rFonts w:ascii="Times New Roman;Times;serif" w:hAnsi="Times New Roman;Times;serif"/>
          <w:color w:val="231F20"/>
          <w:spacing w:val="-9"/>
          <w:sz w:val="20"/>
        </w:rPr>
        <w:t xml:space="preserve"> </w:t>
      </w:r>
      <w:r>
        <w:rPr>
          <w:rFonts w:ascii="Times New Roman;Times;serif" w:hAnsi="Times New Roman;Times;serif"/>
          <w:color w:val="231F20"/>
          <w:sz w:val="20"/>
        </w:rPr>
        <w:t>than</w:t>
      </w:r>
      <w:r>
        <w:rPr>
          <w:rFonts w:ascii="Times New Roman;Times;serif" w:hAnsi="Times New Roman;Times;serif"/>
          <w:color w:val="231F20"/>
          <w:spacing w:val="-8"/>
          <w:sz w:val="20"/>
        </w:rPr>
        <w:t xml:space="preserve"> </w:t>
      </w:r>
      <w:r>
        <w:rPr>
          <w:rFonts w:ascii="Times New Roman;Times;serif" w:hAnsi="Times New Roman;Times;serif"/>
          <w:color w:val="231F20"/>
          <w:sz w:val="20"/>
        </w:rPr>
        <w:t>expected.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Conducting clinical trials of our drug candidates or commercial sales of a drug candidate may expose us to expensive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product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liability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claims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8"/>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be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able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maintain</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product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liability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insurance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on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reasonable terms or at</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all.</w:t>
      </w:r>
    </w:p>
    <w:p>
      <w:pPr>
        <w:pStyle w:val="TextBody"/>
        <w:spacing w:before="165"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risk of product liability is inherent in the testing of pharmaceutical products. If we cannot successfully defend ourselves against product liability claims, we may incur substantial liabilities or be required to limit or terminate testing of one or more of our drug candidates. Our inability to obtain sufficient product liability insurance at an acceptable cost to protect against product liability claims could prevent or inhibit the commercialization of our drug candidates. We currently carry clinical trial insurance but do not carry product liability insurance. If we successfully commercialize one or more of our drug candidates, we may face product liability claims, regardless of FDA approval for commercial manufacturing and sale. We may not be able to obtain such insurance at a reasonable cost, if at all. Even if our agreements with any current or future corporate collaborators entitle us to indemnification against product liability losses, such indemnification may not be available or adequate should any claim arise.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The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use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of</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a</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controlled</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substance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NRX-100</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drug</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candidate</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subjects</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us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DEA</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scrutiny</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compliance, which may result in additional expense and clinical</w:t>
      </w:r>
      <w:r>
        <w:rPr>
          <w:rFonts w:ascii="Times New Roman;Times;serif" w:hAnsi="Times New Roman;Times;serif"/>
          <w:b/>
          <w:color w:val="231F20"/>
          <w:spacing w:val="-17"/>
          <w:sz w:val="20"/>
        </w:rPr>
        <w:t xml:space="preserve"> </w:t>
      </w:r>
      <w:r>
        <w:rPr>
          <w:rFonts w:ascii="Times New Roman;Times;serif" w:hAnsi="Times New Roman;Times;serif"/>
          <w:b/>
          <w:i/>
          <w:color w:val="231F20"/>
          <w:sz w:val="20"/>
        </w:rPr>
        <w:t>delays.</w:t>
      </w:r>
    </w:p>
    <w:p>
      <w:pPr>
        <w:pStyle w:val="TextBody"/>
        <w:spacing w:before="139" w:after="240"/>
        <w:ind w:left="0" w:right="0" w:firstLine="399"/>
        <w:jc w:val="both"/>
        <w:rPr>
          <w:rFonts w:ascii="Times New Roman;Times;serif" w:hAnsi="Times New Roman;Times;serif"/>
          <w:sz w:val="20"/>
        </w:rPr>
      </w:pPr>
      <w:r>
        <w:rPr>
          <w:rFonts w:ascii="Times New Roman;Times;serif" w:hAnsi="Times New Roman;Times;serif"/>
          <w:color w:val="231F20"/>
          <w:sz w:val="20"/>
        </w:rPr>
        <w:t>The</w:t>
      </w:r>
      <w:r>
        <w:rPr>
          <w:rFonts w:ascii="Times New Roman;Times;serif" w:hAnsi="Times New Roman;Times;serif"/>
          <w:color w:val="231F20"/>
          <w:spacing w:val="-29"/>
          <w:sz w:val="20"/>
        </w:rPr>
        <w:t xml:space="preserve"> </w:t>
      </w:r>
      <w:r>
        <w:rPr>
          <w:rFonts w:ascii="Times New Roman;Times;serif" w:hAnsi="Times New Roman;Times;serif"/>
          <w:color w:val="231F20"/>
          <w:spacing w:val="-7"/>
          <w:sz w:val="20"/>
        </w:rPr>
        <w:t>U.S.</w:t>
      </w:r>
      <w:r>
        <w:rPr>
          <w:rFonts w:ascii="Times New Roman;Times;serif" w:hAnsi="Times New Roman;Times;serif"/>
          <w:color w:val="231F20"/>
          <w:spacing w:val="-28"/>
          <w:sz w:val="20"/>
        </w:rPr>
        <w:t xml:space="preserve"> </w:t>
      </w:r>
      <w:r>
        <w:rPr>
          <w:rFonts w:ascii="Times New Roman;Times;serif" w:hAnsi="Times New Roman;Times;serif"/>
          <w:color w:val="231F20"/>
          <w:sz w:val="20"/>
        </w:rPr>
        <w:t>Drug</w:t>
      </w:r>
      <w:r>
        <w:rPr>
          <w:rFonts w:ascii="Times New Roman;Times;serif" w:hAnsi="Times New Roman;Times;serif"/>
          <w:color w:val="231F20"/>
          <w:spacing w:val="-29"/>
          <w:sz w:val="20"/>
        </w:rPr>
        <w:t xml:space="preserve"> </w:t>
      </w:r>
      <w:r>
        <w:rPr>
          <w:rFonts w:ascii="Times New Roman;Times;serif" w:hAnsi="Times New Roman;Times;serif"/>
          <w:color w:val="231F20"/>
          <w:sz w:val="20"/>
        </w:rPr>
        <w:t>Enforcement</w:t>
      </w:r>
      <w:r>
        <w:rPr>
          <w:rFonts w:ascii="Times New Roman;Times;serif" w:hAnsi="Times New Roman;Times;serif"/>
          <w:color w:val="231F20"/>
          <w:spacing w:val="-28"/>
          <w:sz w:val="20"/>
        </w:rPr>
        <w:t xml:space="preserve"> </w:t>
      </w:r>
      <w:r>
        <w:rPr>
          <w:rFonts w:ascii="Times New Roman;Times;serif" w:hAnsi="Times New Roman;Times;serif"/>
          <w:color w:val="231F20"/>
          <w:sz w:val="20"/>
        </w:rPr>
        <w:t>Administration</w:t>
      </w:r>
      <w:r>
        <w:rPr>
          <w:rFonts w:ascii="Times New Roman;Times;serif" w:hAnsi="Times New Roman;Times;serif"/>
          <w:color w:val="231F20"/>
          <w:spacing w:val="-28"/>
          <w:sz w:val="20"/>
        </w:rPr>
        <w:t xml:space="preserve"> </w:t>
      </w:r>
      <w:r>
        <w:rPr>
          <w:rFonts w:ascii="Times New Roman;Times;serif" w:hAnsi="Times New Roman;Times;serif"/>
          <w:color w:val="231F20"/>
          <w:sz w:val="20"/>
        </w:rPr>
        <w:t>(“DEA”)</w:t>
      </w:r>
      <w:r>
        <w:rPr>
          <w:rFonts w:ascii="Times New Roman;Times;serif" w:hAnsi="Times New Roman;Times;serif"/>
          <w:color w:val="231F20"/>
          <w:spacing w:val="-29"/>
          <w:sz w:val="20"/>
        </w:rPr>
        <w:t xml:space="preserve"> </w:t>
      </w:r>
      <w:r>
        <w:rPr>
          <w:rFonts w:ascii="Times New Roman;Times;serif" w:hAnsi="Times New Roman;Times;serif"/>
          <w:color w:val="231F20"/>
          <w:sz w:val="20"/>
        </w:rPr>
        <w:t>regulates</w:t>
      </w:r>
      <w:r>
        <w:rPr>
          <w:rFonts w:ascii="Times New Roman;Times;serif" w:hAnsi="Times New Roman;Times;serif"/>
          <w:color w:val="231F20"/>
          <w:spacing w:val="-28"/>
          <w:sz w:val="20"/>
        </w:rPr>
        <w:t xml:space="preserve"> </w:t>
      </w:r>
      <w:r>
        <w:rPr>
          <w:rFonts w:ascii="Times New Roman;Times;serif" w:hAnsi="Times New Roman;Times;serif"/>
          <w:color w:val="231F20"/>
          <w:sz w:val="20"/>
        </w:rPr>
        <w:t>chemical</w:t>
      </w:r>
      <w:r>
        <w:rPr>
          <w:rFonts w:ascii="Times New Roman;Times;serif" w:hAnsi="Times New Roman;Times;serif"/>
          <w:color w:val="231F20"/>
          <w:spacing w:val="-28"/>
          <w:sz w:val="20"/>
        </w:rPr>
        <w:t xml:space="preserve"> </w:t>
      </w:r>
      <w:r>
        <w:rPr>
          <w:rFonts w:ascii="Times New Roman;Times;serif" w:hAnsi="Times New Roman;Times;serif"/>
          <w:color w:val="231F20"/>
          <w:sz w:val="20"/>
        </w:rPr>
        <w:t>compounds</w:t>
      </w:r>
      <w:r>
        <w:rPr>
          <w:rFonts w:ascii="Times New Roman;Times;serif" w:hAnsi="Times New Roman;Times;serif"/>
          <w:color w:val="231F20"/>
          <w:spacing w:val="-29"/>
          <w:sz w:val="20"/>
        </w:rPr>
        <w:t xml:space="preserve"> </w:t>
      </w:r>
      <w:r>
        <w:rPr>
          <w:rFonts w:ascii="Times New Roman;Times;serif" w:hAnsi="Times New Roman;Times;serif"/>
          <w:color w:val="231F20"/>
          <w:sz w:val="20"/>
        </w:rPr>
        <w:t>as</w:t>
      </w:r>
      <w:r>
        <w:rPr>
          <w:rFonts w:ascii="Times New Roman;Times;serif" w:hAnsi="Times New Roman;Times;serif"/>
          <w:color w:val="231F20"/>
          <w:spacing w:val="-28"/>
          <w:sz w:val="20"/>
        </w:rPr>
        <w:t xml:space="preserve"> </w:t>
      </w:r>
      <w:r>
        <w:rPr>
          <w:rFonts w:ascii="Times New Roman;Times;serif" w:hAnsi="Times New Roman;Times;serif"/>
          <w:color w:val="231F20"/>
          <w:sz w:val="20"/>
        </w:rPr>
        <w:t>Schedule</w:t>
      </w:r>
      <w:r>
        <w:rPr>
          <w:rFonts w:ascii="Times New Roman;Times;serif" w:hAnsi="Times New Roman;Times;serif"/>
          <w:color w:val="231F20"/>
          <w:spacing w:val="-28"/>
          <w:sz w:val="20"/>
        </w:rPr>
        <w:t xml:space="preserve"> </w:t>
      </w:r>
      <w:r>
        <w:rPr>
          <w:rFonts w:ascii="Times New Roman;Times;serif" w:hAnsi="Times New Roman;Times;serif"/>
          <w:color w:val="231F20"/>
          <w:sz w:val="20"/>
        </w:rPr>
        <w:t>I,</w:t>
      </w:r>
      <w:r>
        <w:rPr>
          <w:rFonts w:ascii="Times New Roman;Times;serif" w:hAnsi="Times New Roman;Times;serif"/>
          <w:color w:val="231F20"/>
          <w:spacing w:val="-29"/>
          <w:sz w:val="20"/>
        </w:rPr>
        <w:t xml:space="preserve"> </w:t>
      </w:r>
      <w:r>
        <w:rPr>
          <w:rFonts w:ascii="Times New Roman;Times;serif" w:hAnsi="Times New Roman;Times;serif"/>
          <w:color w:val="231F20"/>
          <w:sz w:val="20"/>
        </w:rPr>
        <w:t>II, III,</w:t>
      </w:r>
      <w:r>
        <w:rPr>
          <w:rFonts w:ascii="Times New Roman;Times;serif" w:hAnsi="Times New Roman;Times;serif"/>
          <w:color w:val="231F20"/>
          <w:spacing w:val="-25"/>
          <w:sz w:val="20"/>
        </w:rPr>
        <w:t xml:space="preserve"> </w:t>
      </w:r>
      <w:r>
        <w:rPr>
          <w:rFonts w:ascii="Times New Roman;Times;serif" w:hAnsi="Times New Roman;Times;serif"/>
          <w:color w:val="231F20"/>
          <w:sz w:val="20"/>
        </w:rPr>
        <w:t>IV</w:t>
      </w:r>
      <w:r>
        <w:rPr>
          <w:rFonts w:ascii="Times New Roman;Times;serif" w:hAnsi="Times New Roman;Times;serif"/>
          <w:color w:val="231F20"/>
          <w:spacing w:val="-24"/>
          <w:sz w:val="20"/>
        </w:rPr>
        <w:t xml:space="preserve"> </w:t>
      </w:r>
      <w:r>
        <w:rPr>
          <w:rFonts w:ascii="Times New Roman;Times;serif" w:hAnsi="Times New Roman;Times;serif"/>
          <w:color w:val="231F20"/>
          <w:sz w:val="20"/>
        </w:rPr>
        <w:t>or</w:t>
      </w:r>
      <w:r>
        <w:rPr>
          <w:rFonts w:ascii="Times New Roman;Times;serif" w:hAnsi="Times New Roman;Times;serif"/>
          <w:color w:val="231F20"/>
          <w:spacing w:val="-24"/>
          <w:sz w:val="20"/>
        </w:rPr>
        <w:t xml:space="preserve"> </w:t>
      </w:r>
      <w:r>
        <w:rPr>
          <w:rFonts w:ascii="Times New Roman;Times;serif" w:hAnsi="Times New Roman;Times;serif"/>
          <w:color w:val="231F20"/>
          <w:sz w:val="20"/>
        </w:rPr>
        <w:t>V</w:t>
      </w:r>
      <w:r>
        <w:rPr>
          <w:rFonts w:ascii="Times New Roman;Times;serif" w:hAnsi="Times New Roman;Times;serif"/>
          <w:color w:val="231F20"/>
          <w:spacing w:val="-25"/>
          <w:sz w:val="20"/>
        </w:rPr>
        <w:t xml:space="preserve"> </w:t>
      </w:r>
      <w:r>
        <w:rPr>
          <w:rFonts w:ascii="Times New Roman;Times;serif" w:hAnsi="Times New Roman;Times;serif"/>
          <w:color w:val="231F20"/>
          <w:sz w:val="20"/>
        </w:rPr>
        <w:t>substances,</w:t>
      </w:r>
      <w:r>
        <w:rPr>
          <w:rFonts w:ascii="Times New Roman;Times;serif" w:hAnsi="Times New Roman;Times;serif"/>
          <w:color w:val="231F20"/>
          <w:spacing w:val="-24"/>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4"/>
          <w:sz w:val="20"/>
        </w:rPr>
        <w:t xml:space="preserve"> </w:t>
      </w:r>
      <w:r>
        <w:rPr>
          <w:rFonts w:ascii="Times New Roman;Times;serif" w:hAnsi="Times New Roman;Times;serif"/>
          <w:color w:val="231F20"/>
          <w:sz w:val="20"/>
        </w:rPr>
        <w:t>Schedule</w:t>
      </w:r>
      <w:r>
        <w:rPr>
          <w:rFonts w:ascii="Times New Roman;Times;serif" w:hAnsi="Times New Roman;Times;serif"/>
          <w:color w:val="231F20"/>
          <w:spacing w:val="-25"/>
          <w:sz w:val="20"/>
        </w:rPr>
        <w:t xml:space="preserve"> </w:t>
      </w:r>
      <w:r>
        <w:rPr>
          <w:rFonts w:ascii="Times New Roman;Times;serif" w:hAnsi="Times New Roman;Times;serif"/>
          <w:color w:val="231F20"/>
          <w:sz w:val="20"/>
        </w:rPr>
        <w:t>I</w:t>
      </w:r>
      <w:r>
        <w:rPr>
          <w:rFonts w:ascii="Times New Roman;Times;serif" w:hAnsi="Times New Roman;Times;serif"/>
          <w:color w:val="231F20"/>
          <w:spacing w:val="-24"/>
          <w:sz w:val="20"/>
        </w:rPr>
        <w:t xml:space="preserve"> </w:t>
      </w:r>
      <w:r>
        <w:rPr>
          <w:rFonts w:ascii="Times New Roman;Times;serif" w:hAnsi="Times New Roman;Times;serif"/>
          <w:color w:val="231F20"/>
          <w:sz w:val="20"/>
        </w:rPr>
        <w:t>substances</w:t>
      </w:r>
      <w:r>
        <w:rPr>
          <w:rFonts w:ascii="Times New Roman;Times;serif" w:hAnsi="Times New Roman;Times;serif"/>
          <w:color w:val="231F20"/>
          <w:spacing w:val="-24"/>
          <w:sz w:val="20"/>
        </w:rPr>
        <w:t xml:space="preserve"> </w:t>
      </w:r>
      <w:r>
        <w:rPr>
          <w:rFonts w:ascii="Times New Roman;Times;serif" w:hAnsi="Times New Roman;Times;serif"/>
          <w:color w:val="231F20"/>
          <w:sz w:val="20"/>
        </w:rPr>
        <w:t>considered</w:t>
      </w:r>
      <w:r>
        <w:rPr>
          <w:rFonts w:ascii="Times New Roman;Times;serif" w:hAnsi="Times New Roman;Times;serif"/>
          <w:color w:val="231F20"/>
          <w:spacing w:val="-25"/>
          <w:sz w:val="20"/>
        </w:rPr>
        <w:t xml:space="preserve"> </w:t>
      </w:r>
      <w:r>
        <w:rPr>
          <w:rFonts w:ascii="Times New Roman;Times;serif" w:hAnsi="Times New Roman;Times;serif"/>
          <w:color w:val="231F20"/>
          <w:sz w:val="20"/>
        </w:rPr>
        <w:t>to</w:t>
      </w:r>
      <w:r>
        <w:rPr>
          <w:rFonts w:ascii="Times New Roman;Times;serif" w:hAnsi="Times New Roman;Times;serif"/>
          <w:color w:val="231F20"/>
          <w:spacing w:val="-24"/>
          <w:sz w:val="20"/>
        </w:rPr>
        <w:t xml:space="preserve"> </w:t>
      </w:r>
      <w:r>
        <w:rPr>
          <w:rFonts w:ascii="Times New Roman;Times;serif" w:hAnsi="Times New Roman;Times;serif"/>
          <w:color w:val="231F20"/>
          <w:sz w:val="20"/>
        </w:rPr>
        <w:t>present</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5"/>
          <w:sz w:val="20"/>
        </w:rPr>
        <w:t xml:space="preserve"> </w:t>
      </w:r>
      <w:r>
        <w:rPr>
          <w:rFonts w:ascii="Times New Roman;Times;serif" w:hAnsi="Times New Roman;Times;serif"/>
          <w:color w:val="231F20"/>
          <w:sz w:val="20"/>
        </w:rPr>
        <w:t>highest</w:t>
      </w:r>
      <w:r>
        <w:rPr>
          <w:rFonts w:ascii="Times New Roman;Times;serif" w:hAnsi="Times New Roman;Times;serif"/>
          <w:color w:val="231F20"/>
          <w:spacing w:val="-24"/>
          <w:sz w:val="20"/>
        </w:rPr>
        <w:t xml:space="preserve"> </w:t>
      </w:r>
      <w:r>
        <w:rPr>
          <w:rFonts w:ascii="Times New Roman;Times;serif" w:hAnsi="Times New Roman;Times;serif"/>
          <w:color w:val="231F20"/>
          <w:sz w:val="20"/>
        </w:rPr>
        <w:t>risk</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3"/>
          <w:sz w:val="20"/>
        </w:rPr>
        <w:t xml:space="preserve"> </w:t>
      </w:r>
      <w:r>
        <w:rPr>
          <w:rFonts w:ascii="Times New Roman;Times;serif" w:hAnsi="Times New Roman;Times;serif"/>
          <w:color w:val="231F20"/>
          <w:sz w:val="20"/>
        </w:rPr>
        <w:t>substance</w:t>
      </w:r>
      <w:r>
        <w:rPr>
          <w:rFonts w:ascii="Times New Roman;Times;serif" w:hAnsi="Times New Roman;Times;serif"/>
          <w:color w:val="231F20"/>
          <w:spacing w:val="-25"/>
          <w:sz w:val="20"/>
        </w:rPr>
        <w:t xml:space="preserve"> </w:t>
      </w:r>
      <w:r>
        <w:rPr>
          <w:rFonts w:ascii="Times New Roman;Times;serif" w:hAnsi="Times New Roman;Times;serif"/>
          <w:color w:val="231F20"/>
          <w:spacing w:val="-6"/>
          <w:sz w:val="20"/>
        </w:rPr>
        <w:t xml:space="preserve">abuse </w:t>
      </w:r>
      <w:r>
        <w:rPr>
          <w:rFonts w:ascii="Times New Roman;Times;serif" w:hAnsi="Times New Roman;Times;serif"/>
          <w:color w:val="231F20"/>
          <w:sz w:val="20"/>
        </w:rPr>
        <w:t>and</w:t>
      </w:r>
      <w:r>
        <w:rPr>
          <w:rFonts w:ascii="Times New Roman;Times;serif" w:hAnsi="Times New Roman;Times;serif"/>
          <w:color w:val="231F20"/>
          <w:spacing w:val="-24"/>
          <w:sz w:val="20"/>
        </w:rPr>
        <w:t xml:space="preserve"> </w:t>
      </w:r>
      <w:r>
        <w:rPr>
          <w:rFonts w:ascii="Times New Roman;Times;serif" w:hAnsi="Times New Roman;Times;serif"/>
          <w:color w:val="231F20"/>
          <w:sz w:val="20"/>
        </w:rPr>
        <w:t>Schedule</w:t>
      </w:r>
      <w:r>
        <w:rPr>
          <w:rFonts w:ascii="Times New Roman;Times;serif" w:hAnsi="Times New Roman;Times;serif"/>
          <w:color w:val="231F20"/>
          <w:spacing w:val="-23"/>
          <w:sz w:val="20"/>
        </w:rPr>
        <w:t xml:space="preserve"> </w:t>
      </w:r>
      <w:r>
        <w:rPr>
          <w:rFonts w:ascii="Times New Roman;Times;serif" w:hAnsi="Times New Roman;Times;serif"/>
          <w:color w:val="231F20"/>
          <w:sz w:val="20"/>
        </w:rPr>
        <w:t>V</w:t>
      </w:r>
      <w:r>
        <w:rPr>
          <w:rFonts w:ascii="Times New Roman;Times;serif" w:hAnsi="Times New Roman;Times;serif"/>
          <w:color w:val="231F20"/>
          <w:spacing w:val="-23"/>
          <w:sz w:val="20"/>
        </w:rPr>
        <w:t xml:space="preserve"> </w:t>
      </w:r>
      <w:r>
        <w:rPr>
          <w:rFonts w:ascii="Times New Roman;Times;serif" w:hAnsi="Times New Roman;Times;serif"/>
          <w:color w:val="231F20"/>
          <w:sz w:val="20"/>
        </w:rPr>
        <w:t>substances</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lowest</w:t>
      </w:r>
      <w:r>
        <w:rPr>
          <w:rFonts w:ascii="Times New Roman;Times;serif" w:hAnsi="Times New Roman;Times;serif"/>
          <w:color w:val="231F20"/>
          <w:spacing w:val="-23"/>
          <w:sz w:val="20"/>
        </w:rPr>
        <w:t xml:space="preserve"> </w:t>
      </w:r>
      <w:r>
        <w:rPr>
          <w:rFonts w:ascii="Times New Roman;Times;serif" w:hAnsi="Times New Roman;Times;serif"/>
          <w:color w:val="231F20"/>
          <w:sz w:val="20"/>
        </w:rPr>
        <w:t>risk.</w:t>
      </w:r>
      <w:r>
        <w:rPr>
          <w:rFonts w:ascii="Times New Roman;Times;serif" w:hAnsi="Times New Roman;Times;serif"/>
          <w:color w:val="231F20"/>
          <w:spacing w:val="-23"/>
          <w:sz w:val="20"/>
        </w:rPr>
        <w:t xml:space="preserve"> </w:t>
      </w:r>
      <w:r>
        <w:rPr>
          <w:rFonts w:ascii="Times New Roman;Times;serif" w:hAnsi="Times New Roman;Times;serif"/>
          <w:color w:val="231F20"/>
          <w:sz w:val="20"/>
        </w:rPr>
        <w:t>One</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ingredients</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w:t>
      </w:r>
      <w:r>
        <w:rPr>
          <w:rFonts w:ascii="Times New Roman;Times;serif" w:hAnsi="Times New Roman;Times;serif"/>
          <w:color w:val="231F20"/>
          <w:spacing w:val="-23"/>
          <w:sz w:val="20"/>
        </w:rPr>
        <w:t xml:space="preserve"> </w:t>
      </w:r>
      <w:r>
        <w:rPr>
          <w:rFonts w:ascii="Times New Roman;Times;serif" w:hAnsi="Times New Roman;Times;serif"/>
          <w:color w:val="231F20"/>
          <w:sz w:val="20"/>
        </w:rPr>
        <w:t>NRX-100</w:t>
      </w:r>
      <w:r>
        <w:rPr>
          <w:rFonts w:ascii="Times New Roman;Times;serif" w:hAnsi="Times New Roman;Times;serif"/>
          <w:color w:val="231F20"/>
          <w:spacing w:val="-23"/>
          <w:sz w:val="20"/>
        </w:rPr>
        <w:t xml:space="preserve"> </w:t>
      </w:r>
      <w:r>
        <w:rPr>
          <w:rFonts w:ascii="Times New Roman;Times;serif" w:hAnsi="Times New Roman;Times;serif"/>
          <w:color w:val="231F20"/>
          <w:sz w:val="20"/>
        </w:rPr>
        <w:t>is</w:t>
      </w:r>
      <w:r>
        <w:rPr>
          <w:rFonts w:ascii="Times New Roman;Times;serif" w:hAnsi="Times New Roman;Times;serif"/>
          <w:color w:val="231F20"/>
          <w:spacing w:val="-23"/>
          <w:sz w:val="20"/>
        </w:rPr>
        <w:t xml:space="preserve"> </w:t>
      </w:r>
      <w:r>
        <w:rPr>
          <w:rFonts w:ascii="Times New Roman;Times;serif" w:hAnsi="Times New Roman;Times;serif"/>
          <w:color w:val="231F20"/>
          <w:sz w:val="20"/>
        </w:rPr>
        <w:t>ketamine,</w:t>
      </w:r>
      <w:r>
        <w:rPr>
          <w:rFonts w:ascii="Times New Roman;Times;serif" w:hAnsi="Times New Roman;Times;serif"/>
          <w:color w:val="231F20"/>
          <w:spacing w:val="-23"/>
          <w:sz w:val="20"/>
        </w:rPr>
        <w:t xml:space="preserve"> </w:t>
      </w:r>
      <w:r>
        <w:rPr>
          <w:rFonts w:ascii="Times New Roman;Times;serif" w:hAnsi="Times New Roman;Times;serif"/>
          <w:color w:val="231F20"/>
          <w:sz w:val="20"/>
        </w:rPr>
        <w:t>a</w:t>
      </w:r>
      <w:r>
        <w:rPr>
          <w:rFonts w:ascii="Times New Roman;Times;serif" w:hAnsi="Times New Roman;Times;serif"/>
          <w:color w:val="231F20"/>
          <w:spacing w:val="-24"/>
          <w:sz w:val="20"/>
        </w:rPr>
        <w:t xml:space="preserve"> </w:t>
      </w:r>
      <w:r>
        <w:rPr>
          <w:rFonts w:ascii="Times New Roman;Times;serif" w:hAnsi="Times New Roman;Times;serif"/>
          <w:color w:val="231F20"/>
          <w:sz w:val="20"/>
        </w:rPr>
        <w:t>Schedule</w:t>
      </w:r>
      <w:r>
        <w:rPr>
          <w:rFonts w:ascii="Times New Roman;Times;serif" w:hAnsi="Times New Roman;Times;serif"/>
          <w:color w:val="231F20"/>
          <w:spacing w:val="-23"/>
          <w:sz w:val="20"/>
        </w:rPr>
        <w:t xml:space="preserve"> </w:t>
      </w:r>
      <w:r>
        <w:rPr>
          <w:rFonts w:ascii="Times New Roman;Times;serif" w:hAnsi="Times New Roman;Times;serif"/>
          <w:color w:val="231F20"/>
          <w:sz w:val="20"/>
        </w:rPr>
        <w:t>III controlled</w:t>
      </w:r>
      <w:r>
        <w:rPr>
          <w:rFonts w:ascii="Times New Roman;Times;serif" w:hAnsi="Times New Roman;Times;serif"/>
          <w:color w:val="231F20"/>
          <w:spacing w:val="-34"/>
          <w:sz w:val="20"/>
        </w:rPr>
        <w:t xml:space="preserve"> </w:t>
      </w:r>
      <w:r>
        <w:rPr>
          <w:rFonts w:ascii="Times New Roman;Times;serif" w:hAnsi="Times New Roman;Times;serif"/>
          <w:color w:val="231F20"/>
          <w:sz w:val="20"/>
        </w:rPr>
        <w:t>substance</w:t>
      </w:r>
      <w:r>
        <w:rPr>
          <w:rFonts w:ascii="Times New Roman;Times;serif" w:hAnsi="Times New Roman;Times;serif"/>
          <w:color w:val="231F20"/>
          <w:spacing w:val="-33"/>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33"/>
          <w:sz w:val="20"/>
        </w:rPr>
        <w:t xml:space="preserve"> </w:t>
      </w:r>
      <w:r>
        <w:rPr>
          <w:rFonts w:ascii="Times New Roman;Times;serif" w:hAnsi="Times New Roman;Times;serif"/>
          <w:color w:val="231F20"/>
          <w:sz w:val="20"/>
        </w:rPr>
        <w:t>high</w:t>
      </w:r>
      <w:r>
        <w:rPr>
          <w:rFonts w:ascii="Times New Roman;Times;serif" w:hAnsi="Times New Roman;Times;serif"/>
          <w:color w:val="231F20"/>
          <w:spacing w:val="-33"/>
          <w:sz w:val="20"/>
        </w:rPr>
        <w:t xml:space="preserve"> </w:t>
      </w:r>
      <w:r>
        <w:rPr>
          <w:rFonts w:ascii="Times New Roman;Times;serif" w:hAnsi="Times New Roman;Times;serif"/>
          <w:color w:val="231F20"/>
          <w:spacing w:val="-3"/>
          <w:sz w:val="20"/>
        </w:rPr>
        <w:t>abuse</w:t>
      </w:r>
      <w:r>
        <w:rPr>
          <w:rFonts w:ascii="Times New Roman;Times;serif" w:hAnsi="Times New Roman;Times;serif"/>
          <w:color w:val="231F20"/>
          <w:spacing w:val="-33"/>
          <w:sz w:val="20"/>
        </w:rPr>
        <w:t xml:space="preserve"> </w:t>
      </w:r>
      <w:r>
        <w:rPr>
          <w:rFonts w:ascii="Times New Roman;Times;serif" w:hAnsi="Times New Roman;Times;serif"/>
          <w:color w:val="231F20"/>
          <w:sz w:val="20"/>
        </w:rPr>
        <w:t>potential.</w:t>
      </w:r>
      <w:r>
        <w:rPr>
          <w:rFonts w:ascii="Times New Roman;Times;serif" w:hAnsi="Times New Roman;Times;serif"/>
          <w:color w:val="231F20"/>
          <w:spacing w:val="-33"/>
          <w:sz w:val="20"/>
        </w:rPr>
        <w:t xml:space="preserve"> </w:t>
      </w:r>
      <w:r>
        <w:rPr>
          <w:rFonts w:ascii="Times New Roman;Times;serif" w:hAnsi="Times New Roman;Times;serif"/>
          <w:color w:val="231F20"/>
          <w:sz w:val="20"/>
        </w:rPr>
        <w:t>Consequently,</w:t>
      </w:r>
      <w:r>
        <w:rPr>
          <w:rFonts w:ascii="Times New Roman;Times;serif" w:hAnsi="Times New Roman;Times;serif"/>
          <w:color w:val="231F20"/>
          <w:spacing w:val="-3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3"/>
          <w:sz w:val="20"/>
        </w:rPr>
        <w:t xml:space="preserve"> </w:t>
      </w:r>
      <w:r>
        <w:rPr>
          <w:rFonts w:ascii="Times New Roman;Times;serif" w:hAnsi="Times New Roman;Times;serif"/>
          <w:color w:val="231F20"/>
          <w:sz w:val="20"/>
        </w:rPr>
        <w:t>manufacture,</w:t>
      </w:r>
      <w:r>
        <w:rPr>
          <w:rFonts w:ascii="Times New Roman;Times;serif" w:hAnsi="Times New Roman;Times;serif"/>
          <w:color w:val="231F20"/>
          <w:spacing w:val="-33"/>
          <w:sz w:val="20"/>
        </w:rPr>
        <w:t xml:space="preserve"> </w:t>
      </w:r>
      <w:r>
        <w:rPr>
          <w:rFonts w:ascii="Times New Roman;Times;serif" w:hAnsi="Times New Roman;Times;serif"/>
          <w:color w:val="231F20"/>
          <w:sz w:val="20"/>
        </w:rPr>
        <w:t>research,</w:t>
      </w:r>
      <w:r>
        <w:rPr>
          <w:rFonts w:ascii="Times New Roman;Times;serif" w:hAnsi="Times New Roman;Times;serif"/>
          <w:color w:val="231F20"/>
          <w:spacing w:val="-33"/>
          <w:sz w:val="20"/>
        </w:rPr>
        <w:t xml:space="preserve"> </w:t>
      </w:r>
      <w:r>
        <w:rPr>
          <w:rFonts w:ascii="Times New Roman;Times;serif" w:hAnsi="Times New Roman;Times;serif"/>
          <w:color w:val="231F20"/>
          <w:sz w:val="20"/>
        </w:rPr>
        <w:t>shipment,</w:t>
      </w:r>
      <w:r>
        <w:rPr>
          <w:rFonts w:ascii="Times New Roman;Times;serif" w:hAnsi="Times New Roman;Times;serif"/>
          <w:color w:val="231F20"/>
          <w:spacing w:val="-33"/>
          <w:sz w:val="20"/>
        </w:rPr>
        <w:t xml:space="preserve"> </w:t>
      </w:r>
      <w:r>
        <w:rPr>
          <w:rFonts w:ascii="Times New Roman;Times;serif" w:hAnsi="Times New Roman;Times;serif"/>
          <w:color w:val="231F20"/>
          <w:spacing w:val="-3"/>
          <w:sz w:val="20"/>
        </w:rPr>
        <w:t xml:space="preserve">storage, sale </w:t>
      </w:r>
      <w:r>
        <w:rPr>
          <w:rFonts w:ascii="Times New Roman;Times;serif" w:hAnsi="Times New Roman;Times;serif"/>
          <w:color w:val="231F20"/>
          <w:sz w:val="20"/>
        </w:rPr>
        <w:t>and use of this drug candidate is subject to a high degree of oversight and regulation. None of our other</w:t>
      </w:r>
      <w:r>
        <w:rPr>
          <w:rFonts w:ascii="Times New Roman;Times;serif" w:hAnsi="Times New Roman;Times;serif"/>
          <w:color w:val="231F20"/>
          <w:spacing w:val="-36"/>
          <w:sz w:val="20"/>
        </w:rPr>
        <w:t xml:space="preserve"> </w:t>
      </w:r>
      <w:r>
        <w:rPr>
          <w:rFonts w:ascii="Times New Roman;Times;serif" w:hAnsi="Times New Roman;Times;serif"/>
          <w:color w:val="231F20"/>
          <w:sz w:val="20"/>
        </w:rPr>
        <w:t>drugs</w:t>
      </w:r>
      <w:r>
        <w:rPr>
          <w:rFonts w:ascii="Times New Roman;Times;serif" w:hAnsi="Times New Roman;Times;serif"/>
          <w:color w:val="231F20"/>
          <w:spacing w:val="-36"/>
          <w:sz w:val="20"/>
        </w:rPr>
        <w:t xml:space="preserve"> </w:t>
      </w:r>
      <w:r>
        <w:rPr>
          <w:rFonts w:ascii="Times New Roman;Times;serif" w:hAnsi="Times New Roman;Times;serif"/>
          <w:color w:val="231F20"/>
          <w:sz w:val="20"/>
        </w:rPr>
        <w:t>currently</w:t>
      </w:r>
      <w:r>
        <w:rPr>
          <w:rFonts w:ascii="Times New Roman;Times;serif" w:hAnsi="Times New Roman;Times;serif"/>
          <w:color w:val="231F20"/>
          <w:spacing w:val="-35"/>
          <w:sz w:val="20"/>
        </w:rPr>
        <w:t xml:space="preserve"> </w:t>
      </w:r>
      <w:r>
        <w:rPr>
          <w:rFonts w:ascii="Times New Roman;Times;serif" w:hAnsi="Times New Roman;Times;serif"/>
          <w:color w:val="231F20"/>
          <w:sz w:val="20"/>
        </w:rPr>
        <w:t>under</w:t>
      </w:r>
      <w:r>
        <w:rPr>
          <w:rFonts w:ascii="Times New Roman;Times;serif" w:hAnsi="Times New Roman;Times;serif"/>
          <w:color w:val="231F20"/>
          <w:spacing w:val="-36"/>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35"/>
          <w:sz w:val="20"/>
        </w:rPr>
        <w:t xml:space="preserve"> </w:t>
      </w:r>
      <w:r>
        <w:rPr>
          <w:rFonts w:ascii="Times New Roman;Times;serif" w:hAnsi="Times New Roman;Times;serif"/>
          <w:color w:val="231F20"/>
          <w:sz w:val="20"/>
        </w:rPr>
        <w:t>including</w:t>
      </w:r>
      <w:r>
        <w:rPr>
          <w:rFonts w:ascii="Times New Roman;Times;serif" w:hAnsi="Times New Roman;Times;serif"/>
          <w:color w:val="231F20"/>
          <w:spacing w:val="-36"/>
          <w:sz w:val="20"/>
        </w:rPr>
        <w:t xml:space="preserve"> </w:t>
      </w:r>
      <w:r>
        <w:rPr>
          <w:rFonts w:ascii="Times New Roman;Times;serif" w:hAnsi="Times New Roman;Times;serif"/>
          <w:color w:val="231F20"/>
          <w:sz w:val="20"/>
        </w:rPr>
        <w:t>NRX-101,</w:t>
      </w:r>
      <w:r>
        <w:rPr>
          <w:rFonts w:ascii="Times New Roman;Times;serif" w:hAnsi="Times New Roman;Times;serif"/>
          <w:color w:val="231F20"/>
          <w:spacing w:val="-36"/>
          <w:sz w:val="20"/>
        </w:rPr>
        <w:t xml:space="preserve"> </w:t>
      </w:r>
      <w:r>
        <w:rPr>
          <w:rFonts w:ascii="Times New Roman;Times;serif" w:hAnsi="Times New Roman;Times;serif"/>
          <w:color w:val="231F20"/>
          <w:sz w:val="20"/>
        </w:rPr>
        <w:t>include</w:t>
      </w:r>
      <w:r>
        <w:rPr>
          <w:rFonts w:ascii="Times New Roman;Times;serif" w:hAnsi="Times New Roman;Times;serif"/>
          <w:color w:val="231F20"/>
          <w:spacing w:val="-35"/>
          <w:sz w:val="20"/>
        </w:rPr>
        <w:t xml:space="preserve"> </w:t>
      </w:r>
      <w:r>
        <w:rPr>
          <w:rFonts w:ascii="Times New Roman;Times;serif" w:hAnsi="Times New Roman;Times;serif"/>
          <w:color w:val="231F20"/>
          <w:sz w:val="20"/>
        </w:rPr>
        <w:t>a</w:t>
      </w:r>
      <w:r>
        <w:rPr>
          <w:rFonts w:ascii="Times New Roman;Times;serif" w:hAnsi="Times New Roman;Times;serif"/>
          <w:color w:val="231F20"/>
          <w:spacing w:val="-36"/>
          <w:sz w:val="20"/>
        </w:rPr>
        <w:t xml:space="preserve"> </w:t>
      </w:r>
      <w:r>
        <w:rPr>
          <w:rFonts w:ascii="Times New Roman;Times;serif" w:hAnsi="Times New Roman;Times;serif"/>
          <w:color w:val="231F20"/>
          <w:sz w:val="20"/>
        </w:rPr>
        <w:t>scheduled</w:t>
      </w:r>
      <w:r>
        <w:rPr>
          <w:rFonts w:ascii="Times New Roman;Times;serif" w:hAnsi="Times New Roman;Times;serif"/>
          <w:color w:val="231F20"/>
          <w:spacing w:val="-35"/>
          <w:sz w:val="20"/>
        </w:rPr>
        <w:t xml:space="preserve"> </w:t>
      </w:r>
      <w:r>
        <w:rPr>
          <w:rFonts w:ascii="Times New Roman;Times;serif" w:hAnsi="Times New Roman;Times;serif"/>
          <w:color w:val="231F20"/>
          <w:spacing w:val="-4"/>
          <w:sz w:val="20"/>
        </w:rPr>
        <w:t xml:space="preserve">chemical </w:t>
      </w:r>
      <w:r>
        <w:rPr>
          <w:rFonts w:ascii="Times New Roman;Times;serif" w:hAnsi="Times New Roman;Times;serif"/>
          <w:color w:val="231F20"/>
          <w:sz w:val="20"/>
        </w:rPr>
        <w:t>compound.</w:t>
      </w:r>
    </w:p>
    <w:p>
      <w:pPr>
        <w:pStyle w:val="TextBody"/>
        <w:spacing w:before="157"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DEA oversight and regulation can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the following impact on our efforts to develop new drug candidates:</w:t>
      </w:r>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interference</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with,</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limits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on,</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supply</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drugs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used</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clinical</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trials</w:t>
            </w:r>
            <w:r>
              <w:rPr>
                <w:caps w:val="false"/>
                <w:smallCaps w:val="false"/>
                <w:color w:val="231F20"/>
                <w:spacing w:val="-10"/>
              </w:rPr>
              <w:t xml:space="preserve"> </w:t>
            </w:r>
            <w:r>
              <w:rPr>
                <w:rFonts w:ascii="Times New Roman;Times;serif" w:hAnsi="Times New Roman;Times;serif"/>
                <w:b w:val="false"/>
                <w:i w:val="false"/>
                <w:caps w:val="false"/>
                <w:smallCaps w:val="false"/>
                <w:color w:val="231F20"/>
                <w:spacing w:val="-3"/>
                <w:sz w:val="20"/>
              </w:rPr>
              <w:t>for</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product</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candidates, and, in the future, the ability to produce and distribute our products in the volume needed to meet commercial</w:t>
            </w:r>
            <w:r>
              <w:rPr>
                <w:caps w:val="false"/>
                <w:smallCaps w:val="false"/>
                <w:color w:val="231F20"/>
                <w:spacing w:val="-4"/>
              </w:rPr>
              <w:t xml:space="preserve"> </w:t>
            </w:r>
            <w:r>
              <w:rPr>
                <w:rFonts w:ascii="Times New Roman;Times;serif" w:hAnsi="Times New Roman;Times;serif"/>
                <w:b w:val="false"/>
                <w:i w:val="false"/>
                <w:caps w:val="false"/>
                <w:smallCaps w:val="false"/>
                <w:color w:val="231F20"/>
                <w:sz w:val="20"/>
              </w:rPr>
              <w:t>demand;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w:t>
            </w:r>
            <w:r>
              <w:rPr>
                <w:caps w:val="false"/>
                <w:smallCaps w:val="false"/>
                <w:color w:val="231F20"/>
                <w:spacing w:val="-3"/>
              </w:rPr>
              <w:t xml:space="preserve"> </w:t>
            </w:r>
            <w:r>
              <w:rPr>
                <w:rFonts w:ascii="Times New Roman;Times;serif" w:hAnsi="Times New Roman;Times;serif"/>
                <w:b w:val="false"/>
                <w:i w:val="false"/>
                <w:caps w:val="false"/>
                <w:smallCaps w:val="false"/>
                <w:color w:val="231F20"/>
                <w:spacing w:val="-4"/>
                <w:sz w:val="20"/>
              </w:rPr>
              <w:t>FDA</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provides</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recommendations</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DEA</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as</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whether</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a</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drug</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should</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be</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scheduled</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as</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a</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 xml:space="preserve">controlled substance and the appropriate level of control; if DEA scheduling is required, a drug product </w:t>
            </w:r>
            <w:r>
              <w:rPr>
                <w:rFonts w:ascii="Times New Roman;Times;serif" w:hAnsi="Times New Roman;Times;serif"/>
                <w:b w:val="false"/>
                <w:i w:val="false"/>
                <w:caps w:val="false"/>
                <w:smallCaps w:val="false"/>
                <w:color w:val="231F20"/>
                <w:spacing w:val="-3"/>
                <w:sz w:val="20"/>
              </w:rPr>
              <w:t xml:space="preserve">may </w:t>
            </w:r>
            <w:r>
              <w:rPr>
                <w:rFonts w:ascii="Times New Roman;Times;serif" w:hAnsi="Times New Roman;Times;serif"/>
                <w:b w:val="false"/>
                <w:i w:val="false"/>
                <w:caps w:val="false"/>
                <w:smallCaps w:val="false"/>
                <w:color w:val="231F20"/>
                <w:sz w:val="20"/>
              </w:rPr>
              <w:t>not</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be</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marketed</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until</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scheduling</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process</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is</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completed,</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which</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could</w:t>
            </w:r>
            <w:r>
              <w:rPr>
                <w:caps w:val="false"/>
                <w:smallCaps w:val="false"/>
                <w:color w:val="231F20"/>
                <w:spacing w:val="-17"/>
              </w:rPr>
              <w:t xml:space="preserve"> </w:t>
            </w:r>
            <w:r>
              <w:rPr>
                <w:rFonts w:ascii="Times New Roman;Times;serif" w:hAnsi="Times New Roman;Times;serif"/>
                <w:b w:val="false"/>
                <w:i w:val="false"/>
                <w:caps w:val="false"/>
                <w:smallCaps w:val="false"/>
                <w:color w:val="231F20"/>
                <w:spacing w:val="-3"/>
                <w:sz w:val="20"/>
              </w:rPr>
              <w:t>delay</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launch</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17"/>
              </w:rPr>
              <w:t xml:space="preserve"> </w:t>
            </w:r>
            <w:r>
              <w:rPr>
                <w:rFonts w:ascii="Times New Roman;Times;serif" w:hAnsi="Times New Roman;Times;serif"/>
                <w:b w:val="false"/>
                <w:i w:val="false"/>
                <w:caps w:val="false"/>
                <w:smallCaps w:val="false"/>
                <w:color w:val="231F20"/>
                <w:sz w:val="20"/>
              </w:rPr>
              <w:t>product;</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depending</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on</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23"/>
              </w:rPr>
              <w:t xml:space="preserve"> </w:t>
            </w:r>
            <w:r>
              <w:rPr>
                <w:rFonts w:ascii="Times New Roman;Times;serif" w:hAnsi="Times New Roman;Times;serif"/>
                <w:b w:val="false"/>
                <w:i w:val="false"/>
                <w:caps w:val="false"/>
                <w:smallCaps w:val="false"/>
                <w:color w:val="231F20"/>
                <w:sz w:val="20"/>
              </w:rPr>
              <w:t>Schedule,</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drug</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products</w:t>
            </w:r>
            <w:r>
              <w:rPr>
                <w:caps w:val="false"/>
                <w:smallCaps w:val="false"/>
                <w:color w:val="231F20"/>
                <w:spacing w:val="-23"/>
              </w:rPr>
              <w:t xml:space="preserve"> </w:t>
            </w:r>
            <w:r>
              <w:rPr>
                <w:rFonts w:ascii="Times New Roman;Times;serif" w:hAnsi="Times New Roman;Times;serif"/>
                <w:b w:val="false"/>
                <w:i w:val="false"/>
                <w:caps w:val="false"/>
                <w:smallCaps w:val="false"/>
                <w:color w:val="231F20"/>
                <w:spacing w:val="-3"/>
                <w:sz w:val="20"/>
              </w:rPr>
              <w:t>may</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be</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subject</w:t>
            </w:r>
            <w:r>
              <w:rPr>
                <w:caps w:val="false"/>
                <w:smallCaps w:val="false"/>
                <w:color w:val="231F20"/>
                <w:spacing w:val="-23"/>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registration,</w:t>
            </w:r>
            <w:r>
              <w:rPr>
                <w:caps w:val="false"/>
                <w:smallCaps w:val="false"/>
                <w:color w:val="231F20"/>
                <w:spacing w:val="-24"/>
              </w:rPr>
              <w:t xml:space="preserve"> </w:t>
            </w:r>
            <w:r>
              <w:rPr>
                <w:rFonts w:ascii="Times New Roman;Times;serif" w:hAnsi="Times New Roman;Times;serif"/>
                <w:b w:val="false"/>
                <w:i w:val="false"/>
                <w:caps w:val="false"/>
                <w:smallCaps w:val="false"/>
                <w:color w:val="231F20"/>
                <w:sz w:val="20"/>
              </w:rPr>
              <w:t>security,</w:t>
            </w:r>
            <w:r>
              <w:rPr>
                <w:caps w:val="false"/>
                <w:smallCaps w:val="false"/>
                <w:color w:val="231F20"/>
                <w:spacing w:val="-23"/>
              </w:rPr>
              <w:t xml:space="preserve"> </w:t>
            </w:r>
            <w:r>
              <w:rPr>
                <w:rFonts w:ascii="Times New Roman;Times;serif" w:hAnsi="Times New Roman;Times;serif"/>
                <w:b w:val="false"/>
                <w:i w:val="false"/>
                <w:caps w:val="false"/>
                <w:smallCaps w:val="false"/>
                <w:color w:val="231F20"/>
                <w:sz w:val="20"/>
              </w:rPr>
              <w:t xml:space="preserve">recordkeeping, reporting, </w:t>
            </w:r>
            <w:r>
              <w:rPr>
                <w:rFonts w:ascii="Times New Roman;Times;serif" w:hAnsi="Times New Roman;Times;serif"/>
                <w:b w:val="false"/>
                <w:i w:val="false"/>
                <w:caps w:val="false"/>
                <w:smallCaps w:val="false"/>
                <w:color w:val="231F20"/>
                <w:spacing w:val="-3"/>
                <w:sz w:val="20"/>
              </w:rPr>
              <w:t xml:space="preserve">storage, </w:t>
            </w:r>
            <w:r>
              <w:rPr>
                <w:rFonts w:ascii="Times New Roman;Times;serif" w:hAnsi="Times New Roman;Times;serif"/>
                <w:b w:val="false"/>
                <w:i w:val="false"/>
                <w:caps w:val="false"/>
                <w:smallCaps w:val="false"/>
                <w:color w:val="231F20"/>
                <w:sz w:val="20"/>
              </w:rPr>
              <w:t xml:space="preserve">distribution, importation, exportation, </w:t>
            </w:r>
            <w:r>
              <w:rPr>
                <w:rFonts w:ascii="Times New Roman;Times;serif" w:hAnsi="Times New Roman;Times;serif"/>
                <w:b w:val="false"/>
                <w:i w:val="false"/>
                <w:caps w:val="false"/>
                <w:smallCaps w:val="false"/>
                <w:color w:val="231F20"/>
                <w:spacing w:val="-3"/>
                <w:sz w:val="20"/>
              </w:rPr>
              <w:t xml:space="preserve">inventory, </w:t>
            </w:r>
            <w:r>
              <w:rPr>
                <w:rFonts w:ascii="Times New Roman;Times;serif" w:hAnsi="Times New Roman;Times;serif"/>
                <w:b w:val="false"/>
                <w:i w:val="false"/>
                <w:caps w:val="false"/>
                <w:smallCaps w:val="false"/>
                <w:color w:val="231F20"/>
                <w:sz w:val="20"/>
              </w:rPr>
              <w:t>quota and other requirements administered</w:t>
            </w:r>
            <w:r>
              <w:rPr>
                <w:caps w:val="false"/>
                <w:smallCaps w:val="false"/>
                <w:color w:val="231F20"/>
                <w:spacing w:val="-41"/>
              </w:rPr>
              <w:t xml:space="preserve"> </w:t>
            </w:r>
            <w:r>
              <w:rPr>
                <w:rFonts w:ascii="Times New Roman;Times;serif" w:hAnsi="Times New Roman;Times;serif"/>
                <w:b w:val="false"/>
                <w:i w:val="false"/>
                <w:caps w:val="false"/>
                <w:smallCaps w:val="false"/>
                <w:color w:val="231F20"/>
                <w:sz w:val="20"/>
              </w:rPr>
              <w:t>by</w:t>
            </w:r>
            <w:r>
              <w:rPr>
                <w:caps w:val="false"/>
                <w:smallCaps w:val="false"/>
                <w:color w:val="231F20"/>
                <w:spacing w:val="-40"/>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41"/>
              </w:rPr>
              <w:t xml:space="preserve"> </w:t>
            </w:r>
            <w:r>
              <w:rPr>
                <w:rFonts w:ascii="Times New Roman;Times;serif" w:hAnsi="Times New Roman;Times;serif"/>
                <w:b w:val="false"/>
                <w:i w:val="false"/>
                <w:caps w:val="false"/>
                <w:smallCaps w:val="false"/>
                <w:color w:val="231F20"/>
                <w:sz w:val="20"/>
              </w:rPr>
              <w:t>DEA,</w:t>
            </w:r>
            <w:r>
              <w:rPr>
                <w:caps w:val="false"/>
                <w:smallCaps w:val="false"/>
                <w:color w:val="231F20"/>
                <w:spacing w:val="-40"/>
              </w:rPr>
              <w:t xml:space="preserve"> </w:t>
            </w:r>
            <w:r>
              <w:rPr>
                <w:rFonts w:ascii="Times New Roman;Times;serif" w:hAnsi="Times New Roman;Times;serif"/>
                <w:b w:val="false"/>
                <w:i w:val="false"/>
                <w:caps w:val="false"/>
                <w:smallCaps w:val="false"/>
                <w:color w:val="231F20"/>
                <w:sz w:val="20"/>
              </w:rPr>
              <w:t>which</w:t>
            </w:r>
            <w:r>
              <w:rPr>
                <w:caps w:val="false"/>
                <w:smallCaps w:val="false"/>
                <w:color w:val="231F20"/>
                <w:spacing w:val="-40"/>
              </w:rPr>
              <w:t xml:space="preserve"> </w:t>
            </w:r>
            <w:r>
              <w:rPr>
                <w:rFonts w:ascii="Times New Roman;Times;serif" w:hAnsi="Times New Roman;Times;serif"/>
                <w:b w:val="false"/>
                <w:i w:val="false"/>
                <w:caps w:val="false"/>
                <w:smallCaps w:val="false"/>
                <w:color w:val="231F20"/>
                <w:sz w:val="20"/>
              </w:rPr>
              <w:t>are</w:t>
            </w:r>
            <w:r>
              <w:rPr>
                <w:caps w:val="false"/>
                <w:smallCaps w:val="false"/>
                <w:color w:val="231F20"/>
                <w:spacing w:val="-41"/>
              </w:rPr>
              <w:t xml:space="preserve"> </w:t>
            </w:r>
            <w:r>
              <w:rPr>
                <w:rFonts w:ascii="Times New Roman;Times;serif" w:hAnsi="Times New Roman;Times;serif"/>
                <w:b w:val="false"/>
                <w:i w:val="false"/>
                <w:caps w:val="false"/>
                <w:smallCaps w:val="false"/>
                <w:color w:val="231F20"/>
                <w:sz w:val="20"/>
              </w:rPr>
              <w:t>directly</w:t>
            </w:r>
            <w:r>
              <w:rPr>
                <w:caps w:val="false"/>
                <w:smallCaps w:val="false"/>
                <w:color w:val="231F20"/>
                <w:spacing w:val="-40"/>
              </w:rPr>
              <w:t xml:space="preserve"> </w:t>
            </w:r>
            <w:r>
              <w:rPr>
                <w:rFonts w:ascii="Times New Roman;Times;serif" w:hAnsi="Times New Roman;Times;serif"/>
                <w:b w:val="false"/>
                <w:i w:val="false"/>
                <w:caps w:val="false"/>
                <w:smallCaps w:val="false"/>
                <w:color w:val="231F20"/>
                <w:sz w:val="20"/>
              </w:rPr>
              <w:t>applicable</w:t>
            </w:r>
            <w:r>
              <w:rPr>
                <w:caps w:val="false"/>
                <w:smallCaps w:val="false"/>
                <w:color w:val="231F20"/>
                <w:spacing w:val="-40"/>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41"/>
              </w:rPr>
              <w:t xml:space="preserve"> </w:t>
            </w:r>
            <w:r>
              <w:rPr>
                <w:rFonts w:ascii="Times New Roman;Times;serif" w:hAnsi="Times New Roman;Times;serif"/>
                <w:b w:val="false"/>
                <w:i w:val="false"/>
                <w:caps w:val="false"/>
                <w:smallCaps w:val="false"/>
                <w:color w:val="231F20"/>
                <w:sz w:val="20"/>
              </w:rPr>
              <w:t>product</w:t>
            </w:r>
            <w:r>
              <w:rPr>
                <w:caps w:val="false"/>
                <w:smallCaps w:val="false"/>
                <w:color w:val="231F20"/>
                <w:spacing w:val="-40"/>
              </w:rPr>
              <w:t xml:space="preserve"> </w:t>
            </w:r>
            <w:r>
              <w:rPr>
                <w:rFonts w:ascii="Times New Roman;Times;serif" w:hAnsi="Times New Roman;Times;serif"/>
                <w:b w:val="false"/>
                <w:i w:val="false"/>
                <w:caps w:val="false"/>
                <w:smallCaps w:val="false"/>
                <w:color w:val="231F20"/>
                <w:sz w:val="20"/>
              </w:rPr>
              <w:t>applicants,</w:t>
            </w:r>
            <w:r>
              <w:rPr>
                <w:caps w:val="false"/>
                <w:smallCaps w:val="false"/>
                <w:color w:val="231F20"/>
                <w:spacing w:val="-40"/>
              </w:rPr>
              <w:t xml:space="preserve"> </w:t>
            </w:r>
            <w:r>
              <w:rPr>
                <w:rFonts w:ascii="Times New Roman;Times;serif" w:hAnsi="Times New Roman;Times;serif"/>
                <w:b w:val="false"/>
                <w:i w:val="false"/>
                <w:caps w:val="false"/>
                <w:smallCaps w:val="false"/>
                <w:color w:val="231F20"/>
                <w:sz w:val="20"/>
              </w:rPr>
              <w:t>contract</w:t>
            </w:r>
            <w:r>
              <w:rPr>
                <w:caps w:val="false"/>
                <w:smallCaps w:val="false"/>
                <w:color w:val="231F20"/>
                <w:spacing w:val="-41"/>
              </w:rPr>
              <w:t xml:space="preserve"> </w:t>
            </w:r>
            <w:r>
              <w:rPr>
                <w:rFonts w:ascii="Times New Roman;Times;serif" w:hAnsi="Times New Roman;Times;serif"/>
                <w:b w:val="false"/>
                <w:i w:val="false"/>
                <w:caps w:val="false"/>
                <w:smallCaps w:val="false"/>
                <w:color w:val="231F20"/>
                <w:sz w:val="20"/>
              </w:rPr>
              <w:t>manufacturers, distributors, prescribers and dispensers of controlled</w:t>
            </w:r>
            <w:r>
              <w:rPr>
                <w:caps w:val="false"/>
                <w:smallCaps w:val="false"/>
                <w:color w:val="231F20"/>
                <w:spacing w:val="-37"/>
              </w:rPr>
              <w:t xml:space="preserve"> </w:t>
            </w:r>
            <w:r>
              <w:rPr>
                <w:rFonts w:ascii="Times New Roman;Times;serif" w:hAnsi="Times New Roman;Times;serif"/>
                <w:b w:val="false"/>
                <w:i w:val="false"/>
                <w:caps w:val="false"/>
                <w:smallCaps w:val="false"/>
                <w:color w:val="231F20"/>
                <w:sz w:val="20"/>
              </w:rPr>
              <w:t>substances; 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DEA regulates the handling of controlled substances through a closed chain of distribution. This control extends to the equipment and </w:t>
            </w:r>
            <w:r>
              <w:rPr>
                <w:rFonts w:ascii="Times New Roman;Times;serif" w:hAnsi="Times New Roman;Times;serif"/>
                <w:b w:val="false"/>
                <w:i w:val="false"/>
                <w:caps w:val="false"/>
                <w:smallCaps w:val="false"/>
                <w:color w:val="231F20"/>
                <w:spacing w:val="-5"/>
                <w:sz w:val="20"/>
              </w:rPr>
              <w:t xml:space="preserve">raw </w:t>
            </w:r>
            <w:r>
              <w:rPr>
                <w:rFonts w:ascii="Times New Roman;Times;serif" w:hAnsi="Times New Roman;Times;serif"/>
                <w:b w:val="false"/>
                <w:i w:val="false"/>
                <w:caps w:val="false"/>
                <w:smallCaps w:val="false"/>
                <w:color w:val="231F20"/>
                <w:sz w:val="20"/>
              </w:rPr>
              <w:t xml:space="preserve">materials used in their manufacture and packaging in order to prevent loss and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diversion into illicit channels of commerce, which limits our ability to increase the </w:t>
            </w:r>
            <w:r>
              <w:rPr>
                <w:rFonts w:ascii="Times New Roman;Times;serif" w:hAnsi="Times New Roman;Times;serif"/>
                <w:b w:val="false"/>
                <w:i w:val="false"/>
                <w:caps w:val="false"/>
                <w:smallCaps w:val="false"/>
                <w:color w:val="231F20"/>
                <w:spacing w:val="-3"/>
                <w:sz w:val="20"/>
              </w:rPr>
              <w:t xml:space="preserve">availability </w:t>
            </w:r>
            <w:r>
              <w:rPr>
                <w:rFonts w:ascii="Times New Roman;Times;serif" w:hAnsi="Times New Roman;Times;serif"/>
                <w:b w:val="false"/>
                <w:i w:val="false"/>
                <w:caps w:val="false"/>
                <w:smallCaps w:val="false"/>
                <w:color w:val="231F20"/>
                <w:sz w:val="20"/>
              </w:rPr>
              <w:t xml:space="preserve">of </w:t>
            </w:r>
            <w:r>
              <w:rPr>
                <w:rFonts w:ascii="Times New Roman;Times;serif" w:hAnsi="Times New Roman;Times;serif"/>
                <w:b w:val="false"/>
                <w:i w:val="false"/>
                <w:caps w:val="false"/>
                <w:smallCaps w:val="false"/>
                <w:color w:val="231F20"/>
                <w:spacing w:val="-3"/>
                <w:sz w:val="20"/>
              </w:rPr>
              <w:t xml:space="preserve">any </w:t>
            </w:r>
            <w:r>
              <w:rPr>
                <w:rFonts w:ascii="Times New Roman;Times;serif" w:hAnsi="Times New Roman;Times;serif"/>
                <w:b w:val="false"/>
                <w:i w:val="false"/>
                <w:caps w:val="false"/>
                <w:smallCaps w:val="false"/>
                <w:color w:val="231F20"/>
                <w:sz w:val="20"/>
              </w:rPr>
              <w:t xml:space="preserve">controlled substances needed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clinical trials or commercial manufacturing.</w:t>
            </w:r>
          </w:p>
        </w:tc>
      </w:tr>
    </w:tbl>
    <w:p>
      <w:pPr>
        <w:pStyle w:val="TextBody"/>
        <w:spacing w:before="110"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Annual </w:t>
      </w:r>
      <w:r>
        <w:rPr>
          <w:rFonts w:ascii="Times New Roman;Times;serif" w:hAnsi="Times New Roman;Times;serif"/>
          <w:color w:val="231F20"/>
          <w:sz w:val="20"/>
        </w:rPr>
        <w:t xml:space="preserve">registration is required </w:t>
      </w:r>
      <w:r>
        <w:rPr>
          <w:rFonts w:ascii="Times New Roman;Times;serif" w:hAnsi="Times New Roman;Times;serif"/>
          <w:color w:val="231F20"/>
          <w:spacing w:val="-3"/>
          <w:sz w:val="20"/>
        </w:rPr>
        <w:t xml:space="preserve">for any </w:t>
      </w:r>
      <w:r>
        <w:rPr>
          <w:rFonts w:ascii="Times New Roman;Times;serif" w:hAnsi="Times New Roman;Times;serif"/>
          <w:color w:val="231F20"/>
          <w:sz w:val="20"/>
        </w:rPr>
        <w:t xml:space="preserve">facility that manufactures, distributes, dispenses, imports or exports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controlled substance. The registration is specific to the particular location, activity and controlled substance schedule. </w:t>
      </w:r>
      <w:r>
        <w:rPr>
          <w:rFonts w:ascii="Times New Roman;Times;serif" w:hAnsi="Times New Roman;Times;serif"/>
          <w:color w:val="231F20"/>
          <w:spacing w:val="-6"/>
          <w:sz w:val="20"/>
        </w:rPr>
        <w:t xml:space="preserve">For </w:t>
      </w:r>
      <w:r>
        <w:rPr>
          <w:rFonts w:ascii="Times New Roman;Times;serif" w:hAnsi="Times New Roman;Times;serif"/>
          <w:color w:val="231F20"/>
          <w:sz w:val="20"/>
        </w:rPr>
        <w:t xml:space="preserve">example, separate registrations are needed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import and manufacturing, and each registration will specify which schedules of controlled substances are authorized. Similarly, separate registrations are also required for separate facilities.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There are substantial penalties for failing to comply with DEA regulations.</w:t>
      </w:r>
    </w:p>
    <w:p>
      <w:pPr>
        <w:pStyle w:val="TextBody"/>
        <w:spacing w:before="137"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 DEA typically inspects a facility to review its security measures prior to issuing a registration and on a periodic </w:t>
      </w:r>
      <w:r>
        <w:rPr>
          <w:rFonts w:ascii="Times New Roman;Times;serif" w:hAnsi="Times New Roman;Times;serif"/>
          <w:color w:val="231F20"/>
          <w:spacing w:val="-3"/>
          <w:sz w:val="20"/>
        </w:rPr>
        <w:t xml:space="preserve">basis. </w:t>
      </w:r>
      <w:r>
        <w:rPr>
          <w:rFonts w:ascii="Times New Roman;Times;serif" w:hAnsi="Times New Roman;Times;serif"/>
          <w:color w:val="231F20"/>
          <w:sz w:val="20"/>
        </w:rPr>
        <w:t xml:space="preserve">Security requirements vary by controlled substance schedule, with the most stringent requirements applying to Schedule I and Schedule II substances.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records must be maintained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the</w:t>
      </w:r>
      <w:r>
        <w:rPr>
          <w:rFonts w:ascii="Times New Roman;Times;serif" w:hAnsi="Times New Roman;Times;serif"/>
          <w:color w:val="231F20"/>
          <w:spacing w:val="-6"/>
          <w:sz w:val="20"/>
        </w:rPr>
        <w:t xml:space="preserve"> </w:t>
      </w:r>
      <w:r>
        <w:rPr>
          <w:rFonts w:ascii="Times New Roman;Times;serif" w:hAnsi="Times New Roman;Times;serif"/>
          <w:color w:val="231F20"/>
          <w:sz w:val="20"/>
        </w:rPr>
        <w:t>handling</w:t>
      </w:r>
      <w:r>
        <w:rPr>
          <w:rFonts w:ascii="Times New Roman;Times;serif" w:hAnsi="Times New Roman;Times;serif"/>
          <w:color w:val="231F20"/>
          <w:spacing w:val="-5"/>
          <w:sz w:val="20"/>
        </w:rPr>
        <w:t xml:space="preserve"> </w:t>
      </w:r>
      <w:r>
        <w:rPr>
          <w:rFonts w:ascii="Times New Roman;Times;serif" w:hAnsi="Times New Roman;Times;serif"/>
          <w:color w:val="231F20"/>
          <w:sz w:val="20"/>
        </w:rPr>
        <w:t>of</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all</w:t>
      </w:r>
      <w:r>
        <w:rPr>
          <w:rFonts w:ascii="Times New Roman;Times;serif" w:hAnsi="Times New Roman;Times;serif"/>
          <w:color w:val="231F20"/>
          <w:spacing w:val="-5"/>
          <w:sz w:val="20"/>
        </w:rPr>
        <w:t xml:space="preserve"> </w:t>
      </w:r>
      <w:r>
        <w:rPr>
          <w:rFonts w:ascii="Times New Roman;Times;serif" w:hAnsi="Times New Roman;Times;serif"/>
          <w:color w:val="231F20"/>
          <w:sz w:val="20"/>
        </w:rPr>
        <w:t>controlled</w:t>
      </w:r>
      <w:r>
        <w:rPr>
          <w:rFonts w:ascii="Times New Roman;Times;serif" w:hAnsi="Times New Roman;Times;serif"/>
          <w:color w:val="231F20"/>
          <w:spacing w:val="-5"/>
          <w:sz w:val="20"/>
        </w:rPr>
        <w:t xml:space="preserve"> </w:t>
      </w:r>
      <w:r>
        <w:rPr>
          <w:rFonts w:ascii="Times New Roman;Times;serif" w:hAnsi="Times New Roman;Times;serif"/>
          <w:color w:val="231F20"/>
          <w:sz w:val="20"/>
        </w:rPr>
        <w:t>substances,</w:t>
      </w:r>
      <w:r>
        <w:rPr>
          <w:rFonts w:ascii="Times New Roman;Times;serif" w:hAnsi="Times New Roman;Times;serif"/>
          <w:color w:val="231F20"/>
          <w:spacing w:val="-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5"/>
          <w:sz w:val="20"/>
        </w:rPr>
        <w:t xml:space="preserve"> </w:t>
      </w:r>
      <w:r>
        <w:rPr>
          <w:rFonts w:ascii="Times New Roman;Times;serif" w:hAnsi="Times New Roman;Times;serif"/>
          <w:color w:val="231F20"/>
          <w:sz w:val="20"/>
        </w:rPr>
        <w:t>periodic</w:t>
      </w:r>
      <w:r>
        <w:rPr>
          <w:rFonts w:ascii="Times New Roman;Times;serif" w:hAnsi="Times New Roman;Times;serif"/>
          <w:color w:val="231F20"/>
          <w:spacing w:val="-5"/>
          <w:sz w:val="20"/>
        </w:rPr>
        <w:t xml:space="preserve"> </w:t>
      </w:r>
      <w:r>
        <w:rPr>
          <w:rFonts w:ascii="Times New Roman;Times;serif" w:hAnsi="Times New Roman;Times;serif"/>
          <w:color w:val="231F20"/>
          <w:sz w:val="20"/>
        </w:rPr>
        <w:t>reports</w:t>
      </w:r>
      <w:r>
        <w:rPr>
          <w:rFonts w:ascii="Times New Roman;Times;serif" w:hAnsi="Times New Roman;Times;serif"/>
          <w:color w:val="231F20"/>
          <w:spacing w:val="-5"/>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6"/>
          <w:sz w:val="20"/>
        </w:rPr>
        <w:t xml:space="preserve"> </w:t>
      </w:r>
      <w:r>
        <w:rPr>
          <w:rFonts w:ascii="Times New Roman;Times;serif" w:hAnsi="Times New Roman;Times;serif"/>
          <w:color w:val="231F20"/>
          <w:sz w:val="20"/>
        </w:rPr>
        <w:t>be</w:t>
      </w:r>
      <w:r>
        <w:rPr>
          <w:rFonts w:ascii="Times New Roman;Times;serif" w:hAnsi="Times New Roman;Times;serif"/>
          <w:color w:val="231F20"/>
          <w:spacing w:val="-5"/>
          <w:sz w:val="20"/>
        </w:rPr>
        <w:t xml:space="preserve"> </w:t>
      </w:r>
      <w:r>
        <w:rPr>
          <w:rFonts w:ascii="Times New Roman;Times;serif" w:hAnsi="Times New Roman;Times;serif"/>
          <w:color w:val="231F20"/>
          <w:sz w:val="20"/>
        </w:rPr>
        <w:t>required</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be</w:t>
      </w:r>
      <w:r>
        <w:rPr>
          <w:rFonts w:ascii="Times New Roman;Times;serif" w:hAnsi="Times New Roman;Times;serif"/>
          <w:color w:val="231F20"/>
          <w:spacing w:val="-5"/>
          <w:sz w:val="20"/>
        </w:rPr>
        <w:t xml:space="preserve"> </w:t>
      </w:r>
      <w:r>
        <w:rPr>
          <w:rFonts w:ascii="Times New Roman;Times;serif" w:hAnsi="Times New Roman;Times;serif"/>
          <w:color w:val="231F20"/>
          <w:sz w:val="20"/>
        </w:rPr>
        <w:t>made</w:t>
      </w:r>
      <w:r>
        <w:rPr>
          <w:rFonts w:ascii="Times New Roman;Times;serif" w:hAnsi="Times New Roman;Times;serif"/>
          <w:color w:val="231F20"/>
          <w:spacing w:val="-5"/>
          <w:sz w:val="20"/>
        </w:rPr>
        <w:t xml:space="preserve"> </w:t>
      </w:r>
      <w:r>
        <w:rPr>
          <w:rFonts w:ascii="Times New Roman;Times;serif" w:hAnsi="Times New Roman;Times;serif"/>
          <w:color w:val="231F20"/>
          <w:sz w:val="20"/>
        </w:rPr>
        <w:t>to</w:t>
      </w:r>
      <w:r>
        <w:rPr>
          <w:rFonts w:ascii="Times New Roman;Times;serif" w:hAnsi="Times New Roman;Times;serif"/>
          <w:color w:val="231F20"/>
          <w:spacing w:val="-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5"/>
          <w:sz w:val="20"/>
        </w:rPr>
        <w:t xml:space="preserve"> </w:t>
      </w:r>
      <w:r>
        <w:rPr>
          <w:rFonts w:ascii="Times New Roman;Times;serif" w:hAnsi="Times New Roman;Times;serif"/>
          <w:color w:val="231F20"/>
          <w:sz w:val="20"/>
        </w:rPr>
        <w:t>DEA</w:t>
      </w:r>
      <w:r>
        <w:rPr>
          <w:rFonts w:ascii="Times New Roman;Times;serif" w:hAnsi="Times New Roman;Times;serif"/>
          <w:color w:val="231F20"/>
          <w:spacing w:val="-5"/>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5"/>
          <w:sz w:val="20"/>
        </w:rPr>
        <w:t xml:space="preserve"> </w:t>
      </w:r>
      <w:r>
        <w:rPr>
          <w:rFonts w:ascii="Times New Roman;Times;serif" w:hAnsi="Times New Roman;Times;serif"/>
          <w:color w:val="231F20"/>
          <w:sz w:val="20"/>
        </w:rPr>
        <w:t xml:space="preserve">the distribution of certain controlled substances. Reports must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be made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thefts or significant losses of </w:t>
      </w:r>
      <w:r>
        <w:rPr>
          <w:rFonts w:ascii="Times New Roman;Times;serif" w:hAnsi="Times New Roman;Times;serif"/>
          <w:color w:val="231F20"/>
          <w:spacing w:val="-3"/>
          <w:sz w:val="20"/>
        </w:rPr>
        <w:t>any</w:t>
      </w:r>
      <w:r>
        <w:rPr>
          <w:rFonts w:ascii="Times New Roman;Times;serif" w:hAnsi="Times New Roman;Times;serif"/>
          <w:color w:val="231F20"/>
          <w:spacing w:val="-9"/>
          <w:sz w:val="20"/>
        </w:rPr>
        <w:t xml:space="preserve"> </w:t>
      </w:r>
      <w:r>
        <w:rPr>
          <w:rFonts w:ascii="Times New Roman;Times;serif" w:hAnsi="Times New Roman;Times;serif"/>
          <w:color w:val="231F20"/>
          <w:sz w:val="20"/>
        </w:rPr>
        <w:t>controlled</w:t>
      </w:r>
      <w:r>
        <w:rPr>
          <w:rFonts w:ascii="Times New Roman;Times;serif" w:hAnsi="Times New Roman;Times;serif"/>
          <w:color w:val="231F20"/>
          <w:spacing w:val="-9"/>
          <w:sz w:val="20"/>
        </w:rPr>
        <w:t xml:space="preserve"> </w:t>
      </w:r>
      <w:r>
        <w:rPr>
          <w:rFonts w:ascii="Times New Roman;Times;serif" w:hAnsi="Times New Roman;Times;serif"/>
          <w:color w:val="231F20"/>
          <w:sz w:val="20"/>
        </w:rPr>
        <w:t>substance.</w:t>
      </w:r>
      <w:r>
        <w:rPr>
          <w:rFonts w:ascii="Times New Roman;Times;serif" w:hAnsi="Times New Roman;Times;serif"/>
          <w:color w:val="231F20"/>
          <w:spacing w:val="-9"/>
          <w:sz w:val="20"/>
        </w:rPr>
        <w:t xml:space="preserve"> </w:t>
      </w:r>
      <w:r>
        <w:rPr>
          <w:rFonts w:ascii="Times New Roman;Times;serif" w:hAnsi="Times New Roman;Times;serif"/>
          <w:color w:val="231F20"/>
          <w:spacing w:val="-11"/>
          <w:sz w:val="20"/>
        </w:rPr>
        <w:t>To</w:t>
      </w:r>
      <w:r>
        <w:rPr>
          <w:rFonts w:ascii="Times New Roman;Times;serif" w:hAnsi="Times New Roman;Times;serif"/>
          <w:color w:val="231F20"/>
          <w:spacing w:val="-9"/>
          <w:sz w:val="20"/>
        </w:rPr>
        <w:t xml:space="preserve"> </w:t>
      </w:r>
      <w:r>
        <w:rPr>
          <w:rFonts w:ascii="Times New Roman;Times;serif" w:hAnsi="Times New Roman;Times;serif"/>
          <w:color w:val="231F20"/>
          <w:sz w:val="20"/>
        </w:rPr>
        <w:t>enforce</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these</w:t>
      </w:r>
      <w:r>
        <w:rPr>
          <w:rFonts w:ascii="Times New Roman;Times;serif" w:hAnsi="Times New Roman;Times;serif"/>
          <w:color w:val="231F20"/>
          <w:spacing w:val="-9"/>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DEA</w:t>
      </w:r>
      <w:r>
        <w:rPr>
          <w:rFonts w:ascii="Times New Roman;Times;serif" w:hAnsi="Times New Roman;Times;serif"/>
          <w:color w:val="231F20"/>
          <w:spacing w:val="-9"/>
          <w:sz w:val="20"/>
        </w:rPr>
        <w:t xml:space="preserve"> </w:t>
      </w:r>
      <w:r>
        <w:rPr>
          <w:rFonts w:ascii="Times New Roman;Times;serif" w:hAnsi="Times New Roman;Times;serif"/>
          <w:color w:val="231F20"/>
          <w:sz w:val="20"/>
        </w:rPr>
        <w:t>conducts</w:t>
      </w:r>
      <w:r>
        <w:rPr>
          <w:rFonts w:ascii="Times New Roman;Times;serif" w:hAnsi="Times New Roman;Times;serif"/>
          <w:color w:val="231F20"/>
          <w:spacing w:val="-9"/>
          <w:sz w:val="20"/>
        </w:rPr>
        <w:t xml:space="preserve"> </w:t>
      </w:r>
      <w:r>
        <w:rPr>
          <w:rFonts w:ascii="Times New Roman;Times;serif" w:hAnsi="Times New Roman;Times;serif"/>
          <w:color w:val="231F20"/>
          <w:sz w:val="20"/>
        </w:rPr>
        <w:t>periodic</w:t>
      </w:r>
      <w:r>
        <w:rPr>
          <w:rFonts w:ascii="Times New Roman;Times;serif" w:hAnsi="Times New Roman;Times;serif"/>
          <w:color w:val="231F20"/>
          <w:spacing w:val="-9"/>
          <w:sz w:val="20"/>
        </w:rPr>
        <w:t xml:space="preserve"> </w:t>
      </w:r>
      <w:r>
        <w:rPr>
          <w:rFonts w:ascii="Times New Roman;Times;serif" w:hAnsi="Times New Roman;Times;serif"/>
          <w:color w:val="231F20"/>
          <w:sz w:val="20"/>
        </w:rPr>
        <w:t>inspections</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 xml:space="preserve">registered establishments that handle controlled substances. </w:t>
      </w:r>
      <w:r>
        <w:rPr>
          <w:rFonts w:ascii="Times New Roman;Times;serif" w:hAnsi="Times New Roman;Times;serif"/>
          <w:color w:val="231F20"/>
          <w:spacing w:val="-3"/>
          <w:sz w:val="20"/>
        </w:rPr>
        <w:t xml:space="preserve">Failure </w:t>
      </w:r>
      <w:r>
        <w:rPr>
          <w:rFonts w:ascii="Times New Roman;Times;serif" w:hAnsi="Times New Roman;Times;serif"/>
          <w:color w:val="231F20"/>
          <w:sz w:val="20"/>
        </w:rPr>
        <w:t xml:space="preserve">to maintain compliance with applicable requirements, particularly as manifested in loss or diversion, can result in administrative, civil or criminal enforcement. The DEA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seek civil penalties, refuse to renew necessary registrations, or initiate administrative proceedings to </w:t>
      </w:r>
      <w:r>
        <w:rPr>
          <w:rFonts w:ascii="Times New Roman;Times;serif" w:hAnsi="Times New Roman;Times;serif"/>
          <w:color w:val="231F20"/>
          <w:spacing w:val="-4"/>
          <w:sz w:val="20"/>
        </w:rPr>
        <w:t xml:space="preserve">revoke </w:t>
      </w:r>
      <w:r>
        <w:rPr>
          <w:rFonts w:ascii="Times New Roman;Times;serif" w:hAnsi="Times New Roman;Times;serif"/>
          <w:color w:val="231F20"/>
          <w:sz w:val="20"/>
        </w:rPr>
        <w:t>those registrations. In some circumstances, violations could result in criminal</w:t>
      </w:r>
      <w:r>
        <w:rPr>
          <w:rFonts w:ascii="Times New Roman;Times;serif" w:hAnsi="Times New Roman;Times;serif"/>
          <w:color w:val="231F20"/>
          <w:spacing w:val="-6"/>
          <w:sz w:val="20"/>
        </w:rPr>
        <w:t xml:space="preserve"> </w:t>
      </w:r>
      <w:r>
        <w:rPr>
          <w:rFonts w:ascii="Times New Roman;Times;serif" w:hAnsi="Times New Roman;Times;serif"/>
          <w:color w:val="231F20"/>
          <w:sz w:val="20"/>
        </w:rPr>
        <w:t>proceedings</w:t>
      </w:r>
      <w:r>
        <w:rPr>
          <w:rFonts w:ascii="Times New Roman;Times;serif" w:hAnsi="Times New Roman;Times;serif"/>
          <w:color w:val="231F20"/>
          <w:spacing w:val="-5"/>
          <w:sz w:val="20"/>
        </w:rPr>
        <w:t xml:space="preserve"> </w:t>
      </w:r>
      <w:r>
        <w:rPr>
          <w:rFonts w:ascii="Times New Roman;Times;serif" w:hAnsi="Times New Roman;Times;serif"/>
          <w:color w:val="231F20"/>
          <w:sz w:val="20"/>
        </w:rPr>
        <w:t>or</w:t>
      </w:r>
      <w:r>
        <w:rPr>
          <w:rFonts w:ascii="Times New Roman;Times;serif" w:hAnsi="Times New Roman;Times;serif"/>
          <w:color w:val="231F20"/>
          <w:spacing w:val="-5"/>
          <w:sz w:val="20"/>
        </w:rPr>
        <w:t xml:space="preserve"> </w:t>
      </w:r>
      <w:r>
        <w:rPr>
          <w:rFonts w:ascii="Times New Roman;Times;serif" w:hAnsi="Times New Roman;Times;serif"/>
          <w:color w:val="231F20"/>
          <w:sz w:val="20"/>
        </w:rPr>
        <w:t>consent</w:t>
      </w:r>
      <w:r>
        <w:rPr>
          <w:rFonts w:ascii="Times New Roman;Times;serif" w:hAnsi="Times New Roman;Times;serif"/>
          <w:color w:val="231F20"/>
          <w:spacing w:val="-5"/>
          <w:sz w:val="20"/>
        </w:rPr>
        <w:t xml:space="preserve"> </w:t>
      </w:r>
      <w:r>
        <w:rPr>
          <w:rFonts w:ascii="Times New Roman;Times;serif" w:hAnsi="Times New Roman;Times;serif"/>
          <w:color w:val="231F20"/>
          <w:sz w:val="20"/>
        </w:rPr>
        <w:t>decrees.</w:t>
      </w:r>
      <w:r>
        <w:rPr>
          <w:rFonts w:ascii="Times New Roman;Times;serif" w:hAnsi="Times New Roman;Times;serif"/>
          <w:color w:val="231F20"/>
          <w:spacing w:val="-5"/>
          <w:sz w:val="20"/>
        </w:rPr>
        <w:t xml:space="preserve"> </w:t>
      </w:r>
      <w:r>
        <w:rPr>
          <w:rFonts w:ascii="Times New Roman;Times;serif" w:hAnsi="Times New Roman;Times;serif"/>
          <w:color w:val="231F20"/>
          <w:sz w:val="20"/>
        </w:rPr>
        <w:t>Individual</w:t>
      </w:r>
      <w:r>
        <w:rPr>
          <w:rFonts w:ascii="Times New Roman;Times;serif" w:hAnsi="Times New Roman;Times;serif"/>
          <w:color w:val="231F20"/>
          <w:spacing w:val="-5"/>
          <w:sz w:val="20"/>
        </w:rPr>
        <w:t xml:space="preserve"> </w:t>
      </w:r>
      <w:r>
        <w:rPr>
          <w:rFonts w:ascii="Times New Roman;Times;serif" w:hAnsi="Times New Roman;Times;serif"/>
          <w:color w:val="231F20"/>
          <w:sz w:val="20"/>
        </w:rPr>
        <w:t>states</w:t>
      </w:r>
      <w:r>
        <w:rPr>
          <w:rFonts w:ascii="Times New Roman;Times;serif" w:hAnsi="Times New Roman;Times;serif"/>
          <w:color w:val="231F20"/>
          <w:spacing w:val="-5"/>
          <w:sz w:val="20"/>
        </w:rPr>
        <w:t xml:space="preserve"> </w:t>
      </w:r>
      <w:r>
        <w:rPr>
          <w:rFonts w:ascii="Times New Roman;Times;serif" w:hAnsi="Times New Roman;Times;serif"/>
          <w:color w:val="231F20"/>
          <w:spacing w:val="-3"/>
          <w:sz w:val="20"/>
        </w:rPr>
        <w:t>also</w:t>
      </w:r>
      <w:r>
        <w:rPr>
          <w:rFonts w:ascii="Times New Roman;Times;serif" w:hAnsi="Times New Roman;Times;serif"/>
          <w:color w:val="231F20"/>
          <w:spacing w:val="-5"/>
          <w:sz w:val="20"/>
        </w:rPr>
        <w:t xml:space="preserve"> </w:t>
      </w:r>
      <w:r>
        <w:rPr>
          <w:rFonts w:ascii="Times New Roman;Times;serif" w:hAnsi="Times New Roman;Times;serif"/>
          <w:color w:val="231F20"/>
          <w:sz w:val="20"/>
        </w:rPr>
        <w:t>independently</w:t>
      </w:r>
      <w:r>
        <w:rPr>
          <w:rFonts w:ascii="Times New Roman;Times;serif" w:hAnsi="Times New Roman;Times;serif"/>
          <w:color w:val="231F20"/>
          <w:spacing w:val="-5"/>
          <w:sz w:val="20"/>
        </w:rPr>
        <w:t xml:space="preserve"> </w:t>
      </w:r>
      <w:r>
        <w:rPr>
          <w:rFonts w:ascii="Times New Roman;Times;serif" w:hAnsi="Times New Roman;Times;serif"/>
          <w:color w:val="231F20"/>
          <w:sz w:val="20"/>
        </w:rPr>
        <w:t>regulate</w:t>
      </w:r>
      <w:r>
        <w:rPr>
          <w:rFonts w:ascii="Times New Roman;Times;serif" w:hAnsi="Times New Roman;Times;serif"/>
          <w:color w:val="231F20"/>
          <w:spacing w:val="-6"/>
          <w:sz w:val="20"/>
        </w:rPr>
        <w:t xml:space="preserve"> </w:t>
      </w:r>
      <w:r>
        <w:rPr>
          <w:rFonts w:ascii="Times New Roman;Times;serif" w:hAnsi="Times New Roman;Times;serif"/>
          <w:color w:val="231F20"/>
          <w:sz w:val="20"/>
        </w:rPr>
        <w:t>controlled</w:t>
      </w:r>
      <w:r>
        <w:rPr>
          <w:rFonts w:ascii="Times New Roman;Times;serif" w:hAnsi="Times New Roman;Times;serif"/>
          <w:color w:val="231F20"/>
          <w:spacing w:val="-5"/>
          <w:sz w:val="20"/>
        </w:rPr>
        <w:t xml:space="preserve"> </w:t>
      </w:r>
      <w:r>
        <w:rPr>
          <w:rFonts w:ascii="Times New Roman;Times;serif" w:hAnsi="Times New Roman;Times;serif"/>
          <w:color w:val="231F20"/>
          <w:sz w:val="20"/>
        </w:rPr>
        <w:t>substances.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There are limitations on the availability of controlled substances used in NRX-100 that may limit the availability of the active ingredients for this drug product.</w:t>
      </w:r>
    </w:p>
    <w:p>
      <w:pPr>
        <w:pStyle w:val="TextBody"/>
        <w:spacing w:before="13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DEA limits the availability and production of all scheduled substances, including ketamine, through a quota system. The DEA requires substantial evidence and documentation of expected legitimate medical and scientific needs before assigning quotas to manufacturers. In future years, we may need greater amounts of controlled substances to sustain our Phase IIb/III development program for NRX-101 after stabilization with NRX-100, and we will need significantly greater amounts to implement our commercialization plans if the FDA approves our proposed formulations. Any delay or refusal by the DEA in establishing the procurement quota or a reduction in our quota for scheduled controlled substances or a failure to increase it over time as we anticipate could delay or stop the clinical development or commercial sale of some of our products or product candidates. This could have a material adverse effect on our business, results of operations, financial condition and prospects.</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may not be able to demonstrate the reduced risk we believe is applicable.</w:t>
      </w:r>
    </w:p>
    <w:p>
      <w:pPr>
        <w:pStyle w:val="TextBody"/>
        <w:spacing w:lineRule="auto" w:line="290" w:before="171"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Schedule III drugs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lower </w:t>
      </w:r>
      <w:r>
        <w:rPr>
          <w:rFonts w:ascii="Times New Roman;Times;serif" w:hAnsi="Times New Roman;Times;serif"/>
          <w:color w:val="231F20"/>
          <w:spacing w:val="-3"/>
          <w:sz w:val="20"/>
        </w:rPr>
        <w:t xml:space="preserve">abuse </w:t>
      </w:r>
      <w:r>
        <w:rPr>
          <w:rFonts w:ascii="Times New Roman;Times;serif" w:hAnsi="Times New Roman;Times;serif"/>
          <w:color w:val="231F20"/>
          <w:sz w:val="20"/>
        </w:rPr>
        <w:t xml:space="preserve">potential than Schedule I and II </w:t>
      </w:r>
      <w:r>
        <w:rPr>
          <w:rFonts w:ascii="Times New Roman;Times;serif" w:hAnsi="Times New Roman;Times;serif"/>
          <w:color w:val="231F20"/>
          <w:spacing w:val="-3"/>
          <w:sz w:val="20"/>
        </w:rPr>
        <w:t xml:space="preserve">drugs.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despite the foregoing reduced risk of </w:t>
      </w:r>
      <w:r>
        <w:rPr>
          <w:rFonts w:ascii="Times New Roman;Times;serif" w:hAnsi="Times New Roman;Times;serif"/>
          <w:color w:val="231F20"/>
          <w:spacing w:val="-3"/>
          <w:sz w:val="20"/>
        </w:rPr>
        <w:t xml:space="preserve">abuse </w:t>
      </w:r>
      <w:r>
        <w:rPr>
          <w:rFonts w:ascii="Times New Roman;Times;serif" w:hAnsi="Times New Roman;Times;serif"/>
          <w:color w:val="231F20"/>
          <w:sz w:val="20"/>
        </w:rPr>
        <w:t>from Schedule III drugs, when compared to Schedule II drugs, there is no assurance</w:t>
      </w:r>
      <w:r>
        <w:rPr>
          <w:rFonts w:ascii="Times New Roman;Times;serif" w:hAnsi="Times New Roman;Times;serif"/>
          <w:color w:val="231F20"/>
          <w:spacing w:val="-7"/>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6"/>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7"/>
          <w:sz w:val="20"/>
        </w:rPr>
        <w:t xml:space="preserve"> </w:t>
      </w:r>
      <w:r>
        <w:rPr>
          <w:rFonts w:ascii="Times New Roman;Times;serif" w:hAnsi="Times New Roman;Times;serif"/>
          <w:color w:val="231F20"/>
          <w:sz w:val="20"/>
        </w:rPr>
        <w:t>reduced</w:t>
      </w:r>
      <w:r>
        <w:rPr>
          <w:rFonts w:ascii="Times New Roman;Times;serif" w:hAnsi="Times New Roman;Times;serif"/>
          <w:color w:val="231F20"/>
          <w:spacing w:val="-6"/>
          <w:sz w:val="20"/>
        </w:rPr>
        <w:t xml:space="preserve"> </w:t>
      </w:r>
      <w:r>
        <w:rPr>
          <w:rFonts w:ascii="Times New Roman;Times;serif" w:hAnsi="Times New Roman;Times;serif"/>
          <w:color w:val="231F20"/>
          <w:sz w:val="20"/>
        </w:rPr>
        <w:t>risk</w:t>
      </w:r>
      <w:r>
        <w:rPr>
          <w:rFonts w:ascii="Times New Roman;Times;serif" w:hAnsi="Times New Roman;Times;serif"/>
          <w:color w:val="231F20"/>
          <w:spacing w:val="-6"/>
          <w:sz w:val="20"/>
        </w:rPr>
        <w:t xml:space="preserve"> </w:t>
      </w:r>
      <w:r>
        <w:rPr>
          <w:rFonts w:ascii="Times New Roman;Times;serif" w:hAnsi="Times New Roman;Times;serif"/>
          <w:color w:val="231F20"/>
          <w:sz w:val="20"/>
        </w:rPr>
        <w:t>can</w:t>
      </w:r>
      <w:r>
        <w:rPr>
          <w:rFonts w:ascii="Times New Roman;Times;serif" w:hAnsi="Times New Roman;Times;serif"/>
          <w:color w:val="231F20"/>
          <w:spacing w:val="-7"/>
          <w:sz w:val="20"/>
        </w:rPr>
        <w:t xml:space="preserve"> </w:t>
      </w:r>
      <w:r>
        <w:rPr>
          <w:rFonts w:ascii="Times New Roman;Times;serif" w:hAnsi="Times New Roman;Times;serif"/>
          <w:color w:val="231F20"/>
          <w:sz w:val="20"/>
        </w:rPr>
        <w:t>be</w:t>
      </w:r>
      <w:r>
        <w:rPr>
          <w:rFonts w:ascii="Times New Roman;Times;serif" w:hAnsi="Times New Roman;Times;serif"/>
          <w:color w:val="231F20"/>
          <w:spacing w:val="-6"/>
          <w:sz w:val="20"/>
        </w:rPr>
        <w:t xml:space="preserve"> </w:t>
      </w:r>
      <w:r>
        <w:rPr>
          <w:rFonts w:ascii="Times New Roman;Times;serif" w:hAnsi="Times New Roman;Times;serif"/>
          <w:color w:val="231F20"/>
          <w:sz w:val="20"/>
        </w:rPr>
        <w:t>demonstrated</w:t>
      </w:r>
      <w:r>
        <w:rPr>
          <w:rFonts w:ascii="Times New Roman;Times;serif" w:hAnsi="Times New Roman;Times;serif"/>
          <w:color w:val="231F20"/>
          <w:spacing w:val="-6"/>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well</w:t>
      </w:r>
      <w:r>
        <w:rPr>
          <w:rFonts w:ascii="Times New Roman;Times;serif" w:hAnsi="Times New Roman;Times;serif"/>
          <w:color w:val="231F20"/>
          <w:spacing w:val="-6"/>
          <w:sz w:val="20"/>
        </w:rPr>
        <w:t xml:space="preserve"> </w:t>
      </w:r>
      <w:r>
        <w:rPr>
          <w:rFonts w:ascii="Times New Roman;Times;serif" w:hAnsi="Times New Roman;Times;serif"/>
          <w:color w:val="231F20"/>
          <w:sz w:val="20"/>
        </w:rPr>
        <w:t>controlled</w:t>
      </w:r>
      <w:r>
        <w:rPr>
          <w:rFonts w:ascii="Times New Roman;Times;serif" w:hAnsi="Times New Roman;Times;serif"/>
          <w:color w:val="231F20"/>
          <w:spacing w:val="-7"/>
          <w:sz w:val="20"/>
        </w:rPr>
        <w:t xml:space="preserve"> </w:t>
      </w:r>
      <w:r>
        <w:rPr>
          <w:rFonts w:ascii="Times New Roman;Times;serif" w:hAnsi="Times New Roman;Times;serif"/>
          <w:color w:val="231F20"/>
          <w:sz w:val="20"/>
        </w:rPr>
        <w:t>non-clinical</w:t>
      </w:r>
      <w:r>
        <w:rPr>
          <w:rFonts w:ascii="Times New Roman;Times;serif" w:hAnsi="Times New Roman;Times;serif"/>
          <w:color w:val="231F20"/>
          <w:spacing w:val="-6"/>
          <w:sz w:val="20"/>
        </w:rPr>
        <w:t xml:space="preserve"> </w:t>
      </w:r>
      <w:r>
        <w:rPr>
          <w:rFonts w:ascii="Times New Roman;Times;serif" w:hAnsi="Times New Roman;Times;serif"/>
          <w:color w:val="231F20"/>
          <w:sz w:val="20"/>
        </w:rPr>
        <w:t>and/or</w:t>
      </w:r>
      <w:r>
        <w:rPr>
          <w:rFonts w:ascii="Times New Roman;Times;serif" w:hAnsi="Times New Roman;Times;serif"/>
          <w:color w:val="231F20"/>
          <w:spacing w:val="-6"/>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7"/>
          <w:sz w:val="20"/>
        </w:rPr>
        <w:t xml:space="preserve"> </w:t>
      </w:r>
      <w:r>
        <w:rPr>
          <w:rFonts w:ascii="Times New Roman;Times;serif" w:hAnsi="Times New Roman;Times;serif"/>
          <w:color w:val="231F20"/>
          <w:sz w:val="20"/>
        </w:rPr>
        <w:t>studies</w:t>
      </w:r>
      <w:r>
        <w:rPr>
          <w:rFonts w:ascii="Times New Roman;Times;serif" w:hAnsi="Times New Roman;Times;serif"/>
          <w:color w:val="231F20"/>
          <w:spacing w:val="-6"/>
          <w:sz w:val="20"/>
        </w:rPr>
        <w:t xml:space="preserve"> </w:t>
      </w:r>
      <w:r>
        <w:rPr>
          <w:rFonts w:ascii="Times New Roman;Times;serif" w:hAnsi="Times New Roman;Times;serif"/>
          <w:color w:val="231F20"/>
          <w:sz w:val="20"/>
        </w:rPr>
        <w:t xml:space="preserve">in models of </w:t>
      </w:r>
      <w:r>
        <w:rPr>
          <w:rFonts w:ascii="Times New Roman;Times;serif" w:hAnsi="Times New Roman;Times;serif"/>
          <w:color w:val="231F20"/>
          <w:spacing w:val="-3"/>
          <w:sz w:val="20"/>
        </w:rPr>
        <w:t xml:space="preserve">physical </w:t>
      </w:r>
      <w:r>
        <w:rPr>
          <w:rFonts w:ascii="Times New Roman;Times;serif" w:hAnsi="Times New Roman;Times;serif"/>
          <w:color w:val="231F20"/>
          <w:sz w:val="20"/>
        </w:rPr>
        <w:t xml:space="preserve">dependence, psychic dependence, addiction or precipitated </w:t>
      </w:r>
      <w:r>
        <w:rPr>
          <w:rFonts w:ascii="Times New Roman;Times;serif" w:hAnsi="Times New Roman;Times;serif"/>
          <w:color w:val="231F20"/>
          <w:spacing w:val="-3"/>
          <w:sz w:val="20"/>
        </w:rPr>
        <w:t xml:space="preserve">withdrawal, </w:t>
      </w:r>
      <w:r>
        <w:rPr>
          <w:rFonts w:ascii="Times New Roman;Times;serif" w:hAnsi="Times New Roman;Times;serif"/>
          <w:color w:val="231F20"/>
          <w:sz w:val="20"/>
        </w:rPr>
        <w:t>or in studies of addiction</w:t>
      </w:r>
      <w:r>
        <w:rPr>
          <w:rFonts w:ascii="Times New Roman;Times;serif" w:hAnsi="Times New Roman;Times;serif"/>
          <w:color w:val="231F20"/>
          <w:spacing w:val="-4"/>
          <w:sz w:val="20"/>
        </w:rPr>
        <w:t xml:space="preserve"> </w:t>
      </w:r>
      <w:r>
        <w:rPr>
          <w:rFonts w:ascii="Times New Roman;Times;serif" w:hAnsi="Times New Roman;Times;serif"/>
          <w:color w:val="231F20"/>
          <w:sz w:val="20"/>
        </w:rPr>
        <w:t>or</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abuse</w:t>
      </w:r>
      <w:r>
        <w:rPr>
          <w:rFonts w:ascii="Times New Roman;Times;serif" w:hAnsi="Times New Roman;Times;serif"/>
          <w:color w:val="231F20"/>
          <w:spacing w:val="-4"/>
          <w:sz w:val="20"/>
        </w:rPr>
        <w:t xml:space="preserve"> </w:t>
      </w:r>
      <w:r>
        <w:rPr>
          <w:rFonts w:ascii="Times New Roman;Times;serif" w:hAnsi="Times New Roman;Times;serif"/>
          <w:color w:val="231F20"/>
          <w:sz w:val="20"/>
        </w:rPr>
        <w:t>liability</w:t>
      </w:r>
      <w:r>
        <w:rPr>
          <w:rFonts w:ascii="Times New Roman;Times;serif" w:hAnsi="Times New Roman;Times;serif"/>
          <w:color w:val="231F20"/>
          <w:spacing w:val="-4"/>
          <w:sz w:val="20"/>
        </w:rPr>
        <w:t xml:space="preserve"> </w:t>
      </w:r>
      <w:r>
        <w:rPr>
          <w:rFonts w:ascii="Times New Roman;Times;serif" w:hAnsi="Times New Roman;Times;serif"/>
          <w:color w:val="231F20"/>
          <w:sz w:val="20"/>
        </w:rPr>
        <w:t>in</w:t>
      </w:r>
      <w:r>
        <w:rPr>
          <w:rFonts w:ascii="Times New Roman;Times;serif" w:hAnsi="Times New Roman;Times;serif"/>
          <w:color w:val="231F20"/>
          <w:spacing w:val="-4"/>
          <w:sz w:val="20"/>
        </w:rPr>
        <w:t xml:space="preserve"> </w:t>
      </w:r>
      <w:r>
        <w:rPr>
          <w:rFonts w:ascii="Times New Roman;Times;serif" w:hAnsi="Times New Roman;Times;serif"/>
          <w:color w:val="231F20"/>
          <w:sz w:val="20"/>
        </w:rPr>
        <w:t>addicts,</w:t>
      </w:r>
      <w:r>
        <w:rPr>
          <w:rFonts w:ascii="Times New Roman;Times;serif" w:hAnsi="Times New Roman;Times;serif"/>
          <w:color w:val="231F20"/>
          <w:spacing w:val="-4"/>
          <w:sz w:val="20"/>
        </w:rPr>
        <w:t xml:space="preserve"> </w:t>
      </w:r>
      <w:r>
        <w:rPr>
          <w:rFonts w:ascii="Times New Roman;Times;serif" w:hAnsi="Times New Roman;Times;serif"/>
          <w:color w:val="231F20"/>
          <w:sz w:val="20"/>
        </w:rPr>
        <w:t>ex-addicts</w:t>
      </w:r>
      <w:r>
        <w:rPr>
          <w:rFonts w:ascii="Times New Roman;Times;serif" w:hAnsi="Times New Roman;Times;serif"/>
          <w:color w:val="231F20"/>
          <w:spacing w:val="-4"/>
          <w:sz w:val="20"/>
        </w:rPr>
        <w:t xml:space="preserve"> </w:t>
      </w:r>
      <w:r>
        <w:rPr>
          <w:rFonts w:ascii="Times New Roman;Times;serif" w:hAnsi="Times New Roman;Times;serif"/>
          <w:color w:val="231F20"/>
          <w:sz w:val="20"/>
        </w:rPr>
        <w:t>or</w:t>
      </w:r>
      <w:r>
        <w:rPr>
          <w:rFonts w:ascii="Times New Roman;Times;serif" w:hAnsi="Times New Roman;Times;serif"/>
          <w:color w:val="231F20"/>
          <w:spacing w:val="-4"/>
          <w:sz w:val="20"/>
        </w:rPr>
        <w:t xml:space="preserve"> </w:t>
      </w:r>
      <w:r>
        <w:rPr>
          <w:rFonts w:ascii="Times New Roman;Times;serif" w:hAnsi="Times New Roman;Times;serif"/>
          <w:color w:val="231F20"/>
          <w:sz w:val="20"/>
        </w:rPr>
        <w:t>recreational</w:t>
      </w:r>
      <w:r>
        <w:rPr>
          <w:rFonts w:ascii="Times New Roman;Times;serif" w:hAnsi="Times New Roman;Times;serif"/>
          <w:color w:val="231F20"/>
          <w:spacing w:val="-4"/>
          <w:sz w:val="20"/>
        </w:rPr>
        <w:t xml:space="preserve"> </w:t>
      </w:r>
      <w:r>
        <w:rPr>
          <w:rFonts w:ascii="Times New Roman;Times;serif" w:hAnsi="Times New Roman;Times;serif"/>
          <w:color w:val="231F20"/>
          <w:sz w:val="20"/>
        </w:rPr>
        <w:t>drug</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users.</w:t>
      </w:r>
      <w:r>
        <w:rPr>
          <w:rFonts w:ascii="Times New Roman;Times;serif" w:hAnsi="Times New Roman;Times;serif"/>
          <w:color w:val="231F20"/>
          <w:spacing w:val="-4"/>
          <w:sz w:val="20"/>
        </w:rPr>
        <w:t xml:space="preserve"> </w:t>
      </w:r>
      <w:r>
        <w:rPr>
          <w:rFonts w:ascii="Times New Roman;Times;serif" w:hAnsi="Times New Roman;Times;serif"/>
          <w:color w:val="231F20"/>
          <w:sz w:val="20"/>
        </w:rPr>
        <w:t>In</w:t>
      </w:r>
      <w:r>
        <w:rPr>
          <w:rFonts w:ascii="Times New Roman;Times;serif" w:hAnsi="Times New Roman;Times;serif"/>
          <w:color w:val="231F20"/>
          <w:spacing w:val="-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event</w:t>
      </w:r>
      <w:r>
        <w:rPr>
          <w:rFonts w:ascii="Times New Roman;Times;serif" w:hAnsi="Times New Roman;Times;serif"/>
          <w:color w:val="231F20"/>
          <w:spacing w:val="-4"/>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4"/>
          <w:sz w:val="20"/>
        </w:rPr>
        <w:t xml:space="preserve"> </w:t>
      </w:r>
      <w:r>
        <w:rPr>
          <w:rFonts w:ascii="Times New Roman;Times;serif" w:hAnsi="Times New Roman;Times;serif"/>
          <w:color w:val="231F20"/>
          <w:sz w:val="20"/>
        </w:rPr>
        <w:t>a</w:t>
      </w:r>
      <w:r>
        <w:rPr>
          <w:rFonts w:ascii="Times New Roman;Times;serif" w:hAnsi="Times New Roman;Times;serif"/>
          <w:color w:val="231F20"/>
          <w:spacing w:val="-4"/>
          <w:sz w:val="20"/>
        </w:rPr>
        <w:t xml:space="preserve"> </w:t>
      </w:r>
      <w:r>
        <w:rPr>
          <w:rFonts w:ascii="Times New Roman;Times;serif" w:hAnsi="Times New Roman;Times;serif"/>
          <w:color w:val="231F20"/>
          <w:sz w:val="20"/>
        </w:rPr>
        <w:t>reduced</w:t>
      </w:r>
      <w:r>
        <w:rPr>
          <w:rFonts w:ascii="Times New Roman;Times;serif" w:hAnsi="Times New Roman;Times;serif"/>
          <w:color w:val="231F20"/>
          <w:spacing w:val="-4"/>
          <w:sz w:val="20"/>
        </w:rPr>
        <w:t xml:space="preserve"> </w:t>
      </w:r>
      <w:r>
        <w:rPr>
          <w:rFonts w:ascii="Times New Roman;Times;serif" w:hAnsi="Times New Roman;Times;serif"/>
          <w:color w:val="231F20"/>
          <w:sz w:val="20"/>
        </w:rPr>
        <w:t>risk</w:t>
      </w:r>
      <w:r>
        <w:rPr>
          <w:rFonts w:ascii="Times New Roman;Times;serif" w:hAnsi="Times New Roman;Times;serif"/>
          <w:color w:val="231F20"/>
          <w:spacing w:val="-4"/>
          <w:sz w:val="20"/>
        </w:rPr>
        <w:t xml:space="preserve"> </w:t>
      </w:r>
      <w:r>
        <w:rPr>
          <w:rFonts w:ascii="Times New Roman;Times;serif" w:hAnsi="Times New Roman;Times;serif"/>
          <w:color w:val="231F20"/>
          <w:sz w:val="20"/>
        </w:rPr>
        <w:t xml:space="preserve">of </w:t>
      </w:r>
      <w:r>
        <w:rPr>
          <w:rFonts w:ascii="Times New Roman;Times;serif" w:hAnsi="Times New Roman;Times;serif"/>
          <w:color w:val="231F20"/>
          <w:spacing w:val="-3"/>
          <w:sz w:val="20"/>
        </w:rPr>
        <w:t>abuse</w:t>
      </w:r>
      <w:r>
        <w:rPr>
          <w:rFonts w:ascii="Times New Roman;Times;serif" w:hAnsi="Times New Roman;Times;serif"/>
          <w:color w:val="231F20"/>
          <w:spacing w:val="-9"/>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8"/>
          <w:sz w:val="20"/>
        </w:rPr>
        <w:t xml:space="preserve"> </w:t>
      </w:r>
      <w:r>
        <w:rPr>
          <w:rFonts w:ascii="Times New Roman;Times;serif" w:hAnsi="Times New Roman;Times;serif"/>
          <w:color w:val="231F20"/>
          <w:sz w:val="20"/>
        </w:rPr>
        <w:t>Schedule</w:t>
      </w:r>
      <w:r>
        <w:rPr>
          <w:rFonts w:ascii="Times New Roman;Times;serif" w:hAnsi="Times New Roman;Times;serif"/>
          <w:color w:val="231F20"/>
          <w:spacing w:val="-8"/>
          <w:sz w:val="20"/>
        </w:rPr>
        <w:t xml:space="preserve"> </w:t>
      </w:r>
      <w:r>
        <w:rPr>
          <w:rFonts w:ascii="Times New Roman;Times;serif" w:hAnsi="Times New Roman;Times;serif"/>
          <w:color w:val="231F20"/>
          <w:sz w:val="20"/>
        </w:rPr>
        <w:t>III</w:t>
      </w:r>
      <w:r>
        <w:rPr>
          <w:rFonts w:ascii="Times New Roman;Times;serif" w:hAnsi="Times New Roman;Times;serif"/>
          <w:color w:val="231F20"/>
          <w:spacing w:val="-8"/>
          <w:sz w:val="20"/>
        </w:rPr>
        <w:t xml:space="preserve"> </w:t>
      </w:r>
      <w:r>
        <w:rPr>
          <w:rFonts w:ascii="Times New Roman;Times;serif" w:hAnsi="Times New Roman;Times;serif"/>
          <w:color w:val="231F20"/>
          <w:sz w:val="20"/>
        </w:rPr>
        <w:t>drugs,</w:t>
      </w:r>
      <w:r>
        <w:rPr>
          <w:rFonts w:ascii="Times New Roman;Times;serif" w:hAnsi="Times New Roman;Times;serif"/>
          <w:color w:val="231F20"/>
          <w:spacing w:val="-8"/>
          <w:sz w:val="20"/>
        </w:rPr>
        <w:t xml:space="preserve"> </w:t>
      </w:r>
      <w:r>
        <w:rPr>
          <w:rFonts w:ascii="Times New Roman;Times;serif" w:hAnsi="Times New Roman;Times;serif"/>
          <w:color w:val="231F20"/>
          <w:sz w:val="20"/>
        </w:rPr>
        <w:t>when</w:t>
      </w:r>
      <w:r>
        <w:rPr>
          <w:rFonts w:ascii="Times New Roman;Times;serif" w:hAnsi="Times New Roman;Times;serif"/>
          <w:color w:val="231F20"/>
          <w:spacing w:val="-8"/>
          <w:sz w:val="20"/>
        </w:rPr>
        <w:t xml:space="preserve"> </w:t>
      </w:r>
      <w:r>
        <w:rPr>
          <w:rFonts w:ascii="Times New Roman;Times;serif" w:hAnsi="Times New Roman;Times;serif"/>
          <w:color w:val="231F20"/>
          <w:sz w:val="20"/>
        </w:rPr>
        <w:t>compared</w:t>
      </w:r>
      <w:r>
        <w:rPr>
          <w:rFonts w:ascii="Times New Roman;Times;serif" w:hAnsi="Times New Roman;Times;serif"/>
          <w:color w:val="231F20"/>
          <w:spacing w:val="-8"/>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z w:val="20"/>
        </w:rPr>
        <w:t>Schedule</w:t>
      </w:r>
      <w:r>
        <w:rPr>
          <w:rFonts w:ascii="Times New Roman;Times;serif" w:hAnsi="Times New Roman;Times;serif"/>
          <w:color w:val="231F20"/>
          <w:spacing w:val="-8"/>
          <w:sz w:val="20"/>
        </w:rPr>
        <w:t xml:space="preserve"> </w:t>
      </w:r>
      <w:r>
        <w:rPr>
          <w:rFonts w:ascii="Times New Roman;Times;serif" w:hAnsi="Times New Roman;Times;serif"/>
          <w:color w:val="231F20"/>
          <w:sz w:val="20"/>
        </w:rPr>
        <w:t>II</w:t>
      </w:r>
      <w:r>
        <w:rPr>
          <w:rFonts w:ascii="Times New Roman;Times;serif" w:hAnsi="Times New Roman;Times;serif"/>
          <w:color w:val="231F20"/>
          <w:spacing w:val="-8"/>
          <w:sz w:val="20"/>
        </w:rPr>
        <w:t xml:space="preserve"> </w:t>
      </w:r>
      <w:r>
        <w:rPr>
          <w:rFonts w:ascii="Times New Roman;Times;serif" w:hAnsi="Times New Roman;Times;serif"/>
          <w:color w:val="231F20"/>
          <w:sz w:val="20"/>
        </w:rPr>
        <w:t>drugs,</w:t>
      </w:r>
      <w:r>
        <w:rPr>
          <w:rFonts w:ascii="Times New Roman;Times;serif" w:hAnsi="Times New Roman;Times;serif"/>
          <w:color w:val="231F20"/>
          <w:spacing w:val="-8"/>
          <w:sz w:val="20"/>
        </w:rPr>
        <w:t xml:space="preserve"> </w:t>
      </w:r>
      <w:r>
        <w:rPr>
          <w:rFonts w:ascii="Times New Roman;Times;serif" w:hAnsi="Times New Roman;Times;serif"/>
          <w:color w:val="231F20"/>
          <w:sz w:val="20"/>
        </w:rPr>
        <w:t>is</w:t>
      </w:r>
      <w:r>
        <w:rPr>
          <w:rFonts w:ascii="Times New Roman;Times;serif" w:hAnsi="Times New Roman;Times;serif"/>
          <w:color w:val="231F20"/>
          <w:spacing w:val="-8"/>
          <w:sz w:val="20"/>
        </w:rPr>
        <w:t xml:space="preserve"> </w:t>
      </w:r>
      <w:r>
        <w:rPr>
          <w:rFonts w:ascii="Times New Roman;Times;serif" w:hAnsi="Times New Roman;Times;serif"/>
          <w:color w:val="231F20"/>
          <w:sz w:val="20"/>
        </w:rPr>
        <w:t>demonstrated</w:t>
      </w:r>
      <w:r>
        <w:rPr>
          <w:rFonts w:ascii="Times New Roman;Times;serif" w:hAnsi="Times New Roman;Times;serif"/>
          <w:color w:val="231F20"/>
          <w:spacing w:val="-8"/>
          <w:sz w:val="20"/>
        </w:rPr>
        <w:t xml:space="preserve"> </w:t>
      </w:r>
      <w:r>
        <w:rPr>
          <w:rFonts w:ascii="Times New Roman;Times;serif" w:hAnsi="Times New Roman;Times;serif"/>
          <w:color w:val="231F20"/>
          <w:sz w:val="20"/>
        </w:rPr>
        <w:t>in</w:t>
      </w:r>
      <w:r>
        <w:rPr>
          <w:rFonts w:ascii="Times New Roman;Times;serif" w:hAnsi="Times New Roman;Times;serif"/>
          <w:color w:val="231F20"/>
          <w:spacing w:val="-8"/>
          <w:sz w:val="20"/>
        </w:rPr>
        <w:t xml:space="preserve"> </w:t>
      </w:r>
      <w:r>
        <w:rPr>
          <w:rFonts w:ascii="Times New Roman;Times;serif" w:hAnsi="Times New Roman;Times;serif"/>
          <w:color w:val="231F20"/>
          <w:sz w:val="20"/>
        </w:rPr>
        <w:t>well</w:t>
      </w:r>
      <w:r>
        <w:rPr>
          <w:rFonts w:ascii="Times New Roman;Times;serif" w:hAnsi="Times New Roman;Times;serif"/>
          <w:color w:val="231F20"/>
          <w:spacing w:val="-8"/>
          <w:sz w:val="20"/>
        </w:rPr>
        <w:t xml:space="preserve"> </w:t>
      </w:r>
      <w:r>
        <w:rPr>
          <w:rFonts w:ascii="Times New Roman;Times;serif" w:hAnsi="Times New Roman;Times;serif"/>
          <w:color w:val="231F20"/>
          <w:sz w:val="20"/>
        </w:rPr>
        <w:t>controlled</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non- clinical and/or clinical studies, there is no assurance that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will agree to incorporation of such </w:t>
      </w:r>
      <w:r>
        <w:rPr>
          <w:rFonts w:ascii="Times New Roman;Times;serif" w:hAnsi="Times New Roman;Times;serif"/>
          <w:color w:val="231F20"/>
          <w:spacing w:val="-4"/>
          <w:sz w:val="20"/>
        </w:rPr>
        <w:t xml:space="preserve">favorable </w:t>
      </w:r>
      <w:r>
        <w:rPr>
          <w:rFonts w:ascii="Times New Roman;Times;serif" w:hAnsi="Times New Roman;Times;serif"/>
          <w:color w:val="231F20"/>
          <w:sz w:val="20"/>
        </w:rPr>
        <w:t>language in the products prescribing</w:t>
      </w:r>
      <w:r>
        <w:rPr>
          <w:rFonts w:ascii="Times New Roman;Times;serif" w:hAnsi="Times New Roman;Times;serif"/>
          <w:color w:val="231F20"/>
          <w:spacing w:val="-14"/>
          <w:sz w:val="20"/>
        </w:rPr>
        <w:t xml:space="preserve"> </w:t>
      </w:r>
      <w:r>
        <w:rPr>
          <w:rFonts w:ascii="Times New Roman;Times;serif" w:hAnsi="Times New Roman;Times;serif"/>
          <w:color w:val="231F20"/>
          <w:sz w:val="20"/>
        </w:rPr>
        <w:t>information.</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The use of controlled substances in our product candidates may generate controversy.</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Products containing controlled substances may generate public controversy. Opponents of these products may seek restrictions on marketing and withdrawal of any regulatory approvals. In addition, these opponents may seek to generate negative publicity and media stories in an effort to persuade the medical community to reject these </w:t>
      </w:r>
      <w:r>
        <w:rPr>
          <w:rFonts w:ascii="Times New Roman;Times;serif" w:hAnsi="Times New Roman;Times;serif"/>
          <w:color w:val="231F20"/>
          <w:spacing w:val="-3"/>
          <w:sz w:val="20"/>
        </w:rPr>
        <w:t xml:space="preserve">products. Political </w:t>
      </w:r>
      <w:r>
        <w:rPr>
          <w:rFonts w:ascii="Times New Roman;Times;serif" w:hAnsi="Times New Roman;Times;serif"/>
          <w:color w:val="231F20"/>
          <w:sz w:val="20"/>
        </w:rPr>
        <w:t xml:space="preserve">pressures and adverse publicity could lead to additional regulatory hurdles, delays in, increased </w:t>
      </w:r>
      <w:r>
        <w:rPr>
          <w:rFonts w:ascii="Times New Roman;Times;serif" w:hAnsi="Times New Roman;Times;serif"/>
          <w:color w:val="231F20"/>
          <w:spacing w:val="-3"/>
          <w:sz w:val="20"/>
        </w:rPr>
        <w:t xml:space="preserve">expenses </w:t>
      </w:r>
      <w:r>
        <w:rPr>
          <w:rFonts w:ascii="Times New Roman;Times;serif" w:hAnsi="Times New Roman;Times;serif"/>
          <w:color w:val="231F20"/>
          <w:spacing w:val="-7"/>
          <w:sz w:val="20"/>
        </w:rPr>
        <w:t xml:space="preserve">for, </w:t>
      </w:r>
      <w:r>
        <w:rPr>
          <w:rFonts w:ascii="Times New Roman;Times;serif" w:hAnsi="Times New Roman;Times;serif"/>
          <w:color w:val="231F20"/>
          <w:sz w:val="20"/>
        </w:rPr>
        <w:t>and limit or restrict the introduction and marketing of, our product candidates.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may need to focus our future efforts in new therapeutic areas where we have little or no experience.</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Although our primary strategic interests are in the areas of depression therapies, NRX-101 has potential benefits in other therapeutic </w:t>
      </w:r>
      <w:r>
        <w:rPr>
          <w:rFonts w:ascii="Times New Roman;Times;serif" w:hAnsi="Times New Roman;Times;serif"/>
          <w:color w:val="231F20"/>
          <w:spacing w:val="-3"/>
          <w:sz w:val="20"/>
        </w:rPr>
        <w:t xml:space="preserve">areas. </w:t>
      </w:r>
      <w:r>
        <w:rPr>
          <w:rFonts w:ascii="Times New Roman;Times;serif" w:hAnsi="Times New Roman;Times;serif"/>
          <w:color w:val="231F20"/>
          <w:sz w:val="20"/>
        </w:rPr>
        <w:t xml:space="preserve">If our drug development efforts in bipolar depression fails, or if the competitive landscape or investment climate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antidepressant drug development therapies is less </w:t>
      </w:r>
      <w:r>
        <w:rPr>
          <w:rFonts w:ascii="Times New Roman;Times;serif" w:hAnsi="Times New Roman;Times;serif"/>
          <w:color w:val="231F20"/>
          <w:spacing w:val="-3"/>
          <w:sz w:val="20"/>
        </w:rPr>
        <w:t xml:space="preserve">attractive, </w:t>
      </w:r>
      <w:r>
        <w:rPr>
          <w:rFonts w:ascii="Times New Roman;Times;serif" w:hAnsi="Times New Roman;Times;serif"/>
          <w:color w:val="231F2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need to change our strategic focus to include development of our product candidates, or of </w:t>
      </w:r>
      <w:r>
        <w:rPr>
          <w:rFonts w:ascii="Times New Roman;Times;serif" w:hAnsi="Times New Roman;Times;serif"/>
          <w:color w:val="231F20"/>
          <w:spacing w:val="-3"/>
          <w:sz w:val="20"/>
        </w:rPr>
        <w:t xml:space="preserve">newly </w:t>
      </w:r>
      <w:r>
        <w:rPr>
          <w:rFonts w:ascii="Times New Roman;Times;serif" w:hAnsi="Times New Roman;Times;serif"/>
          <w:color w:val="231F20"/>
          <w:sz w:val="20"/>
        </w:rPr>
        <w:t xml:space="preserve">acquired product candidates,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therapeutic areas other</w:t>
      </w:r>
      <w:r>
        <w:rPr>
          <w:rFonts w:ascii="Times New Roman;Times;serif" w:hAnsi="Times New Roman;Times;serif"/>
          <w:color w:val="231F20"/>
          <w:spacing w:val="-12"/>
          <w:sz w:val="20"/>
        </w:rPr>
        <w:t xml:space="preserve"> </w:t>
      </w:r>
      <w:r>
        <w:rPr>
          <w:rFonts w:ascii="Times New Roman;Times;serif" w:hAnsi="Times New Roman;Times;serif"/>
          <w:color w:val="231F20"/>
          <w:sz w:val="20"/>
        </w:rPr>
        <w:t>than</w:t>
      </w:r>
      <w:r>
        <w:rPr>
          <w:rFonts w:ascii="Times New Roman;Times;serif" w:hAnsi="Times New Roman;Times;serif"/>
          <w:color w:val="231F20"/>
          <w:spacing w:val="-12"/>
          <w:sz w:val="20"/>
        </w:rPr>
        <w:t xml:space="preserve"> </w:t>
      </w:r>
      <w:r>
        <w:rPr>
          <w:rFonts w:ascii="Times New Roman;Times;serif" w:hAnsi="Times New Roman;Times;serif"/>
          <w:color w:val="231F20"/>
          <w:sz w:val="20"/>
        </w:rPr>
        <w:t>depression.</w:t>
      </w:r>
      <w:r>
        <w:rPr>
          <w:rFonts w:ascii="Times New Roman;Times;serif" w:hAnsi="Times New Roman;Times;serif"/>
          <w:color w:val="231F20"/>
          <w:spacing w:val="-12"/>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12"/>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12"/>
          <w:sz w:val="20"/>
        </w:rPr>
        <w:t xml:space="preserve"> </w:t>
      </w:r>
      <w:r>
        <w:rPr>
          <w:rFonts w:ascii="Times New Roman;Times;serif" w:hAnsi="Times New Roman;Times;serif"/>
          <w:color w:val="231F20"/>
          <w:sz w:val="20"/>
        </w:rPr>
        <w:t>very</w:t>
      </w:r>
      <w:r>
        <w:rPr>
          <w:rFonts w:ascii="Times New Roman;Times;serif" w:hAnsi="Times New Roman;Times;serif"/>
          <w:color w:val="231F20"/>
          <w:spacing w:val="-12"/>
          <w:sz w:val="20"/>
        </w:rPr>
        <w:t xml:space="preserve"> </w:t>
      </w:r>
      <w:r>
        <w:rPr>
          <w:rFonts w:ascii="Times New Roman;Times;serif" w:hAnsi="Times New Roman;Times;serif"/>
          <w:color w:val="231F20"/>
          <w:sz w:val="20"/>
        </w:rPr>
        <w:t>limited</w:t>
      </w:r>
      <w:r>
        <w:rPr>
          <w:rFonts w:ascii="Times New Roman;Times;serif" w:hAnsi="Times New Roman;Times;serif"/>
          <w:color w:val="231F20"/>
          <w:spacing w:val="-12"/>
          <w:sz w:val="20"/>
        </w:rPr>
        <w:t xml:space="preserve"> </w:t>
      </w:r>
      <w:r>
        <w:rPr>
          <w:rFonts w:ascii="Times New Roman;Times;serif" w:hAnsi="Times New Roman;Times;serif"/>
          <w:color w:val="231F20"/>
          <w:sz w:val="20"/>
        </w:rPr>
        <w:t>drug</w:t>
      </w:r>
      <w:r>
        <w:rPr>
          <w:rFonts w:ascii="Times New Roman;Times;serif" w:hAnsi="Times New Roman;Times;serif"/>
          <w:color w:val="231F20"/>
          <w:spacing w:val="-12"/>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12"/>
          <w:sz w:val="20"/>
        </w:rPr>
        <w:t xml:space="preserve"> </w:t>
      </w:r>
      <w:r>
        <w:rPr>
          <w:rFonts w:ascii="Times New Roman;Times;serif" w:hAnsi="Times New Roman;Times;serif"/>
          <w:color w:val="231F20"/>
          <w:sz w:val="20"/>
        </w:rPr>
        <w:t>experience</w:t>
      </w:r>
      <w:r>
        <w:rPr>
          <w:rFonts w:ascii="Times New Roman;Times;serif" w:hAnsi="Times New Roman;Times;serif"/>
          <w:color w:val="231F20"/>
          <w:spacing w:val="-12"/>
          <w:sz w:val="20"/>
        </w:rPr>
        <w:t xml:space="preserve"> </w:t>
      </w:r>
      <w:r>
        <w:rPr>
          <w:rFonts w:ascii="Times New Roman;Times;serif" w:hAnsi="Times New Roman;Times;serif"/>
          <w:color w:val="231F20"/>
          <w:sz w:val="20"/>
        </w:rPr>
        <w:t>in</w:t>
      </w:r>
      <w:r>
        <w:rPr>
          <w:rFonts w:ascii="Times New Roman;Times;serif" w:hAnsi="Times New Roman;Times;serif"/>
          <w:color w:val="231F20"/>
          <w:spacing w:val="-12"/>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2"/>
          <w:sz w:val="20"/>
        </w:rPr>
        <w:t xml:space="preserve"> </w:t>
      </w:r>
      <w:r>
        <w:rPr>
          <w:rFonts w:ascii="Times New Roman;Times;serif" w:hAnsi="Times New Roman;Times;serif"/>
          <w:color w:val="231F20"/>
          <w:sz w:val="20"/>
        </w:rPr>
        <w:t xml:space="preserve">therapeutic areas and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 unsuccessful in making this change to a company with a focus in areas other than depression or a company with a focus in multiple therapeutic areas including depression.</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Some of our products for clinical trials may be manufactured outside the U.S.</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Currently, </w:t>
      </w:r>
      <w:r>
        <w:rPr>
          <w:rFonts w:ascii="Times New Roman;Times;serif" w:hAnsi="Times New Roman;Times;serif"/>
          <w:color w:val="231F20"/>
          <w:sz w:val="20"/>
        </w:rPr>
        <w:t xml:space="preserve">our new clinical trial supplies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NRX-101 are being manufactured in the U.S.</w:t>
      </w:r>
      <w:r>
        <w:rPr>
          <w:rFonts w:ascii="Times New Roman;Times;serif" w:hAnsi="Times New Roman;Times;serif"/>
          <w:color w:val="231F20"/>
          <w:spacing w:val="-3"/>
          <w:sz w:val="20"/>
        </w:rPr>
        <w:t xml:space="preserve">, though some supplies are sourced from outside the </w:t>
      </w:r>
      <w:r>
        <w:rPr>
          <w:rFonts w:ascii="Times New Roman;Times;serif" w:hAnsi="Times New Roman;Times;serif"/>
          <w:color w:val="231F20"/>
          <w:sz w:val="20"/>
        </w:rPr>
        <w:t>U.S</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Switching or adding manufacturing capability outside the U.S. can </w:t>
      </w:r>
      <w:r>
        <w:rPr>
          <w:rFonts w:ascii="Times New Roman;Times;serif" w:hAnsi="Times New Roman;Times;serif"/>
          <w:color w:val="231F20"/>
          <w:spacing w:val="-3"/>
          <w:sz w:val="20"/>
        </w:rPr>
        <w:t xml:space="preserve">involve </w:t>
      </w:r>
      <w:r>
        <w:rPr>
          <w:rFonts w:ascii="Times New Roman;Times;serif" w:hAnsi="Times New Roman;Times;serif"/>
          <w:color w:val="231F20"/>
          <w:sz w:val="20"/>
        </w:rPr>
        <w:t xml:space="preserve">substantial cost and require extensive management time and </w:t>
      </w:r>
      <w:r>
        <w:rPr>
          <w:rFonts w:ascii="Times New Roman;Times;serif" w:hAnsi="Times New Roman;Times;serif"/>
          <w:color w:val="231F20"/>
          <w:spacing w:val="-3"/>
          <w:sz w:val="20"/>
        </w:rPr>
        <w:t xml:space="preserve">focus, </w:t>
      </w:r>
      <w:r>
        <w:rPr>
          <w:rFonts w:ascii="Times New Roman;Times;serif" w:hAnsi="Times New Roman;Times;serif"/>
          <w:color w:val="231F20"/>
          <w:sz w:val="20"/>
        </w:rPr>
        <w:t xml:space="preserve">additional regulatory filings and compliance with import/ export regulations. In addition, there is a </w:t>
      </w:r>
      <w:r>
        <w:rPr>
          <w:rFonts w:ascii="Times New Roman;Times;serif" w:hAnsi="Times New Roman;Times;serif"/>
          <w:color w:val="231F20"/>
          <w:spacing w:val="-3"/>
          <w:sz w:val="20"/>
        </w:rPr>
        <w:t xml:space="preserve">natural </w:t>
      </w:r>
      <w:r>
        <w:rPr>
          <w:rFonts w:ascii="Times New Roman;Times;serif" w:hAnsi="Times New Roman;Times;serif"/>
          <w:color w:val="231F20"/>
          <w:sz w:val="20"/>
        </w:rPr>
        <w:t>transition period when a new manufacturing facility commences</w:t>
      </w:r>
      <w:r>
        <w:rPr>
          <w:rFonts w:ascii="Times New Roman;Times;serif" w:hAnsi="Times New Roman;Times;serif"/>
          <w:color w:val="231F20"/>
          <w:spacing w:val="-3"/>
          <w:sz w:val="20"/>
        </w:rPr>
        <w:t xml:space="preserve"> </w:t>
      </w:r>
      <w:r>
        <w:rPr>
          <w:rFonts w:ascii="Times New Roman;Times;serif" w:hAnsi="Times New Roman;Times;serif"/>
          <w:color w:val="231F20"/>
          <w:sz w:val="20"/>
        </w:rPr>
        <w:t>work.</w:t>
      </w:r>
      <w:r>
        <w:rPr>
          <w:rFonts w:ascii="Times New Roman;Times;serif" w:hAnsi="Times New Roman;Times;serif"/>
          <w:color w:val="231F20"/>
          <w:spacing w:val="-4"/>
          <w:sz w:val="20"/>
        </w:rPr>
        <w:t xml:space="preserve"> </w:t>
      </w:r>
      <w:r>
        <w:rPr>
          <w:rFonts w:ascii="Times New Roman;Times;serif" w:hAnsi="Times New Roman;Times;serif"/>
          <w:color w:val="231F20"/>
          <w:sz w:val="20"/>
        </w:rPr>
        <w:t>As</w:t>
      </w:r>
      <w:r>
        <w:rPr>
          <w:rFonts w:ascii="Times New Roman;Times;serif" w:hAnsi="Times New Roman;Times;serif"/>
          <w:color w:val="231F20"/>
          <w:spacing w:val="-3"/>
          <w:sz w:val="20"/>
        </w:rPr>
        <w:t xml:space="preserve"> </w:t>
      </w:r>
      <w:r>
        <w:rPr>
          <w:rFonts w:ascii="Times New Roman;Times;serif" w:hAnsi="Times New Roman;Times;serif"/>
          <w:color w:val="231F20"/>
          <w:sz w:val="20"/>
        </w:rPr>
        <w:t>a</w:t>
      </w:r>
      <w:r>
        <w:rPr>
          <w:rFonts w:ascii="Times New Roman;Times;serif" w:hAnsi="Times New Roman;Times;serif"/>
          <w:color w:val="231F20"/>
          <w:spacing w:val="-3"/>
          <w:sz w:val="20"/>
        </w:rPr>
        <w:t xml:space="preserve"> </w:t>
      </w:r>
      <w:r>
        <w:rPr>
          <w:rFonts w:ascii="Times New Roman;Times;serif" w:hAnsi="Times New Roman;Times;serif"/>
          <w:color w:val="231F20"/>
          <w:sz w:val="20"/>
        </w:rPr>
        <w:t>result,</w:t>
      </w:r>
      <w:r>
        <w:rPr>
          <w:rFonts w:ascii="Times New Roman;Times;serif" w:hAnsi="Times New Roman;Times;serif"/>
          <w:color w:val="231F20"/>
          <w:spacing w:val="-3"/>
          <w:sz w:val="20"/>
        </w:rPr>
        <w:t xml:space="preserve"> </w:t>
      </w:r>
      <w:r>
        <w:rPr>
          <w:rFonts w:ascii="Times New Roman;Times;serif" w:hAnsi="Times New Roman;Times;serif"/>
          <w:color w:val="231F20"/>
          <w:sz w:val="20"/>
        </w:rPr>
        <w:t>delays</w:t>
      </w:r>
      <w:r>
        <w:rPr>
          <w:rFonts w:ascii="Times New Roman;Times;serif" w:hAnsi="Times New Roman;Times;serif"/>
          <w:color w:val="231F20"/>
          <w:spacing w:val="-3"/>
          <w:sz w:val="20"/>
        </w:rPr>
        <w:t xml:space="preserve"> may </w:t>
      </w:r>
      <w:r>
        <w:rPr>
          <w:rFonts w:ascii="Times New Roman;Times;serif" w:hAnsi="Times New Roman;Times;serif"/>
          <w:color w:val="231F20"/>
          <w:spacing w:val="-4"/>
          <w:sz w:val="20"/>
        </w:rPr>
        <w:t>occur,</w:t>
      </w:r>
      <w:r>
        <w:rPr>
          <w:rFonts w:ascii="Times New Roman;Times;serif" w:hAnsi="Times New Roman;Times;serif"/>
          <w:color w:val="231F20"/>
          <w:spacing w:val="-3"/>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3"/>
          <w:sz w:val="20"/>
        </w:rPr>
        <w:t xml:space="preserve"> </w:t>
      </w:r>
      <w:r>
        <w:rPr>
          <w:rFonts w:ascii="Times New Roman;Times;serif" w:hAnsi="Times New Roman;Times;serif"/>
          <w:color w:val="231F20"/>
          <w:sz w:val="20"/>
        </w:rPr>
        <w:t>can</w:t>
      </w:r>
      <w:r>
        <w:rPr>
          <w:rFonts w:ascii="Times New Roman;Times;serif" w:hAnsi="Times New Roman;Times;serif"/>
          <w:color w:val="231F20"/>
          <w:spacing w:val="-3"/>
          <w:sz w:val="20"/>
        </w:rPr>
        <w:t xml:space="preserve"> </w:t>
      </w:r>
      <w:r>
        <w:rPr>
          <w:rFonts w:ascii="Times New Roman;Times;serif" w:hAnsi="Times New Roman;Times;serif"/>
          <w:color w:val="231F20"/>
          <w:sz w:val="20"/>
        </w:rPr>
        <w:t>materially</w:t>
      </w:r>
      <w:r>
        <w:rPr>
          <w:rFonts w:ascii="Times New Roman;Times;serif" w:hAnsi="Times New Roman;Times;serif"/>
          <w:color w:val="231F20"/>
          <w:spacing w:val="-3"/>
          <w:sz w:val="20"/>
        </w:rPr>
        <w:t xml:space="preserve"> </w:t>
      </w:r>
      <w:r>
        <w:rPr>
          <w:rFonts w:ascii="Times New Roman;Times;serif" w:hAnsi="Times New Roman;Times;serif"/>
          <w:color w:val="231F20"/>
          <w:sz w:val="20"/>
        </w:rPr>
        <w:t>impact</w:t>
      </w:r>
      <w:r>
        <w:rPr>
          <w:rFonts w:ascii="Times New Roman;Times;serif" w:hAnsi="Times New Roman;Times;serif"/>
          <w:color w:val="231F20"/>
          <w:spacing w:val="-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
          <w:sz w:val="20"/>
        </w:rPr>
        <w:t xml:space="preserve"> </w:t>
      </w:r>
      <w:r>
        <w:rPr>
          <w:rFonts w:ascii="Times New Roman;Times;serif" w:hAnsi="Times New Roman;Times;serif"/>
          <w:color w:val="231F20"/>
          <w:sz w:val="20"/>
        </w:rPr>
        <w:t>ability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to</w:t>
      </w:r>
      <w:r>
        <w:rPr>
          <w:rFonts w:ascii="Times New Roman;Times;serif" w:hAnsi="Times New Roman;Times;serif"/>
          <w:color w:val="231F20"/>
          <w:spacing w:val="-3"/>
          <w:sz w:val="20"/>
        </w:rPr>
        <w:t xml:space="preserve"> </w:t>
      </w:r>
      <w:r>
        <w:rPr>
          <w:rFonts w:ascii="Times New Roman;Times;serif" w:hAnsi="Times New Roman;Times;serif"/>
          <w:color w:val="231F20"/>
          <w:sz w:val="20"/>
        </w:rPr>
        <w:t>meet</w:t>
      </w:r>
      <w:r>
        <w:rPr>
          <w:rFonts w:ascii="Times New Roman;Times;serif" w:hAnsi="Times New Roman;Times;serif"/>
          <w:color w:val="231F20"/>
          <w:spacing w:val="-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
          <w:sz w:val="20"/>
        </w:rPr>
        <w:t xml:space="preserve"> </w:t>
      </w:r>
      <w:r>
        <w:rPr>
          <w:rFonts w:ascii="Times New Roman;Times;serif" w:hAnsi="Times New Roman;Times;serif"/>
          <w:color w:val="231F20"/>
          <w:sz w:val="20"/>
        </w:rPr>
        <w:t>desired timelines, thereby increasing our costs and reducing our ability to generate</w:t>
      </w:r>
      <w:r>
        <w:rPr>
          <w:rFonts w:ascii="Times New Roman;Times;serif" w:hAnsi="Times New Roman;Times;serif"/>
          <w:color w:val="231F20"/>
          <w:spacing w:val="-37"/>
          <w:sz w:val="20"/>
        </w:rPr>
        <w:t xml:space="preserve"> </w:t>
      </w:r>
      <w:r>
        <w:rPr>
          <w:rFonts w:ascii="Times New Roman;Times;serif" w:hAnsi="Times New Roman;Times;serif"/>
          <w:color w:val="231F20"/>
          <w:spacing w:val="-4"/>
          <w:sz w:val="20"/>
        </w:rPr>
        <w:t>revenue.</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Modifications to our products may require new NDA approvals.</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Once a particular company product receives </w:t>
      </w:r>
      <w:r>
        <w:rPr>
          <w:rFonts w:ascii="Times New Roman;Times;serif" w:hAnsi="Times New Roman;Times;serif"/>
          <w:color w:val="231F20"/>
          <w:spacing w:val="-4"/>
          <w:sz w:val="20"/>
        </w:rPr>
        <w:t xml:space="preserve">FDA approval </w:t>
      </w:r>
      <w:r>
        <w:rPr>
          <w:rFonts w:ascii="Times New Roman;Times;serif" w:hAnsi="Times New Roman;Times;serif"/>
          <w:color w:val="231F20"/>
          <w:sz w:val="20"/>
        </w:rPr>
        <w:t xml:space="preserve">or clearance, expanded uses or uses in new indications of our products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require additional human clinical trials and new regulatory </w:t>
      </w:r>
      <w:r>
        <w:rPr>
          <w:rFonts w:ascii="Times New Roman;Times;serif" w:hAnsi="Times New Roman;Times;serif"/>
          <w:color w:val="231F20"/>
          <w:spacing w:val="-4"/>
          <w:sz w:val="20"/>
        </w:rPr>
        <w:t xml:space="preserve">approvals </w:t>
      </w:r>
      <w:r>
        <w:rPr>
          <w:rFonts w:ascii="Times New Roman;Times;serif" w:hAnsi="Times New Roman;Times;serif"/>
          <w:color w:val="231F20"/>
          <w:sz w:val="20"/>
        </w:rPr>
        <w:t xml:space="preserve">or clearances, including additional IND and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submissions and premarket </w:t>
      </w:r>
      <w:r>
        <w:rPr>
          <w:rFonts w:ascii="Times New Roman;Times;serif" w:hAnsi="Times New Roman;Times;serif"/>
          <w:color w:val="231F20"/>
          <w:spacing w:val="-4"/>
          <w:sz w:val="20"/>
        </w:rPr>
        <w:t xml:space="preserve">approvals </w:t>
      </w:r>
      <w:r>
        <w:rPr>
          <w:rFonts w:ascii="Times New Roman;Times;serif" w:hAnsi="Times New Roman;Times;serif"/>
          <w:color w:val="231F20"/>
          <w:sz w:val="20"/>
        </w:rPr>
        <w:t>before we can begin clinical</w:t>
      </w:r>
      <w:r>
        <w:rPr>
          <w:rFonts w:ascii="Times New Roman;Times;serif" w:hAnsi="Times New Roman;Times;serif"/>
          <w:color w:val="231F20"/>
          <w:spacing w:val="-9"/>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8"/>
          <w:sz w:val="20"/>
        </w:rPr>
        <w:t xml:space="preserve"> </w:t>
      </w:r>
      <w:r>
        <w:rPr>
          <w:rFonts w:ascii="Times New Roman;Times;serif" w:hAnsi="Times New Roman;Times;serif"/>
          <w:color w:val="231F20"/>
          <w:sz w:val="20"/>
        </w:rPr>
        <w:t>and/or</w:t>
      </w:r>
      <w:r>
        <w:rPr>
          <w:rFonts w:ascii="Times New Roman;Times;serif" w:hAnsi="Times New Roman;Times;serif"/>
          <w:color w:val="231F20"/>
          <w:spacing w:val="-8"/>
          <w:sz w:val="20"/>
        </w:rPr>
        <w:t xml:space="preserve"> </w:t>
      </w:r>
      <w:r>
        <w:rPr>
          <w:rFonts w:ascii="Times New Roman;Times;serif" w:hAnsi="Times New Roman;Times;serif"/>
          <w:color w:val="231F20"/>
          <w:sz w:val="20"/>
        </w:rPr>
        <w:t>prior</w:t>
      </w:r>
      <w:r>
        <w:rPr>
          <w:rFonts w:ascii="Times New Roman;Times;serif" w:hAnsi="Times New Roman;Times;serif"/>
          <w:color w:val="231F20"/>
          <w:spacing w:val="-8"/>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z w:val="20"/>
        </w:rPr>
        <w:t>marketing</w:t>
      </w:r>
      <w:r>
        <w:rPr>
          <w:rFonts w:ascii="Times New Roman;Times;serif" w:hAnsi="Times New Roman;Times;serif"/>
          <w:color w:val="231F20"/>
          <w:spacing w:val="-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sales.</w:t>
      </w:r>
      <w:r>
        <w:rPr>
          <w:rFonts w:ascii="Times New Roman;Times;serif" w:hAnsi="Times New Roman;Times;serif"/>
          <w:color w:val="231F20"/>
          <w:spacing w:val="-8"/>
          <w:sz w:val="20"/>
        </w:rPr>
        <w:t xml:space="preserve"> </w:t>
      </w:r>
      <w:r>
        <w:rPr>
          <w:rFonts w:ascii="Times New Roman;Times;serif" w:hAnsi="Times New Roman;Times;serif"/>
          <w:color w:val="231F20"/>
          <w:sz w:val="20"/>
        </w:rPr>
        <w:t>If</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FDA</w:t>
      </w:r>
      <w:r>
        <w:rPr>
          <w:rFonts w:ascii="Times New Roman;Times;serif" w:hAnsi="Times New Roman;Times;serif"/>
          <w:color w:val="231F20"/>
          <w:spacing w:val="-8"/>
          <w:sz w:val="20"/>
        </w:rPr>
        <w:t xml:space="preserve"> </w:t>
      </w:r>
      <w:r>
        <w:rPr>
          <w:rFonts w:ascii="Times New Roman;Times;serif" w:hAnsi="Times New Roman;Times;serif"/>
          <w:color w:val="231F20"/>
          <w:sz w:val="20"/>
        </w:rPr>
        <w:t>requires</w:t>
      </w:r>
      <w:r>
        <w:rPr>
          <w:rFonts w:ascii="Times New Roman;Times;serif" w:hAnsi="Times New Roman;Times;serif"/>
          <w:color w:val="231F20"/>
          <w:spacing w:val="-8"/>
          <w:sz w:val="20"/>
        </w:rPr>
        <w:t xml:space="preserve"> </w:t>
      </w:r>
      <w:r>
        <w:rPr>
          <w:rFonts w:ascii="Times New Roman;Times;serif" w:hAnsi="Times New Roman;Times;serif"/>
          <w:color w:val="231F20"/>
          <w:sz w:val="20"/>
        </w:rPr>
        <w:t>new</w:t>
      </w:r>
      <w:r>
        <w:rPr>
          <w:rFonts w:ascii="Times New Roman;Times;serif" w:hAnsi="Times New Roman;Times;serif"/>
          <w:color w:val="231F20"/>
          <w:spacing w:val="-8"/>
          <w:sz w:val="20"/>
        </w:rPr>
        <w:t xml:space="preserve"> </w:t>
      </w:r>
      <w:r>
        <w:rPr>
          <w:rFonts w:ascii="Times New Roman;Times;serif" w:hAnsi="Times New Roman;Times;serif"/>
          <w:color w:val="231F20"/>
          <w:sz w:val="20"/>
        </w:rPr>
        <w:t>clearances</w:t>
      </w:r>
      <w:r>
        <w:rPr>
          <w:rFonts w:ascii="Times New Roman;Times;serif" w:hAnsi="Times New Roman;Times;serif"/>
          <w:color w:val="231F20"/>
          <w:spacing w:val="-8"/>
          <w:sz w:val="20"/>
        </w:rPr>
        <w:t xml:space="preserve"> </w:t>
      </w:r>
      <w:r>
        <w:rPr>
          <w:rFonts w:ascii="Times New Roman;Times;serif" w:hAnsi="Times New Roman;Times;serif"/>
          <w:color w:val="231F20"/>
          <w:sz w:val="20"/>
        </w:rPr>
        <w:t>or</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approvals</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a particular use or indication,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 required to conduct additional clinical studies, which</w:t>
      </w:r>
      <w:r>
        <w:rPr>
          <w:rFonts w:ascii="Times New Roman;Times;serif" w:hAnsi="Times New Roman;Times;serif"/>
          <w:color w:val="231F20"/>
          <w:spacing w:val="-25"/>
          <w:sz w:val="20"/>
        </w:rPr>
        <w:t xml:space="preserve"> </w:t>
      </w:r>
      <w:r>
        <w:rPr>
          <w:rFonts w:ascii="Times New Roman;Times;serif" w:hAnsi="Times New Roman;Times;serif"/>
          <w:color w:val="231F20"/>
          <w:sz w:val="20"/>
        </w:rPr>
        <w:t>would require additional expenditures and negatively impact our operating results. If the products are already being used for these new indications, we may also be subject to significant enforcement actions.</w:t>
      </w:r>
    </w:p>
    <w:p>
      <w:pPr>
        <w:pStyle w:val="TextBody"/>
        <w:spacing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Conducting clinical trials and obtaining clearances and </w:t>
      </w:r>
      <w:r>
        <w:rPr>
          <w:rFonts w:ascii="Times New Roman;Times;serif" w:hAnsi="Times New Roman;Times;serif"/>
          <w:color w:val="231F20"/>
          <w:spacing w:val="-4"/>
          <w:sz w:val="20"/>
        </w:rPr>
        <w:t xml:space="preserve">approvals </w:t>
      </w:r>
      <w:r>
        <w:rPr>
          <w:rFonts w:ascii="Times New Roman;Times;serif" w:hAnsi="Times New Roman;Times;serif"/>
          <w:color w:val="231F20"/>
          <w:sz w:val="20"/>
        </w:rPr>
        <w:t xml:space="preserve">can be a time-consuming </w:t>
      </w:r>
      <w:r>
        <w:rPr>
          <w:rFonts w:ascii="Times New Roman;Times;serif" w:hAnsi="Times New Roman;Times;serif"/>
          <w:color w:val="231F20"/>
          <w:spacing w:val="-3"/>
          <w:sz w:val="20"/>
        </w:rPr>
        <w:t xml:space="preserve">process, </w:t>
      </w:r>
      <w:r>
        <w:rPr>
          <w:rFonts w:ascii="Times New Roman;Times;serif" w:hAnsi="Times New Roman;Times;serif"/>
          <w:color w:val="231F20"/>
          <w:sz w:val="20"/>
        </w:rPr>
        <w:t>and</w:t>
      </w:r>
      <w:r>
        <w:rPr>
          <w:rFonts w:ascii="Times New Roman;Times;serif" w:hAnsi="Times New Roman;Times;serif"/>
          <w:color w:val="231F20"/>
          <w:spacing w:val="-4"/>
          <w:sz w:val="20"/>
        </w:rPr>
        <w:t xml:space="preserve"> </w:t>
      </w:r>
      <w:r>
        <w:rPr>
          <w:rFonts w:ascii="Times New Roman;Times;serif" w:hAnsi="Times New Roman;Times;serif"/>
          <w:color w:val="231F20"/>
          <w:sz w:val="20"/>
        </w:rPr>
        <w:t>delays</w:t>
      </w:r>
      <w:r>
        <w:rPr>
          <w:rFonts w:ascii="Times New Roman;Times;serif" w:hAnsi="Times New Roman;Times;serif"/>
          <w:color w:val="231F20"/>
          <w:spacing w:val="-4"/>
          <w:sz w:val="20"/>
        </w:rPr>
        <w:t xml:space="preserve"> </w:t>
      </w:r>
      <w:r>
        <w:rPr>
          <w:rFonts w:ascii="Times New Roman;Times;serif" w:hAnsi="Times New Roman;Times;serif"/>
          <w:color w:val="231F20"/>
          <w:sz w:val="20"/>
        </w:rPr>
        <w:t>in</w:t>
      </w:r>
      <w:r>
        <w:rPr>
          <w:rFonts w:ascii="Times New Roman;Times;serif" w:hAnsi="Times New Roman;Times;serif"/>
          <w:color w:val="231F20"/>
          <w:spacing w:val="-4"/>
          <w:sz w:val="20"/>
        </w:rPr>
        <w:t xml:space="preserve"> </w:t>
      </w:r>
      <w:r>
        <w:rPr>
          <w:rFonts w:ascii="Times New Roman;Times;serif" w:hAnsi="Times New Roman;Times;serif"/>
          <w:color w:val="231F20"/>
          <w:sz w:val="20"/>
        </w:rPr>
        <w:t>obtaining</w:t>
      </w:r>
      <w:r>
        <w:rPr>
          <w:rFonts w:ascii="Times New Roman;Times;serif" w:hAnsi="Times New Roman;Times;serif"/>
          <w:color w:val="231F20"/>
          <w:spacing w:val="-4"/>
          <w:sz w:val="20"/>
        </w:rPr>
        <w:t xml:space="preserve"> </w:t>
      </w:r>
      <w:r>
        <w:rPr>
          <w:rFonts w:ascii="Times New Roman;Times;serif" w:hAnsi="Times New Roman;Times;serif"/>
          <w:color w:val="231F20"/>
          <w:sz w:val="20"/>
        </w:rPr>
        <w:t>required</w:t>
      </w:r>
      <w:r>
        <w:rPr>
          <w:rFonts w:ascii="Times New Roman;Times;serif" w:hAnsi="Times New Roman;Times;serif"/>
          <w:color w:val="231F20"/>
          <w:spacing w:val="-4"/>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4"/>
          <w:sz w:val="20"/>
        </w:rPr>
        <w:t xml:space="preserve"> </w:t>
      </w:r>
      <w:r>
        <w:rPr>
          <w:rFonts w:ascii="Times New Roman;Times;serif" w:hAnsi="Times New Roman;Times;serif"/>
          <w:color w:val="231F20"/>
          <w:sz w:val="20"/>
        </w:rPr>
        <w:t>clearances</w:t>
      </w:r>
      <w:r>
        <w:rPr>
          <w:rFonts w:ascii="Times New Roman;Times;serif" w:hAnsi="Times New Roman;Times;serif"/>
          <w:color w:val="231F20"/>
          <w:spacing w:val="-4"/>
          <w:sz w:val="20"/>
        </w:rPr>
        <w:t xml:space="preserve"> </w:t>
      </w:r>
      <w:r>
        <w:rPr>
          <w:rFonts w:ascii="Times New Roman;Times;serif" w:hAnsi="Times New Roman;Times;serif"/>
          <w:color w:val="231F20"/>
          <w:sz w:val="20"/>
        </w:rPr>
        <w:t>or</w:t>
      </w:r>
      <w:r>
        <w:rPr>
          <w:rFonts w:ascii="Times New Roman;Times;serif" w:hAnsi="Times New Roman;Times;serif"/>
          <w:color w:val="231F20"/>
          <w:spacing w:val="-4"/>
          <w:sz w:val="20"/>
        </w:rPr>
        <w:t xml:space="preserve"> approvals </w:t>
      </w:r>
      <w:r>
        <w:rPr>
          <w:rFonts w:ascii="Times New Roman;Times;serif" w:hAnsi="Times New Roman;Times;serif"/>
          <w:color w:val="231F20"/>
          <w:sz w:val="20"/>
        </w:rPr>
        <w:t>could</w:t>
      </w:r>
      <w:r>
        <w:rPr>
          <w:rFonts w:ascii="Times New Roman;Times;serif" w:hAnsi="Times New Roman;Times;serif"/>
          <w:color w:val="231F20"/>
          <w:spacing w:val="-3"/>
          <w:sz w:val="20"/>
        </w:rPr>
        <w:t xml:space="preserve"> </w:t>
      </w:r>
      <w:r>
        <w:rPr>
          <w:rFonts w:ascii="Times New Roman;Times;serif" w:hAnsi="Times New Roman;Times;serif"/>
          <w:color w:val="231F20"/>
          <w:sz w:val="20"/>
        </w:rPr>
        <w:t>adversely</w:t>
      </w:r>
      <w:r>
        <w:rPr>
          <w:rFonts w:ascii="Times New Roman;Times;serif" w:hAnsi="Times New Roman;Times;serif"/>
          <w:color w:val="231F20"/>
          <w:spacing w:val="-4"/>
          <w:sz w:val="20"/>
        </w:rPr>
        <w:t xml:space="preserve"> </w:t>
      </w:r>
      <w:r>
        <w:rPr>
          <w:rFonts w:ascii="Times New Roman;Times;serif" w:hAnsi="Times New Roman;Times;serif"/>
          <w:color w:val="231F20"/>
          <w:sz w:val="20"/>
        </w:rPr>
        <w:t>affect</w:t>
      </w:r>
      <w:r>
        <w:rPr>
          <w:rFonts w:ascii="Times New Roman;Times;serif" w:hAnsi="Times New Roman;Times;serif"/>
          <w:color w:val="231F20"/>
          <w:spacing w:val="-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4"/>
          <w:sz w:val="20"/>
        </w:rPr>
        <w:t xml:space="preserve"> </w:t>
      </w:r>
      <w:r>
        <w:rPr>
          <w:rFonts w:ascii="Times New Roman;Times;serif" w:hAnsi="Times New Roman;Times;serif"/>
          <w:color w:val="231F20"/>
          <w:sz w:val="20"/>
        </w:rPr>
        <w:t>ability</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 xml:space="preserve">introduce new or enhanced products in a timely </w:t>
      </w:r>
      <w:r>
        <w:rPr>
          <w:rFonts w:ascii="Times New Roman;Times;serif" w:hAnsi="Times New Roman;Times;serif"/>
          <w:color w:val="231F20"/>
          <w:spacing w:val="-3"/>
          <w:sz w:val="20"/>
        </w:rPr>
        <w:t xml:space="preserve">manner, </w:t>
      </w:r>
      <w:r>
        <w:rPr>
          <w:rFonts w:ascii="Times New Roman;Times;serif" w:hAnsi="Times New Roman;Times;serif"/>
          <w:color w:val="231F20"/>
          <w:sz w:val="20"/>
        </w:rPr>
        <w:t>which in turn would harm our future</w:t>
      </w:r>
      <w:r>
        <w:rPr>
          <w:rFonts w:ascii="Times New Roman;Times;serif" w:hAnsi="Times New Roman;Times;serif"/>
          <w:color w:val="231F20"/>
          <w:spacing w:val="-14"/>
          <w:sz w:val="20"/>
        </w:rPr>
        <w:t xml:space="preserve"> </w:t>
      </w:r>
      <w:r>
        <w:rPr>
          <w:rFonts w:ascii="Times New Roman;Times;serif" w:hAnsi="Times New Roman;Times;serif"/>
          <w:color w:val="231F20"/>
          <w:sz w:val="20"/>
        </w:rPr>
        <w:t>growth.</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Some of our other product candidates will require Risk Evaluation and Mitigation Strategies.</w:t>
      </w:r>
    </w:p>
    <w:p>
      <w:pPr>
        <w:pStyle w:val="TextBody"/>
        <w:spacing w:before="165" w:after="240"/>
        <w:ind w:left="0" w:right="0" w:firstLine="403"/>
        <w:jc w:val="both"/>
        <w:rPr>
          <w:rFonts w:ascii="Times New Roman;Times;serif" w:hAnsi="Times New Roman;Times;serif"/>
          <w:color w:val="231F20"/>
          <w:sz w:val="20"/>
        </w:rPr>
      </w:pPr>
      <w:r>
        <w:rPr>
          <w:rFonts w:ascii="Times New Roman;Times;serif" w:hAnsi="Times New Roman;Times;serif"/>
          <w:color w:val="231F20"/>
          <w:sz w:val="20"/>
        </w:rPr>
        <w:t>The FDA Amendments Act of 2007 implemented safety-related changes to product labeling and requires the adoption of REMS. Some of our product candidates, including the controlled substance-based products and potentially others, will require REMS. The REMS may include requirements for special labeling or medication guides for patients, special communication plans to health care professionals and restrictions on distribution and use.</w:t>
      </w:r>
    </w:p>
    <w:p>
      <w:pPr>
        <w:pStyle w:val="TextBody"/>
        <w:spacing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cannot predict the specific REMS to be required as part of the FDA’s approval of any of our products. Depending on the extent of the REMS requirements, our costs to commercialize our products may increase significantly. Furthermore, controlled substances risks that are not adequately addressed through proposed REMS for our product candidates may also prevent or delay their approval for commercialization.</w:t>
      </w:r>
    </w:p>
    <w:p>
      <w:pPr>
        <w:pStyle w:val="TextBody"/>
        <w:spacing w:before="1"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 xml:space="preserve">We </w:t>
      </w:r>
      <w:r>
        <w:rPr>
          <w:rFonts w:ascii="Times New Roman;Times;serif" w:hAnsi="Times New Roman;Times;serif"/>
          <w:b/>
          <w:i/>
          <w:color w:val="231F20"/>
          <w:sz w:val="20"/>
        </w:rPr>
        <w:t xml:space="preserve">are reliant on third party manufacturers to produce controlled substances that conform to our specifications and the </w:t>
      </w:r>
      <w:r>
        <w:rPr>
          <w:rFonts w:ascii="Times New Roman;Times;serif" w:hAnsi="Times New Roman;Times;serif"/>
          <w:b/>
          <w:i/>
          <w:color w:val="231F20"/>
          <w:spacing w:val="-8"/>
          <w:sz w:val="20"/>
        </w:rPr>
        <w:t xml:space="preserve">FDA’s </w:t>
      </w:r>
      <w:r>
        <w:rPr>
          <w:rFonts w:ascii="Times New Roman;Times;serif" w:hAnsi="Times New Roman;Times;serif"/>
          <w:b/>
          <w:i/>
          <w:color w:val="231F20"/>
          <w:sz w:val="20"/>
        </w:rPr>
        <w:t>strict regulatory requirements.</w:t>
      </w:r>
    </w:p>
    <w:p>
      <w:pPr>
        <w:pStyle w:val="TextBody"/>
        <w:spacing w:lineRule="auto" w:line="288" w:before="161" w:after="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 facilities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of our future manufacturers of controlled substances must be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 xml:space="preserve">by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after we submit our </w:t>
      </w:r>
      <w:r>
        <w:rPr>
          <w:rFonts w:ascii="Times New Roman;Times;serif" w:hAnsi="Times New Roman;Times;serif"/>
          <w:color w:val="231F20"/>
          <w:spacing w:val="-4"/>
          <w:sz w:val="20"/>
        </w:rPr>
        <w:t xml:space="preserve">NDA </w:t>
      </w:r>
      <w:r>
        <w:rPr>
          <w:rFonts w:ascii="Times New Roman;Times;serif" w:hAnsi="Times New Roman;Times;serif"/>
          <w:color w:val="231F20"/>
          <w:sz w:val="20"/>
        </w:rPr>
        <w:t xml:space="preserve">and before </w:t>
      </w:r>
      <w:r>
        <w:rPr>
          <w:rFonts w:ascii="Times New Roman;Times;serif" w:hAnsi="Times New Roman;Times;serif"/>
          <w:color w:val="231F20"/>
          <w:spacing w:val="-4"/>
          <w:sz w:val="20"/>
        </w:rPr>
        <w:t xml:space="preserve">approval.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are dependent on the continued adherence of third-party manufacturers to cGMP manufacturing. If our manufacturers cannot successfully produce material that conforms to our specifications and the </w:t>
      </w:r>
      <w:r>
        <w:rPr>
          <w:rFonts w:ascii="Times New Roman;Times;serif" w:hAnsi="Times New Roman;Times;serif"/>
          <w:color w:val="231F20"/>
          <w:spacing w:val="-12"/>
          <w:sz w:val="20"/>
        </w:rPr>
        <w:t xml:space="preserve">FDA’s </w:t>
      </w:r>
      <w:r>
        <w:rPr>
          <w:rFonts w:ascii="Times New Roman;Times;serif" w:hAnsi="Times New Roman;Times;serif"/>
          <w:color w:val="231F20"/>
          <w:sz w:val="20"/>
        </w:rPr>
        <w:t xml:space="preserve">strict regulatory requirements, they will not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secure </w:t>
      </w:r>
      <w:r>
        <w:rPr>
          <w:rFonts w:ascii="Times New Roman;Times;serif" w:hAnsi="Times New Roman;Times;serif"/>
          <w:color w:val="231F20"/>
          <w:spacing w:val="-4"/>
          <w:sz w:val="20"/>
        </w:rPr>
        <w:t xml:space="preserve">FDA approval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their manufacturing facilities. If the </w:t>
      </w:r>
      <w:r>
        <w:rPr>
          <w:rFonts w:ascii="Times New Roman;Times;serif" w:hAnsi="Times New Roman;Times;serif"/>
          <w:color w:val="231F20"/>
          <w:spacing w:val="-4"/>
          <w:sz w:val="20"/>
        </w:rPr>
        <w:t xml:space="preserve">FDA </w:t>
      </w:r>
      <w:r>
        <w:rPr>
          <w:rFonts w:ascii="Times New Roman;Times;serif" w:hAnsi="Times New Roman;Times;serif"/>
          <w:color w:val="231F20"/>
          <w:sz w:val="20"/>
        </w:rPr>
        <w:t xml:space="preserve">does not </w:t>
      </w:r>
      <w:r>
        <w:rPr>
          <w:rFonts w:ascii="Times New Roman;Times;serif" w:hAnsi="Times New Roman;Times;serif"/>
          <w:color w:val="231F20"/>
          <w:spacing w:val="-4"/>
          <w:sz w:val="20"/>
        </w:rPr>
        <w:t xml:space="preserve">approve </w:t>
      </w:r>
      <w:r>
        <w:rPr>
          <w:rFonts w:ascii="Times New Roman;Times;serif" w:hAnsi="Times New Roman;Times;serif"/>
          <w:color w:val="231F20"/>
          <w:sz w:val="20"/>
        </w:rPr>
        <w:t xml:space="preserve">these facilities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commercial manufacture, we will need to find alternative suppliers, which would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hanging="0"/>
        <w:jc w:val="both"/>
        <w:rPr>
          <w:rFonts w:ascii="Times New Roman;Times;serif" w:hAnsi="Times New Roman;Times;serif"/>
          <w:sz w:val="20"/>
        </w:rPr>
      </w:pPr>
      <w:r>
        <w:rPr>
          <w:rFonts w:ascii="Times New Roman;Times;serif" w:hAnsi="Times New Roman;Times;serif"/>
          <w:color w:val="231F20"/>
          <w:sz w:val="20"/>
        </w:rPr>
        <w:t xml:space="preserve">result in significant delays in obtaining </w:t>
      </w:r>
      <w:r>
        <w:rPr>
          <w:rFonts w:ascii="Times New Roman;Times;serif" w:hAnsi="Times New Roman;Times;serif"/>
          <w:color w:val="231F20"/>
          <w:spacing w:val="-4"/>
          <w:sz w:val="20"/>
        </w:rPr>
        <w:t xml:space="preserve">FDA </w:t>
      </w:r>
      <w:r>
        <w:rPr>
          <w:rFonts w:ascii="Times New Roman;Times;serif" w:hAnsi="Times New Roman;Times;serif"/>
          <w:color w:val="231F20"/>
          <w:spacing w:val="-5"/>
          <w:sz w:val="20"/>
        </w:rPr>
        <w:t xml:space="preserve">approvals. </w:t>
      </w:r>
      <w:r>
        <w:rPr>
          <w:rFonts w:ascii="Times New Roman;Times;serif" w:hAnsi="Times New Roman;Times;serif"/>
          <w:color w:val="231F20"/>
          <w:sz w:val="20"/>
        </w:rPr>
        <w:t xml:space="preserve">These challenges </w:t>
      </w:r>
      <w:r>
        <w:rPr>
          <w:rFonts w:ascii="Times New Roman;Times;serif" w:hAnsi="Times New Roman;Times;serif"/>
          <w:color w:val="231F20"/>
          <w:spacing w:val="-3"/>
          <w:sz w:val="20"/>
        </w:rPr>
        <w:t xml:space="preserve">may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a material adverse impact on our business, results of operations, financial condition and</w:t>
      </w:r>
      <w:r>
        <w:rPr>
          <w:rFonts w:ascii="Times New Roman;Times;serif" w:hAnsi="Times New Roman;Times;serif"/>
          <w:color w:val="231F20"/>
          <w:spacing w:val="-13"/>
          <w:sz w:val="20"/>
        </w:rPr>
        <w:t xml:space="preserve"> </w:t>
      </w:r>
      <w:r>
        <w:rPr>
          <w:rFonts w:ascii="Times New Roman;Times;serif" w:hAnsi="Times New Roman;Times;serif"/>
          <w:color w:val="231F20"/>
          <w:sz w:val="20"/>
        </w:rPr>
        <w:t>prospects.</w:t>
      </w:r>
    </w:p>
    <w:p>
      <w:pPr>
        <w:pStyle w:val="TextBody"/>
        <w:spacing w:before="232"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Risks Related to Intellectual Property</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Our business relies on certain licensing rights that can be terminated in certain circumstances.</w:t>
      </w:r>
    </w:p>
    <w:p>
      <w:pPr>
        <w:pStyle w:val="TextBody"/>
        <w:spacing w:lineRule="auto" w:line="288" w:before="161"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Our ability to continue to develop our product candidates is dependent on the use of certain intellectual property that is licensed to us, or in the process of being licensed to us, by third parties. These licenses are granted, or being granted, pursuant to agreements setting forth certain terms and condition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maintaining such licenses. In the event that the terms and conditions are not met, the licenses are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risk of being </w:t>
      </w:r>
      <w:r>
        <w:rPr>
          <w:rFonts w:ascii="Times New Roman;Times;serif" w:hAnsi="Times New Roman;Times;serif"/>
          <w:color w:val="231F20"/>
          <w:spacing w:val="-4"/>
          <w:sz w:val="20"/>
        </w:rPr>
        <w:t>revoked</w:t>
      </w:r>
      <w:r>
        <w:rPr>
          <w:rFonts w:ascii="Times New Roman;Times;serif" w:hAnsi="Times New Roman;Times;serif"/>
          <w:color w:val="231F20"/>
          <w:spacing w:val="-1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7"/>
          <w:sz w:val="20"/>
        </w:rPr>
        <w:t xml:space="preserve"> </w:t>
      </w:r>
      <w:r>
        <w:rPr>
          <w:rFonts w:ascii="Times New Roman;Times;serif" w:hAnsi="Times New Roman;Times;serif"/>
          <w:color w:val="231F20"/>
          <w:sz w:val="20"/>
        </w:rPr>
        <w:t>granting</w:t>
      </w:r>
      <w:r>
        <w:rPr>
          <w:rFonts w:ascii="Times New Roman;Times;serif" w:hAnsi="Times New Roman;Times;serif"/>
          <w:color w:val="231F20"/>
          <w:spacing w:val="-17"/>
          <w:sz w:val="20"/>
        </w:rPr>
        <w:t xml:space="preserve"> </w:t>
      </w:r>
      <w:r>
        <w:rPr>
          <w:rFonts w:ascii="Times New Roman;Times;serif" w:hAnsi="Times New Roman;Times;serif"/>
          <w:color w:val="231F20"/>
          <w:sz w:val="20"/>
        </w:rPr>
        <w:t>process</w:t>
      </w:r>
      <w:r>
        <w:rPr>
          <w:rFonts w:ascii="Times New Roman;Times;serif" w:hAnsi="Times New Roman;Times;serif"/>
          <w:color w:val="231F20"/>
          <w:spacing w:val="-17"/>
          <w:sz w:val="20"/>
        </w:rPr>
        <w:t xml:space="preserve"> </w:t>
      </w:r>
      <w:r>
        <w:rPr>
          <w:rFonts w:ascii="Times New Roman;Times;serif" w:hAnsi="Times New Roman;Times;serif"/>
          <w:color w:val="231F20"/>
          <w:spacing w:val="-4"/>
          <w:sz w:val="20"/>
        </w:rPr>
        <w:t>may</w:t>
      </w:r>
      <w:r>
        <w:rPr>
          <w:rFonts w:ascii="Times New Roman;Times;serif" w:hAnsi="Times New Roman;Times;serif"/>
          <w:color w:val="231F20"/>
          <w:spacing w:val="-18"/>
          <w:sz w:val="20"/>
        </w:rPr>
        <w:t xml:space="preserve"> </w:t>
      </w:r>
      <w:r>
        <w:rPr>
          <w:rFonts w:ascii="Times New Roman;Times;serif" w:hAnsi="Times New Roman;Times;serif"/>
          <w:color w:val="231F20"/>
          <w:sz w:val="20"/>
        </w:rPr>
        <w:t>be</w:t>
      </w:r>
      <w:r>
        <w:rPr>
          <w:rFonts w:ascii="Times New Roman;Times;serif" w:hAnsi="Times New Roman;Times;serif"/>
          <w:color w:val="231F20"/>
          <w:spacing w:val="-17"/>
          <w:sz w:val="20"/>
        </w:rPr>
        <w:t xml:space="preserve"> </w:t>
      </w:r>
      <w:r>
        <w:rPr>
          <w:rFonts w:ascii="Times New Roman;Times;serif" w:hAnsi="Times New Roman;Times;serif"/>
          <w:color w:val="231F20"/>
          <w:sz w:val="20"/>
        </w:rPr>
        <w:t>terminated.</w:t>
      </w:r>
      <w:r>
        <w:rPr>
          <w:rFonts w:ascii="Times New Roman;Times;serif" w:hAnsi="Times New Roman;Times;serif"/>
          <w:color w:val="231F20"/>
          <w:spacing w:val="-1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7"/>
          <w:sz w:val="20"/>
        </w:rPr>
        <w:t xml:space="preserve"> </w:t>
      </w:r>
      <w:r>
        <w:rPr>
          <w:rFonts w:ascii="Times New Roman;Times;serif" w:hAnsi="Times New Roman;Times;serif"/>
          <w:color w:val="231F20"/>
          <w:sz w:val="20"/>
        </w:rPr>
        <w:t>primary</w:t>
      </w:r>
      <w:r>
        <w:rPr>
          <w:rFonts w:ascii="Times New Roman;Times;serif" w:hAnsi="Times New Roman;Times;serif"/>
          <w:color w:val="231F20"/>
          <w:spacing w:val="-17"/>
          <w:sz w:val="20"/>
        </w:rPr>
        <w:t xml:space="preserve"> </w:t>
      </w:r>
      <w:r>
        <w:rPr>
          <w:rFonts w:ascii="Times New Roman;Times;serif" w:hAnsi="Times New Roman;Times;serif"/>
          <w:color w:val="231F20"/>
          <w:sz w:val="20"/>
        </w:rPr>
        <w:t>license</w:t>
      </w:r>
      <w:r>
        <w:rPr>
          <w:rFonts w:ascii="Times New Roman;Times;serif" w:hAnsi="Times New Roman;Times;serif"/>
          <w:color w:val="231F20"/>
          <w:spacing w:val="-17"/>
          <w:sz w:val="20"/>
        </w:rPr>
        <w:t xml:space="preserve"> </w:t>
      </w:r>
      <w:r>
        <w:rPr>
          <w:rFonts w:ascii="Times New Roman;Times;serif" w:hAnsi="Times New Roman;Times;serif"/>
          <w:color w:val="231F20"/>
          <w:sz w:val="20"/>
        </w:rPr>
        <w:t>agreements</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include</w:t>
      </w:r>
      <w:r>
        <w:rPr>
          <w:rFonts w:ascii="Times New Roman;Times;serif" w:hAnsi="Times New Roman;Times;serif"/>
          <w:color w:val="231F20"/>
          <w:spacing w:val="-1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7"/>
          <w:sz w:val="20"/>
        </w:rPr>
        <w:t xml:space="preserve"> </w:t>
      </w:r>
      <w:r>
        <w:rPr>
          <w:rFonts w:ascii="Times New Roman;Times;serif" w:hAnsi="Times New Roman;Times;serif"/>
          <w:color w:val="231F20"/>
          <w:sz w:val="20"/>
        </w:rPr>
        <w:t xml:space="preserve">Development and License Agreement, as amended, between Glytech LLC (“Glytech”) and NeuroRx (the “Glytech DLA”) and the Exclusive License Agreement, dated as of April 16, 2019, by and between NeuroRx and </w:t>
      </w:r>
      <w:r>
        <w:rPr>
          <w:rFonts w:ascii="Times New Roman;Times;serif" w:hAnsi="Times New Roman;Times;serif"/>
          <w:color w:val="231F20"/>
          <w:spacing w:val="-3"/>
          <w:sz w:val="20"/>
        </w:rPr>
        <w:t xml:space="preserve">Sarah </w:t>
      </w:r>
      <w:r>
        <w:rPr>
          <w:rFonts w:ascii="Times New Roman;Times;serif" w:hAnsi="Times New Roman;Times;serif"/>
          <w:color w:val="231F20"/>
          <w:sz w:val="20"/>
        </w:rPr>
        <w:t>Herzog</w:t>
      </w:r>
      <w:r>
        <w:rPr>
          <w:rFonts w:ascii="Times New Roman;Times;serif" w:hAnsi="Times New Roman;Times;serif"/>
          <w:color w:val="231F20"/>
          <w:spacing w:val="-10"/>
          <w:sz w:val="20"/>
        </w:rPr>
        <w:t xml:space="preserve"> </w:t>
      </w:r>
      <w:r>
        <w:rPr>
          <w:rFonts w:ascii="Times New Roman;Times;serif" w:hAnsi="Times New Roman;Times;serif"/>
          <w:color w:val="231F20"/>
          <w:sz w:val="20"/>
        </w:rPr>
        <w:t>Memorial</w:t>
      </w:r>
      <w:r>
        <w:rPr>
          <w:rFonts w:ascii="Times New Roman;Times;serif" w:hAnsi="Times New Roman;Times;serif"/>
          <w:color w:val="231F20"/>
          <w:spacing w:val="-10"/>
          <w:sz w:val="20"/>
        </w:rPr>
        <w:t xml:space="preserve"> </w:t>
      </w:r>
      <w:r>
        <w:rPr>
          <w:rFonts w:ascii="Times New Roman;Times;serif" w:hAnsi="Times New Roman;Times;serif"/>
          <w:color w:val="231F20"/>
          <w:sz w:val="20"/>
        </w:rPr>
        <w:t>Hospital</w:t>
      </w:r>
      <w:r>
        <w:rPr>
          <w:rFonts w:ascii="Times New Roman;Times;serif" w:hAnsi="Times New Roman;Times;serif"/>
          <w:color w:val="231F20"/>
          <w:spacing w:val="-9"/>
          <w:sz w:val="20"/>
        </w:rPr>
        <w:t xml:space="preserve"> </w:t>
      </w:r>
      <w:r>
        <w:rPr>
          <w:rFonts w:ascii="Times New Roman;Times;serif" w:hAnsi="Times New Roman;Times;serif"/>
          <w:color w:val="231F20"/>
          <w:sz w:val="20"/>
        </w:rPr>
        <w:t>Ezrat</w:t>
      </w:r>
      <w:r>
        <w:rPr>
          <w:rFonts w:ascii="Times New Roman;Times;serif" w:hAnsi="Times New Roman;Times;serif"/>
          <w:color w:val="231F20"/>
          <w:spacing w:val="-10"/>
          <w:sz w:val="20"/>
        </w:rPr>
        <w:t xml:space="preserve"> </w:t>
      </w:r>
      <w:r>
        <w:rPr>
          <w:rFonts w:ascii="Times New Roman;Times;serif" w:hAnsi="Times New Roman;Times;serif"/>
          <w:color w:val="231F20"/>
          <w:sz w:val="20"/>
        </w:rPr>
        <w:t>Nashim.</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may require additional licensing rights in the future, which may not be attainable.</w:t>
      </w:r>
    </w:p>
    <w:p>
      <w:pPr>
        <w:pStyle w:val="TextBody"/>
        <w:spacing w:lineRule="auto" w:line="288" w:before="16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Our ability to fully develop the full commercial potential of our product candidates may require us to acquire additional licensing rights from third parties in the future. There are no assurances that such rights will be available in the market when required, or that an agreement could be reached to license such rights from a third party on terms acceptable to us.</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may not succeed at in-licensing drug candidates or technologies to expand our product pipeline.</w:t>
      </w:r>
    </w:p>
    <w:p>
      <w:pPr>
        <w:pStyle w:val="TextBody"/>
        <w:spacing w:lineRule="auto" w:line="288" w:before="167"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We</w:t>
      </w:r>
      <w:r>
        <w:rPr>
          <w:rFonts w:ascii="Times New Roman;Times;serif" w:hAnsi="Times New Roman;Times;serif"/>
          <w:color w:val="231F20"/>
          <w:spacing w:val="-17"/>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6"/>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6"/>
          <w:sz w:val="20"/>
        </w:rPr>
        <w:t xml:space="preserve"> </w:t>
      </w:r>
      <w:r>
        <w:rPr>
          <w:rFonts w:ascii="Times New Roman;Times;serif" w:hAnsi="Times New Roman;Times;serif"/>
          <w:color w:val="231F20"/>
          <w:sz w:val="20"/>
        </w:rPr>
        <w:t>be</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16"/>
          <w:sz w:val="20"/>
        </w:rPr>
        <w:t xml:space="preserve"> </w:t>
      </w:r>
      <w:r>
        <w:rPr>
          <w:rFonts w:ascii="Times New Roman;Times;serif" w:hAnsi="Times New Roman;Times;serif"/>
          <w:color w:val="231F20"/>
          <w:sz w:val="20"/>
        </w:rPr>
        <w:t>to</w:t>
      </w:r>
      <w:r>
        <w:rPr>
          <w:rFonts w:ascii="Times New Roman;Times;serif" w:hAnsi="Times New Roman;Times;serif"/>
          <w:color w:val="231F20"/>
          <w:spacing w:val="-17"/>
          <w:sz w:val="20"/>
        </w:rPr>
        <w:t xml:space="preserve"> </w:t>
      </w:r>
      <w:r>
        <w:rPr>
          <w:rFonts w:ascii="Times New Roman;Times;serif" w:hAnsi="Times New Roman;Times;serif"/>
          <w:color w:val="231F20"/>
          <w:sz w:val="20"/>
        </w:rPr>
        <w:t>successfully</w:t>
      </w:r>
      <w:r>
        <w:rPr>
          <w:rFonts w:ascii="Times New Roman;Times;serif" w:hAnsi="Times New Roman;Times;serif"/>
          <w:color w:val="231F20"/>
          <w:spacing w:val="-16"/>
          <w:sz w:val="20"/>
        </w:rPr>
        <w:t xml:space="preserve"> </w:t>
      </w:r>
      <w:r>
        <w:rPr>
          <w:rFonts w:ascii="Times New Roman;Times;serif" w:hAnsi="Times New Roman;Times;serif"/>
          <w:color w:val="231F20"/>
          <w:sz w:val="20"/>
        </w:rPr>
        <w:t>in-license</w:t>
      </w:r>
      <w:r>
        <w:rPr>
          <w:rFonts w:ascii="Times New Roman;Times;serif" w:hAnsi="Times New Roman;Times;serif"/>
          <w:color w:val="231F20"/>
          <w:spacing w:val="-16"/>
          <w:sz w:val="20"/>
        </w:rPr>
        <w:t xml:space="preserve"> </w:t>
      </w:r>
      <w:r>
        <w:rPr>
          <w:rFonts w:ascii="Times New Roman;Times;serif" w:hAnsi="Times New Roman;Times;serif"/>
          <w:color w:val="231F20"/>
          <w:sz w:val="20"/>
        </w:rPr>
        <w:t>(</w:t>
      </w:r>
      <w:r>
        <w:rPr>
          <w:rFonts w:ascii="Times New Roman;Times;serif" w:hAnsi="Times New Roman;Times;serif"/>
          <w:i/>
          <w:color w:val="231F20"/>
          <w:sz w:val="20"/>
        </w:rPr>
        <w:t>i.e.</w:t>
      </w:r>
      <w:r>
        <w:rPr>
          <w:rFonts w:ascii="Times New Roman;Times;serif" w:hAnsi="Times New Roman;Times;serif"/>
          <w:color w:val="231F20"/>
          <w:sz w:val="20"/>
        </w:rPr>
        <w:t>,</w:t>
      </w:r>
      <w:r>
        <w:rPr>
          <w:rFonts w:ascii="Times New Roman;Times;serif" w:hAnsi="Times New Roman;Times;serif"/>
          <w:color w:val="231F20"/>
          <w:spacing w:val="-16"/>
          <w:sz w:val="20"/>
        </w:rPr>
        <w:t xml:space="preserve"> </w:t>
      </w:r>
      <w:r>
        <w:rPr>
          <w:rFonts w:ascii="Times New Roman;Times;serif" w:hAnsi="Times New Roman;Times;serif"/>
          <w:color w:val="231F20"/>
          <w:sz w:val="20"/>
        </w:rPr>
        <w:t>licensing</w:t>
      </w:r>
      <w:r>
        <w:rPr>
          <w:rFonts w:ascii="Times New Roman;Times;serif" w:hAnsi="Times New Roman;Times;serif"/>
          <w:color w:val="231F20"/>
          <w:spacing w:val="-16"/>
          <w:sz w:val="20"/>
        </w:rPr>
        <w:t xml:space="preserve"> </w:t>
      </w:r>
      <w:r>
        <w:rPr>
          <w:rFonts w:ascii="Times New Roman;Times;serif" w:hAnsi="Times New Roman;Times;serif"/>
          <w:color w:val="231F20"/>
          <w:sz w:val="20"/>
        </w:rPr>
        <w:t>of patent</w:t>
      </w:r>
      <w:r>
        <w:rPr>
          <w:rFonts w:ascii="Times New Roman;Times;serif" w:hAnsi="Times New Roman;Times;serif"/>
          <w:color w:val="231F20"/>
          <w:spacing w:val="-16"/>
          <w:sz w:val="20"/>
        </w:rPr>
        <w:t xml:space="preserve"> </w:t>
      </w:r>
      <w:r>
        <w:rPr>
          <w:rFonts w:ascii="Times New Roman;Times;serif" w:hAnsi="Times New Roman;Times;serif"/>
          <w:color w:val="231F20"/>
          <w:sz w:val="20"/>
        </w:rPr>
        <w:t>technology</w:t>
      </w:r>
      <w:r>
        <w:rPr>
          <w:rFonts w:ascii="Times New Roman;Times;serif" w:hAnsi="Times New Roman;Times;serif"/>
          <w:color w:val="231F20"/>
          <w:spacing w:val="-16"/>
          <w:sz w:val="20"/>
        </w:rPr>
        <w:t xml:space="preserve"> </w:t>
      </w:r>
      <w:r>
        <w:rPr>
          <w:rFonts w:ascii="Times New Roman;Times;serif" w:hAnsi="Times New Roman;Times;serif"/>
          <w:color w:val="231F20"/>
          <w:sz w:val="20"/>
        </w:rPr>
        <w:t>or</w:t>
      </w:r>
      <w:r>
        <w:rPr>
          <w:rFonts w:ascii="Times New Roman;Times;serif" w:hAnsi="Times New Roman;Times;serif"/>
          <w:color w:val="231F20"/>
          <w:spacing w:val="-16"/>
          <w:sz w:val="20"/>
        </w:rPr>
        <w:t xml:space="preserve"> </w:t>
      </w:r>
      <w:r>
        <w:rPr>
          <w:rFonts w:ascii="Times New Roman;Times;serif" w:hAnsi="Times New Roman;Times;serif"/>
          <w:color w:val="231F20"/>
          <w:sz w:val="20"/>
        </w:rPr>
        <w:t>know-how</w:t>
      </w:r>
      <w:r>
        <w:rPr>
          <w:rFonts w:ascii="Times New Roman;Times;serif" w:hAnsi="Times New Roman;Times;serif"/>
          <w:color w:val="231F20"/>
          <w:spacing w:val="-17"/>
          <w:sz w:val="20"/>
        </w:rPr>
        <w:t xml:space="preserve"> </w:t>
      </w:r>
      <w:r>
        <w:rPr>
          <w:rFonts w:ascii="Times New Roman;Times;serif" w:hAnsi="Times New Roman;Times;serif"/>
          <w:color w:val="231F20"/>
          <w:sz w:val="20"/>
        </w:rPr>
        <w:t xml:space="preserve">developed by a third party in lieu of developing the technology ourselves) drug candidates or technologies to expand our product pipeline. The number of such candidates and technologies is limited. Competition among large pharmaceutical companies and biopharmaceutical companies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promising drug candidates and technologies</w:t>
      </w:r>
      <w:r>
        <w:rPr>
          <w:rFonts w:ascii="Times New Roman;Times;serif" w:hAnsi="Times New Roman;Times;serif"/>
          <w:color w:val="231F20"/>
          <w:spacing w:val="-9"/>
          <w:sz w:val="20"/>
        </w:rPr>
        <w:t xml:space="preserve"> </w:t>
      </w:r>
      <w:r>
        <w:rPr>
          <w:rFonts w:ascii="Times New Roman;Times;serif" w:hAnsi="Times New Roman;Times;serif"/>
          <w:color w:val="231F20"/>
          <w:sz w:val="20"/>
        </w:rPr>
        <w:t>is</w:t>
      </w:r>
      <w:r>
        <w:rPr>
          <w:rFonts w:ascii="Times New Roman;Times;serif" w:hAnsi="Times New Roman;Times;serif"/>
          <w:color w:val="231F20"/>
          <w:spacing w:val="-8"/>
          <w:sz w:val="20"/>
        </w:rPr>
        <w:t xml:space="preserve"> </w:t>
      </w:r>
      <w:r>
        <w:rPr>
          <w:rFonts w:ascii="Times New Roman;Times;serif" w:hAnsi="Times New Roman;Times;serif"/>
          <w:color w:val="231F20"/>
          <w:sz w:val="20"/>
        </w:rPr>
        <w:t>intense</w:t>
      </w:r>
      <w:r>
        <w:rPr>
          <w:rFonts w:ascii="Times New Roman;Times;serif" w:hAnsi="Times New Roman;Times;serif"/>
          <w:color w:val="231F20"/>
          <w:spacing w:val="-8"/>
          <w:sz w:val="20"/>
        </w:rPr>
        <w:t xml:space="preserve"> </w:t>
      </w:r>
      <w:r>
        <w:rPr>
          <w:rFonts w:ascii="Times New Roman;Times;serif" w:hAnsi="Times New Roman;Times;serif"/>
          <w:color w:val="231F20"/>
          <w:sz w:val="20"/>
        </w:rPr>
        <w:t>because</w:t>
      </w:r>
      <w:r>
        <w:rPr>
          <w:rFonts w:ascii="Times New Roman;Times;serif" w:hAnsi="Times New Roman;Times;serif"/>
          <w:color w:val="231F20"/>
          <w:spacing w:val="-8"/>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8"/>
          <w:sz w:val="20"/>
        </w:rPr>
        <w:t xml:space="preserve"> </w:t>
      </w:r>
      <w:r>
        <w:rPr>
          <w:rFonts w:ascii="Times New Roman;Times;serif" w:hAnsi="Times New Roman;Times;serif"/>
          <w:color w:val="231F20"/>
          <w:sz w:val="20"/>
        </w:rPr>
        <w:t>companies</w:t>
      </w:r>
      <w:r>
        <w:rPr>
          <w:rFonts w:ascii="Times New Roman;Times;serif" w:hAnsi="Times New Roman;Times;serif"/>
          <w:color w:val="231F20"/>
          <w:spacing w:val="-8"/>
          <w:sz w:val="20"/>
        </w:rPr>
        <w:t xml:space="preserve"> </w:t>
      </w:r>
      <w:r>
        <w:rPr>
          <w:rFonts w:ascii="Times New Roman;Times;serif" w:hAnsi="Times New Roman;Times;serif"/>
          <w:color w:val="231F20"/>
          <w:sz w:val="20"/>
        </w:rPr>
        <w:t>generally</w:t>
      </w:r>
      <w:r>
        <w:rPr>
          <w:rFonts w:ascii="Times New Roman;Times;serif" w:hAnsi="Times New Roman;Times;serif"/>
          <w:color w:val="231F20"/>
          <w:spacing w:val="-8"/>
          <w:sz w:val="20"/>
        </w:rPr>
        <w:t xml:space="preserve"> </w:t>
      </w:r>
      <w:r>
        <w:rPr>
          <w:rFonts w:ascii="Times New Roman;Times;serif" w:hAnsi="Times New Roman;Times;serif"/>
          <w:color w:val="231F20"/>
          <w:sz w:val="20"/>
        </w:rPr>
        <w:t>desire</w:t>
      </w:r>
      <w:r>
        <w:rPr>
          <w:rFonts w:ascii="Times New Roman;Times;serif" w:hAnsi="Times New Roman;Times;serif"/>
          <w:color w:val="231F20"/>
          <w:spacing w:val="-8"/>
          <w:sz w:val="20"/>
        </w:rPr>
        <w:t xml:space="preserve"> </w:t>
      </w:r>
      <w:r>
        <w:rPr>
          <w:rFonts w:ascii="Times New Roman;Times;serif" w:hAnsi="Times New Roman;Times;serif"/>
          <w:color w:val="231F20"/>
          <w:sz w:val="20"/>
        </w:rPr>
        <w:t>to</w:t>
      </w:r>
      <w:r>
        <w:rPr>
          <w:rFonts w:ascii="Times New Roman;Times;serif" w:hAnsi="Times New Roman;Times;serif"/>
          <w:color w:val="231F20"/>
          <w:spacing w:val="-9"/>
          <w:sz w:val="20"/>
        </w:rPr>
        <w:t xml:space="preserve"> </w:t>
      </w:r>
      <w:r>
        <w:rPr>
          <w:rFonts w:ascii="Times New Roman;Times;serif" w:hAnsi="Times New Roman;Times;serif"/>
          <w:color w:val="231F20"/>
          <w:sz w:val="20"/>
        </w:rPr>
        <w:t>expand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their</w:t>
      </w:r>
      <w:r>
        <w:rPr>
          <w:rFonts w:ascii="Times New Roman;Times;serif" w:hAnsi="Times New Roman;Times;serif"/>
          <w:color w:val="231F20"/>
          <w:spacing w:val="-8"/>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8"/>
          <w:sz w:val="20"/>
        </w:rPr>
        <w:t xml:space="preserve"> </w:t>
      </w:r>
      <w:r>
        <w:rPr>
          <w:rFonts w:ascii="Times New Roman;Times;serif" w:hAnsi="Times New Roman;Times;serif"/>
          <w:color w:val="231F20"/>
          <w:sz w:val="20"/>
        </w:rPr>
        <w:t>pipelines</w:t>
      </w:r>
      <w:r>
        <w:rPr>
          <w:rFonts w:ascii="Times New Roman;Times;serif" w:hAnsi="Times New Roman;Times;serif"/>
          <w:color w:val="231F20"/>
          <w:spacing w:val="-8"/>
          <w:sz w:val="20"/>
        </w:rPr>
        <w:t xml:space="preserve"> </w:t>
      </w:r>
      <w:r>
        <w:rPr>
          <w:rFonts w:ascii="Times New Roman;Times;serif" w:hAnsi="Times New Roman;Times;serif"/>
          <w:color w:val="231F20"/>
          <w:sz w:val="20"/>
        </w:rPr>
        <w:t>through</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in- licensing. If we are unable to carry out such in-licensing and expand our product pipeline, our potential future </w:t>
      </w:r>
      <w:r>
        <w:rPr>
          <w:rFonts w:ascii="Times New Roman;Times;serif" w:hAnsi="Times New Roman;Times;serif"/>
          <w:color w:val="231F20"/>
          <w:spacing w:val="-3"/>
          <w:sz w:val="20"/>
        </w:rPr>
        <w:t>revenues may</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suffer.</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Our business depends upon securing and protecting critical intellectual property.</w:t>
      </w:r>
    </w:p>
    <w:p>
      <w:pPr>
        <w:pStyle w:val="TextBody"/>
        <w:spacing w:lineRule="auto" w:line="288" w:before="167"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Our commercial success will depend in part on our obtaining and maintaining patent, trade secret, copyright and trademark protection of our technologies in the U.S. and other jurisdictions as well as successfully enforcing this intellectual property and defending this intellectual property against third-party challenges.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will only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protect our technologies from unauthorized use by third parties to the extent that </w:t>
      </w:r>
      <w:r>
        <w:rPr>
          <w:rFonts w:ascii="Times New Roman;Times;serif" w:hAnsi="Times New Roman;Times;serif"/>
          <w:color w:val="231F20"/>
          <w:spacing w:val="-3"/>
          <w:sz w:val="20"/>
        </w:rPr>
        <w:t xml:space="preserve">valid </w:t>
      </w:r>
      <w:r>
        <w:rPr>
          <w:rFonts w:ascii="Times New Roman;Times;serif" w:hAnsi="Times New Roman;Times;serif"/>
          <w:color w:val="231F20"/>
          <w:sz w:val="20"/>
        </w:rPr>
        <w:t xml:space="preserve">and </w:t>
      </w:r>
      <w:r>
        <w:rPr>
          <w:rFonts w:ascii="Times New Roman;Times;serif" w:hAnsi="Times New Roman;Times;serif"/>
          <w:color w:val="231F20"/>
          <w:spacing w:val="-3"/>
          <w:sz w:val="20"/>
        </w:rPr>
        <w:t xml:space="preserve">enforceable </w:t>
      </w:r>
      <w:r>
        <w:rPr>
          <w:rFonts w:ascii="Times New Roman;Times;serif" w:hAnsi="Times New Roman;Times;serif"/>
          <w:color w:val="231F20"/>
          <w:sz w:val="20"/>
        </w:rPr>
        <w:t xml:space="preserve">intellectual property protection, such as patents or trade secrets, cover them. In particular, we place considerable emphasis on obtaining patent and trade secret protection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significant new technologies, products and processes. Furthermore, the degree of future protection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4"/>
          <w:sz w:val="20"/>
        </w:rPr>
        <w:t xml:space="preserve"> </w:t>
      </w:r>
      <w:r>
        <w:rPr>
          <w:rFonts w:ascii="Times New Roman;Times;serif" w:hAnsi="Times New Roman;Times;serif"/>
          <w:color w:val="231F20"/>
          <w:sz w:val="20"/>
        </w:rPr>
        <w:t>proprietary</w:t>
      </w:r>
      <w:r>
        <w:rPr>
          <w:rFonts w:ascii="Times New Roman;Times;serif" w:hAnsi="Times New Roman;Times;serif"/>
          <w:color w:val="231F20"/>
          <w:spacing w:val="-24"/>
          <w:sz w:val="20"/>
        </w:rPr>
        <w:t xml:space="preserve"> </w:t>
      </w:r>
      <w:r>
        <w:rPr>
          <w:rFonts w:ascii="Times New Roman;Times;serif" w:hAnsi="Times New Roman;Times;serif"/>
          <w:color w:val="231F20"/>
          <w:sz w:val="20"/>
        </w:rPr>
        <w:t>rights</w:t>
      </w:r>
      <w:r>
        <w:rPr>
          <w:rFonts w:ascii="Times New Roman;Times;serif" w:hAnsi="Times New Roman;Times;serif"/>
          <w:color w:val="231F20"/>
          <w:spacing w:val="-24"/>
          <w:sz w:val="20"/>
        </w:rPr>
        <w:t xml:space="preserve"> </w:t>
      </w:r>
      <w:r>
        <w:rPr>
          <w:rFonts w:ascii="Times New Roman;Times;serif" w:hAnsi="Times New Roman;Times;serif"/>
          <w:color w:val="231F20"/>
          <w:sz w:val="20"/>
        </w:rPr>
        <w:t>is</w:t>
      </w:r>
      <w:r>
        <w:rPr>
          <w:rFonts w:ascii="Times New Roman;Times;serif" w:hAnsi="Times New Roman;Times;serif"/>
          <w:color w:val="231F20"/>
          <w:spacing w:val="-24"/>
          <w:sz w:val="20"/>
        </w:rPr>
        <w:t xml:space="preserve"> </w:t>
      </w:r>
      <w:r>
        <w:rPr>
          <w:rFonts w:ascii="Times New Roman;Times;serif" w:hAnsi="Times New Roman;Times;serif"/>
          <w:color w:val="231F20"/>
          <w:sz w:val="20"/>
        </w:rPr>
        <w:t>uncertain</w:t>
      </w:r>
      <w:r>
        <w:rPr>
          <w:rFonts w:ascii="Times New Roman;Times;serif" w:hAnsi="Times New Roman;Times;serif"/>
          <w:color w:val="231F20"/>
          <w:spacing w:val="-24"/>
          <w:sz w:val="20"/>
        </w:rPr>
        <w:t xml:space="preserve"> </w:t>
      </w:r>
      <w:r>
        <w:rPr>
          <w:rFonts w:ascii="Times New Roman;Times;serif" w:hAnsi="Times New Roman;Times;serif"/>
          <w:color w:val="231F20"/>
          <w:sz w:val="20"/>
        </w:rPr>
        <w:t>because</w:t>
      </w:r>
      <w:r>
        <w:rPr>
          <w:rFonts w:ascii="Times New Roman;Times;serif" w:hAnsi="Times New Roman;Times;serif"/>
          <w:color w:val="231F20"/>
          <w:spacing w:val="-24"/>
          <w:sz w:val="20"/>
        </w:rPr>
        <w:t xml:space="preserve"> </w:t>
      </w:r>
      <w:r>
        <w:rPr>
          <w:rFonts w:ascii="Times New Roman;Times;serif" w:hAnsi="Times New Roman;Times;serif"/>
          <w:color w:val="231F20"/>
          <w:sz w:val="20"/>
        </w:rPr>
        <w:t>legal</w:t>
      </w:r>
      <w:r>
        <w:rPr>
          <w:rFonts w:ascii="Times New Roman;Times;serif" w:hAnsi="Times New Roman;Times;serif"/>
          <w:color w:val="231F20"/>
          <w:spacing w:val="-23"/>
          <w:sz w:val="20"/>
        </w:rPr>
        <w:t xml:space="preserve"> </w:t>
      </w:r>
      <w:r>
        <w:rPr>
          <w:rFonts w:ascii="Times New Roman;Times;serif" w:hAnsi="Times New Roman;Times;serif"/>
          <w:color w:val="231F20"/>
          <w:sz w:val="20"/>
        </w:rPr>
        <w:t>means</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afford</w:t>
      </w:r>
      <w:r>
        <w:rPr>
          <w:rFonts w:ascii="Times New Roman;Times;serif" w:hAnsi="Times New Roman;Times;serif"/>
          <w:color w:val="231F20"/>
          <w:spacing w:val="-24"/>
          <w:sz w:val="20"/>
        </w:rPr>
        <w:t xml:space="preserve"> </w:t>
      </w:r>
      <w:r>
        <w:rPr>
          <w:rFonts w:ascii="Times New Roman;Times;serif" w:hAnsi="Times New Roman;Times;serif"/>
          <w:color w:val="231F20"/>
          <w:sz w:val="20"/>
        </w:rPr>
        <w:t>only</w:t>
      </w:r>
      <w:r>
        <w:rPr>
          <w:rFonts w:ascii="Times New Roman;Times;serif" w:hAnsi="Times New Roman;Times;serif"/>
          <w:color w:val="231F20"/>
          <w:spacing w:val="-24"/>
          <w:sz w:val="20"/>
        </w:rPr>
        <w:t xml:space="preserve"> </w:t>
      </w:r>
      <w:r>
        <w:rPr>
          <w:rFonts w:ascii="Times New Roman;Times;serif" w:hAnsi="Times New Roman;Times;serif"/>
          <w:color w:val="231F20"/>
          <w:sz w:val="20"/>
        </w:rPr>
        <w:t>limited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protection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adequately protect our rights or permit us to gain or keep our competitive </w:t>
      </w:r>
      <w:r>
        <w:rPr>
          <w:rFonts w:ascii="Times New Roman;Times;serif" w:hAnsi="Times New Roman;Times;serif"/>
          <w:color w:val="231F20"/>
          <w:spacing w:val="-3"/>
          <w:sz w:val="20"/>
        </w:rPr>
        <w:t xml:space="preserve">advantage. </w:t>
      </w:r>
      <w:r>
        <w:rPr>
          <w:rFonts w:ascii="Times New Roman;Times;serif" w:hAnsi="Times New Roman;Times;serif"/>
          <w:color w:val="231F20"/>
          <w:spacing w:val="-4"/>
          <w:sz w:val="20"/>
        </w:rPr>
        <w:t xml:space="preserve">Moreover, </w:t>
      </w:r>
      <w:r>
        <w:rPr>
          <w:rFonts w:ascii="Times New Roman;Times;serif" w:hAnsi="Times New Roman;Times;serif"/>
          <w:color w:val="231F20"/>
          <w:sz w:val="20"/>
        </w:rPr>
        <w:t>the degree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protection</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proprietary</w:t>
      </w:r>
      <w:r>
        <w:rPr>
          <w:rFonts w:ascii="Times New Roman;Times;serif" w:hAnsi="Times New Roman;Times;serif"/>
          <w:color w:val="231F20"/>
          <w:spacing w:val="-18"/>
          <w:sz w:val="20"/>
        </w:rPr>
        <w:t xml:space="preserve"> </w:t>
      </w:r>
      <w:r>
        <w:rPr>
          <w:rFonts w:ascii="Times New Roman;Times;serif" w:hAnsi="Times New Roman;Times;serif"/>
          <w:color w:val="231F20"/>
          <w:sz w:val="20"/>
        </w:rPr>
        <w:t>rights</w:t>
      </w:r>
      <w:r>
        <w:rPr>
          <w:rFonts w:ascii="Times New Roman;Times;serif" w:hAnsi="Times New Roman;Times;serif"/>
          <w:color w:val="231F20"/>
          <w:spacing w:val="-18"/>
          <w:sz w:val="20"/>
        </w:rPr>
        <w:t xml:space="preserve"> </w:t>
      </w:r>
      <w:r>
        <w:rPr>
          <w:rFonts w:ascii="Times New Roman;Times;serif" w:hAnsi="Times New Roman;Times;serif"/>
          <w:color w:val="231F20"/>
          <w:sz w:val="20"/>
        </w:rPr>
        <w:t>is</w:t>
      </w:r>
      <w:r>
        <w:rPr>
          <w:rFonts w:ascii="Times New Roman;Times;serif" w:hAnsi="Times New Roman;Times;serif"/>
          <w:color w:val="231F20"/>
          <w:spacing w:val="-19"/>
          <w:sz w:val="20"/>
        </w:rPr>
        <w:t xml:space="preserve"> </w:t>
      </w:r>
      <w:r>
        <w:rPr>
          <w:rFonts w:ascii="Times New Roman;Times;serif" w:hAnsi="Times New Roman;Times;serif"/>
          <w:color w:val="231F20"/>
          <w:sz w:val="20"/>
        </w:rPr>
        <w:t>uncertain</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18"/>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18"/>
          <w:sz w:val="20"/>
        </w:rPr>
        <w:t xml:space="preserve"> </w:t>
      </w:r>
      <w:r>
        <w:rPr>
          <w:rFonts w:ascii="Times New Roman;Times;serif" w:hAnsi="Times New Roman;Times;serif"/>
          <w:color w:val="231F20"/>
          <w:sz w:val="20"/>
        </w:rPr>
        <w:t>are</w:t>
      </w:r>
      <w:r>
        <w:rPr>
          <w:rFonts w:ascii="Times New Roman;Times;serif" w:hAnsi="Times New Roman;Times;serif"/>
          <w:color w:val="231F20"/>
          <w:spacing w:val="-19"/>
          <w:sz w:val="20"/>
        </w:rPr>
        <w:t xml:space="preserve"> </w:t>
      </w:r>
      <w:r>
        <w:rPr>
          <w:rFonts w:ascii="Times New Roman;Times;serif" w:hAnsi="Times New Roman;Times;serif"/>
          <w:color w:val="231F20"/>
          <w:sz w:val="20"/>
        </w:rPr>
        <w:t>currently</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w:t>
      </w:r>
      <w:r>
        <w:rPr>
          <w:rFonts w:ascii="Times New Roman;Times;serif" w:hAnsi="Times New Roman;Times;serif"/>
          <w:color w:val="231F20"/>
          <w:spacing w:val="-1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early stages of development because we cannot predict which of these products will ultimately reach the commercial market or whether the commercial versions of these products will incorporate proprietary technologies.</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Our patent position is highly uncertain and involves complex legal and factual questions.</w:t>
      </w:r>
    </w:p>
    <w:p>
      <w:pPr>
        <w:pStyle w:val="TextBody"/>
        <w:spacing w:lineRule="auto" w:line="290" w:before="169" w:after="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Our patent position is highly uncertain and </w:t>
      </w:r>
      <w:r>
        <w:rPr>
          <w:rFonts w:ascii="Times New Roman;Times;serif" w:hAnsi="Times New Roman;Times;serif"/>
          <w:color w:val="231F20"/>
          <w:spacing w:val="-3"/>
          <w:sz w:val="20"/>
        </w:rPr>
        <w:t xml:space="preserve">involves </w:t>
      </w:r>
      <w:r>
        <w:rPr>
          <w:rFonts w:ascii="Times New Roman;Times;serif" w:hAnsi="Times New Roman;Times;serif"/>
          <w:color w:val="231F20"/>
          <w:sz w:val="20"/>
        </w:rPr>
        <w:t xml:space="preserve">complex legal and factual questions. </w:t>
      </w:r>
      <w:r>
        <w:rPr>
          <w:rFonts w:ascii="Times New Roman;Times;serif" w:hAnsi="Times New Roman;Times;serif"/>
          <w:color w:val="231F20"/>
          <w:spacing w:val="-3"/>
          <w:sz w:val="20"/>
        </w:rPr>
        <w:t xml:space="preserve">Accordingly, </w:t>
      </w:r>
      <w:r>
        <w:rPr>
          <w:rFonts w:ascii="Times New Roman;Times;serif" w:hAnsi="Times New Roman;Times;serif"/>
          <w:color w:val="231F20"/>
          <w:sz w:val="20"/>
        </w:rPr>
        <w:t xml:space="preserve">we cannot predict the breadth of claims that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w:t>
      </w:r>
      <w:r>
        <w:rPr>
          <w:rFonts w:ascii="Times New Roman;Times;serif" w:hAnsi="Times New Roman;Times;serif"/>
          <w:color w:val="231F20"/>
          <w:spacing w:val="-3"/>
          <w:sz w:val="20"/>
        </w:rPr>
        <w:t xml:space="preserve">allowed </w:t>
      </w:r>
      <w:r>
        <w:rPr>
          <w:rFonts w:ascii="Times New Roman;Times;serif" w:hAnsi="Times New Roman;Times;serif"/>
          <w:color w:val="231F20"/>
          <w:sz w:val="20"/>
        </w:rPr>
        <w:t xml:space="preserve">or enforced in our patents or in third-party </w:t>
      </w:r>
      <w:r>
        <w:rPr>
          <w:rFonts w:ascii="Times New Roman;Times;serif" w:hAnsi="Times New Roman;Times;serif"/>
          <w:color w:val="231F20"/>
          <w:spacing w:val="-3"/>
          <w:sz w:val="20"/>
        </w:rPr>
        <w:t>patents.</w:t>
      </w:r>
      <w:r>
        <w:rPr>
          <w:rFonts w:ascii="Times New Roman;Times;serif" w:hAnsi="Times New Roman;Times;serif"/>
          <w:color w:val="231F20"/>
          <w:spacing w:val="-8"/>
          <w:sz w:val="20"/>
        </w:rPr>
        <w:t xml:space="preserve"> </w:t>
      </w:r>
      <w:r>
        <w:rPr>
          <w:rFonts w:ascii="Times New Roman;Times;serif" w:hAnsi="Times New Roman;Times;serif"/>
          <w:color w:val="231F20"/>
          <w:spacing w:val="-6"/>
          <w:sz w:val="20"/>
        </w:rPr>
        <w:t>For</w:t>
      </w:r>
      <w:r>
        <w:rPr>
          <w:rFonts w:ascii="Times New Roman;Times;serif" w:hAnsi="Times New Roman;Times;serif"/>
          <w:color w:val="231F20"/>
          <w:spacing w:val="-8"/>
          <w:sz w:val="20"/>
        </w:rPr>
        <w:t xml:space="preserve"> </w:t>
      </w:r>
      <w:r>
        <w:rPr>
          <w:rFonts w:ascii="Times New Roman;Times;serif" w:hAnsi="Times New Roman;Times;serif"/>
          <w:color w:val="231F20"/>
          <w:sz w:val="20"/>
        </w:rPr>
        <w:t>example,</w:t>
      </w:r>
      <w:r>
        <w:rPr>
          <w:rFonts w:ascii="Times New Roman;Times;serif" w:hAnsi="Times New Roman;Times;serif"/>
          <w:color w:val="231F20"/>
          <w:spacing w:val="-8"/>
          <w:sz w:val="20"/>
        </w:rPr>
        <w:t xml:space="preserve"> </w:t>
      </w:r>
      <w:r>
        <w:rPr>
          <w:rFonts w:ascii="Times New Roman;Times;serif" w:hAnsi="Times New Roman;Times;serif"/>
          <w:color w:val="231F20"/>
          <w:sz w:val="20"/>
        </w:rPr>
        <w:t>we</w:t>
      </w:r>
      <w:r>
        <w:rPr>
          <w:rFonts w:ascii="Times New Roman;Times;serif" w:hAnsi="Times New Roman;Times;serif"/>
          <w:color w:val="231F20"/>
          <w:spacing w:val="-7"/>
          <w:sz w:val="20"/>
        </w:rPr>
        <w:t xml:space="preserve"> </w:t>
      </w:r>
      <w:r>
        <w:rPr>
          <w:rFonts w:ascii="Times New Roman;Times;serif" w:hAnsi="Times New Roman;Times;serif"/>
          <w:color w:val="231F20"/>
          <w:sz w:val="20"/>
        </w:rPr>
        <w:t>or</w:t>
      </w:r>
      <w:r>
        <w:rPr>
          <w:rFonts w:ascii="Times New Roman;Times;serif" w:hAnsi="Times New Roman;Times;serif"/>
          <w:color w:val="231F20"/>
          <w:spacing w:val="-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8"/>
          <w:sz w:val="20"/>
        </w:rPr>
        <w:t xml:space="preserve"> </w:t>
      </w:r>
      <w:r>
        <w:rPr>
          <w:rFonts w:ascii="Times New Roman;Times;serif" w:hAnsi="Times New Roman;Times;serif"/>
          <w:color w:val="231F20"/>
          <w:sz w:val="20"/>
        </w:rPr>
        <w:t>licensors</w:t>
      </w:r>
      <w:r>
        <w:rPr>
          <w:rFonts w:ascii="Times New Roman;Times;serif" w:hAnsi="Times New Roman;Times;serif"/>
          <w:color w:val="231F20"/>
          <w:spacing w:val="-7"/>
          <w:sz w:val="20"/>
        </w:rPr>
        <w:t xml:space="preserve"> </w:t>
      </w:r>
      <w:r>
        <w:rPr>
          <w:rFonts w:ascii="Times New Roman;Times;serif" w:hAnsi="Times New Roman;Times;serif"/>
          <w:color w:val="231F20"/>
          <w:sz w:val="20"/>
        </w:rPr>
        <w:t>might</w:t>
      </w:r>
      <w:r>
        <w:rPr>
          <w:rFonts w:ascii="Times New Roman;Times;serif" w:hAnsi="Times New Roman;Times;serif"/>
          <w:color w:val="231F20"/>
          <w:spacing w:val="-8"/>
          <w:sz w:val="20"/>
        </w:rPr>
        <w:t xml:space="preserve"> </w:t>
      </w:r>
      <w:r>
        <w:rPr>
          <w:rFonts w:ascii="Times New Roman;Times;serif" w:hAnsi="Times New Roman;Times;serif"/>
          <w:color w:val="231F20"/>
          <w:sz w:val="20"/>
        </w:rPr>
        <w:t>not</w:t>
      </w:r>
      <w:r>
        <w:rPr>
          <w:rFonts w:ascii="Times New Roman;Times;serif" w:hAnsi="Times New Roman;Times;serif"/>
          <w:color w:val="231F20"/>
          <w:spacing w:val="-8"/>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7"/>
          <w:sz w:val="20"/>
        </w:rPr>
        <w:t xml:space="preserve"> </w:t>
      </w:r>
      <w:r>
        <w:rPr>
          <w:rFonts w:ascii="Times New Roman;Times;serif" w:hAnsi="Times New Roman;Times;serif"/>
          <w:color w:val="231F20"/>
          <w:sz w:val="20"/>
        </w:rPr>
        <w:t>been</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first</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make</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inventions</w:t>
      </w:r>
      <w:r>
        <w:rPr>
          <w:rFonts w:ascii="Times New Roman;Times;serif" w:hAnsi="Times New Roman;Times;serif"/>
          <w:color w:val="231F20"/>
          <w:spacing w:val="-8"/>
          <w:sz w:val="20"/>
        </w:rPr>
        <w:t xml:space="preserve"> </w:t>
      </w:r>
      <w:r>
        <w:rPr>
          <w:rFonts w:ascii="Times New Roman;Times;serif" w:hAnsi="Times New Roman;Times;serif"/>
          <w:color w:val="231F20"/>
          <w:sz w:val="20"/>
        </w:rPr>
        <w:t>covered</w:t>
      </w:r>
      <w:r>
        <w:rPr>
          <w:rFonts w:ascii="Times New Roman;Times;serif" w:hAnsi="Times New Roman;Times;serif"/>
          <w:color w:val="231F20"/>
          <w:spacing w:val="-8"/>
          <w:sz w:val="20"/>
        </w:rPr>
        <w:t xml:space="preserve"> </w:t>
      </w:r>
      <w:r>
        <w:rPr>
          <w:rFonts w:ascii="Times New Roman;Times;serif" w:hAnsi="Times New Roman;Times;serif"/>
          <w:color w:val="231F20"/>
          <w:sz w:val="20"/>
        </w:rPr>
        <w:t>by</w:t>
      </w:r>
      <w:r>
        <w:rPr>
          <w:rFonts w:ascii="Times New Roman;Times;serif" w:hAnsi="Times New Roman;Times;serif"/>
          <w:color w:val="231F20"/>
          <w:spacing w:val="-7"/>
          <w:sz w:val="20"/>
        </w:rPr>
        <w:t xml:space="preserve"> </w:t>
      </w:r>
      <w:r>
        <w:rPr>
          <w:rFonts w:ascii="Times New Roman;Times;serif" w:hAnsi="Times New Roman;Times;serif"/>
          <w:color w:val="231F20"/>
          <w:sz w:val="20"/>
        </w:rPr>
        <w:t xml:space="preserve">each of our pending patent applications and issued patents; we or our licensors might not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been the first to file patent applications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these inventions; others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independently develop similar or alternative technologies or duplicate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of our technologies; it is possible that none of our pending patent applications or the pending patent applications of our licensors will result in issued patents; our issued patents and issued patents of our licensors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provide a basis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commercially viable technologies, or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provide us with </w:t>
      </w:r>
      <w:r>
        <w:rPr>
          <w:rFonts w:ascii="Times New Roman;Times;serif" w:hAnsi="Times New Roman;Times;serif"/>
          <w:color w:val="231F20"/>
          <w:spacing w:val="-3"/>
          <w:sz w:val="20"/>
        </w:rPr>
        <w:t xml:space="preserve">any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hanging="0"/>
        <w:jc w:val="both"/>
        <w:rPr>
          <w:rFonts w:ascii="Times New Roman;Times;serif" w:hAnsi="Times New Roman;Times;serif"/>
          <w:sz w:val="20"/>
        </w:rPr>
      </w:pPr>
      <w:r>
        <w:rPr>
          <w:rFonts w:ascii="Times New Roman;Times;serif" w:hAnsi="Times New Roman;Times;serif"/>
          <w:color w:val="231F20"/>
          <w:sz w:val="20"/>
        </w:rPr>
        <w:t xml:space="preserve">competitive </w:t>
      </w:r>
      <w:r>
        <w:rPr>
          <w:rFonts w:ascii="Times New Roman;Times;serif" w:hAnsi="Times New Roman;Times;serif"/>
          <w:color w:val="231F20"/>
          <w:spacing w:val="-3"/>
          <w:sz w:val="20"/>
        </w:rPr>
        <w:t xml:space="preserve">advantages, </w:t>
      </w:r>
      <w:r>
        <w:rPr>
          <w:rFonts w:ascii="Times New Roman;Times;serif" w:hAnsi="Times New Roman;Times;serif"/>
          <w:color w:val="231F20"/>
          <w:sz w:val="20"/>
        </w:rPr>
        <w:t xml:space="preserve">or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challenged and </w:t>
      </w:r>
      <w:r>
        <w:rPr>
          <w:rFonts w:ascii="Times New Roman;Times;serif" w:hAnsi="Times New Roman;Times;serif"/>
          <w:color w:val="231F20"/>
          <w:spacing w:val="-3"/>
          <w:sz w:val="20"/>
        </w:rPr>
        <w:t xml:space="preserve">invalidated </w:t>
      </w:r>
      <w:r>
        <w:rPr>
          <w:rFonts w:ascii="Times New Roman;Times;serif" w:hAnsi="Times New Roman;Times;serif"/>
          <w:color w:val="231F20"/>
          <w:sz w:val="20"/>
        </w:rPr>
        <w:t xml:space="preserve">by third parties; and,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not develop additional proprietary technologies that are</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patentable.</w:t>
      </w:r>
    </w:p>
    <w:p>
      <w:pPr>
        <w:pStyle w:val="TextBody"/>
        <w:spacing w:lineRule="auto" w:line="300" w:before="87"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As a result, the validity of our owned and licensed patents may be challenged and we may not be able to obtain and enforce patents and to maintain trade secret protection for the full commercial extent of our technology. The extent to which we are unable to do so could materially harm our business.</w:t>
      </w:r>
    </w:p>
    <w:p>
      <w:pPr>
        <w:pStyle w:val="TextBody"/>
        <w:spacing w:lineRule="auto" w:line="300"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We or our licensors have applied for and will continue to apply for patents for certain products. Such applications may not result in the issuance of any patents, and any patents now held or that may be issued may not provide us with adequate protection from competition. Furthermore, it is possible that patents issued or licensed to us may be challenged successfully. In that event, if we have a preferred competitive position because of such patents, any preferred position held by us would be lost. If we are unable to secure or to continue to maintain a preferred position, we could become subject to competition from the sale of generic products. Failure to receive, inability to protect, or expiration of our patents would adversely affect our business and operations.</w:t>
      </w:r>
    </w:p>
    <w:p>
      <w:pPr>
        <w:pStyle w:val="TextBody"/>
        <w:spacing w:lineRule="auto" w:line="290" w:before="157"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Patents issued or licensed to us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 infringed by the products or processes of others. The cost of enforcing our patent rights against infringers, if such enforcement is required, could be significant, and we do</w:t>
      </w:r>
      <w:r>
        <w:rPr>
          <w:rFonts w:ascii="Times New Roman;Times;serif" w:hAnsi="Times New Roman;Times;serif"/>
          <w:color w:val="231F20"/>
          <w:spacing w:val="-13"/>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3"/>
          <w:sz w:val="20"/>
        </w:rPr>
        <w:t xml:space="preserve"> </w:t>
      </w:r>
      <w:r>
        <w:rPr>
          <w:rFonts w:ascii="Times New Roman;Times;serif" w:hAnsi="Times New Roman;Times;serif"/>
          <w:color w:val="231F20"/>
          <w:sz w:val="20"/>
        </w:rPr>
        <w:t>currently</w:t>
      </w:r>
      <w:r>
        <w:rPr>
          <w:rFonts w:ascii="Times New Roman;Times;serif" w:hAnsi="Times New Roman;Times;serif"/>
          <w:color w:val="231F20"/>
          <w:spacing w:val="-12"/>
          <w:sz w:val="20"/>
        </w:rPr>
        <w:t xml:space="preserve"> </w:t>
      </w:r>
      <w:r>
        <w:rPr>
          <w:rFonts w:ascii="Times New Roman;Times;serif" w:hAnsi="Times New Roman;Times;serif"/>
          <w:color w:val="231F20"/>
          <w:spacing w:val="-6"/>
          <w:sz w:val="20"/>
        </w:rPr>
        <w:t>have</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2"/>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13"/>
          <w:sz w:val="20"/>
        </w:rPr>
        <w:t xml:space="preserve"> </w:t>
      </w:r>
      <w:r>
        <w:rPr>
          <w:rFonts w:ascii="Times New Roman;Times;serif" w:hAnsi="Times New Roman;Times;serif"/>
          <w:color w:val="231F20"/>
          <w:sz w:val="20"/>
        </w:rPr>
        <w:t>resources</w:t>
      </w:r>
      <w:r>
        <w:rPr>
          <w:rFonts w:ascii="Times New Roman;Times;serif" w:hAnsi="Times New Roman;Times;serif"/>
          <w:color w:val="231F20"/>
          <w:spacing w:val="-12"/>
          <w:sz w:val="20"/>
        </w:rPr>
        <w:t xml:space="preserve"> </w:t>
      </w:r>
      <w:r>
        <w:rPr>
          <w:rFonts w:ascii="Times New Roman;Times;serif" w:hAnsi="Times New Roman;Times;serif"/>
          <w:color w:val="231F20"/>
          <w:sz w:val="20"/>
        </w:rPr>
        <w:t>to</w:t>
      </w:r>
      <w:r>
        <w:rPr>
          <w:rFonts w:ascii="Times New Roman;Times;serif" w:hAnsi="Times New Roman;Times;serif"/>
          <w:color w:val="231F20"/>
          <w:spacing w:val="-13"/>
          <w:sz w:val="20"/>
        </w:rPr>
        <w:t xml:space="preserve"> </w:t>
      </w:r>
      <w:r>
        <w:rPr>
          <w:rFonts w:ascii="Times New Roman;Times;serif" w:hAnsi="Times New Roman;Times;serif"/>
          <w:color w:val="231F20"/>
          <w:sz w:val="20"/>
        </w:rPr>
        <w:t>fund</w:t>
      </w:r>
      <w:r>
        <w:rPr>
          <w:rFonts w:ascii="Times New Roman;Times;serif" w:hAnsi="Times New Roman;Times;serif"/>
          <w:color w:val="231F20"/>
          <w:spacing w:val="-13"/>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12"/>
          <w:sz w:val="20"/>
        </w:rPr>
        <w:t xml:space="preserve"> </w:t>
      </w:r>
      <w:r>
        <w:rPr>
          <w:rFonts w:ascii="Times New Roman;Times;serif" w:hAnsi="Times New Roman;Times;serif"/>
          <w:color w:val="231F20"/>
          <w:sz w:val="20"/>
        </w:rPr>
        <w:t>litigation.</w:t>
      </w:r>
      <w:r>
        <w:rPr>
          <w:rFonts w:ascii="Times New Roman;Times;serif" w:hAnsi="Times New Roman;Times;serif"/>
          <w:color w:val="231F20"/>
          <w:spacing w:val="-13"/>
          <w:sz w:val="20"/>
        </w:rPr>
        <w:t xml:space="preserve"> </w:t>
      </w:r>
      <w:r>
        <w:rPr>
          <w:rFonts w:ascii="Times New Roman;Times;serif" w:hAnsi="Times New Roman;Times;serif"/>
          <w:color w:val="231F20"/>
          <w:spacing w:val="-4"/>
          <w:sz w:val="20"/>
        </w:rPr>
        <w:t>Further,</w:t>
      </w:r>
      <w:r>
        <w:rPr>
          <w:rFonts w:ascii="Times New Roman;Times;serif" w:hAnsi="Times New Roman;Times;serif"/>
          <w:color w:val="231F20"/>
          <w:spacing w:val="-12"/>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13"/>
          <w:sz w:val="20"/>
        </w:rPr>
        <w:t xml:space="preserve"> </w:t>
      </w:r>
      <w:r>
        <w:rPr>
          <w:rFonts w:ascii="Times New Roman;Times;serif" w:hAnsi="Times New Roman;Times;serif"/>
          <w:color w:val="231F20"/>
          <w:sz w:val="20"/>
        </w:rPr>
        <w:t>litigation</w:t>
      </w:r>
      <w:r>
        <w:rPr>
          <w:rFonts w:ascii="Times New Roman;Times;serif" w:hAnsi="Times New Roman;Times;serif"/>
          <w:color w:val="231F20"/>
          <w:spacing w:val="-12"/>
          <w:sz w:val="20"/>
        </w:rPr>
        <w:t xml:space="preserve"> </w:t>
      </w:r>
      <w:r>
        <w:rPr>
          <w:rFonts w:ascii="Times New Roman;Times;serif" w:hAnsi="Times New Roman;Times;serif"/>
          <w:color w:val="231F20"/>
          <w:sz w:val="20"/>
        </w:rPr>
        <w:t>can</w:t>
      </w:r>
      <w:r>
        <w:rPr>
          <w:rFonts w:ascii="Times New Roman;Times;serif" w:hAnsi="Times New Roman;Times;serif"/>
          <w:color w:val="231F20"/>
          <w:spacing w:val="-13"/>
          <w:sz w:val="20"/>
        </w:rPr>
        <w:t xml:space="preserve"> </w:t>
      </w:r>
      <w:r>
        <w:rPr>
          <w:rFonts w:ascii="Times New Roman;Times;serif" w:hAnsi="Times New Roman;Times;serif"/>
          <w:color w:val="231F20"/>
          <w:sz w:val="20"/>
        </w:rPr>
        <w:t>go</w:t>
      </w:r>
      <w:r>
        <w:rPr>
          <w:rFonts w:ascii="Times New Roman;Times;serif" w:hAnsi="Times New Roman;Times;serif"/>
          <w:color w:val="231F20"/>
          <w:spacing w:val="-13"/>
          <w:sz w:val="20"/>
        </w:rPr>
        <w:t xml:space="preserve"> </w:t>
      </w:r>
      <w:r>
        <w:rPr>
          <w:rFonts w:ascii="Times New Roman;Times;serif" w:hAnsi="Times New Roman;Times;serif"/>
          <w:color w:val="231F20"/>
          <w:sz w:val="20"/>
        </w:rPr>
        <w:t>on</w:t>
      </w:r>
      <w:r>
        <w:rPr>
          <w:rFonts w:ascii="Times New Roman;Times;serif" w:hAnsi="Times New Roman;Times;serif"/>
          <w:color w:val="231F20"/>
          <w:spacing w:val="-12"/>
          <w:sz w:val="20"/>
        </w:rPr>
        <w:t xml:space="preserve"> </w:t>
      </w:r>
      <w:r>
        <w:rPr>
          <w:rFonts w:ascii="Times New Roman;Times;serif" w:hAnsi="Times New Roman;Times;serif"/>
          <w:color w:val="231F20"/>
          <w:spacing w:val="-4"/>
          <w:sz w:val="20"/>
        </w:rPr>
        <w:t>for</w:t>
      </w:r>
      <w:r>
        <w:rPr>
          <w:rFonts w:ascii="Times New Roman;Times;serif" w:hAnsi="Times New Roman;Times;serif"/>
          <w:color w:val="231F20"/>
          <w:spacing w:val="-13"/>
          <w:sz w:val="20"/>
        </w:rPr>
        <w:t xml:space="preserve"> </w:t>
      </w:r>
      <w:r>
        <w:rPr>
          <w:rFonts w:ascii="Times New Roman;Times;serif" w:hAnsi="Times New Roman;Times;serif"/>
          <w:color w:val="231F20"/>
          <w:sz w:val="20"/>
        </w:rPr>
        <w:t xml:space="preserve">years and the time demands could interfere with our normal operations and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absorb significant management </w:t>
      </w:r>
      <w:r>
        <w:rPr>
          <w:rFonts w:ascii="Times New Roman;Times;serif" w:hAnsi="Times New Roman;Times;serif"/>
          <w:color w:val="231F20"/>
          <w:spacing w:val="-3"/>
          <w:sz w:val="20"/>
        </w:rPr>
        <w:t xml:space="preserve">time. </w:t>
      </w:r>
      <w:r>
        <w:rPr>
          <w:rFonts w:ascii="Times New Roman;Times;serif" w:hAnsi="Times New Roman;Times;serif"/>
          <w:color w:val="231F20"/>
          <w:sz w:val="20"/>
        </w:rPr>
        <w:t xml:space="preserve">There has been substantial litigation and other proceedings regarding patent and other intellectual property rights in the pharmaceutical </w:t>
      </w:r>
      <w:r>
        <w:rPr>
          <w:rFonts w:ascii="Times New Roman;Times;serif" w:hAnsi="Times New Roman;Times;serif"/>
          <w:color w:val="231F20"/>
          <w:spacing w:val="-3"/>
          <w:sz w:val="20"/>
        </w:rPr>
        <w:t xml:space="preserve">industry.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become a party to patent litigation and other proceedings. The cost to us of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patent litigation, even if resolved in our </w:t>
      </w:r>
      <w:r>
        <w:rPr>
          <w:rFonts w:ascii="Times New Roman;Times;serif" w:hAnsi="Times New Roman;Times;serif"/>
          <w:color w:val="231F20"/>
          <w:spacing w:val="-7"/>
          <w:sz w:val="20"/>
        </w:rPr>
        <w:t xml:space="preserve">favor, </w:t>
      </w:r>
      <w:r>
        <w:rPr>
          <w:rFonts w:ascii="Times New Roman;Times;serif" w:hAnsi="Times New Roman;Times;serif"/>
          <w:color w:val="231F20"/>
          <w:sz w:val="20"/>
        </w:rPr>
        <w:t xml:space="preserve">could be substantial. Some of our competitors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to sustain the costs of such litigation more effectively than we can because of their substantially greater financial</w:t>
      </w:r>
      <w:r>
        <w:rPr>
          <w:rFonts w:ascii="Times New Roman;Times;serif" w:hAnsi="Times New Roman;Times;serif"/>
          <w:color w:val="231F20"/>
          <w:spacing w:val="1"/>
          <w:sz w:val="20"/>
        </w:rPr>
        <w:t xml:space="preserve"> </w:t>
      </w:r>
      <w:r>
        <w:rPr>
          <w:rFonts w:ascii="Times New Roman;Times;serif" w:hAnsi="Times New Roman;Times;serif"/>
          <w:color w:val="231F20"/>
          <w:sz w:val="20"/>
        </w:rPr>
        <w:t>resources.</w:t>
      </w:r>
    </w:p>
    <w:p>
      <w:pPr>
        <w:pStyle w:val="TextBody"/>
        <w:spacing w:lineRule="auto" w:line="290" w:before="163"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Unpatented trade secrets, </w:t>
      </w:r>
      <w:r>
        <w:rPr>
          <w:rFonts w:ascii="Times New Roman;Times;serif" w:hAnsi="Times New Roman;Times;serif"/>
          <w:color w:val="231F20"/>
          <w:spacing w:val="-3"/>
          <w:sz w:val="20"/>
        </w:rPr>
        <w:t xml:space="preserve">improvements, </w:t>
      </w:r>
      <w:r>
        <w:rPr>
          <w:rFonts w:ascii="Times New Roman;Times;serif" w:hAnsi="Times New Roman;Times;serif"/>
          <w:color w:val="231F20"/>
          <w:sz w:val="20"/>
        </w:rPr>
        <w:t>confidential know-how and continuing technological innovation are important to our scientific and commercial success. Although we attempt to and will continue</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attempt</w:t>
      </w:r>
      <w:r>
        <w:rPr>
          <w:rFonts w:ascii="Times New Roman;Times;serif" w:hAnsi="Times New Roman;Times;serif"/>
          <w:color w:val="231F20"/>
          <w:spacing w:val="-18"/>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protect</w:t>
      </w:r>
      <w:r>
        <w:rPr>
          <w:rFonts w:ascii="Times New Roman;Times;serif" w:hAnsi="Times New Roman;Times;serif"/>
          <w:color w:val="231F20"/>
          <w:spacing w:val="-1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9"/>
          <w:sz w:val="20"/>
        </w:rPr>
        <w:t xml:space="preserve"> </w:t>
      </w:r>
      <w:r>
        <w:rPr>
          <w:rFonts w:ascii="Times New Roman;Times;serif" w:hAnsi="Times New Roman;Times;serif"/>
          <w:color w:val="231F20"/>
          <w:sz w:val="20"/>
        </w:rPr>
        <w:t>proprietary</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information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through</w:t>
      </w:r>
      <w:r>
        <w:rPr>
          <w:rFonts w:ascii="Times New Roman;Times;serif" w:hAnsi="Times New Roman;Times;serif"/>
          <w:color w:val="231F20"/>
          <w:spacing w:val="-19"/>
          <w:sz w:val="20"/>
        </w:rPr>
        <w:t xml:space="preserve"> </w:t>
      </w:r>
      <w:r>
        <w:rPr>
          <w:rFonts w:ascii="Times New Roman;Times;serif" w:hAnsi="Times New Roman;Times;serif"/>
          <w:color w:val="231F20"/>
          <w:sz w:val="20"/>
        </w:rPr>
        <w:t>reliance</w:t>
      </w:r>
      <w:r>
        <w:rPr>
          <w:rFonts w:ascii="Times New Roman;Times;serif" w:hAnsi="Times New Roman;Times;serif"/>
          <w:color w:val="231F20"/>
          <w:spacing w:val="-18"/>
          <w:sz w:val="20"/>
        </w:rPr>
        <w:t xml:space="preserve"> </w:t>
      </w:r>
      <w:r>
        <w:rPr>
          <w:rFonts w:ascii="Times New Roman;Times;serif" w:hAnsi="Times New Roman;Times;serif"/>
          <w:color w:val="231F20"/>
          <w:sz w:val="20"/>
        </w:rPr>
        <w:t>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trade</w:t>
      </w:r>
      <w:r>
        <w:rPr>
          <w:rFonts w:ascii="Times New Roman;Times;serif" w:hAnsi="Times New Roman;Times;serif"/>
          <w:color w:val="231F20"/>
          <w:spacing w:val="-18"/>
          <w:sz w:val="20"/>
        </w:rPr>
        <w:t xml:space="preserve"> </w:t>
      </w:r>
      <w:r>
        <w:rPr>
          <w:rFonts w:ascii="Times New Roman;Times;serif" w:hAnsi="Times New Roman;Times;serif"/>
          <w:color w:val="231F20"/>
          <w:sz w:val="20"/>
        </w:rPr>
        <w:t>secret</w:t>
      </w:r>
      <w:r>
        <w:rPr>
          <w:rFonts w:ascii="Times New Roman;Times;serif" w:hAnsi="Times New Roman;Times;serif"/>
          <w:color w:val="231F20"/>
          <w:spacing w:val="-19"/>
          <w:sz w:val="20"/>
        </w:rPr>
        <w:t xml:space="preserve"> </w:t>
      </w:r>
      <w:r>
        <w:rPr>
          <w:rFonts w:ascii="Times New Roman;Times;serif" w:hAnsi="Times New Roman;Times;serif"/>
          <w:color w:val="231F20"/>
          <w:spacing w:val="-4"/>
          <w:sz w:val="20"/>
        </w:rPr>
        <w:t>laws</w:t>
      </w:r>
      <w:r>
        <w:rPr>
          <w:rFonts w:ascii="Times New Roman;Times;serif" w:hAnsi="Times New Roman;Times;serif"/>
          <w:color w:val="231F20"/>
          <w:spacing w:val="-1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use 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confidentiality</w:t>
      </w:r>
      <w:r>
        <w:rPr>
          <w:rFonts w:ascii="Times New Roman;Times;serif" w:hAnsi="Times New Roman;Times;serif"/>
          <w:color w:val="231F20"/>
          <w:spacing w:val="-22"/>
          <w:sz w:val="20"/>
        </w:rPr>
        <w:t xml:space="preserve"> </w:t>
      </w:r>
      <w:r>
        <w:rPr>
          <w:rFonts w:ascii="Times New Roman;Times;serif" w:hAnsi="Times New Roman;Times;serif"/>
          <w:color w:val="231F20"/>
          <w:sz w:val="20"/>
        </w:rPr>
        <w:t>agreements</w:t>
      </w:r>
      <w:r>
        <w:rPr>
          <w:rFonts w:ascii="Times New Roman;Times;serif" w:hAnsi="Times New Roman;Times;serif"/>
          <w:color w:val="231F20"/>
          <w:spacing w:val="-23"/>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corporate</w:t>
      </w:r>
      <w:r>
        <w:rPr>
          <w:rFonts w:ascii="Times New Roman;Times;serif" w:hAnsi="Times New Roman;Times;serif"/>
          <w:color w:val="231F20"/>
          <w:spacing w:val="-23"/>
          <w:sz w:val="20"/>
        </w:rPr>
        <w:t xml:space="preserve"> </w:t>
      </w:r>
      <w:r>
        <w:rPr>
          <w:rFonts w:ascii="Times New Roman;Times;serif" w:hAnsi="Times New Roman;Times;serif"/>
          <w:color w:val="231F20"/>
          <w:sz w:val="20"/>
        </w:rPr>
        <w:t>partners,</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collaborators,</w:t>
      </w:r>
      <w:r>
        <w:rPr>
          <w:rFonts w:ascii="Times New Roman;Times;serif" w:hAnsi="Times New Roman;Times;serif"/>
          <w:color w:val="231F20"/>
          <w:spacing w:val="-22"/>
          <w:sz w:val="20"/>
        </w:rPr>
        <w:t xml:space="preserve"> </w:t>
      </w:r>
      <w:r>
        <w:rPr>
          <w:rFonts w:ascii="Times New Roman;Times;serif" w:hAnsi="Times New Roman;Times;serif"/>
          <w:color w:val="231F20"/>
          <w:sz w:val="20"/>
        </w:rPr>
        <w:t>employees</w:t>
      </w:r>
      <w:r>
        <w:rPr>
          <w:rFonts w:ascii="Times New Roman;Times;serif" w:hAnsi="Times New Roman;Times;serif"/>
          <w:color w:val="231F20"/>
          <w:spacing w:val="-22"/>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consultants</w:t>
      </w:r>
      <w:r>
        <w:rPr>
          <w:rFonts w:ascii="Times New Roman;Times;serif" w:hAnsi="Times New Roman;Times;serif"/>
          <w:color w:val="231F20"/>
          <w:spacing w:val="-22"/>
          <w:sz w:val="20"/>
        </w:rPr>
        <w:t xml:space="preserve"> </w:t>
      </w:r>
      <w:r>
        <w:rPr>
          <w:rFonts w:ascii="Times New Roman;Times;serif" w:hAnsi="Times New Roman;Times;serif"/>
          <w:color w:val="231F20"/>
          <w:sz w:val="20"/>
        </w:rPr>
        <w:t>and other</w:t>
      </w:r>
      <w:r>
        <w:rPr>
          <w:rFonts w:ascii="Times New Roman;Times;serif" w:hAnsi="Times New Roman;Times;serif"/>
          <w:color w:val="231F20"/>
          <w:spacing w:val="-43"/>
          <w:sz w:val="20"/>
        </w:rPr>
        <w:t xml:space="preserve"> </w:t>
      </w:r>
      <w:r>
        <w:rPr>
          <w:rFonts w:ascii="Times New Roman;Times;serif" w:hAnsi="Times New Roman;Times;serif"/>
          <w:color w:val="231F20"/>
          <w:spacing w:val="-3"/>
          <w:sz w:val="20"/>
        </w:rPr>
        <w:t>appropriate</w:t>
      </w:r>
      <w:r>
        <w:rPr>
          <w:rFonts w:ascii="Times New Roman;Times;serif" w:hAnsi="Times New Roman;Times;serif"/>
          <w:color w:val="231F20"/>
          <w:spacing w:val="-43"/>
          <w:sz w:val="20"/>
        </w:rPr>
        <w:t xml:space="preserve"> </w:t>
      </w:r>
      <w:r>
        <w:rPr>
          <w:rFonts w:ascii="Times New Roman;Times;serif" w:hAnsi="Times New Roman;Times;serif"/>
          <w:color w:val="231F20"/>
          <w:spacing w:val="-3"/>
          <w:sz w:val="20"/>
        </w:rPr>
        <w:t>means,</w:t>
      </w:r>
      <w:r>
        <w:rPr>
          <w:rFonts w:ascii="Times New Roman;Times;serif" w:hAnsi="Times New Roman;Times;serif"/>
          <w:color w:val="231F20"/>
          <w:spacing w:val="-42"/>
          <w:sz w:val="20"/>
        </w:rPr>
        <w:t xml:space="preserve"> </w:t>
      </w:r>
      <w:r>
        <w:rPr>
          <w:rFonts w:ascii="Times New Roman;Times;serif" w:hAnsi="Times New Roman;Times;serif"/>
          <w:color w:val="231F20"/>
          <w:sz w:val="20"/>
        </w:rPr>
        <w:t>these</w:t>
      </w:r>
      <w:r>
        <w:rPr>
          <w:rFonts w:ascii="Times New Roman;Times;serif" w:hAnsi="Times New Roman;Times;serif"/>
          <w:color w:val="231F20"/>
          <w:spacing w:val="-43"/>
          <w:sz w:val="20"/>
        </w:rPr>
        <w:t xml:space="preserve"> </w:t>
      </w:r>
      <w:r>
        <w:rPr>
          <w:rFonts w:ascii="Times New Roman;Times;serif" w:hAnsi="Times New Roman;Times;serif"/>
          <w:color w:val="231F20"/>
          <w:sz w:val="20"/>
        </w:rPr>
        <w:t>measures</w:t>
      </w:r>
      <w:r>
        <w:rPr>
          <w:rFonts w:ascii="Times New Roman;Times;serif" w:hAnsi="Times New Roman;Times;serif"/>
          <w:color w:val="231F20"/>
          <w:spacing w:val="-43"/>
          <w:sz w:val="20"/>
        </w:rPr>
        <w:t xml:space="preserve"> </w:t>
      </w:r>
      <w:r>
        <w:rPr>
          <w:rFonts w:ascii="Times New Roman;Times;serif" w:hAnsi="Times New Roman;Times;serif"/>
          <w:color w:val="231F20"/>
          <w:spacing w:val="-4"/>
          <w:sz w:val="20"/>
        </w:rPr>
        <w:t>may</w:t>
      </w:r>
      <w:r>
        <w:rPr>
          <w:rFonts w:ascii="Times New Roman;Times;serif" w:hAnsi="Times New Roman;Times;serif"/>
          <w:color w:val="231F20"/>
          <w:spacing w:val="-42"/>
          <w:sz w:val="20"/>
        </w:rPr>
        <w:t xml:space="preserve"> </w:t>
      </w:r>
      <w:r>
        <w:rPr>
          <w:rFonts w:ascii="Times New Roman;Times;serif" w:hAnsi="Times New Roman;Times;serif"/>
          <w:color w:val="231F20"/>
          <w:sz w:val="20"/>
        </w:rPr>
        <w:t>not</w:t>
      </w:r>
      <w:r>
        <w:rPr>
          <w:rFonts w:ascii="Times New Roman;Times;serif" w:hAnsi="Times New Roman;Times;serif"/>
          <w:color w:val="231F20"/>
          <w:spacing w:val="-43"/>
          <w:sz w:val="20"/>
        </w:rPr>
        <w:t xml:space="preserve"> </w:t>
      </w:r>
      <w:r>
        <w:rPr>
          <w:rFonts w:ascii="Times New Roman;Times;serif" w:hAnsi="Times New Roman;Times;serif"/>
          <w:color w:val="231F20"/>
          <w:spacing w:val="-3"/>
          <w:sz w:val="20"/>
        </w:rPr>
        <w:t>effectively</w:t>
      </w:r>
      <w:r>
        <w:rPr>
          <w:rFonts w:ascii="Times New Roman;Times;serif" w:hAnsi="Times New Roman;Times;serif"/>
          <w:color w:val="231F20"/>
          <w:spacing w:val="-43"/>
          <w:sz w:val="20"/>
        </w:rPr>
        <w:t xml:space="preserve"> </w:t>
      </w:r>
      <w:r>
        <w:rPr>
          <w:rFonts w:ascii="Times New Roman;Times;serif" w:hAnsi="Times New Roman;Times;serif"/>
          <w:color w:val="231F20"/>
          <w:spacing w:val="-3"/>
          <w:sz w:val="20"/>
        </w:rPr>
        <w:t>prevent</w:t>
      </w:r>
      <w:r>
        <w:rPr>
          <w:rFonts w:ascii="Times New Roman;Times;serif" w:hAnsi="Times New Roman;Times;serif"/>
          <w:color w:val="231F20"/>
          <w:spacing w:val="-42"/>
          <w:sz w:val="20"/>
        </w:rPr>
        <w:t xml:space="preserve"> </w:t>
      </w:r>
      <w:r>
        <w:rPr>
          <w:rFonts w:ascii="Times New Roman;Times;serif" w:hAnsi="Times New Roman;Times;serif"/>
          <w:color w:val="231F20"/>
          <w:sz w:val="20"/>
        </w:rPr>
        <w:t>disclosure</w:t>
      </w:r>
      <w:r>
        <w:rPr>
          <w:rFonts w:ascii="Times New Roman;Times;serif" w:hAnsi="Times New Roman;Times;serif"/>
          <w:color w:val="231F20"/>
          <w:spacing w:val="-43"/>
          <w:sz w:val="20"/>
        </w:rPr>
        <w:t xml:space="preserve"> </w:t>
      </w:r>
      <w:r>
        <w:rPr>
          <w:rFonts w:ascii="Times New Roman;Times;serif" w:hAnsi="Times New Roman;Times;serif"/>
          <w:color w:val="231F20"/>
          <w:sz w:val="20"/>
        </w:rPr>
        <w:t>of</w:t>
      </w:r>
      <w:r>
        <w:rPr>
          <w:rFonts w:ascii="Times New Roman;Times;serif" w:hAnsi="Times New Roman;Times;serif"/>
          <w:color w:val="231F20"/>
          <w:spacing w:val="-36"/>
          <w:sz w:val="20"/>
        </w:rPr>
        <w:t xml:space="preserve"> </w:t>
      </w:r>
      <w:r>
        <w:rPr>
          <w:rFonts w:ascii="Times New Roman;Times;serif" w:hAnsi="Times New Roman;Times;serif"/>
          <w:color w:val="231F20"/>
          <w:sz w:val="20"/>
        </w:rPr>
        <w:t>our</w:t>
      </w:r>
      <w:r>
        <w:rPr>
          <w:rFonts w:ascii="Times New Roman;Times;serif" w:hAnsi="Times New Roman;Times;serif"/>
          <w:color w:val="231F20"/>
          <w:spacing w:val="-43"/>
          <w:sz w:val="20"/>
        </w:rPr>
        <w:t xml:space="preserve"> </w:t>
      </w:r>
      <w:r>
        <w:rPr>
          <w:rFonts w:ascii="Times New Roman;Times;serif" w:hAnsi="Times New Roman;Times;serif"/>
          <w:color w:val="231F20"/>
          <w:sz w:val="20"/>
        </w:rPr>
        <w:t>proprietary</w:t>
      </w:r>
      <w:r>
        <w:rPr>
          <w:rFonts w:ascii="Times New Roman;Times;serif" w:hAnsi="Times New Roman;Times;serif"/>
          <w:color w:val="231F20"/>
          <w:spacing w:val="-42"/>
          <w:sz w:val="20"/>
        </w:rPr>
        <w:t xml:space="preserve"> </w:t>
      </w:r>
      <w:r>
        <w:rPr>
          <w:rFonts w:ascii="Times New Roman;Times;serif" w:hAnsi="Times New Roman;Times;serif"/>
          <w:color w:val="231F20"/>
          <w:sz w:val="20"/>
        </w:rPr>
        <w:t>information, and,</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1"/>
          <w:sz w:val="20"/>
        </w:rPr>
        <w:t xml:space="preserve"> </w:t>
      </w:r>
      <w:r>
        <w:rPr>
          <w:rFonts w:ascii="Times New Roman;Times;serif" w:hAnsi="Times New Roman;Times;serif"/>
          <w:color w:val="231F20"/>
          <w:sz w:val="20"/>
        </w:rPr>
        <w:t>event,</w:t>
      </w:r>
      <w:r>
        <w:rPr>
          <w:rFonts w:ascii="Times New Roman;Times;serif" w:hAnsi="Times New Roman;Times;serif"/>
          <w:color w:val="231F20"/>
          <w:spacing w:val="-21"/>
          <w:sz w:val="20"/>
        </w:rPr>
        <w:t xml:space="preserve"> </w:t>
      </w:r>
      <w:r>
        <w:rPr>
          <w:rFonts w:ascii="Times New Roman;Times;serif" w:hAnsi="Times New Roman;Times;serif"/>
          <w:color w:val="231F20"/>
          <w:sz w:val="20"/>
        </w:rPr>
        <w:t>others</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1"/>
          <w:sz w:val="20"/>
        </w:rPr>
        <w:t xml:space="preserve"> </w:t>
      </w:r>
      <w:r>
        <w:rPr>
          <w:rFonts w:ascii="Times New Roman;Times;serif" w:hAnsi="Times New Roman;Times;serif"/>
          <w:color w:val="231F20"/>
          <w:sz w:val="20"/>
        </w:rPr>
        <w:t>develop</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independently,</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obtain</w:t>
      </w:r>
      <w:r>
        <w:rPr>
          <w:rFonts w:ascii="Times New Roman;Times;serif" w:hAnsi="Times New Roman;Times;serif"/>
          <w:color w:val="231F20"/>
          <w:spacing w:val="-21"/>
          <w:sz w:val="20"/>
        </w:rPr>
        <w:t xml:space="preserve"> </w:t>
      </w:r>
      <w:r>
        <w:rPr>
          <w:rFonts w:ascii="Times New Roman;Times;serif" w:hAnsi="Times New Roman;Times;serif"/>
          <w:color w:val="231F20"/>
          <w:sz w:val="20"/>
        </w:rPr>
        <w:t>access</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to,</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1"/>
          <w:sz w:val="20"/>
        </w:rPr>
        <w:t xml:space="preserve"> </w:t>
      </w:r>
      <w:r>
        <w:rPr>
          <w:rFonts w:ascii="Times New Roman;Times;serif" w:hAnsi="Times New Roman;Times;serif"/>
          <w:color w:val="231F20"/>
          <w:sz w:val="20"/>
        </w:rPr>
        <w:t>same</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w:t>
      </w:r>
      <w:r>
        <w:rPr>
          <w:rFonts w:ascii="Times New Roman;Times;serif" w:hAnsi="Times New Roman;Times;serif"/>
          <w:color w:val="231F20"/>
          <w:spacing w:val="-21"/>
          <w:sz w:val="20"/>
        </w:rPr>
        <w:t xml:space="preserve"> </w:t>
      </w:r>
      <w:r>
        <w:rPr>
          <w:rFonts w:ascii="Times New Roman;Times;serif" w:hAnsi="Times New Roman;Times;serif"/>
          <w:color w:val="231F20"/>
          <w:sz w:val="20"/>
        </w:rPr>
        <w:t>similar</w:t>
      </w:r>
      <w:r>
        <w:rPr>
          <w:rFonts w:ascii="Times New Roman;Times;serif" w:hAnsi="Times New Roman;Times;serif"/>
          <w:color w:val="231F20"/>
          <w:spacing w:val="-21"/>
          <w:sz w:val="20"/>
        </w:rPr>
        <w:t xml:space="preserve"> </w:t>
      </w:r>
      <w:r>
        <w:rPr>
          <w:rFonts w:ascii="Times New Roman;Times;serif" w:hAnsi="Times New Roman;Times;serif"/>
          <w:color w:val="231F20"/>
          <w:sz w:val="20"/>
        </w:rPr>
        <w:t>information.</w:t>
      </w:r>
    </w:p>
    <w:p>
      <w:pPr>
        <w:pStyle w:val="TextBody"/>
        <w:spacing w:lineRule="auto" w:line="290"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If</w:t>
      </w:r>
      <w:r>
        <w:rPr>
          <w:rFonts w:ascii="Times New Roman;Times;serif" w:hAnsi="Times New Roman;Times;serif"/>
          <w:b/>
          <w:color w:val="231F20"/>
          <w:spacing w:val="1"/>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found</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be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infringing</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on</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patents</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trade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secrets</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owned</w:t>
      </w:r>
      <w:r>
        <w:rPr>
          <w:rFonts w:ascii="Times New Roman;Times;serif" w:hAnsi="Times New Roman;Times;serif"/>
          <w:b/>
          <w:color w:val="231F20"/>
          <w:spacing w:val="-14"/>
          <w:sz w:val="20"/>
        </w:rPr>
        <w:t xml:space="preserve"> </w:t>
      </w:r>
      <w:r>
        <w:rPr>
          <w:rFonts w:ascii="Times New Roman;Times;serif" w:hAnsi="Times New Roman;Times;serif"/>
          <w:b/>
          <w:i/>
          <w:color w:val="231F20"/>
          <w:spacing w:val="-3"/>
          <w:sz w:val="20"/>
        </w:rPr>
        <w:t>by</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others,</w:t>
      </w:r>
      <w:r>
        <w:rPr>
          <w:rFonts w:ascii="Times New Roman;Times;serif" w:hAnsi="Times New Roman;Times;serif"/>
          <w:b/>
          <w:color w:val="231F20"/>
          <w:spacing w:val="-14"/>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be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forced</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cease</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4"/>
          <w:sz w:val="20"/>
        </w:rPr>
        <w:t xml:space="preserve"> </w:t>
      </w:r>
      <w:r>
        <w:rPr>
          <w:rFonts w:ascii="Times New Roman;Times;serif" w:hAnsi="Times New Roman;Times;serif"/>
          <w:b/>
          <w:i/>
          <w:color w:val="231F20"/>
          <w:sz w:val="20"/>
        </w:rPr>
        <w:t>alter</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our product development efforts, obtain a license to continue the development or sale of our products, and/or pay damages.</w:t>
      </w:r>
    </w:p>
    <w:p>
      <w:pPr>
        <w:pStyle w:val="TextBody"/>
        <w:spacing w:lineRule="auto" w:line="290" w:before="160"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Our manufacturing processes and potential products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violate proprietary rights of patents that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been or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granted to competitors, universities or others, or the trade secrets of those persons and entities. As the pharmaceutical industry expands and more patents are issued, the risk increases that our processes and potential products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give rise to claims that they infringe the patents or trade secrets of others. These other persons could bring legal actions against us claiming damages and seeking to enjoin clinical testing, manufacturing and marketing of the affected product or </w:t>
      </w:r>
      <w:r>
        <w:rPr>
          <w:rFonts w:ascii="Times New Roman;Times;serif" w:hAnsi="Times New Roman;Times;serif"/>
          <w:color w:val="231F20"/>
          <w:spacing w:val="-3"/>
          <w:sz w:val="20"/>
        </w:rPr>
        <w:t xml:space="preserve">process. </w:t>
      </w:r>
      <w:r>
        <w:rPr>
          <w:rFonts w:ascii="Times New Roman;Times;serif" w:hAnsi="Times New Roman;Times;serif"/>
          <w:color w:val="231F20"/>
          <w:sz w:val="20"/>
        </w:rPr>
        <w:t xml:space="preserve">If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of these actions are successful, in addition to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potential liability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damages, we could be required to obtain a license in order to continue to conduct clinical tests, manufacture or market the affected product or use the affected </w:t>
      </w:r>
      <w:r>
        <w:rPr>
          <w:rFonts w:ascii="Times New Roman;Times;serif" w:hAnsi="Times New Roman;Times;serif"/>
          <w:color w:val="231F20"/>
          <w:spacing w:val="-3"/>
          <w:sz w:val="20"/>
        </w:rPr>
        <w:t xml:space="preserve">process. </w:t>
      </w:r>
      <w:r>
        <w:rPr>
          <w:rFonts w:ascii="Times New Roman;Times;serif" w:hAnsi="Times New Roman;Times;serif"/>
          <w:color w:val="231F20"/>
          <w:sz w:val="20"/>
        </w:rPr>
        <w:t xml:space="preserve">Required licenses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 xml:space="preserve">on acceptable terms, if </w:t>
      </w:r>
      <w:r>
        <w:rPr>
          <w:rFonts w:ascii="Times New Roman;Times;serif" w:hAnsi="Times New Roman;Times;serif"/>
          <w:color w:val="231F20"/>
          <w:spacing w:val="-3"/>
          <w:sz w:val="20"/>
        </w:rPr>
        <w:t xml:space="preserve">at all, </w:t>
      </w:r>
      <w:r>
        <w:rPr>
          <w:rFonts w:ascii="Times New Roman;Times;serif" w:hAnsi="Times New Roman;Times;serif"/>
          <w:color w:val="231F20"/>
          <w:sz w:val="20"/>
        </w:rPr>
        <w:t xml:space="preserve">and the results of litigation are uncertain. If we become </w:t>
      </w:r>
      <w:r>
        <w:rPr>
          <w:rFonts w:ascii="Times New Roman;Times;serif" w:hAnsi="Times New Roman;Times;serif"/>
          <w:color w:val="231F20"/>
          <w:spacing w:val="-3"/>
          <w:sz w:val="20"/>
        </w:rPr>
        <w:t xml:space="preserve">involved </w:t>
      </w:r>
      <w:r>
        <w:rPr>
          <w:rFonts w:ascii="Times New Roman;Times;serif" w:hAnsi="Times New Roman;Times;serif"/>
          <w:color w:val="231F20"/>
          <w:sz w:val="20"/>
        </w:rPr>
        <w:t>in litigation or other proceedings, it could consume a substantial portion of our financial resources and the efforts of our</w:t>
      </w:r>
      <w:r>
        <w:rPr>
          <w:rFonts w:ascii="Times New Roman;Times;serif" w:hAnsi="Times New Roman;Times;serif"/>
          <w:color w:val="231F20"/>
          <w:spacing w:val="10"/>
          <w:sz w:val="20"/>
        </w:rPr>
        <w:t xml:space="preserve"> </w:t>
      </w:r>
      <w:r>
        <w:rPr>
          <w:rFonts w:ascii="Times New Roman;Times;serif" w:hAnsi="Times New Roman;Times;serif"/>
          <w:color w:val="231F20"/>
          <w:sz w:val="20"/>
        </w:rPr>
        <w:t>personnel.</w:t>
      </w:r>
    </w:p>
    <w:p>
      <w:pPr>
        <w:pStyle w:val="TextBody"/>
        <w:spacing w:lineRule="auto" w:line="290"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Our ability to protect and enforce our patents does not guaranty that we will secure the right to commercialize our patents.</w:t>
      </w:r>
    </w:p>
    <w:p>
      <w:pPr>
        <w:pStyle w:val="TextBody"/>
        <w:spacing w:lineRule="auto" w:line="290" w:before="160" w:after="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A patent is a limited exclusionary right conferred upon an </w:t>
      </w:r>
      <w:r>
        <w:rPr>
          <w:rFonts w:ascii="Times New Roman;Times;serif" w:hAnsi="Times New Roman;Times;serif"/>
          <w:color w:val="231F20"/>
          <w:spacing w:val="-4"/>
          <w:sz w:val="20"/>
        </w:rPr>
        <w:t xml:space="preserve">inventor, </w:t>
      </w:r>
      <w:r>
        <w:rPr>
          <w:rFonts w:ascii="Times New Roman;Times;serif" w:hAnsi="Times New Roman;Times;serif"/>
          <w:color w:val="231F20"/>
          <w:sz w:val="20"/>
        </w:rPr>
        <w:t xml:space="preserve">and his successors in title, in return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making and disclosing of a new and non-obvious invention. This exclusionary right is of limited duration but, while in </w:t>
      </w:r>
      <w:r>
        <w:rPr>
          <w:rFonts w:ascii="Times New Roman;Times;serif" w:hAnsi="Times New Roman;Times;serif"/>
          <w:color w:val="231F20"/>
          <w:spacing w:val="-4"/>
          <w:sz w:val="20"/>
        </w:rPr>
        <w:t xml:space="preserve">force, </w:t>
      </w:r>
      <w:r>
        <w:rPr>
          <w:rFonts w:ascii="Times New Roman;Times;serif" w:hAnsi="Times New Roman;Times;serif"/>
          <w:color w:val="231F20"/>
          <w:spacing w:val="-3"/>
          <w:sz w:val="20"/>
        </w:rPr>
        <w:t xml:space="preserve">allows </w:t>
      </w:r>
      <w:r>
        <w:rPr>
          <w:rFonts w:ascii="Times New Roman;Times;serif" w:hAnsi="Times New Roman;Times;serif"/>
          <w:color w:val="231F20"/>
          <w:sz w:val="20"/>
        </w:rPr>
        <w:t>the patent holder to prevent others from making and/or using his invention. While a patent gives the holder this right to exclude others, it is not an authorization to commercialize the invention,</w:t>
      </w:r>
      <w:r>
        <w:rPr>
          <w:rFonts w:ascii="Times New Roman;Times;serif" w:hAnsi="Times New Roman;Times;serif"/>
          <w:color w:val="231F20"/>
          <w:spacing w:val="-9"/>
          <w:sz w:val="20"/>
        </w:rPr>
        <w:t xml:space="preserve"> </w:t>
      </w:r>
      <w:r>
        <w:rPr>
          <w:rFonts w:ascii="Times New Roman;Times;serif" w:hAnsi="Times New Roman;Times;serif"/>
          <w:color w:val="231F20"/>
          <w:sz w:val="20"/>
        </w:rPr>
        <w:t>where</w:t>
      </w:r>
      <w:r>
        <w:rPr>
          <w:rFonts w:ascii="Times New Roman;Times;serif" w:hAnsi="Times New Roman;Times;serif"/>
          <w:color w:val="231F20"/>
          <w:spacing w:val="-8"/>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8"/>
          <w:sz w:val="20"/>
        </w:rPr>
        <w:t xml:space="preserve"> </w:t>
      </w:r>
      <w:r>
        <w:rPr>
          <w:rFonts w:ascii="Times New Roman;Times;serif" w:hAnsi="Times New Roman;Times;serif"/>
          <w:color w:val="231F20"/>
          <w:sz w:val="20"/>
        </w:rPr>
        <w:t>permissions</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8"/>
          <w:sz w:val="20"/>
        </w:rPr>
        <w:t xml:space="preserve"> </w:t>
      </w:r>
      <w:r>
        <w:rPr>
          <w:rFonts w:ascii="Times New Roman;Times;serif" w:hAnsi="Times New Roman;Times;serif"/>
          <w:color w:val="231F20"/>
          <w:sz w:val="20"/>
        </w:rPr>
        <w:t>be</w:t>
      </w:r>
      <w:r>
        <w:rPr>
          <w:rFonts w:ascii="Times New Roman;Times;serif" w:hAnsi="Times New Roman;Times;serif"/>
          <w:color w:val="231F20"/>
          <w:spacing w:val="-8"/>
          <w:sz w:val="20"/>
        </w:rPr>
        <w:t xml:space="preserve"> </w:t>
      </w:r>
      <w:r>
        <w:rPr>
          <w:rFonts w:ascii="Times New Roman;Times;serif" w:hAnsi="Times New Roman;Times;serif"/>
          <w:color w:val="231F20"/>
          <w:sz w:val="20"/>
        </w:rPr>
        <w:t>required</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8"/>
          <w:sz w:val="20"/>
        </w:rPr>
        <w:t xml:space="preserve"> </w:t>
      </w:r>
      <w:r>
        <w:rPr>
          <w:rFonts w:ascii="Times New Roman;Times;serif" w:hAnsi="Times New Roman;Times;serif"/>
          <w:color w:val="231F20"/>
          <w:sz w:val="20"/>
        </w:rPr>
        <w:t>permissible</w:t>
      </w:r>
      <w:r>
        <w:rPr>
          <w:rFonts w:ascii="Times New Roman;Times;serif" w:hAnsi="Times New Roman;Times;serif"/>
          <w:color w:val="231F20"/>
          <w:spacing w:val="-8"/>
          <w:sz w:val="20"/>
        </w:rPr>
        <w:t xml:space="preserve"> </w:t>
      </w:r>
      <w:r>
        <w:rPr>
          <w:rFonts w:ascii="Times New Roman;Times;serif" w:hAnsi="Times New Roman;Times;serif"/>
          <w:color w:val="231F20"/>
          <w:sz w:val="20"/>
        </w:rPr>
        <w:t>commercialization</w:t>
      </w:r>
      <w:r>
        <w:rPr>
          <w:rFonts w:ascii="Times New Roman;Times;serif" w:hAnsi="Times New Roman;Times;serif"/>
          <w:color w:val="231F20"/>
          <w:spacing w:val="-9"/>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occur.</w:t>
      </w:r>
      <w:r>
        <w:rPr>
          <w:rFonts w:ascii="Times New Roman;Times;serif" w:hAnsi="Times New Roman;Times;serif"/>
          <w:color w:val="231F20"/>
          <w:spacing w:val="-8"/>
          <w:sz w:val="20"/>
        </w:rPr>
        <w:t xml:space="preserve"> </w:t>
      </w:r>
      <w:r>
        <w:rPr>
          <w:rFonts w:ascii="Times New Roman;Times;serif" w:hAnsi="Times New Roman;Times;serif"/>
          <w:color w:val="231F20"/>
          <w:spacing w:val="-6"/>
          <w:sz w:val="20"/>
        </w:rPr>
        <w:t>For</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example, a drug cannot be marketed without the appropriate authorization from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hanging="0"/>
        <w:jc w:val="both"/>
        <w:rPr>
          <w:rFonts w:ascii="Times New Roman;Times;serif" w:hAnsi="Times New Roman;Times;serif"/>
          <w:sz w:val="20"/>
        </w:rPr>
      </w:pPr>
      <w:r>
        <w:rPr>
          <w:rFonts w:ascii="Times New Roman;Times;serif" w:hAnsi="Times New Roman;Times;serif"/>
          <w:color w:val="231F20"/>
          <w:sz w:val="20"/>
        </w:rPr>
        <w:t xml:space="preserve">the </w:t>
      </w:r>
      <w:r>
        <w:rPr>
          <w:rFonts w:ascii="Times New Roman;Times;serif" w:hAnsi="Times New Roman;Times;serif"/>
          <w:color w:val="231F20"/>
          <w:spacing w:val="-3"/>
          <w:sz w:val="20"/>
        </w:rPr>
        <w:t xml:space="preserve">FDA, </w:t>
      </w:r>
      <w:r>
        <w:rPr>
          <w:rFonts w:ascii="Times New Roman;Times;serif" w:hAnsi="Times New Roman;Times;serif"/>
          <w:color w:val="231F20"/>
          <w:sz w:val="20"/>
        </w:rPr>
        <w:t xml:space="preserve">regardless of the existence of a patent covering the product. </w:t>
      </w:r>
      <w:r>
        <w:rPr>
          <w:rFonts w:ascii="Times New Roman;Times;serif" w:hAnsi="Times New Roman;Times;serif"/>
          <w:color w:val="231F20"/>
          <w:spacing w:val="-3"/>
          <w:sz w:val="20"/>
        </w:rPr>
        <w:t xml:space="preserve">Further, </w:t>
      </w:r>
      <w:r>
        <w:rPr>
          <w:rFonts w:ascii="Times New Roman;Times;serif" w:hAnsi="Times New Roman;Times;serif"/>
          <w:color w:val="231F20"/>
          <w:sz w:val="20"/>
        </w:rPr>
        <w:t xml:space="preserve">the invention, even if patented itself,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be successfully commercialized if it infringes the </w:t>
      </w:r>
      <w:r>
        <w:rPr>
          <w:rFonts w:ascii="Times New Roman;Times;serif" w:hAnsi="Times New Roman;Times;serif"/>
          <w:color w:val="231F20"/>
          <w:spacing w:val="-3"/>
          <w:sz w:val="20"/>
        </w:rPr>
        <w:t xml:space="preserve">valid </w:t>
      </w:r>
      <w:r>
        <w:rPr>
          <w:rFonts w:ascii="Times New Roman;Times;serif" w:hAnsi="Times New Roman;Times;serif"/>
          <w:color w:val="231F20"/>
          <w:sz w:val="20"/>
        </w:rPr>
        <w:t>patent rights of another</w:t>
      </w:r>
      <w:r>
        <w:rPr>
          <w:rFonts w:ascii="Times New Roman;Times;serif" w:hAnsi="Times New Roman;Times;serif"/>
          <w:color w:val="231F20"/>
          <w:spacing w:val="3"/>
          <w:sz w:val="20"/>
        </w:rPr>
        <w:t xml:space="preserve"> </w:t>
      </w:r>
      <w:r>
        <w:rPr>
          <w:rFonts w:ascii="Times New Roman;Times;serif" w:hAnsi="Times New Roman;Times;serif"/>
          <w:color w:val="231F20"/>
          <w:spacing w:val="-4"/>
          <w:sz w:val="20"/>
        </w:rPr>
        <w:t>party.</w:t>
      </w:r>
    </w:p>
    <w:p>
      <w:pPr>
        <w:pStyle w:val="TextBody"/>
        <w:spacing w:before="87"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rely on confidentiality agreements to protect our trade secrets. If these agreements are breached by our employees or other parties, our trade secrets may become known to our competitors.</w:t>
      </w:r>
    </w:p>
    <w:p>
      <w:pPr>
        <w:pStyle w:val="TextBody"/>
        <w:spacing w:before="162"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rely </w:t>
      </w:r>
      <w:r>
        <w:rPr>
          <w:rFonts w:ascii="Times New Roman;Times;serif" w:hAnsi="Times New Roman;Times;serif"/>
          <w:color w:val="231F20"/>
          <w:sz w:val="20"/>
        </w:rPr>
        <w:t xml:space="preserve">on trade secrets that we seek to protect through confidentiality agreements with our employees and other parties. If these agreements are breached, our competitors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obtain and use our trade secrets to gain a competitive advantage </w:t>
      </w:r>
      <w:r>
        <w:rPr>
          <w:rFonts w:ascii="Times New Roman;Times;serif" w:hAnsi="Times New Roman;Times;serif"/>
          <w:color w:val="231F20"/>
          <w:spacing w:val="-3"/>
          <w:sz w:val="20"/>
        </w:rPr>
        <w:t xml:space="preserve">over </w:t>
      </w:r>
      <w:r>
        <w:rPr>
          <w:rFonts w:ascii="Times New Roman;Times;serif" w:hAnsi="Times New Roman;Times;serif"/>
          <w:color w:val="231F20"/>
          <w:spacing w:val="-5"/>
          <w:sz w:val="20"/>
        </w:rPr>
        <w:t xml:space="preserve">us. </w:t>
      </w: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w:t>
      </w:r>
      <w:r>
        <w:rPr>
          <w:rFonts w:ascii="Times New Roman;Times;serif" w:hAnsi="Times New Roman;Times;serif"/>
          <w:color w:val="231F20"/>
          <w:spacing w:val="-5"/>
          <w:sz w:val="20"/>
        </w:rPr>
        <w:t xml:space="preserve">have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remedies against our competitors and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remedies that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 xml:space="preserve">to us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not be adequate to protect our business or compensate us</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the damaging disclosure. In addition, we may have to expend resources to protect our interests from possible infringement by others.</w:t>
      </w:r>
    </w:p>
    <w:p>
      <w:pPr>
        <w:pStyle w:val="TextBody"/>
        <w:spacing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If we are unable to obtain the statutory patent extension related to the review time in the U.S., we may need to rely on the 3-year Hatch-Waxman Act marketing exclusivity, the six-month pediatric exclusivity, any approved Orphan Drug exclusivities, potential future formulation patents and up to ten years of data exclusivity in Europe. See “</w:t>
      </w:r>
      <w:r>
        <w:rPr>
          <w:rFonts w:ascii="Times New Roman;Times;serif" w:hAnsi="Times New Roman;Times;serif"/>
          <w:i/>
          <w:color w:val="231F20"/>
          <w:sz w:val="20"/>
        </w:rPr>
        <w:t>Risks Related to Clinical and Regulatory Matters — We may not be able to obtain Hatch-Waxman Act marketing exclusivity or equivalent regulatory data exclusivity protection in other jurisdictions for our</w:t>
      </w:r>
      <w:r>
        <w:rPr>
          <w:rFonts w:ascii="Times New Roman;Times;serif" w:hAnsi="Times New Roman;Times;serif"/>
          <w:color w:val="231F20"/>
          <w:spacing w:val="-5"/>
          <w:sz w:val="20"/>
        </w:rPr>
        <w:t xml:space="preserve"> </w:t>
      </w:r>
      <w:r>
        <w:rPr>
          <w:rFonts w:ascii="Times New Roman;Times;serif" w:hAnsi="Times New Roman;Times;serif"/>
          <w:i/>
          <w:color w:val="231F20"/>
          <w:sz w:val="20"/>
        </w:rPr>
        <w:t>products</w:t>
      </w:r>
      <w:r>
        <w:rPr>
          <w:rFonts w:ascii="Times New Roman;Times;serif" w:hAnsi="Times New Roman;Times;serif"/>
          <w:color w:val="231F20"/>
          <w:sz w:val="20"/>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 xml:space="preserve">We </w:t>
      </w:r>
      <w:r>
        <w:rPr>
          <w:rFonts w:ascii="Times New Roman;Times;serif" w:hAnsi="Times New Roman;Times;serif"/>
          <w:b/>
          <w:i/>
          <w:color w:val="231F20"/>
          <w:sz w:val="20"/>
        </w:rPr>
        <w:t xml:space="preserve">may not receive </w:t>
      </w:r>
      <w:r>
        <w:rPr>
          <w:rFonts w:ascii="Times New Roman;Times;serif" w:hAnsi="Times New Roman;Times;serif"/>
          <w:b/>
          <w:i/>
          <w:color w:val="231F20"/>
          <w:spacing w:val="-3"/>
          <w:sz w:val="20"/>
        </w:rPr>
        <w:t xml:space="preserve">royalty </w:t>
      </w:r>
      <w:r>
        <w:rPr>
          <w:rFonts w:ascii="Times New Roman;Times;serif" w:hAnsi="Times New Roman;Times;serif"/>
          <w:b/>
          <w:i/>
          <w:color w:val="231F20"/>
          <w:sz w:val="20"/>
        </w:rPr>
        <w:t xml:space="preserve">or milestone revenue relating to our product candidates under our collaboration and future license agreements for several </w:t>
      </w:r>
      <w:r>
        <w:rPr>
          <w:rFonts w:ascii="Times New Roman;Times;serif" w:hAnsi="Times New Roman;Times;serif"/>
          <w:b/>
          <w:i/>
          <w:color w:val="231F20"/>
          <w:spacing w:val="-4"/>
          <w:sz w:val="20"/>
        </w:rPr>
        <w:t xml:space="preserve">years, </w:t>
      </w:r>
      <w:r>
        <w:rPr>
          <w:rFonts w:ascii="Times New Roman;Times;serif" w:hAnsi="Times New Roman;Times;serif"/>
          <w:b/>
          <w:i/>
          <w:color w:val="231F20"/>
          <w:sz w:val="20"/>
        </w:rPr>
        <w:t>or at all.</w:t>
      </w:r>
    </w:p>
    <w:p>
      <w:pPr>
        <w:pStyle w:val="TextBody"/>
        <w:spacing w:before="161"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expect that our future collaboration agreements and future license agreements relating to our product candidates will provide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payments on achievement of development or commercialization milestones and </w:t>
      </w:r>
      <w:r>
        <w:rPr>
          <w:rFonts w:ascii="Times New Roman;Times;serif" w:hAnsi="Times New Roman;Times;serif"/>
          <w:color w:val="231F20"/>
          <w:spacing w:val="-3"/>
          <w:sz w:val="20"/>
        </w:rPr>
        <w:t xml:space="preserve">for </w:t>
      </w:r>
      <w:r>
        <w:rPr>
          <w:rFonts w:ascii="Times New Roman;Times;serif" w:hAnsi="Times New Roman;Times;serif"/>
          <w:color w:val="231F20"/>
          <w:spacing w:val="-4"/>
          <w:sz w:val="20"/>
        </w:rPr>
        <w:t xml:space="preserve">royalties </w:t>
      </w:r>
      <w:r>
        <w:rPr>
          <w:rFonts w:ascii="Times New Roman;Times;serif" w:hAnsi="Times New Roman;Times;serif"/>
          <w:color w:val="231F20"/>
          <w:sz w:val="20"/>
        </w:rPr>
        <w:t xml:space="preserve">on product </w:t>
      </w:r>
      <w:r>
        <w:rPr>
          <w:rFonts w:ascii="Times New Roman;Times;serif" w:hAnsi="Times New Roman;Times;serif"/>
          <w:color w:val="231F20"/>
          <w:spacing w:val="-4"/>
          <w:sz w:val="20"/>
        </w:rPr>
        <w:t xml:space="preserve">sales.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because none of our drug candidates has been </w:t>
      </w:r>
      <w:r>
        <w:rPr>
          <w:rFonts w:ascii="Times New Roman;Times;serif" w:hAnsi="Times New Roman;Times;serif"/>
          <w:color w:val="231F20"/>
          <w:spacing w:val="-3"/>
          <w:sz w:val="20"/>
        </w:rPr>
        <w:t xml:space="preserve">approved for </w:t>
      </w:r>
      <w:r>
        <w:rPr>
          <w:rFonts w:ascii="Times New Roman;Times;serif" w:hAnsi="Times New Roman;Times;serif"/>
          <w:color w:val="231F20"/>
          <w:sz w:val="20"/>
        </w:rPr>
        <w:t xml:space="preserve">commercial </w:t>
      </w:r>
      <w:r>
        <w:rPr>
          <w:rFonts w:ascii="Times New Roman;Times;serif" w:hAnsi="Times New Roman;Times;serif"/>
          <w:color w:val="231F20"/>
          <w:spacing w:val="-4"/>
          <w:sz w:val="20"/>
        </w:rPr>
        <w:t xml:space="preserve">sale, </w:t>
      </w:r>
      <w:r>
        <w:rPr>
          <w:rFonts w:ascii="Times New Roman;Times;serif" w:hAnsi="Times New Roman;Times;serif"/>
          <w:color w:val="231F20"/>
          <w:sz w:val="20"/>
        </w:rPr>
        <w:t xml:space="preserve">many of our drug candidates are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early stages of development and drug development entails a high risk of failure,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never realize much of the milestone </w:t>
      </w:r>
      <w:r>
        <w:rPr>
          <w:rFonts w:ascii="Times New Roman;Times;serif" w:hAnsi="Times New Roman;Times;serif"/>
          <w:color w:val="231F20"/>
          <w:spacing w:val="-3"/>
          <w:sz w:val="20"/>
        </w:rPr>
        <w:t xml:space="preserve">revenue </w:t>
      </w:r>
      <w:r>
        <w:rPr>
          <w:rFonts w:ascii="Times New Roman;Times;serif" w:hAnsi="Times New Roman;Times;serif"/>
          <w:color w:val="231F20"/>
          <w:sz w:val="20"/>
        </w:rPr>
        <w:t xml:space="preserve">provided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in our future collaboration and future license agreements and we do not expect to receive </w:t>
      </w:r>
      <w:r>
        <w:rPr>
          <w:rFonts w:ascii="Times New Roman;Times;serif" w:hAnsi="Times New Roman;Times;serif"/>
          <w:color w:val="231F20"/>
          <w:spacing w:val="-3"/>
          <w:sz w:val="20"/>
        </w:rPr>
        <w:t xml:space="preserve">any </w:t>
      </w:r>
      <w:r>
        <w:rPr>
          <w:rFonts w:ascii="Times New Roman;Times;serif" w:hAnsi="Times New Roman;Times;serif"/>
          <w:color w:val="231F20"/>
          <w:spacing w:val="-4"/>
          <w:sz w:val="20"/>
        </w:rPr>
        <w:t xml:space="preserve">royalty </w:t>
      </w:r>
      <w:r>
        <w:rPr>
          <w:rFonts w:ascii="Times New Roman;Times;serif" w:hAnsi="Times New Roman;Times;serif"/>
          <w:color w:val="231F20"/>
          <w:spacing w:val="-3"/>
          <w:sz w:val="20"/>
        </w:rPr>
        <w:t xml:space="preserve">revenue for several </w:t>
      </w:r>
      <w:r>
        <w:rPr>
          <w:rFonts w:ascii="Times New Roman;Times;serif" w:hAnsi="Times New Roman;Times;serif"/>
          <w:color w:val="231F20"/>
          <w:sz w:val="20"/>
        </w:rPr>
        <w:t xml:space="preserve">years, if </w:t>
      </w:r>
      <w:r>
        <w:rPr>
          <w:rFonts w:ascii="Times New Roman;Times;serif" w:hAnsi="Times New Roman;Times;serif"/>
          <w:color w:val="231F20"/>
          <w:spacing w:val="-3"/>
          <w:sz w:val="20"/>
        </w:rPr>
        <w:t xml:space="preserve">at all. Similarly, </w:t>
      </w:r>
      <w:r>
        <w:rPr>
          <w:rFonts w:ascii="Times New Roman;Times;serif" w:hAnsi="Times New Roman;Times;serif"/>
          <w:color w:val="231F20"/>
          <w:sz w:val="20"/>
        </w:rPr>
        <w:t xml:space="preserve">drugs we select to commercialize ourselves, or partner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later stage co-development and commercialization,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generate </w:t>
      </w:r>
      <w:r>
        <w:rPr>
          <w:rFonts w:ascii="Times New Roman;Times;serif" w:hAnsi="Times New Roman;Times;serif"/>
          <w:color w:val="231F20"/>
          <w:spacing w:val="-3"/>
          <w:sz w:val="20"/>
        </w:rPr>
        <w:t xml:space="preserve">revenue for several </w:t>
      </w:r>
      <w:r>
        <w:rPr>
          <w:rFonts w:ascii="Times New Roman;Times;serif" w:hAnsi="Times New Roman;Times;serif"/>
          <w:color w:val="231F20"/>
          <w:sz w:val="20"/>
        </w:rPr>
        <w:t xml:space="preserve">years, or </w:t>
      </w:r>
      <w:r>
        <w:rPr>
          <w:rFonts w:ascii="Times New Roman;Times;serif" w:hAnsi="Times New Roman;Times;serif"/>
          <w:color w:val="231F20"/>
          <w:spacing w:val="-3"/>
          <w:sz w:val="20"/>
        </w:rPr>
        <w:t>at all.</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Risks Related to Our Reliance on Third Parties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do not have direct control of third parties performing preclinical and clinical trials.</w:t>
      </w:r>
    </w:p>
    <w:p>
      <w:pPr>
        <w:pStyle w:val="TextBody"/>
        <w:spacing w:lineRule="auto" w:line="288" w:before="167"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depend on independent investigators and collaborators, such as universities and medical institutions,</w:t>
      </w:r>
      <w:r>
        <w:rPr>
          <w:rFonts w:ascii="Times New Roman;Times;serif" w:hAnsi="Times New Roman;Times;serif"/>
          <w:color w:val="231F20"/>
          <w:spacing w:val="-27"/>
          <w:sz w:val="20"/>
        </w:rPr>
        <w:t xml:space="preserve"> </w:t>
      </w:r>
      <w:r>
        <w:rPr>
          <w:rFonts w:ascii="Times New Roman;Times;serif" w:hAnsi="Times New Roman;Times;serif"/>
          <w:color w:val="231F20"/>
          <w:sz w:val="20"/>
        </w:rPr>
        <w:t>to</w:t>
      </w:r>
      <w:r>
        <w:rPr>
          <w:rFonts w:ascii="Times New Roman;Times;serif" w:hAnsi="Times New Roman;Times;serif"/>
          <w:color w:val="231F20"/>
          <w:spacing w:val="-27"/>
          <w:sz w:val="20"/>
        </w:rPr>
        <w:t xml:space="preserve"> </w:t>
      </w:r>
      <w:r>
        <w:rPr>
          <w:rFonts w:ascii="Times New Roman;Times;serif" w:hAnsi="Times New Roman;Times;serif"/>
          <w:color w:val="231F20"/>
          <w:sz w:val="20"/>
        </w:rPr>
        <w:t>conduct</w:t>
      </w:r>
      <w:r>
        <w:rPr>
          <w:rFonts w:ascii="Times New Roman;Times;serif" w:hAnsi="Times New Roman;Times;serif"/>
          <w:color w:val="231F20"/>
          <w:spacing w:val="-2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6"/>
          <w:sz w:val="20"/>
        </w:rPr>
        <w:t xml:space="preserve"> </w:t>
      </w:r>
      <w:r>
        <w:rPr>
          <w:rFonts w:ascii="Times New Roman;Times;serif" w:hAnsi="Times New Roman;Times;serif"/>
          <w:color w:val="231F20"/>
          <w:sz w:val="20"/>
        </w:rPr>
        <w:t>preclinical</w:t>
      </w:r>
      <w:r>
        <w:rPr>
          <w:rFonts w:ascii="Times New Roman;Times;serif" w:hAnsi="Times New Roman;Times;serif"/>
          <w:color w:val="231F20"/>
          <w:spacing w:val="-2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7"/>
          <w:sz w:val="20"/>
        </w:rPr>
        <w:t xml:space="preserve"> </w:t>
      </w:r>
      <w:r>
        <w:rPr>
          <w:rFonts w:ascii="Times New Roman;Times;serif" w:hAnsi="Times New Roman;Times;serif"/>
          <w:color w:val="231F20"/>
          <w:sz w:val="20"/>
        </w:rPr>
        <w:t>clinical</w:t>
      </w:r>
      <w:r>
        <w:rPr>
          <w:rFonts w:ascii="Times New Roman;Times;serif" w:hAnsi="Times New Roman;Times;serif"/>
          <w:color w:val="231F20"/>
          <w:spacing w:val="-26"/>
          <w:sz w:val="20"/>
        </w:rPr>
        <w:t xml:space="preserve"> </w:t>
      </w:r>
      <w:r>
        <w:rPr>
          <w:rFonts w:ascii="Times New Roman;Times;serif" w:hAnsi="Times New Roman;Times;serif"/>
          <w:color w:val="231F20"/>
          <w:sz w:val="20"/>
        </w:rPr>
        <w:t>trials</w:t>
      </w:r>
      <w:r>
        <w:rPr>
          <w:rFonts w:ascii="Times New Roman;Times;serif" w:hAnsi="Times New Roman;Times;serif"/>
          <w:color w:val="231F20"/>
          <w:spacing w:val="-27"/>
          <w:sz w:val="20"/>
        </w:rPr>
        <w:t xml:space="preserve"> </w:t>
      </w:r>
      <w:r>
        <w:rPr>
          <w:rFonts w:ascii="Times New Roman;Times;serif" w:hAnsi="Times New Roman;Times;serif"/>
          <w:color w:val="231F20"/>
          <w:sz w:val="20"/>
        </w:rPr>
        <w:t>under</w:t>
      </w:r>
      <w:r>
        <w:rPr>
          <w:rFonts w:ascii="Times New Roman;Times;serif" w:hAnsi="Times New Roman;Times;serif"/>
          <w:color w:val="231F20"/>
          <w:spacing w:val="-27"/>
          <w:sz w:val="20"/>
        </w:rPr>
        <w:t xml:space="preserve"> </w:t>
      </w:r>
      <w:r>
        <w:rPr>
          <w:rFonts w:ascii="Times New Roman;Times;serif" w:hAnsi="Times New Roman;Times;serif"/>
          <w:color w:val="231F20"/>
          <w:sz w:val="20"/>
        </w:rPr>
        <w:t>agreements</w:t>
      </w:r>
      <w:r>
        <w:rPr>
          <w:rFonts w:ascii="Times New Roman;Times;serif" w:hAnsi="Times New Roman;Times;serif"/>
          <w:color w:val="231F20"/>
          <w:spacing w:val="-27"/>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6"/>
          <w:sz w:val="20"/>
        </w:rPr>
        <w:t xml:space="preserve"> </w:t>
      </w:r>
      <w:r>
        <w:rPr>
          <w:rFonts w:ascii="Times New Roman;Times;serif" w:hAnsi="Times New Roman;Times;serif"/>
          <w:color w:val="231F20"/>
          <w:spacing w:val="-5"/>
          <w:sz w:val="20"/>
        </w:rPr>
        <w:t>us.</w:t>
      </w:r>
      <w:r>
        <w:rPr>
          <w:rFonts w:ascii="Times New Roman;Times;serif" w:hAnsi="Times New Roman;Times;serif"/>
          <w:color w:val="231F20"/>
          <w:spacing w:val="-27"/>
          <w:sz w:val="20"/>
        </w:rPr>
        <w:t xml:space="preserve"> </w:t>
      </w:r>
      <w:r>
        <w:rPr>
          <w:rFonts w:ascii="Times New Roman;Times;serif" w:hAnsi="Times New Roman;Times;serif"/>
          <w:color w:val="231F20"/>
          <w:sz w:val="20"/>
        </w:rPr>
        <w:t>These</w:t>
      </w:r>
      <w:r>
        <w:rPr>
          <w:rFonts w:ascii="Times New Roman;Times;serif" w:hAnsi="Times New Roman;Times;serif"/>
          <w:color w:val="231F20"/>
          <w:spacing w:val="-27"/>
          <w:sz w:val="20"/>
        </w:rPr>
        <w:t xml:space="preserve"> </w:t>
      </w:r>
      <w:r>
        <w:rPr>
          <w:rFonts w:ascii="Times New Roman;Times;serif" w:hAnsi="Times New Roman;Times;serif"/>
          <w:color w:val="231F20"/>
          <w:sz w:val="20"/>
        </w:rPr>
        <w:t>investigators</w:t>
      </w:r>
      <w:r>
        <w:rPr>
          <w:rFonts w:ascii="Times New Roman;Times;serif" w:hAnsi="Times New Roman;Times;serif"/>
          <w:color w:val="231F20"/>
          <w:spacing w:val="-26"/>
          <w:sz w:val="20"/>
        </w:rPr>
        <w:t xml:space="preserve"> </w:t>
      </w:r>
      <w:r>
        <w:rPr>
          <w:rFonts w:ascii="Times New Roman;Times;serif" w:hAnsi="Times New Roman;Times;serif"/>
          <w:color w:val="231F20"/>
          <w:sz w:val="20"/>
        </w:rPr>
        <w:t xml:space="preserve">and collaborators are not our employees, and we cannot control the amount or timing of resources that they devote to our </w:t>
      </w:r>
      <w:r>
        <w:rPr>
          <w:rFonts w:ascii="Times New Roman;Times;serif" w:hAnsi="Times New Roman;Times;serif"/>
          <w:color w:val="231F20"/>
          <w:spacing w:val="-3"/>
          <w:sz w:val="20"/>
        </w:rPr>
        <w:t xml:space="preserve">programs. </w:t>
      </w:r>
      <w:r>
        <w:rPr>
          <w:rFonts w:ascii="Times New Roman;Times;serif" w:hAnsi="Times New Roman;Times;serif"/>
          <w:color w:val="231F20"/>
          <w:sz w:val="20"/>
        </w:rPr>
        <w:t xml:space="preserve">They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not assign as great a priority to our programs or pursue them as diligently</w:t>
      </w:r>
      <w:r>
        <w:rPr>
          <w:rFonts w:ascii="Times New Roman;Times;serif" w:hAnsi="Times New Roman;Times;serif"/>
          <w:color w:val="231F20"/>
          <w:spacing w:val="-39"/>
          <w:sz w:val="20"/>
        </w:rPr>
        <w:t xml:space="preserve"> </w:t>
      </w:r>
      <w:r>
        <w:rPr>
          <w:rFonts w:ascii="Times New Roman;Times;serif" w:hAnsi="Times New Roman;Times;serif"/>
          <w:color w:val="231F20"/>
          <w:sz w:val="20"/>
        </w:rPr>
        <w:t>as</w:t>
      </w:r>
      <w:r>
        <w:rPr>
          <w:rFonts w:ascii="Times New Roman;Times;serif" w:hAnsi="Times New Roman;Times;serif"/>
          <w:color w:val="231F20"/>
          <w:spacing w:val="-38"/>
          <w:sz w:val="20"/>
        </w:rPr>
        <w:t xml:space="preserve"> </w:t>
      </w:r>
      <w:r>
        <w:rPr>
          <w:rFonts w:ascii="Times New Roman;Times;serif" w:hAnsi="Times New Roman;Times;serif"/>
          <w:color w:val="231F20"/>
          <w:sz w:val="20"/>
        </w:rPr>
        <w:t>we</w:t>
      </w:r>
      <w:r>
        <w:rPr>
          <w:rFonts w:ascii="Times New Roman;Times;serif" w:hAnsi="Times New Roman;Times;serif"/>
          <w:color w:val="231F20"/>
          <w:spacing w:val="-39"/>
          <w:sz w:val="20"/>
        </w:rPr>
        <w:t xml:space="preserve"> </w:t>
      </w:r>
      <w:r>
        <w:rPr>
          <w:rFonts w:ascii="Times New Roman;Times;serif" w:hAnsi="Times New Roman;Times;serif"/>
          <w:color w:val="231F20"/>
          <w:sz w:val="20"/>
        </w:rPr>
        <w:t>would</w:t>
      </w:r>
      <w:r>
        <w:rPr>
          <w:rFonts w:ascii="Times New Roman;Times;serif" w:hAnsi="Times New Roman;Times;serif"/>
          <w:color w:val="231F20"/>
          <w:spacing w:val="-38"/>
          <w:sz w:val="20"/>
        </w:rPr>
        <w:t xml:space="preserve"> </w:t>
      </w:r>
      <w:r>
        <w:rPr>
          <w:rFonts w:ascii="Times New Roman;Times;serif" w:hAnsi="Times New Roman;Times;serif"/>
          <w:color w:val="231F20"/>
          <w:sz w:val="20"/>
        </w:rPr>
        <w:t>if</w:t>
      </w:r>
      <w:r>
        <w:rPr>
          <w:rFonts w:ascii="Times New Roman;Times;serif" w:hAnsi="Times New Roman;Times;serif"/>
          <w:color w:val="231F20"/>
          <w:spacing w:val="-33"/>
          <w:sz w:val="20"/>
        </w:rPr>
        <w:t xml:space="preserve"> </w:t>
      </w:r>
      <w:r>
        <w:rPr>
          <w:rFonts w:ascii="Times New Roman;Times;serif" w:hAnsi="Times New Roman;Times;serif"/>
          <w:color w:val="231F20"/>
          <w:sz w:val="20"/>
        </w:rPr>
        <w:t>we</w:t>
      </w:r>
      <w:r>
        <w:rPr>
          <w:rFonts w:ascii="Times New Roman;Times;serif" w:hAnsi="Times New Roman;Times;serif"/>
          <w:color w:val="231F20"/>
          <w:spacing w:val="-38"/>
          <w:sz w:val="20"/>
        </w:rPr>
        <w:t xml:space="preserve"> </w:t>
      </w:r>
      <w:r>
        <w:rPr>
          <w:rFonts w:ascii="Times New Roman;Times;serif" w:hAnsi="Times New Roman;Times;serif"/>
          <w:color w:val="231F20"/>
          <w:sz w:val="20"/>
        </w:rPr>
        <w:t>were</w:t>
      </w:r>
      <w:r>
        <w:rPr>
          <w:rFonts w:ascii="Times New Roman;Times;serif" w:hAnsi="Times New Roman;Times;serif"/>
          <w:color w:val="231F20"/>
          <w:spacing w:val="-39"/>
          <w:sz w:val="20"/>
        </w:rPr>
        <w:t xml:space="preserve"> </w:t>
      </w:r>
      <w:r>
        <w:rPr>
          <w:rFonts w:ascii="Times New Roman;Times;serif" w:hAnsi="Times New Roman;Times;serif"/>
          <w:color w:val="231F20"/>
          <w:sz w:val="20"/>
        </w:rPr>
        <w:t>undertaking</w:t>
      </w:r>
      <w:r>
        <w:rPr>
          <w:rFonts w:ascii="Times New Roman;Times;serif" w:hAnsi="Times New Roman;Times;serif"/>
          <w:color w:val="231F20"/>
          <w:spacing w:val="-38"/>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39"/>
          <w:sz w:val="20"/>
        </w:rPr>
        <w:t xml:space="preserve"> </w:t>
      </w:r>
      <w:r>
        <w:rPr>
          <w:rFonts w:ascii="Times New Roman;Times;serif" w:hAnsi="Times New Roman;Times;serif"/>
          <w:color w:val="231F20"/>
          <w:sz w:val="20"/>
        </w:rPr>
        <w:t>activities</w:t>
      </w:r>
      <w:r>
        <w:rPr>
          <w:rFonts w:ascii="Times New Roman;Times;serif" w:hAnsi="Times New Roman;Times;serif"/>
          <w:color w:val="231F20"/>
          <w:spacing w:val="-38"/>
          <w:sz w:val="20"/>
        </w:rPr>
        <w:t xml:space="preserve"> </w:t>
      </w:r>
      <w:r>
        <w:rPr>
          <w:rFonts w:ascii="Times New Roman;Times;serif" w:hAnsi="Times New Roman;Times;serif"/>
          <w:color w:val="231F20"/>
          <w:sz w:val="20"/>
        </w:rPr>
        <w:t>ourselves.</w:t>
      </w:r>
      <w:r>
        <w:rPr>
          <w:rFonts w:ascii="Times New Roman;Times;serif" w:hAnsi="Times New Roman;Times;serif"/>
          <w:color w:val="231F20"/>
          <w:spacing w:val="-39"/>
          <w:sz w:val="20"/>
        </w:rPr>
        <w:t xml:space="preserve"> </w:t>
      </w:r>
      <w:r>
        <w:rPr>
          <w:rFonts w:ascii="Times New Roman;Times;serif" w:hAnsi="Times New Roman;Times;serif"/>
          <w:color w:val="231F20"/>
          <w:sz w:val="20"/>
        </w:rPr>
        <w:t>If</w:t>
      </w:r>
      <w:r>
        <w:rPr>
          <w:rFonts w:ascii="Times New Roman;Times;serif" w:hAnsi="Times New Roman;Times;serif"/>
          <w:color w:val="231F20"/>
          <w:spacing w:val="-32"/>
          <w:sz w:val="20"/>
        </w:rPr>
        <w:t xml:space="preserve"> </w:t>
      </w:r>
      <w:r>
        <w:rPr>
          <w:rFonts w:ascii="Times New Roman;Times;serif" w:hAnsi="Times New Roman;Times;serif"/>
          <w:color w:val="231F20"/>
          <w:sz w:val="20"/>
        </w:rPr>
        <w:t>these</w:t>
      </w:r>
      <w:r>
        <w:rPr>
          <w:rFonts w:ascii="Times New Roman;Times;serif" w:hAnsi="Times New Roman;Times;serif"/>
          <w:color w:val="231F20"/>
          <w:spacing w:val="-38"/>
          <w:sz w:val="20"/>
        </w:rPr>
        <w:t xml:space="preserve"> </w:t>
      </w:r>
      <w:r>
        <w:rPr>
          <w:rFonts w:ascii="Times New Roman;Times;serif" w:hAnsi="Times New Roman;Times;serif"/>
          <w:color w:val="231F20"/>
          <w:sz w:val="20"/>
        </w:rPr>
        <w:t>investigators</w:t>
      </w:r>
      <w:r>
        <w:rPr>
          <w:rFonts w:ascii="Times New Roman;Times;serif" w:hAnsi="Times New Roman;Times;serif"/>
          <w:color w:val="231F20"/>
          <w:spacing w:val="-39"/>
          <w:sz w:val="20"/>
        </w:rPr>
        <w:t xml:space="preserve"> </w:t>
      </w:r>
      <w:r>
        <w:rPr>
          <w:rFonts w:ascii="Times New Roman;Times;serif" w:hAnsi="Times New Roman;Times;serif"/>
          <w:color w:val="231F20"/>
          <w:sz w:val="20"/>
        </w:rPr>
        <w:t>or</w:t>
      </w:r>
      <w:r>
        <w:rPr>
          <w:rFonts w:ascii="Times New Roman;Times;serif" w:hAnsi="Times New Roman;Times;serif"/>
          <w:color w:val="231F20"/>
          <w:spacing w:val="-38"/>
          <w:sz w:val="20"/>
        </w:rPr>
        <w:t xml:space="preserve"> </w:t>
      </w:r>
      <w:r>
        <w:rPr>
          <w:rFonts w:ascii="Times New Roman;Times;serif" w:hAnsi="Times New Roman;Times;serif"/>
          <w:color w:val="231F20"/>
          <w:sz w:val="20"/>
        </w:rPr>
        <w:t>collaborators fail</w:t>
      </w:r>
      <w:r>
        <w:rPr>
          <w:rFonts w:ascii="Times New Roman;Times;serif" w:hAnsi="Times New Roman;Times;serif"/>
          <w:color w:val="231F20"/>
          <w:spacing w:val="-20"/>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devote</w:t>
      </w:r>
      <w:r>
        <w:rPr>
          <w:rFonts w:ascii="Times New Roman;Times;serif" w:hAnsi="Times New Roman;Times;serif"/>
          <w:color w:val="231F20"/>
          <w:spacing w:val="-19"/>
          <w:sz w:val="20"/>
        </w:rPr>
        <w:t xml:space="preserve"> </w:t>
      </w:r>
      <w:r>
        <w:rPr>
          <w:rFonts w:ascii="Times New Roman;Times;serif" w:hAnsi="Times New Roman;Times;serif"/>
          <w:color w:val="231F20"/>
          <w:sz w:val="20"/>
        </w:rPr>
        <w:t>sufficient</w:t>
      </w:r>
      <w:r>
        <w:rPr>
          <w:rFonts w:ascii="Times New Roman;Times;serif" w:hAnsi="Times New Roman;Times;serif"/>
          <w:color w:val="231F20"/>
          <w:spacing w:val="-19"/>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1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resources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9"/>
          <w:sz w:val="20"/>
        </w:rPr>
        <w:t xml:space="preserve"> </w:t>
      </w:r>
      <w:r>
        <w:rPr>
          <w:rFonts w:ascii="Times New Roman;Times;serif" w:hAnsi="Times New Roman;Times;serif"/>
          <w:color w:val="231F20"/>
          <w:sz w:val="20"/>
        </w:rPr>
        <w:t>drug</w:t>
      </w:r>
      <w:r>
        <w:rPr>
          <w:rFonts w:ascii="Times New Roman;Times;serif" w:hAnsi="Times New Roman;Times;serif"/>
          <w:color w:val="231F20"/>
          <w:spacing w:val="-19"/>
          <w:sz w:val="20"/>
        </w:rPr>
        <w:t xml:space="preserve"> </w:t>
      </w:r>
      <w:r>
        <w:rPr>
          <w:rFonts w:ascii="Times New Roman;Times;serif" w:hAnsi="Times New Roman;Times;serif"/>
          <w:color w:val="231F20"/>
          <w:sz w:val="20"/>
        </w:rPr>
        <w:t>development</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programs,</w:t>
      </w:r>
      <w:r>
        <w:rPr>
          <w:rFonts w:ascii="Times New Roman;Times;serif" w:hAnsi="Times New Roman;Times;serif"/>
          <w:color w:val="231F20"/>
          <w:spacing w:val="-1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if</w:t>
      </w:r>
      <w:r>
        <w:rPr>
          <w:rFonts w:ascii="Times New Roman;Times;serif" w:hAnsi="Times New Roman;Times;serif"/>
          <w:color w:val="231F20"/>
          <w:spacing w:val="-5"/>
          <w:sz w:val="20"/>
        </w:rPr>
        <w:t xml:space="preserve"> </w:t>
      </w:r>
      <w:r>
        <w:rPr>
          <w:rFonts w:ascii="Times New Roman;Times;serif" w:hAnsi="Times New Roman;Times;serif"/>
          <w:color w:val="231F20"/>
          <w:sz w:val="20"/>
        </w:rPr>
        <w:t>their</w:t>
      </w:r>
      <w:r>
        <w:rPr>
          <w:rFonts w:ascii="Times New Roman;Times;serif" w:hAnsi="Times New Roman;Times;serif"/>
          <w:color w:val="231F20"/>
          <w:spacing w:val="-19"/>
          <w:sz w:val="20"/>
        </w:rPr>
        <w:t xml:space="preserve"> </w:t>
      </w:r>
      <w:r>
        <w:rPr>
          <w:rFonts w:ascii="Times New Roman;Times;serif" w:hAnsi="Times New Roman;Times;serif"/>
          <w:color w:val="231F20"/>
          <w:sz w:val="20"/>
        </w:rPr>
        <w:t>performance</w:t>
      </w:r>
      <w:r>
        <w:rPr>
          <w:rFonts w:ascii="Times New Roman;Times;serif" w:hAnsi="Times New Roman;Times;serif"/>
          <w:color w:val="231F20"/>
          <w:spacing w:val="-19"/>
          <w:sz w:val="20"/>
        </w:rPr>
        <w:t xml:space="preserve"> </w:t>
      </w:r>
      <w:r>
        <w:rPr>
          <w:rFonts w:ascii="Times New Roman;Times;serif" w:hAnsi="Times New Roman;Times;serif"/>
          <w:color w:val="231F20"/>
          <w:sz w:val="20"/>
        </w:rPr>
        <w:t>is substandard,</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pacing w:val="-4"/>
          <w:sz w:val="20"/>
        </w:rPr>
        <w:t>approval</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3"/>
          <w:sz w:val="20"/>
        </w:rPr>
        <w:t xml:space="preserve"> </w:t>
      </w:r>
      <w:r>
        <w:rPr>
          <w:rFonts w:ascii="Times New Roman;Times;serif" w:hAnsi="Times New Roman;Times;serif"/>
          <w:color w:val="231F20"/>
          <w:sz w:val="20"/>
        </w:rPr>
        <w:t>regulatory</w:t>
      </w:r>
      <w:r>
        <w:rPr>
          <w:rFonts w:ascii="Times New Roman;Times;serif" w:hAnsi="Times New Roman;Times;serif"/>
          <w:color w:val="231F20"/>
          <w:spacing w:val="-23"/>
          <w:sz w:val="20"/>
        </w:rPr>
        <w:t xml:space="preserve"> </w:t>
      </w:r>
      <w:r>
        <w:rPr>
          <w:rFonts w:ascii="Times New Roman;Times;serif" w:hAnsi="Times New Roman;Times;serif"/>
          <w:color w:val="231F20"/>
          <w:sz w:val="20"/>
        </w:rPr>
        <w:t>submissions</w:t>
      </w:r>
      <w:r>
        <w:rPr>
          <w:rFonts w:ascii="Times New Roman;Times;serif" w:hAnsi="Times New Roman;Times;serif"/>
          <w:color w:val="231F20"/>
          <w:spacing w:val="-2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3"/>
          <w:sz w:val="20"/>
        </w:rPr>
        <w:t xml:space="preserve"> </w:t>
      </w:r>
      <w:r>
        <w:rPr>
          <w:rFonts w:ascii="Times New Roman;Times;serif" w:hAnsi="Times New Roman;Times;serif"/>
          <w:color w:val="231F20"/>
          <w:sz w:val="20"/>
        </w:rPr>
        <w:t>introductions</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new</w:t>
      </w:r>
      <w:r>
        <w:rPr>
          <w:rFonts w:ascii="Times New Roman;Times;serif" w:hAnsi="Times New Roman;Times;serif"/>
          <w:color w:val="231F20"/>
          <w:spacing w:val="-23"/>
          <w:sz w:val="20"/>
        </w:rPr>
        <w:t xml:space="preserve"> </w:t>
      </w:r>
      <w:r>
        <w:rPr>
          <w:rFonts w:ascii="Times New Roman;Times;serif" w:hAnsi="Times New Roman;Times;serif"/>
          <w:color w:val="231F20"/>
          <w:sz w:val="20"/>
        </w:rPr>
        <w:t>drugs</w:t>
      </w:r>
      <w:r>
        <w:rPr>
          <w:rFonts w:ascii="Times New Roman;Times;serif" w:hAnsi="Times New Roman;Times;serif"/>
          <w:color w:val="231F20"/>
          <w:spacing w:val="-23"/>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23"/>
          <w:sz w:val="20"/>
        </w:rPr>
        <w:t xml:space="preserve"> </w:t>
      </w:r>
      <w:r>
        <w:rPr>
          <w:rFonts w:ascii="Times New Roman;Times;serif" w:hAnsi="Times New Roman;Times;serif"/>
          <w:color w:val="231F20"/>
          <w:sz w:val="20"/>
        </w:rPr>
        <w:t>be</w:t>
      </w:r>
      <w:r>
        <w:rPr>
          <w:rFonts w:ascii="Times New Roman;Times;serif" w:hAnsi="Times New Roman;Times;serif"/>
          <w:color w:val="231F20"/>
          <w:spacing w:val="-23"/>
          <w:sz w:val="20"/>
        </w:rPr>
        <w:t xml:space="preserve"> </w:t>
      </w:r>
      <w:r>
        <w:rPr>
          <w:rFonts w:ascii="Times New Roman;Times;serif" w:hAnsi="Times New Roman;Times;serif"/>
          <w:color w:val="231F20"/>
          <w:spacing w:val="-4"/>
          <w:sz w:val="20"/>
        </w:rPr>
        <w:t xml:space="preserve">delayed </w:t>
      </w:r>
      <w:r>
        <w:rPr>
          <w:rFonts w:ascii="Times New Roman;Times;serif" w:hAnsi="Times New Roman;Times;serif"/>
          <w:color w:val="231F20"/>
          <w:sz w:val="20"/>
        </w:rPr>
        <w:t>or</w:t>
      </w:r>
      <w:r>
        <w:rPr>
          <w:rFonts w:ascii="Times New Roman;Times;serif" w:hAnsi="Times New Roman;Times;serif"/>
          <w:color w:val="231F20"/>
          <w:spacing w:val="-7"/>
          <w:sz w:val="20"/>
        </w:rPr>
        <w:t xml:space="preserve"> </w:t>
      </w:r>
      <w:r>
        <w:rPr>
          <w:rFonts w:ascii="Times New Roman;Times;serif" w:hAnsi="Times New Roman;Times;serif"/>
          <w:color w:val="231F20"/>
          <w:sz w:val="20"/>
        </w:rPr>
        <w:t>prevented.</w:t>
      </w:r>
    </w:p>
    <w:p>
      <w:pPr>
        <w:pStyle w:val="TextBody"/>
        <w:spacing w:lineRule="auto" w:line="288" w:before="165"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Our potential collaborators </w:t>
      </w:r>
      <w:r>
        <w:rPr>
          <w:rFonts w:ascii="Times New Roman;Times;serif" w:hAnsi="Times New Roman;Times;serif"/>
          <w:color w:val="231F20"/>
          <w:spacing w:val="-3"/>
          <w:sz w:val="20"/>
        </w:rPr>
        <w:t xml:space="preserve">may also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relationships with other commercial entities, some of which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compete with </w:t>
      </w:r>
      <w:r>
        <w:rPr>
          <w:rFonts w:ascii="Times New Roman;Times;serif" w:hAnsi="Times New Roman;Times;serif"/>
          <w:color w:val="231F20"/>
          <w:spacing w:val="-5"/>
          <w:sz w:val="20"/>
        </w:rPr>
        <w:t xml:space="preserve">us. </w:t>
      </w:r>
      <w:r>
        <w:rPr>
          <w:rFonts w:ascii="Times New Roman;Times;serif" w:hAnsi="Times New Roman;Times;serif"/>
          <w:color w:val="231F20"/>
          <w:sz w:val="20"/>
        </w:rPr>
        <w:t xml:space="preserve">If outside collaborators assist our competitors to our detriment, the </w:t>
      </w:r>
      <w:r>
        <w:rPr>
          <w:rFonts w:ascii="Times New Roman;Times;serif" w:hAnsi="Times New Roman;Times;serif"/>
          <w:color w:val="231F20"/>
          <w:spacing w:val="-4"/>
          <w:sz w:val="20"/>
        </w:rPr>
        <w:t xml:space="preserve">approval </w:t>
      </w:r>
      <w:r>
        <w:rPr>
          <w:rFonts w:ascii="Times New Roman;Times;serif" w:hAnsi="Times New Roman;Times;serif"/>
          <w:color w:val="231F20"/>
          <w:sz w:val="20"/>
        </w:rPr>
        <w:t>of our regulatory</w:t>
      </w:r>
      <w:r>
        <w:rPr>
          <w:rFonts w:ascii="Times New Roman;Times;serif" w:hAnsi="Times New Roman;Times;serif"/>
          <w:color w:val="231F20"/>
          <w:spacing w:val="-14"/>
          <w:sz w:val="20"/>
        </w:rPr>
        <w:t xml:space="preserve"> </w:t>
      </w:r>
      <w:r>
        <w:rPr>
          <w:rFonts w:ascii="Times New Roman;Times;serif" w:hAnsi="Times New Roman;Times;serif"/>
          <w:color w:val="231F20"/>
          <w:sz w:val="20"/>
        </w:rPr>
        <w:t>submissions</w:t>
      </w:r>
      <w:r>
        <w:rPr>
          <w:rFonts w:ascii="Times New Roman;Times;serif" w:hAnsi="Times New Roman;Times;serif"/>
          <w:color w:val="231F20"/>
          <w:spacing w:val="-13"/>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3"/>
          <w:sz w:val="20"/>
        </w:rPr>
        <w:t xml:space="preserve"> </w:t>
      </w:r>
      <w:r>
        <w:rPr>
          <w:rFonts w:ascii="Times New Roman;Times;serif" w:hAnsi="Times New Roman;Times;serif"/>
          <w:color w:val="231F20"/>
          <w:sz w:val="20"/>
        </w:rPr>
        <w:t>be</w:t>
      </w:r>
      <w:r>
        <w:rPr>
          <w:rFonts w:ascii="Times New Roman;Times;serif" w:hAnsi="Times New Roman;Times;serif"/>
          <w:color w:val="231F20"/>
          <w:spacing w:val="-13"/>
          <w:sz w:val="20"/>
        </w:rPr>
        <w:t xml:space="preserve"> </w:t>
      </w:r>
      <w:r>
        <w:rPr>
          <w:rFonts w:ascii="Times New Roman;Times;serif" w:hAnsi="Times New Roman;Times;serif"/>
          <w:color w:val="231F20"/>
          <w:sz w:val="20"/>
        </w:rPr>
        <w:t>delayed</w:t>
      </w:r>
      <w:r>
        <w:rPr>
          <w:rFonts w:ascii="Times New Roman;Times;serif" w:hAnsi="Times New Roman;Times;serif"/>
          <w:color w:val="231F20"/>
          <w:spacing w:val="-1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3"/>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13"/>
          <w:sz w:val="20"/>
        </w:rPr>
        <w:t xml:space="preserve"> </w:t>
      </w:r>
      <w:r>
        <w:rPr>
          <w:rFonts w:ascii="Times New Roman;Times;serif" w:hAnsi="Times New Roman;Times;serif"/>
          <w:color w:val="231F20"/>
          <w:sz w:val="20"/>
        </w:rPr>
        <w:t>from</w:t>
      </w:r>
      <w:r>
        <w:rPr>
          <w:rFonts w:ascii="Times New Roman;Times;serif" w:hAnsi="Times New Roman;Times;serif"/>
          <w:color w:val="231F20"/>
          <w:spacing w:val="-1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3"/>
          <w:sz w:val="20"/>
        </w:rPr>
        <w:t xml:space="preserve"> </w:t>
      </w:r>
      <w:r>
        <w:rPr>
          <w:rFonts w:ascii="Times New Roman;Times;serif" w:hAnsi="Times New Roman;Times;serif"/>
          <w:color w:val="231F20"/>
          <w:sz w:val="20"/>
        </w:rPr>
        <w:t>products,</w:t>
      </w:r>
      <w:r>
        <w:rPr>
          <w:rFonts w:ascii="Times New Roman;Times;serif" w:hAnsi="Times New Roman;Times;serif"/>
          <w:color w:val="231F20"/>
          <w:spacing w:val="-13"/>
          <w:sz w:val="20"/>
        </w:rPr>
        <w:t xml:space="preserve"> </w:t>
      </w:r>
      <w:r>
        <w:rPr>
          <w:rFonts w:ascii="Times New Roman;Times;serif" w:hAnsi="Times New Roman;Times;serif"/>
          <w:color w:val="231F20"/>
          <w:sz w:val="20"/>
        </w:rPr>
        <w:t>if</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13"/>
          <w:sz w:val="20"/>
        </w:rPr>
        <w:t xml:space="preserve"> </w:t>
      </w:r>
      <w:r>
        <w:rPr>
          <w:rFonts w:ascii="Times New Roman;Times;serif" w:hAnsi="Times New Roman;Times;serif"/>
          <w:color w:val="231F20"/>
          <w:sz w:val="20"/>
        </w:rPr>
        <w:t>commercialized,</w:t>
      </w:r>
      <w:r>
        <w:rPr>
          <w:rFonts w:ascii="Times New Roman;Times;serif" w:hAnsi="Times New Roman;Times;serif"/>
          <w:color w:val="231F20"/>
          <w:spacing w:val="-13"/>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3"/>
          <w:sz w:val="20"/>
        </w:rPr>
        <w:t xml:space="preserve"> </w:t>
      </w:r>
      <w:r>
        <w:rPr>
          <w:rFonts w:ascii="Times New Roman;Times;serif" w:hAnsi="Times New Roman;Times;serif"/>
          <w:color w:val="231F20"/>
          <w:sz w:val="20"/>
        </w:rPr>
        <w:t>be</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 xml:space="preserve">less </w:t>
      </w:r>
      <w:r>
        <w:rPr>
          <w:rFonts w:ascii="Times New Roman;Times;serif" w:hAnsi="Times New Roman;Times;serif"/>
          <w:color w:val="231F20"/>
          <w:sz w:val="20"/>
        </w:rPr>
        <w:t>than</w:t>
      </w:r>
      <w:r>
        <w:rPr>
          <w:rFonts w:ascii="Times New Roman;Times;serif" w:hAnsi="Times New Roman;Times;serif"/>
          <w:color w:val="231F20"/>
          <w:spacing w:val="-4"/>
          <w:sz w:val="20"/>
        </w:rPr>
        <w:t xml:space="preserve"> </w:t>
      </w:r>
      <w:r>
        <w:rPr>
          <w:rFonts w:ascii="Times New Roman;Times;serif" w:hAnsi="Times New Roman;Times;serif"/>
          <w:color w:val="231F20"/>
          <w:sz w:val="20"/>
        </w:rPr>
        <w:t>expected.</w:t>
      </w:r>
    </w:p>
    <w:p>
      <w:pPr>
        <w:pStyle w:val="TextBody"/>
        <w:spacing w:lineRule="auto" w:line="288"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If the third parties on which we rely to conduct our clinical trials and to assist us with pre-clinical development do not perform as contractually required or expected, we may not be able to obtain regulatory approval for or commercialize our products.</w:t>
      </w:r>
    </w:p>
    <w:p>
      <w:pPr>
        <w:pStyle w:val="TextBody"/>
        <w:spacing w:lineRule="auto" w:line="288" w:before="165" w:after="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do not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the ability to independently conduct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the pre-clinical and clinical trials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our products and we must </w:t>
      </w:r>
      <w:r>
        <w:rPr>
          <w:rFonts w:ascii="Times New Roman;Times;serif" w:hAnsi="Times New Roman;Times;serif"/>
          <w:color w:val="231F20"/>
          <w:spacing w:val="-3"/>
          <w:sz w:val="20"/>
        </w:rPr>
        <w:t xml:space="preserve">rely </w:t>
      </w:r>
      <w:r>
        <w:rPr>
          <w:rFonts w:ascii="Times New Roman;Times;serif" w:hAnsi="Times New Roman;Times;serif"/>
          <w:color w:val="231F20"/>
          <w:sz w:val="20"/>
        </w:rPr>
        <w:t xml:space="preserve">on third parties, such as contract research organizations, medical institutions, clinical investigators and contract laboratories to conduct such </w:t>
      </w:r>
      <w:r>
        <w:rPr>
          <w:rFonts w:ascii="Times New Roman;Times;serif" w:hAnsi="Times New Roman;Times;serif"/>
          <w:color w:val="231F20"/>
          <w:spacing w:val="-4"/>
          <w:sz w:val="20"/>
        </w:rPr>
        <w:t xml:space="preserve">trials. </w:t>
      </w:r>
      <w:r>
        <w:rPr>
          <w:rFonts w:ascii="Times New Roman;Times;serif" w:hAnsi="Times New Roman;Times;serif"/>
          <w:color w:val="231F20"/>
          <w:sz w:val="20"/>
        </w:rPr>
        <w:t xml:space="preserve">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hanging="0"/>
        <w:jc w:val="both"/>
        <w:rPr>
          <w:rFonts w:ascii="Times New Roman;Times;serif" w:hAnsi="Times New Roman;Times;serif"/>
          <w:sz w:val="20"/>
        </w:rPr>
      </w:pPr>
      <w:r>
        <w:rPr>
          <w:rFonts w:ascii="Times New Roman;Times;serif" w:hAnsi="Times New Roman;Times;serif"/>
          <w:color w:val="231F20"/>
          <w:sz w:val="20"/>
        </w:rPr>
        <w:t xml:space="preserve">we may not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obtain regulatory </w:t>
      </w:r>
      <w:r>
        <w:rPr>
          <w:rFonts w:ascii="Times New Roman;Times;serif" w:hAnsi="Times New Roman;Times;serif"/>
          <w:color w:val="231F20"/>
          <w:spacing w:val="-4"/>
          <w:sz w:val="20"/>
        </w:rPr>
        <w:t xml:space="preserve">approval </w:t>
      </w:r>
      <w:r>
        <w:rPr>
          <w:rFonts w:ascii="Times New Roman;Times;serif" w:hAnsi="Times New Roman;Times;serif"/>
          <w:color w:val="231F20"/>
          <w:spacing w:val="-7"/>
          <w:sz w:val="20"/>
        </w:rPr>
        <w:t xml:space="preserve">for, </w:t>
      </w:r>
      <w:r>
        <w:rPr>
          <w:rFonts w:ascii="Times New Roman;Times;serif" w:hAnsi="Times New Roman;Times;serif"/>
          <w:color w:val="231F20"/>
          <w:sz w:val="20"/>
        </w:rPr>
        <w:t xml:space="preserve">or successfully commercialize, our products on a timely basis, if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all, and our business, operating results and prospects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adversely affected. Furthermore, our third-party clinical trial investigators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delayed in conducting our clinical trials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reasons outside of their</w:t>
      </w:r>
      <w:r>
        <w:rPr>
          <w:rFonts w:ascii="Times New Roman;Times;serif" w:hAnsi="Times New Roman;Times;serif"/>
          <w:color w:val="231F20"/>
          <w:spacing w:val="-4"/>
          <w:sz w:val="20"/>
        </w:rPr>
        <w:t xml:space="preserve"> </w:t>
      </w:r>
      <w:r>
        <w:rPr>
          <w:rFonts w:ascii="Times New Roman;Times;serif" w:hAnsi="Times New Roman;Times;serif"/>
          <w:color w:val="231F20"/>
          <w:sz w:val="20"/>
        </w:rPr>
        <w:t>control.</w:t>
      </w:r>
    </w:p>
    <w:p>
      <w:pPr>
        <w:pStyle w:val="TextBody"/>
        <w:spacing w:lineRule="auto" w:line="300"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have no manufacturing capabilities and depend on other parties for our manufacturing operations. If these manufacturers fail to meet our requirements and strict regulatory requirements, our product development and commercialization efforts may be materially harmed.</w:t>
      </w:r>
    </w:p>
    <w:p>
      <w:pPr>
        <w:pStyle w:val="TextBody"/>
        <w:spacing w:lineRule="auto" w:line="300" w:before="162"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We</w:t>
      </w:r>
      <w:r>
        <w:rPr>
          <w:rFonts w:ascii="Times New Roman;Times;serif" w:hAnsi="Times New Roman;Times;serif"/>
          <w:color w:val="231F20"/>
          <w:spacing w:val="-24"/>
          <w:sz w:val="20"/>
        </w:rPr>
        <w:t xml:space="preserve"> </w:t>
      </w:r>
      <w:r>
        <w:rPr>
          <w:rFonts w:ascii="Times New Roman;Times;serif" w:hAnsi="Times New Roman;Times;serif"/>
          <w:color w:val="231F20"/>
          <w:sz w:val="20"/>
        </w:rPr>
        <w:t>currently</w:t>
      </w:r>
      <w:r>
        <w:rPr>
          <w:rFonts w:ascii="Times New Roman;Times;serif" w:hAnsi="Times New Roman;Times;serif"/>
          <w:color w:val="231F20"/>
          <w:spacing w:val="-24"/>
          <w:sz w:val="20"/>
        </w:rPr>
        <w:t xml:space="preserve"> </w:t>
      </w:r>
      <w:r>
        <w:rPr>
          <w:rFonts w:ascii="Times New Roman;Times;serif" w:hAnsi="Times New Roman;Times;serif"/>
          <w:color w:val="231F20"/>
          <w:sz w:val="20"/>
        </w:rPr>
        <w:t>depend</w:t>
      </w:r>
      <w:r>
        <w:rPr>
          <w:rFonts w:ascii="Times New Roman;Times;serif" w:hAnsi="Times New Roman;Times;serif"/>
          <w:color w:val="231F20"/>
          <w:spacing w:val="-23"/>
          <w:sz w:val="20"/>
        </w:rPr>
        <w:t xml:space="preserve"> </w:t>
      </w:r>
      <w:r>
        <w:rPr>
          <w:rFonts w:ascii="Times New Roman;Times;serif" w:hAnsi="Times New Roman;Times;serif"/>
          <w:color w:val="231F20"/>
          <w:sz w:val="20"/>
        </w:rPr>
        <w:t>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contract</w:t>
      </w:r>
      <w:r>
        <w:rPr>
          <w:rFonts w:ascii="Times New Roman;Times;serif" w:hAnsi="Times New Roman;Times;serif"/>
          <w:color w:val="231F20"/>
          <w:spacing w:val="-24"/>
          <w:sz w:val="20"/>
        </w:rPr>
        <w:t xml:space="preserve"> </w:t>
      </w:r>
      <w:r>
        <w:rPr>
          <w:rFonts w:ascii="Times New Roman;Times;serif" w:hAnsi="Times New Roman;Times;serif"/>
          <w:color w:val="231F20"/>
          <w:sz w:val="20"/>
        </w:rPr>
        <w:t>manufacturers.</w:t>
      </w:r>
      <w:r>
        <w:rPr>
          <w:rFonts w:ascii="Times New Roman;Times;serif" w:hAnsi="Times New Roman;Times;serif"/>
          <w:color w:val="231F20"/>
          <w:spacing w:val="-23"/>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24"/>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3"/>
          <w:sz w:val="20"/>
        </w:rPr>
        <w:t xml:space="preserve"> </w:t>
      </w:r>
      <w:r>
        <w:rPr>
          <w:rFonts w:ascii="Times New Roman;Times;serif" w:hAnsi="Times New Roman;Times;serif"/>
          <w:color w:val="231F20"/>
          <w:sz w:val="20"/>
        </w:rPr>
        <w:t>enter</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into</w:t>
      </w:r>
      <w:r>
        <w:rPr>
          <w:rFonts w:ascii="Times New Roman;Times;serif" w:hAnsi="Times New Roman;Times;serif"/>
          <w:color w:val="231F20"/>
          <w:spacing w:val="-24"/>
          <w:sz w:val="20"/>
        </w:rPr>
        <w:t xml:space="preserve"> </w:t>
      </w:r>
      <w:r>
        <w:rPr>
          <w:rFonts w:ascii="Times New Roman;Times;serif" w:hAnsi="Times New Roman;Times;serif"/>
          <w:color w:val="231F20"/>
          <w:sz w:val="20"/>
        </w:rPr>
        <w:t>long-term</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commercial</w:t>
      </w:r>
      <w:r>
        <w:rPr>
          <w:rFonts w:ascii="Times New Roman;Times;serif" w:hAnsi="Times New Roman;Times;serif"/>
          <w:color w:val="231F20"/>
          <w:spacing w:val="-24"/>
          <w:sz w:val="20"/>
        </w:rPr>
        <w:t xml:space="preserve"> </w:t>
      </w:r>
      <w:r>
        <w:rPr>
          <w:rFonts w:ascii="Times New Roman;Times;serif" w:hAnsi="Times New Roman;Times;serif"/>
          <w:color w:val="231F20"/>
          <w:sz w:val="20"/>
        </w:rPr>
        <w:t>supply agreements</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0"/>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0"/>
          <w:sz w:val="20"/>
        </w:rPr>
        <w:t xml:space="preserve"> </w:t>
      </w:r>
      <w:r>
        <w:rPr>
          <w:rFonts w:ascii="Times New Roman;Times;serif" w:hAnsi="Times New Roman;Times;serif"/>
          <w:color w:val="231F20"/>
          <w:sz w:val="20"/>
        </w:rPr>
        <w:t>product</w:t>
      </w:r>
      <w:r>
        <w:rPr>
          <w:rFonts w:ascii="Times New Roman;Times;serif" w:hAnsi="Times New Roman;Times;serif"/>
          <w:color w:val="231F20"/>
          <w:spacing w:val="-20"/>
          <w:sz w:val="20"/>
        </w:rPr>
        <w:t xml:space="preserve"> </w:t>
      </w:r>
      <w:r>
        <w:rPr>
          <w:rFonts w:ascii="Times New Roman;Times;serif" w:hAnsi="Times New Roman;Times;serif"/>
          <w:color w:val="231F20"/>
          <w:sz w:val="20"/>
        </w:rPr>
        <w:t>candidates.</w:t>
      </w:r>
      <w:r>
        <w:rPr>
          <w:rFonts w:ascii="Times New Roman;Times;serif" w:hAnsi="Times New Roman;Times;serif"/>
          <w:color w:val="231F20"/>
          <w:spacing w:val="-20"/>
          <w:sz w:val="20"/>
        </w:rPr>
        <w:t xml:space="preserve"> </w:t>
      </w:r>
      <w:r>
        <w:rPr>
          <w:rFonts w:ascii="Times New Roman;Times;serif" w:hAnsi="Times New Roman;Times;serif"/>
          <w:color w:val="231F20"/>
          <w:sz w:val="20"/>
        </w:rPr>
        <w:t>If</w:t>
      </w:r>
      <w:r>
        <w:rPr>
          <w:rFonts w:ascii="Times New Roman;Times;serif" w:hAnsi="Times New Roman;Times;serif"/>
          <w:color w:val="231F20"/>
          <w:spacing w:val="-6"/>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0"/>
          <w:sz w:val="20"/>
        </w:rPr>
        <w:t xml:space="preserve"> </w:t>
      </w:r>
      <w:r>
        <w:rPr>
          <w:rFonts w:ascii="Times New Roman;Times;serif" w:hAnsi="Times New Roman;Times;serif"/>
          <w:color w:val="231F20"/>
          <w:sz w:val="20"/>
        </w:rPr>
        <w:t>manufacturer</w:t>
      </w:r>
      <w:r>
        <w:rPr>
          <w:rFonts w:ascii="Times New Roman;Times;serif" w:hAnsi="Times New Roman;Times;serif"/>
          <w:color w:val="231F20"/>
          <w:spacing w:val="-20"/>
          <w:sz w:val="20"/>
        </w:rPr>
        <w:t xml:space="preserve"> </w:t>
      </w:r>
      <w:r>
        <w:rPr>
          <w:rFonts w:ascii="Times New Roman;Times;serif" w:hAnsi="Times New Roman;Times;serif"/>
          <w:color w:val="231F20"/>
          <w:sz w:val="20"/>
        </w:rPr>
        <w:t>is</w:t>
      </w:r>
      <w:r>
        <w:rPr>
          <w:rFonts w:ascii="Times New Roman;Times;serif" w:hAnsi="Times New Roman;Times;serif"/>
          <w:color w:val="231F20"/>
          <w:spacing w:val="-20"/>
          <w:sz w:val="20"/>
        </w:rPr>
        <w:t xml:space="preserve"> </w:t>
      </w:r>
      <w:r>
        <w:rPr>
          <w:rFonts w:ascii="Times New Roman;Times;serif" w:hAnsi="Times New Roman;Times;serif"/>
          <w:color w:val="231F20"/>
          <w:sz w:val="20"/>
        </w:rPr>
        <w:t>unable</w:t>
      </w:r>
      <w:r>
        <w:rPr>
          <w:rFonts w:ascii="Times New Roman;Times;serif" w:hAnsi="Times New Roman;Times;serif"/>
          <w:color w:val="231F20"/>
          <w:spacing w:val="-20"/>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produce</w:t>
      </w:r>
      <w:r>
        <w:rPr>
          <w:rFonts w:ascii="Times New Roman;Times;serif" w:hAnsi="Times New Roman;Times;serif"/>
          <w:color w:val="231F20"/>
          <w:spacing w:val="-20"/>
          <w:sz w:val="20"/>
        </w:rPr>
        <w:t xml:space="preserve"> </w:t>
      </w:r>
      <w:r>
        <w:rPr>
          <w:rFonts w:ascii="Times New Roman;Times;serif" w:hAnsi="Times New Roman;Times;serif"/>
          <w:color w:val="231F20"/>
          <w:sz w:val="20"/>
        </w:rPr>
        <w:t>required</w:t>
      </w:r>
      <w:r>
        <w:rPr>
          <w:rFonts w:ascii="Times New Roman;Times;serif" w:hAnsi="Times New Roman;Times;serif"/>
          <w:color w:val="231F20"/>
          <w:spacing w:val="-20"/>
          <w:sz w:val="20"/>
        </w:rPr>
        <w:t xml:space="preserve"> </w:t>
      </w:r>
      <w:r>
        <w:rPr>
          <w:rFonts w:ascii="Times New Roman;Times;serif" w:hAnsi="Times New Roman;Times;serif"/>
          <w:color w:val="231F20"/>
          <w:sz w:val="20"/>
        </w:rPr>
        <w:t>quantities</w:t>
      </w:r>
      <w:r>
        <w:rPr>
          <w:rFonts w:ascii="Times New Roman;Times;serif" w:hAnsi="Times New Roman;Times;serif"/>
          <w:color w:val="231F20"/>
          <w:spacing w:val="-20"/>
          <w:sz w:val="20"/>
        </w:rPr>
        <w:t xml:space="preserve"> </w:t>
      </w:r>
      <w:r>
        <w:rPr>
          <w:rFonts w:ascii="Times New Roman;Times;serif" w:hAnsi="Times New Roman;Times;serif"/>
          <w:color w:val="231F20"/>
          <w:sz w:val="20"/>
        </w:rPr>
        <w:t>on</w:t>
      </w:r>
      <w:r>
        <w:rPr>
          <w:rFonts w:ascii="Times New Roman;Times;serif" w:hAnsi="Times New Roman;Times;serif"/>
          <w:color w:val="231F20"/>
          <w:spacing w:val="-20"/>
          <w:sz w:val="20"/>
        </w:rPr>
        <w:t xml:space="preserve"> </w:t>
      </w:r>
      <w:r>
        <w:rPr>
          <w:rFonts w:ascii="Times New Roman;Times;serif" w:hAnsi="Times New Roman;Times;serif"/>
          <w:color w:val="231F20"/>
          <w:sz w:val="20"/>
        </w:rPr>
        <w:t>a timely</w:t>
      </w:r>
      <w:r>
        <w:rPr>
          <w:rFonts w:ascii="Times New Roman;Times;serif" w:hAnsi="Times New Roman;Times;serif"/>
          <w:color w:val="231F20"/>
          <w:spacing w:val="-16"/>
          <w:sz w:val="20"/>
        </w:rPr>
        <w:t xml:space="preserve"> </w:t>
      </w:r>
      <w:r>
        <w:rPr>
          <w:rFonts w:ascii="Times New Roman;Times;serif" w:hAnsi="Times New Roman;Times;serif"/>
          <w:color w:val="231F20"/>
          <w:sz w:val="20"/>
        </w:rPr>
        <w:t>basis</w:t>
      </w:r>
      <w:r>
        <w:rPr>
          <w:rFonts w:ascii="Times New Roman;Times;serif" w:hAnsi="Times New Roman;Times;serif"/>
          <w:color w:val="231F20"/>
          <w:spacing w:val="-16"/>
          <w:sz w:val="20"/>
        </w:rPr>
        <w:t xml:space="preserve"> </w:t>
      </w:r>
      <w:r>
        <w:rPr>
          <w:rFonts w:ascii="Times New Roman;Times;serif" w:hAnsi="Times New Roman;Times;serif"/>
          <w:color w:val="231F20"/>
          <w:sz w:val="20"/>
        </w:rPr>
        <w:t>or</w:t>
      </w:r>
      <w:r>
        <w:rPr>
          <w:rFonts w:ascii="Times New Roman;Times;serif" w:hAnsi="Times New Roman;Times;serif"/>
          <w:color w:val="231F20"/>
          <w:spacing w:val="-16"/>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all,</w:t>
      </w:r>
      <w:r>
        <w:rPr>
          <w:rFonts w:ascii="Times New Roman;Times;serif" w:hAnsi="Times New Roman;Times;serif"/>
          <w:color w:val="231F20"/>
          <w:spacing w:val="-16"/>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6"/>
          <w:sz w:val="20"/>
        </w:rPr>
        <w:t xml:space="preserve"> </w:t>
      </w:r>
      <w:r>
        <w:rPr>
          <w:rFonts w:ascii="Times New Roman;Times;serif" w:hAnsi="Times New Roman;Times;serif"/>
          <w:color w:val="231F20"/>
          <w:sz w:val="20"/>
        </w:rPr>
        <w:t>operations</w:t>
      </w:r>
      <w:r>
        <w:rPr>
          <w:rFonts w:ascii="Times New Roman;Times;serif" w:hAnsi="Times New Roman;Times;serif"/>
          <w:color w:val="231F20"/>
          <w:spacing w:val="-16"/>
          <w:sz w:val="20"/>
        </w:rPr>
        <w:t xml:space="preserve"> </w:t>
      </w:r>
      <w:r>
        <w:rPr>
          <w:rFonts w:ascii="Times New Roman;Times;serif" w:hAnsi="Times New Roman;Times;serif"/>
          <w:color w:val="231F20"/>
          <w:sz w:val="20"/>
        </w:rPr>
        <w:t>would</w:t>
      </w:r>
      <w:r>
        <w:rPr>
          <w:rFonts w:ascii="Times New Roman;Times;serif" w:hAnsi="Times New Roman;Times;serif"/>
          <w:color w:val="231F20"/>
          <w:spacing w:val="-15"/>
          <w:sz w:val="20"/>
        </w:rPr>
        <w:t xml:space="preserve"> </w:t>
      </w:r>
      <w:r>
        <w:rPr>
          <w:rFonts w:ascii="Times New Roman;Times;serif" w:hAnsi="Times New Roman;Times;serif"/>
          <w:color w:val="231F20"/>
          <w:sz w:val="20"/>
        </w:rPr>
        <w:t>be</w:t>
      </w:r>
      <w:r>
        <w:rPr>
          <w:rFonts w:ascii="Times New Roman;Times;serif" w:hAnsi="Times New Roman;Times;serif"/>
          <w:color w:val="231F20"/>
          <w:spacing w:val="-16"/>
          <w:sz w:val="20"/>
        </w:rPr>
        <w:t xml:space="preserve"> </w:t>
      </w:r>
      <w:r>
        <w:rPr>
          <w:rFonts w:ascii="Times New Roman;Times;serif" w:hAnsi="Times New Roman;Times;serif"/>
          <w:color w:val="231F20"/>
          <w:sz w:val="20"/>
        </w:rPr>
        <w:t>delayed</w:t>
      </w:r>
      <w:r>
        <w:rPr>
          <w:rFonts w:ascii="Times New Roman;Times;serif" w:hAnsi="Times New Roman;Times;serif"/>
          <w:color w:val="231F20"/>
          <w:spacing w:val="-16"/>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6"/>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16"/>
          <w:sz w:val="20"/>
        </w:rPr>
        <w:t xml:space="preserve"> </w:t>
      </w:r>
      <w:r>
        <w:rPr>
          <w:rFonts w:ascii="Times New Roman;Times;serif" w:hAnsi="Times New Roman;Times;serif"/>
          <w:color w:val="231F20"/>
          <w:sz w:val="20"/>
        </w:rPr>
        <w:t>harmed.</w:t>
      </w:r>
      <w:r>
        <w:rPr>
          <w:rFonts w:ascii="Times New Roman;Times;serif" w:hAnsi="Times New Roman;Times;serif"/>
          <w:color w:val="231F20"/>
          <w:spacing w:val="-16"/>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5"/>
          <w:sz w:val="20"/>
        </w:rPr>
        <w:t xml:space="preserve"> </w:t>
      </w:r>
      <w:r>
        <w:rPr>
          <w:rFonts w:ascii="Times New Roman;Times;serif" w:hAnsi="Times New Roman;Times;serif"/>
          <w:color w:val="231F20"/>
          <w:sz w:val="20"/>
        </w:rPr>
        <w:t>reliance</w:t>
      </w:r>
      <w:r>
        <w:rPr>
          <w:rFonts w:ascii="Times New Roman;Times;serif" w:hAnsi="Times New Roman;Times;serif"/>
          <w:color w:val="231F20"/>
          <w:spacing w:val="-16"/>
          <w:sz w:val="20"/>
        </w:rPr>
        <w:t xml:space="preserve"> </w:t>
      </w:r>
      <w:r>
        <w:rPr>
          <w:rFonts w:ascii="Times New Roman;Times;serif" w:hAnsi="Times New Roman;Times;serif"/>
          <w:color w:val="231F20"/>
          <w:sz w:val="20"/>
        </w:rPr>
        <w:t>on</w:t>
      </w:r>
      <w:r>
        <w:rPr>
          <w:rFonts w:ascii="Times New Roman;Times;serif" w:hAnsi="Times New Roman;Times;serif"/>
          <w:color w:val="231F20"/>
          <w:spacing w:val="-16"/>
          <w:sz w:val="20"/>
        </w:rPr>
        <w:t xml:space="preserve"> </w:t>
      </w:r>
      <w:r>
        <w:rPr>
          <w:rFonts w:ascii="Times New Roman;Times;serif" w:hAnsi="Times New Roman;Times;serif"/>
          <w:color w:val="231F20"/>
          <w:sz w:val="20"/>
        </w:rPr>
        <w:t>contract manufacturers</w:t>
      </w:r>
      <w:r>
        <w:rPr>
          <w:rFonts w:ascii="Times New Roman;Times;serif" w:hAnsi="Times New Roman;Times;serif"/>
          <w:color w:val="231F20"/>
          <w:spacing w:val="-9"/>
          <w:sz w:val="20"/>
        </w:rPr>
        <w:t xml:space="preserve"> </w:t>
      </w:r>
      <w:r>
        <w:rPr>
          <w:rFonts w:ascii="Times New Roman;Times;serif" w:hAnsi="Times New Roman;Times;serif"/>
          <w:color w:val="231F20"/>
          <w:sz w:val="20"/>
        </w:rPr>
        <w:t>exposes</w:t>
      </w:r>
      <w:r>
        <w:rPr>
          <w:rFonts w:ascii="Times New Roman;Times;serif" w:hAnsi="Times New Roman;Times;serif"/>
          <w:color w:val="231F20"/>
          <w:spacing w:val="-8"/>
          <w:sz w:val="20"/>
        </w:rPr>
        <w:t xml:space="preserve"> </w:t>
      </w:r>
      <w:r>
        <w:rPr>
          <w:rFonts w:ascii="Times New Roman;Times;serif" w:hAnsi="Times New Roman;Times;serif"/>
          <w:color w:val="231F20"/>
          <w:sz w:val="20"/>
        </w:rPr>
        <w:t>us</w:t>
      </w:r>
      <w:r>
        <w:rPr>
          <w:rFonts w:ascii="Times New Roman;Times;serif" w:hAnsi="Times New Roman;Times;serif"/>
          <w:color w:val="231F20"/>
          <w:spacing w:val="-8"/>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8"/>
          <w:sz w:val="20"/>
        </w:rPr>
        <w:t xml:space="preserve"> </w:t>
      </w:r>
      <w:r>
        <w:rPr>
          <w:rFonts w:ascii="Times New Roman;Times;serif" w:hAnsi="Times New Roman;Times;serif"/>
          <w:color w:val="231F20"/>
          <w:sz w:val="20"/>
        </w:rPr>
        <w:t>risks,</w:t>
      </w:r>
      <w:r>
        <w:rPr>
          <w:rFonts w:ascii="Times New Roman;Times;serif" w:hAnsi="Times New Roman;Times;serif"/>
          <w:color w:val="231F20"/>
          <w:spacing w:val="-8"/>
          <w:sz w:val="20"/>
        </w:rPr>
        <w:t xml:space="preserve"> </w:t>
      </w:r>
      <w:r>
        <w:rPr>
          <w:rFonts w:ascii="Times New Roman;Times;serif" w:hAnsi="Times New Roman;Times;serif"/>
          <w:color w:val="231F20"/>
          <w:sz w:val="20"/>
        </w:rPr>
        <w:t>including:</w:t>
      </w:r>
    </w:p>
    <w:tbl>
      <w:tblPr>
        <w:tblW w:w="7941" w:type="dxa"/>
        <w:jc w:val="left"/>
        <w:tblInd w:w="0" w:type="dxa"/>
        <w:tblCellMar>
          <w:top w:w="28" w:type="dxa"/>
          <w:left w:w="28" w:type="dxa"/>
          <w:bottom w:w="28" w:type="dxa"/>
          <w:right w:w="28" w:type="dxa"/>
        </w:tblCellMar>
      </w:tblPr>
      <w:tblGrid>
        <w:gridCol w:w="124"/>
        <w:gridCol w:w="196"/>
        <w:gridCol w:w="762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62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failure of our future manufacturers to comply with strictly-enforced regulatory</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requirements;</w:t>
            </w:r>
          </w:p>
        </w:tc>
      </w:tr>
    </w:tbl>
    <w:tbl>
      <w:tblPr>
        <w:tblW w:w="8526" w:type="dxa"/>
        <w:jc w:val="left"/>
        <w:tblInd w:w="0" w:type="dxa"/>
        <w:tblCellMar>
          <w:top w:w="28" w:type="dxa"/>
          <w:left w:w="28" w:type="dxa"/>
          <w:bottom w:w="28" w:type="dxa"/>
          <w:right w:w="28" w:type="dxa"/>
        </w:tblCellMar>
      </w:tblPr>
      <w:tblGrid>
        <w:gridCol w:w="124"/>
        <w:gridCol w:w="19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20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failure</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manufacture</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specifications,</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deliver</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sufficient</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quantities</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a</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timely</w:t>
            </w:r>
            <w:r>
              <w:rPr>
                <w:caps w:val="false"/>
                <w:smallCaps w:val="false"/>
                <w:color w:val="231F20"/>
                <w:spacing w:val="-14"/>
              </w:rPr>
              <w:t xml:space="preserve"> </w:t>
            </w:r>
            <w:r>
              <w:rPr>
                <w:rFonts w:ascii="Times New Roman;Times;serif" w:hAnsi="Times New Roman;Times;serif"/>
                <w:b w:val="false"/>
                <w:i w:val="false"/>
                <w:caps w:val="false"/>
                <w:smallCaps w:val="false"/>
                <w:color w:val="231F20"/>
                <w:sz w:val="20"/>
              </w:rPr>
              <w:t>manner;</w:t>
            </w:r>
          </w:p>
        </w:tc>
      </w:tr>
    </w:tbl>
    <w:tbl>
      <w:tblPr>
        <w:tblW w:w="8475" w:type="dxa"/>
        <w:jc w:val="left"/>
        <w:tblInd w:w="0" w:type="dxa"/>
        <w:tblCellMar>
          <w:top w:w="28" w:type="dxa"/>
          <w:left w:w="28" w:type="dxa"/>
          <w:bottom w:w="28" w:type="dxa"/>
          <w:right w:w="28" w:type="dxa"/>
        </w:tblCellMar>
      </w:tblPr>
      <w:tblGrid>
        <w:gridCol w:w="124"/>
        <w:gridCol w:w="196"/>
        <w:gridCol w:w="815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15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possibility</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that</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we</w:t>
            </w:r>
            <w:r>
              <w:rPr>
                <w:caps w:val="false"/>
                <w:smallCaps w:val="false"/>
                <w:color w:val="231F20"/>
                <w:spacing w:val="-12"/>
              </w:rPr>
              <w:t xml:space="preserve"> </w:t>
            </w:r>
            <w:r>
              <w:rPr>
                <w:rFonts w:ascii="Times New Roman;Times;serif" w:hAnsi="Times New Roman;Times;serif"/>
                <w:b w:val="false"/>
                <w:i w:val="false"/>
                <w:caps w:val="false"/>
                <w:smallCaps w:val="false"/>
                <w:color w:val="231F20"/>
                <w:spacing w:val="-3"/>
                <w:sz w:val="20"/>
              </w:rPr>
              <w:t>may</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terminate</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a</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contract</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manufacturer</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need</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engage</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a</w:t>
            </w:r>
            <w:r>
              <w:rPr>
                <w:caps w:val="false"/>
                <w:smallCaps w:val="false"/>
                <w:color w:val="231F20"/>
                <w:spacing w:val="-12"/>
              </w:rPr>
              <w:t xml:space="preserve"> </w:t>
            </w:r>
            <w:r>
              <w:rPr>
                <w:rFonts w:ascii="Times New Roman;Times;serif" w:hAnsi="Times New Roman;Times;serif"/>
                <w:b w:val="false"/>
                <w:i w:val="false"/>
                <w:caps w:val="false"/>
                <w:smallCaps w:val="false"/>
                <w:color w:val="231F20"/>
                <w:sz w:val="20"/>
              </w:rPr>
              <w:t>replacement;</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w:t>
            </w:r>
            <w:r>
              <w:rPr>
                <w:caps w:val="false"/>
                <w:smallCaps w:val="false"/>
                <w:color w:val="231F20"/>
                <w:spacing w:val="-20"/>
              </w:rPr>
              <w:t xml:space="preserve"> </w:t>
            </w:r>
            <w:r>
              <w:rPr>
                <w:rFonts w:ascii="Times New Roman;Times;serif" w:hAnsi="Times New Roman;Times;serif"/>
                <w:b w:val="false"/>
                <w:i w:val="false"/>
                <w:caps w:val="false"/>
                <w:smallCaps w:val="false"/>
                <w:color w:val="231F20"/>
                <w:sz w:val="20"/>
              </w:rPr>
              <w:t>possibility</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that</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future</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manufacturers</w:t>
            </w:r>
            <w:r>
              <w:rPr>
                <w:caps w:val="false"/>
                <w:smallCaps w:val="false"/>
                <w:color w:val="231F20"/>
                <w:spacing w:val="-19"/>
              </w:rPr>
              <w:t xml:space="preserve"> </w:t>
            </w:r>
            <w:r>
              <w:rPr>
                <w:rFonts w:ascii="Times New Roman;Times;serif" w:hAnsi="Times New Roman;Times;serif"/>
                <w:b w:val="false"/>
                <w:i w:val="false"/>
                <w:caps w:val="false"/>
                <w:smallCaps w:val="false"/>
                <w:color w:val="231F20"/>
                <w:spacing w:val="-3"/>
                <w:sz w:val="20"/>
              </w:rPr>
              <w:t>may</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not</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be</w:t>
            </w:r>
            <w:r>
              <w:rPr>
                <w:caps w:val="false"/>
                <w:smallCaps w:val="false"/>
                <w:color w:val="231F20"/>
                <w:spacing w:val="-19"/>
              </w:rPr>
              <w:t xml:space="preserve"> </w:t>
            </w:r>
            <w:r>
              <w:rPr>
                <w:rFonts w:ascii="Times New Roman;Times;serif" w:hAnsi="Times New Roman;Times;serif"/>
                <w:b w:val="false"/>
                <w:i w:val="false"/>
                <w:caps w:val="false"/>
                <w:smallCaps w:val="false"/>
                <w:color w:val="231F20"/>
                <w:spacing w:val="-3"/>
                <w:sz w:val="20"/>
              </w:rPr>
              <w:t>able</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manufacture</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product</w:t>
            </w:r>
            <w:r>
              <w:rPr>
                <w:caps w:val="false"/>
                <w:smallCaps w:val="false"/>
                <w:color w:val="231F20"/>
                <w:spacing w:val="-19"/>
              </w:rPr>
              <w:t xml:space="preserve"> </w:t>
            </w:r>
            <w:r>
              <w:rPr>
                <w:rFonts w:ascii="Times New Roman;Times;serif" w:hAnsi="Times New Roman;Times;serif"/>
                <w:b w:val="false"/>
                <w:i w:val="false"/>
                <w:caps w:val="false"/>
                <w:smallCaps w:val="false"/>
                <w:color w:val="231F20"/>
                <w:sz w:val="20"/>
              </w:rPr>
              <w:t>candidates and</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products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without</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infringing</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the</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intellectual</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property</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rights</w:t>
            </w:r>
            <w:r>
              <w:rPr>
                <w:caps w:val="false"/>
                <w:smallCaps w:val="false"/>
                <w:color w:val="231F20"/>
                <w:spacing w:val="-9"/>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others;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possibility that our future manufacturers </w:t>
            </w:r>
            <w:r>
              <w:rPr>
                <w:rFonts w:ascii="Times New Roman;Times;serif" w:hAnsi="Times New Roman;Times;serif"/>
                <w:b w:val="false"/>
                <w:i w:val="false"/>
                <w:caps w:val="false"/>
                <w:smallCaps w:val="false"/>
                <w:color w:val="231F20"/>
                <w:spacing w:val="-3"/>
                <w:sz w:val="20"/>
              </w:rPr>
              <w:t xml:space="preserve">may </w:t>
            </w:r>
            <w:r>
              <w:rPr>
                <w:rFonts w:ascii="Times New Roman;Times;serif" w:hAnsi="Times New Roman;Times;serif"/>
                <w:b w:val="false"/>
                <w:i w:val="false"/>
                <w:caps w:val="false"/>
                <w:smallCaps w:val="false"/>
                <w:color w:val="231F20"/>
                <w:sz w:val="20"/>
              </w:rPr>
              <w:t xml:space="preserve">not </w:t>
            </w:r>
            <w:r>
              <w:rPr>
                <w:rFonts w:ascii="Times New Roman;Times;serif" w:hAnsi="Times New Roman;Times;serif"/>
                <w:b w:val="false"/>
                <w:i w:val="false"/>
                <w:caps w:val="false"/>
                <w:smallCaps w:val="false"/>
                <w:color w:val="231F20"/>
                <w:spacing w:val="-5"/>
                <w:sz w:val="20"/>
              </w:rPr>
              <w:t xml:space="preserve">have </w:t>
            </w:r>
            <w:r>
              <w:rPr>
                <w:rFonts w:ascii="Times New Roman;Times;serif" w:hAnsi="Times New Roman;Times;serif"/>
                <w:b w:val="false"/>
                <w:i w:val="false"/>
                <w:caps w:val="false"/>
                <w:smallCaps w:val="false"/>
                <w:color w:val="231F20"/>
                <w:sz w:val="20"/>
              </w:rPr>
              <w:t xml:space="preserve">adequate intellectual property rights to provide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exclusivity and prevent competition;</w:t>
            </w:r>
            <w:r>
              <w:rPr>
                <w:caps w:val="false"/>
                <w:smallCaps w:val="false"/>
                <w:color w:val="231F20"/>
                <w:spacing w:val="-18"/>
              </w:rPr>
              <w:t xml:space="preserve"> </w:t>
            </w:r>
            <w:r>
              <w:rPr>
                <w:rFonts w:ascii="Times New Roman;Times;serif" w:hAnsi="Times New Roman;Times;serif"/>
                <w:b w:val="false"/>
                <w:i w:val="false"/>
                <w:caps w:val="false"/>
                <w:smallCaps w:val="false"/>
                <w:color w:val="231F20"/>
                <w:sz w:val="20"/>
              </w:rPr>
              <w:t>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insufficiency of intellectual property rights to </w:t>
            </w:r>
            <w:r>
              <w:rPr>
                <w:rFonts w:ascii="Times New Roman;Times;serif" w:hAnsi="Times New Roman;Times;serif"/>
                <w:b w:val="false"/>
                <w:i w:val="false"/>
                <w:caps w:val="false"/>
                <w:smallCaps w:val="false"/>
                <w:color w:val="231F20"/>
                <w:spacing w:val="-3"/>
                <w:sz w:val="20"/>
              </w:rPr>
              <w:t xml:space="preserve">any </w:t>
            </w:r>
            <w:r>
              <w:rPr>
                <w:rFonts w:ascii="Times New Roman;Times;serif" w:hAnsi="Times New Roman;Times;serif"/>
                <w:b w:val="false"/>
                <w:i w:val="false"/>
                <w:caps w:val="false"/>
                <w:smallCaps w:val="false"/>
                <w:color w:val="231F20"/>
                <w:sz w:val="20"/>
              </w:rPr>
              <w:t xml:space="preserve">improvements in the manufacturing processes or new manufacturing processes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our</w:t>
            </w:r>
            <w:r>
              <w:rPr>
                <w:caps w:val="false"/>
                <w:smallCaps w:val="false"/>
                <w:color w:val="231F20"/>
                <w:spacing w:val="-12"/>
              </w:rPr>
              <w:t xml:space="preserve"> </w:t>
            </w:r>
            <w:r>
              <w:rPr>
                <w:rFonts w:ascii="Times New Roman;Times;serif" w:hAnsi="Times New Roman;Times;serif"/>
                <w:b w:val="false"/>
                <w:i w:val="false"/>
                <w:caps w:val="false"/>
                <w:smallCaps w:val="false"/>
                <w:color w:val="231F20"/>
                <w:spacing w:val="-3"/>
                <w:sz w:val="20"/>
              </w:rPr>
              <w:t>products.</w:t>
            </w:r>
          </w:p>
        </w:tc>
      </w:tr>
    </w:tbl>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of these factors could result in significant </w:t>
      </w:r>
      <w:r>
        <w:rPr>
          <w:rFonts w:ascii="Times New Roman;Times;serif" w:hAnsi="Times New Roman;Times;serif"/>
          <w:color w:val="231F20"/>
          <w:spacing w:val="-3"/>
          <w:sz w:val="20"/>
        </w:rPr>
        <w:t xml:space="preserve">delay </w:t>
      </w:r>
      <w:r>
        <w:rPr>
          <w:rFonts w:ascii="Times New Roman;Times;serif" w:hAnsi="Times New Roman;Times;serif"/>
          <w:color w:val="231F20"/>
          <w:sz w:val="20"/>
        </w:rPr>
        <w:t xml:space="preserve">or suspension of our clinical </w:t>
      </w:r>
      <w:r>
        <w:rPr>
          <w:rFonts w:ascii="Times New Roman;Times;serif" w:hAnsi="Times New Roman;Times;serif"/>
          <w:color w:val="231F20"/>
          <w:spacing w:val="-3"/>
          <w:sz w:val="20"/>
        </w:rPr>
        <w:t xml:space="preserve">trials, </w:t>
      </w:r>
      <w:r>
        <w:rPr>
          <w:rFonts w:ascii="Times New Roman;Times;serif" w:hAnsi="Times New Roman;Times;serif"/>
          <w:color w:val="231F20"/>
          <w:sz w:val="20"/>
        </w:rPr>
        <w:t xml:space="preserve">regulatory submissions, receipt of required </w:t>
      </w:r>
      <w:r>
        <w:rPr>
          <w:rFonts w:ascii="Times New Roman;Times;serif" w:hAnsi="Times New Roman;Times;serif"/>
          <w:color w:val="231F20"/>
          <w:spacing w:val="-4"/>
          <w:sz w:val="20"/>
        </w:rPr>
        <w:t xml:space="preserve">approvals </w:t>
      </w:r>
      <w:r>
        <w:rPr>
          <w:rFonts w:ascii="Times New Roman;Times;serif" w:hAnsi="Times New Roman;Times;serif"/>
          <w:color w:val="231F20"/>
          <w:sz w:val="20"/>
        </w:rPr>
        <w:t xml:space="preserve">or commercialization of our products and harm our business. If we are not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secure </w:t>
      </w:r>
      <w:r>
        <w:rPr>
          <w:rFonts w:ascii="Times New Roman;Times;serif" w:hAnsi="Times New Roman;Times;serif"/>
          <w:color w:val="231F20"/>
          <w:spacing w:val="-4"/>
          <w:sz w:val="20"/>
        </w:rPr>
        <w:t xml:space="preserve">favorable </w:t>
      </w:r>
      <w:r>
        <w:rPr>
          <w:rFonts w:ascii="Times New Roman;Times;serif" w:hAnsi="Times New Roman;Times;serif"/>
          <w:color w:val="231F20"/>
          <w:sz w:val="20"/>
        </w:rPr>
        <w:t>arrangements with such third parties, our business and financial</w:t>
      </w:r>
      <w:r>
        <w:rPr>
          <w:rFonts w:ascii="Times New Roman;Times;serif" w:hAnsi="Times New Roman;Times;serif"/>
          <w:color w:val="231F20"/>
          <w:spacing w:val="-32"/>
          <w:sz w:val="20"/>
        </w:rPr>
        <w:t xml:space="preserve"> </w:t>
      </w:r>
      <w:r>
        <w:rPr>
          <w:rFonts w:ascii="Times New Roman;Times;serif" w:hAnsi="Times New Roman;Times;serif"/>
          <w:color w:val="231F20"/>
          <w:sz w:val="20"/>
        </w:rPr>
        <w:t>condition could be</w:t>
      </w:r>
      <w:r>
        <w:rPr>
          <w:rFonts w:ascii="Times New Roman;Times;serif" w:hAnsi="Times New Roman;Times;serif"/>
          <w:color w:val="231F20"/>
          <w:spacing w:val="-7"/>
          <w:sz w:val="20"/>
        </w:rPr>
        <w:t xml:space="preserve"> </w:t>
      </w:r>
      <w:r>
        <w:rPr>
          <w:rFonts w:ascii="Times New Roman;Times;serif" w:hAnsi="Times New Roman;Times;serif"/>
          <w:color w:val="231F20"/>
          <w:sz w:val="20"/>
        </w:rPr>
        <w:t>harmed.</w:t>
      </w:r>
    </w:p>
    <w:p>
      <w:pPr>
        <w:pStyle w:val="TextBody"/>
        <w:spacing w:lineRule="auto" w:line="300"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We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must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enter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into</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agreements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depend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upon,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one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more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partners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assist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us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commercializing</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our product</w:t>
      </w:r>
      <w:r>
        <w:rPr>
          <w:rFonts w:ascii="Times New Roman;Times;serif" w:hAnsi="Times New Roman;Times;serif"/>
          <w:b/>
          <w:color w:val="231F20"/>
          <w:spacing w:val="-2"/>
          <w:sz w:val="20"/>
        </w:rPr>
        <w:t xml:space="preserve"> </w:t>
      </w:r>
      <w:r>
        <w:rPr>
          <w:rFonts w:ascii="Times New Roman;Times;serif" w:hAnsi="Times New Roman;Times;serif"/>
          <w:b/>
          <w:i/>
          <w:color w:val="231F20"/>
          <w:sz w:val="20"/>
        </w:rPr>
        <w:t>candidates.</w:t>
      </w:r>
    </w:p>
    <w:p>
      <w:pPr>
        <w:pStyle w:val="TextBody"/>
        <w:spacing w:lineRule="auto" w:line="300" w:before="160"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Our ability to commercialize depends upon our continued ability to purchase </w:t>
      </w:r>
      <w:r>
        <w:rPr>
          <w:rFonts w:ascii="Times New Roman;Times;serif" w:hAnsi="Times New Roman;Times;serif"/>
          <w:color w:val="231F20"/>
          <w:spacing w:val="-5"/>
          <w:sz w:val="20"/>
        </w:rPr>
        <w:t xml:space="preserve">raw </w:t>
      </w:r>
      <w:r>
        <w:rPr>
          <w:rFonts w:ascii="Times New Roman;Times;serif" w:hAnsi="Times New Roman;Times;serif"/>
          <w:color w:val="231F20"/>
          <w:sz w:val="20"/>
        </w:rPr>
        <w:t xml:space="preserve">materials from suppliers, our ability to arrange manufacture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contract manufacturers, our ability to deploy commercial sales </w:t>
      </w:r>
      <w:r>
        <w:rPr>
          <w:rFonts w:ascii="Times New Roman;Times;serif" w:hAnsi="Times New Roman;Times;serif"/>
          <w:color w:val="231F20"/>
          <w:spacing w:val="-3"/>
          <w:sz w:val="20"/>
        </w:rPr>
        <w:t xml:space="preserve">force </w:t>
      </w:r>
      <w:r>
        <w:rPr>
          <w:rFonts w:ascii="Times New Roman;Times;serif" w:hAnsi="Times New Roman;Times;serif"/>
          <w:color w:val="231F20"/>
          <w:sz w:val="20"/>
        </w:rPr>
        <w:t xml:space="preserve">via third party partnerships, and our ability to manage shipping and logistics.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collaboration agreement we enter into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contain </w:t>
      </w:r>
      <w:r>
        <w:rPr>
          <w:rFonts w:ascii="Times New Roman;Times;serif" w:hAnsi="Times New Roman;Times;serif"/>
          <w:color w:val="231F20"/>
          <w:spacing w:val="-4"/>
          <w:sz w:val="20"/>
        </w:rPr>
        <w:t xml:space="preserve">unfavorable </w:t>
      </w:r>
      <w:r>
        <w:rPr>
          <w:rFonts w:ascii="Times New Roman;Times;serif" w:hAnsi="Times New Roman;Times;serif"/>
          <w:color w:val="231F20"/>
          <w:sz w:val="20"/>
        </w:rPr>
        <w:t xml:space="preserve">terms,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example, with respect to product candidates covered, control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decisions and responsibilities, termination rights, payment, and other significant terms.</w:t>
      </w:r>
    </w:p>
    <w:p>
      <w:pPr>
        <w:pStyle w:val="TextBody"/>
        <w:spacing w:lineRule="auto" w:line="300"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Our ability to receive any significant revenue from our product candidates covered by the collaboration agreement will be dependent on the efforts of our collaboration partner and may result in lower levels of income to us than if we marketed our product candidates entirely on our own. The collaboration partner may not fulfill its obligations or commercialize our product candidates as quickly as we would like. Even if the collaboration partner performs well, there is no assurance that our proposed products will achieve acceptance by patients, health care providers and insurance companies.</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could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become </w:t>
      </w:r>
      <w:r>
        <w:rPr>
          <w:rFonts w:ascii="Times New Roman;Times;serif" w:hAnsi="Times New Roman;Times;serif"/>
          <w:color w:val="231F20"/>
          <w:spacing w:val="-3"/>
          <w:sz w:val="20"/>
        </w:rPr>
        <w:t xml:space="preserve">involved </w:t>
      </w:r>
      <w:r>
        <w:rPr>
          <w:rFonts w:ascii="Times New Roman;Times;serif" w:hAnsi="Times New Roman;Times;serif"/>
          <w:color w:val="231F20"/>
          <w:sz w:val="20"/>
        </w:rPr>
        <w:t xml:space="preserve">in disputes with our </w:t>
      </w:r>
      <w:r>
        <w:rPr>
          <w:rFonts w:ascii="Times New Roman;Times;serif" w:hAnsi="Times New Roman;Times;serif"/>
          <w:color w:val="231F20"/>
          <w:spacing w:val="-3"/>
          <w:sz w:val="20"/>
        </w:rPr>
        <w:t xml:space="preserve">partner, </w:t>
      </w:r>
      <w:r>
        <w:rPr>
          <w:rFonts w:ascii="Times New Roman;Times;serif" w:hAnsi="Times New Roman;Times;serif"/>
          <w:color w:val="231F20"/>
          <w:sz w:val="20"/>
        </w:rPr>
        <w:t xml:space="preserve">which could lead to delays in or termination of our commercialization programs and time-consuming and expensive litigation or arbitration. If a collaboration partner terminates or breaches its agreement with </w:t>
      </w:r>
      <w:r>
        <w:rPr>
          <w:rFonts w:ascii="Times New Roman;Times;serif" w:hAnsi="Times New Roman;Times;serif"/>
          <w:color w:val="231F20"/>
          <w:spacing w:val="-4"/>
          <w:sz w:val="20"/>
        </w:rPr>
        <w:t xml:space="preserve">us, </w:t>
      </w:r>
      <w:r>
        <w:rPr>
          <w:rFonts w:ascii="Times New Roman;Times;serif" w:hAnsi="Times New Roman;Times;serif"/>
          <w:color w:val="231F20"/>
          <w:sz w:val="20"/>
        </w:rPr>
        <w:t xml:space="preserve">or otherwise fails to complete its obligations in a timely </w:t>
      </w:r>
      <w:r>
        <w:rPr>
          <w:rFonts w:ascii="Times New Roman;Times;serif" w:hAnsi="Times New Roman;Times;serif"/>
          <w:color w:val="231F20"/>
          <w:spacing w:val="-3"/>
          <w:sz w:val="20"/>
        </w:rPr>
        <w:t xml:space="preserve">manner, </w:t>
      </w:r>
      <w:r>
        <w:rPr>
          <w:rFonts w:ascii="Times New Roman;Times;serif" w:hAnsi="Times New Roman;Times;serif"/>
          <w:color w:val="231F20"/>
          <w:sz w:val="20"/>
        </w:rPr>
        <w:t>the chances of successfully developing or commercializing our product candidates would be materially and adversely affected.</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Additionally,</w:t>
      </w:r>
      <w:r>
        <w:rPr>
          <w:rFonts w:ascii="Times New Roman;Times;serif" w:hAnsi="Times New Roman;Times;serif"/>
          <w:color w:val="231F20"/>
          <w:spacing w:val="-22"/>
          <w:sz w:val="20"/>
        </w:rPr>
        <w:t xml:space="preserve"> </w:t>
      </w:r>
      <w:r>
        <w:rPr>
          <w:rFonts w:ascii="Times New Roman;Times;serif" w:hAnsi="Times New Roman;Times;serif"/>
          <w:color w:val="231F20"/>
          <w:sz w:val="20"/>
        </w:rPr>
        <w:t>depending</w:t>
      </w:r>
      <w:r>
        <w:rPr>
          <w:rFonts w:ascii="Times New Roman;Times;serif" w:hAnsi="Times New Roman;Times;serif"/>
          <w:color w:val="231F20"/>
          <w:spacing w:val="-22"/>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1"/>
          <w:sz w:val="20"/>
        </w:rPr>
        <w:t xml:space="preserve"> </w:t>
      </w:r>
      <w:r>
        <w:rPr>
          <w:rFonts w:ascii="Times New Roman;Times;serif" w:hAnsi="Times New Roman;Times;serif"/>
          <w:color w:val="231F20"/>
          <w:sz w:val="20"/>
        </w:rPr>
        <w:t>collaboration</w:t>
      </w:r>
      <w:r>
        <w:rPr>
          <w:rFonts w:ascii="Times New Roman;Times;serif" w:hAnsi="Times New Roman;Times;serif"/>
          <w:color w:val="231F20"/>
          <w:spacing w:val="-22"/>
          <w:sz w:val="20"/>
        </w:rPr>
        <w:t xml:space="preserve"> </w:t>
      </w:r>
      <w:r>
        <w:rPr>
          <w:rFonts w:ascii="Times New Roman;Times;serif" w:hAnsi="Times New Roman;Times;serif"/>
          <w:color w:val="231F20"/>
          <w:sz w:val="20"/>
        </w:rPr>
        <w:t>partner</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2"/>
          <w:sz w:val="20"/>
        </w:rPr>
        <w:t xml:space="preserve"> </w:t>
      </w:r>
      <w:r>
        <w:rPr>
          <w:rFonts w:ascii="Times New Roman;Times;serif" w:hAnsi="Times New Roman;Times;serif"/>
          <w:color w:val="231F20"/>
          <w:sz w:val="20"/>
        </w:rPr>
        <w:t>we</w:t>
      </w:r>
      <w:r>
        <w:rPr>
          <w:rFonts w:ascii="Times New Roman;Times;serif" w:hAnsi="Times New Roman;Times;serif"/>
          <w:color w:val="231F20"/>
          <w:spacing w:val="-21"/>
          <w:sz w:val="20"/>
        </w:rPr>
        <w:t xml:space="preserve"> </w:t>
      </w:r>
      <w:r>
        <w:rPr>
          <w:rFonts w:ascii="Times New Roman;Times;serif" w:hAnsi="Times New Roman;Times;serif"/>
          <w:color w:val="231F20"/>
          <w:sz w:val="20"/>
        </w:rPr>
        <w:t>choose,</w:t>
      </w:r>
      <w:r>
        <w:rPr>
          <w:rFonts w:ascii="Times New Roman;Times;serif" w:hAnsi="Times New Roman;Times;serif"/>
          <w:color w:val="231F20"/>
          <w:spacing w:val="-22"/>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companies</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1"/>
          <w:sz w:val="20"/>
        </w:rPr>
        <w:t xml:space="preserve"> </w:t>
      </w:r>
      <w:r>
        <w:rPr>
          <w:rFonts w:ascii="Times New Roman;Times;serif" w:hAnsi="Times New Roman;Times;serif"/>
          <w:color w:val="231F20"/>
          <w:sz w:val="20"/>
        </w:rPr>
        <w:t>might otherwise be interested in developing products with us could be less inclined to do so because of our relationship</w:t>
      </w:r>
      <w:r>
        <w:rPr>
          <w:rFonts w:ascii="Times New Roman;Times;serif" w:hAnsi="Times New Roman;Times;serif"/>
          <w:color w:val="231F20"/>
          <w:spacing w:val="-21"/>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collaboration</w:t>
      </w:r>
      <w:r>
        <w:rPr>
          <w:rFonts w:ascii="Times New Roman;Times;serif" w:hAnsi="Times New Roman;Times;serif"/>
          <w:color w:val="231F20"/>
          <w:spacing w:val="-21"/>
          <w:sz w:val="20"/>
        </w:rPr>
        <w:t xml:space="preserve"> </w:t>
      </w:r>
      <w:r>
        <w:rPr>
          <w:rFonts w:ascii="Times New Roman;Times;serif" w:hAnsi="Times New Roman;Times;serif"/>
          <w:color w:val="231F20"/>
          <w:sz w:val="20"/>
        </w:rPr>
        <w:t>partner.</w:t>
      </w:r>
      <w:r>
        <w:rPr>
          <w:rFonts w:ascii="Times New Roman;Times;serif" w:hAnsi="Times New Roman;Times;serif"/>
          <w:color w:val="231F20"/>
          <w:spacing w:val="-21"/>
          <w:sz w:val="20"/>
        </w:rPr>
        <w:t xml:space="preserve"> </w:t>
      </w:r>
      <w:r>
        <w:rPr>
          <w:rFonts w:ascii="Times New Roman;Times;serif" w:hAnsi="Times New Roman;Times;serif"/>
          <w:color w:val="231F20"/>
          <w:sz w:val="20"/>
        </w:rPr>
        <w:t>If</w:t>
      </w:r>
      <w:r>
        <w:rPr>
          <w:rFonts w:ascii="Times New Roman;Times;serif" w:hAnsi="Times New Roman;Times;serif"/>
          <w:color w:val="231F20"/>
          <w:spacing w:val="-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1"/>
          <w:sz w:val="20"/>
        </w:rPr>
        <w:t xml:space="preserve"> </w:t>
      </w:r>
      <w:r>
        <w:rPr>
          <w:rFonts w:ascii="Times New Roman;Times;serif" w:hAnsi="Times New Roman;Times;serif"/>
          <w:color w:val="231F20"/>
          <w:sz w:val="20"/>
        </w:rPr>
        <w:t>ability</w:t>
      </w:r>
      <w:r>
        <w:rPr>
          <w:rFonts w:ascii="Times New Roman;Times;serif" w:hAnsi="Times New Roman;Times;serif"/>
          <w:color w:val="231F20"/>
          <w:spacing w:val="-20"/>
          <w:sz w:val="20"/>
        </w:rPr>
        <w:t xml:space="preserve"> </w:t>
      </w:r>
      <w:r>
        <w:rPr>
          <w:rFonts w:ascii="Times New Roman;Times;serif" w:hAnsi="Times New Roman;Times;serif"/>
          <w:color w:val="231F20"/>
          <w:sz w:val="20"/>
        </w:rPr>
        <w:t>to</w:t>
      </w:r>
      <w:r>
        <w:rPr>
          <w:rFonts w:ascii="Times New Roman;Times;serif" w:hAnsi="Times New Roman;Times;serif"/>
          <w:color w:val="231F20"/>
          <w:spacing w:val="-21"/>
          <w:sz w:val="20"/>
        </w:rPr>
        <w:t xml:space="preserve"> </w:t>
      </w:r>
      <w:r>
        <w:rPr>
          <w:rFonts w:ascii="Times New Roman;Times;serif" w:hAnsi="Times New Roman;Times;serif"/>
          <w:color w:val="231F20"/>
          <w:spacing w:val="-3"/>
          <w:sz w:val="20"/>
        </w:rPr>
        <w:t>work</w:t>
      </w:r>
      <w:r>
        <w:rPr>
          <w:rFonts w:ascii="Times New Roman;Times;serif" w:hAnsi="Times New Roman;Times;serif"/>
          <w:color w:val="231F20"/>
          <w:spacing w:val="-21"/>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0"/>
          <w:sz w:val="20"/>
        </w:rPr>
        <w:t xml:space="preserve"> </w:t>
      </w:r>
      <w:r>
        <w:rPr>
          <w:rFonts w:ascii="Times New Roman;Times;serif" w:hAnsi="Times New Roman;Times;serif"/>
          <w:color w:val="231F20"/>
          <w:sz w:val="20"/>
        </w:rPr>
        <w:t>present</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w:t>
      </w:r>
      <w:r>
        <w:rPr>
          <w:rFonts w:ascii="Times New Roman;Times;serif" w:hAnsi="Times New Roman;Times;serif"/>
          <w:color w:val="231F20"/>
          <w:spacing w:val="-20"/>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21"/>
          <w:sz w:val="20"/>
        </w:rPr>
        <w:t xml:space="preserve"> </w:t>
      </w:r>
      <w:r>
        <w:rPr>
          <w:rFonts w:ascii="Times New Roman;Times;serif" w:hAnsi="Times New Roman;Times;serif"/>
          <w:color w:val="231F20"/>
          <w:sz w:val="20"/>
        </w:rPr>
        <w:t>strategic</w:t>
      </w:r>
      <w:r>
        <w:rPr>
          <w:rFonts w:ascii="Times New Roman;Times;serif" w:hAnsi="Times New Roman;Times;serif"/>
          <w:color w:val="231F20"/>
          <w:spacing w:val="-21"/>
          <w:sz w:val="20"/>
        </w:rPr>
        <w:t xml:space="preserve"> </w:t>
      </w:r>
      <w:r>
        <w:rPr>
          <w:rFonts w:ascii="Times New Roman;Times;serif" w:hAnsi="Times New Roman;Times;serif"/>
          <w:color w:val="231F20"/>
          <w:sz w:val="20"/>
        </w:rPr>
        <w:t>partners or</w:t>
      </w:r>
      <w:r>
        <w:rPr>
          <w:rFonts w:ascii="Times New Roman;Times;serif" w:hAnsi="Times New Roman;Times;serif"/>
          <w:color w:val="231F20"/>
          <w:spacing w:val="-29"/>
          <w:sz w:val="20"/>
        </w:rPr>
        <w:t xml:space="preserve"> </w:t>
      </w:r>
      <w:r>
        <w:rPr>
          <w:rFonts w:ascii="Times New Roman;Times;serif" w:hAnsi="Times New Roman;Times;serif"/>
          <w:color w:val="231F20"/>
          <w:sz w:val="20"/>
        </w:rPr>
        <w:t>collaborators</w:t>
      </w:r>
      <w:r>
        <w:rPr>
          <w:rFonts w:ascii="Times New Roman;Times;serif" w:hAnsi="Times New Roman;Times;serif"/>
          <w:color w:val="231F20"/>
          <w:spacing w:val="-28"/>
          <w:sz w:val="20"/>
        </w:rPr>
        <w:t xml:space="preserve"> </w:t>
      </w:r>
      <w:r>
        <w:rPr>
          <w:rFonts w:ascii="Times New Roman;Times;serif" w:hAnsi="Times New Roman;Times;serif"/>
          <w:color w:val="231F20"/>
          <w:sz w:val="20"/>
        </w:rPr>
        <w:t>is</w:t>
      </w:r>
      <w:r>
        <w:rPr>
          <w:rFonts w:ascii="Times New Roman;Times;serif" w:hAnsi="Times New Roman;Times;serif"/>
          <w:color w:val="231F20"/>
          <w:spacing w:val="-29"/>
          <w:sz w:val="20"/>
        </w:rPr>
        <w:t xml:space="preserve"> </w:t>
      </w:r>
      <w:r>
        <w:rPr>
          <w:rFonts w:ascii="Times New Roman;Times;serif" w:hAnsi="Times New Roman;Times;serif"/>
          <w:color w:val="231F20"/>
          <w:sz w:val="20"/>
        </w:rPr>
        <w:t>adversely</w:t>
      </w:r>
      <w:r>
        <w:rPr>
          <w:rFonts w:ascii="Times New Roman;Times;serif" w:hAnsi="Times New Roman;Times;serif"/>
          <w:color w:val="231F20"/>
          <w:spacing w:val="-28"/>
          <w:sz w:val="20"/>
        </w:rPr>
        <w:t xml:space="preserve"> </w:t>
      </w:r>
      <w:r>
        <w:rPr>
          <w:rFonts w:ascii="Times New Roman;Times;serif" w:hAnsi="Times New Roman;Times;serif"/>
          <w:color w:val="231F20"/>
          <w:sz w:val="20"/>
        </w:rPr>
        <w:t>affected</w:t>
      </w:r>
      <w:r>
        <w:rPr>
          <w:rFonts w:ascii="Times New Roman;Times;serif" w:hAnsi="Times New Roman;Times;serif"/>
          <w:color w:val="231F20"/>
          <w:spacing w:val="-29"/>
          <w:sz w:val="20"/>
        </w:rPr>
        <w:t xml:space="preserve"> </w:t>
      </w:r>
      <w:r>
        <w:rPr>
          <w:rFonts w:ascii="Times New Roman;Times;serif" w:hAnsi="Times New Roman;Times;serif"/>
          <w:color w:val="231F20"/>
          <w:sz w:val="20"/>
        </w:rPr>
        <w:t>as</w:t>
      </w:r>
      <w:r>
        <w:rPr>
          <w:rFonts w:ascii="Times New Roman;Times;serif" w:hAnsi="Times New Roman;Times;serif"/>
          <w:color w:val="231F20"/>
          <w:spacing w:val="-28"/>
          <w:sz w:val="20"/>
        </w:rPr>
        <w:t xml:space="preserve"> </w:t>
      </w:r>
      <w:r>
        <w:rPr>
          <w:rFonts w:ascii="Times New Roman;Times;serif" w:hAnsi="Times New Roman;Times;serif"/>
          <w:color w:val="231F20"/>
          <w:sz w:val="20"/>
        </w:rPr>
        <w:t>a</w:t>
      </w:r>
      <w:r>
        <w:rPr>
          <w:rFonts w:ascii="Times New Roman;Times;serif" w:hAnsi="Times New Roman;Times;serif"/>
          <w:color w:val="231F20"/>
          <w:spacing w:val="-29"/>
          <w:sz w:val="20"/>
        </w:rPr>
        <w:t xml:space="preserve"> </w:t>
      </w:r>
      <w:r>
        <w:rPr>
          <w:rFonts w:ascii="Times New Roman;Times;serif" w:hAnsi="Times New Roman;Times;serif"/>
          <w:color w:val="231F20"/>
          <w:sz w:val="20"/>
        </w:rPr>
        <w:t>result</w:t>
      </w:r>
      <w:r>
        <w:rPr>
          <w:rFonts w:ascii="Times New Roman;Times;serif" w:hAnsi="Times New Roman;Times;serif"/>
          <w:color w:val="231F20"/>
          <w:spacing w:val="-28"/>
          <w:sz w:val="20"/>
        </w:rPr>
        <w:t xml:space="preserve"> </w:t>
      </w:r>
      <w:r>
        <w:rPr>
          <w:rFonts w:ascii="Times New Roman;Times;serif" w:hAnsi="Times New Roman;Times;serif"/>
          <w:color w:val="231F20"/>
          <w:sz w:val="20"/>
        </w:rPr>
        <w:t>of</w:t>
      </w:r>
      <w:r>
        <w:rPr>
          <w:rFonts w:ascii="Times New Roman;Times;serif" w:hAnsi="Times New Roman;Times;serif"/>
          <w:color w:val="231F20"/>
          <w:spacing w:val="-1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9"/>
          <w:sz w:val="20"/>
        </w:rPr>
        <w:t xml:space="preserve"> </w:t>
      </w:r>
      <w:r>
        <w:rPr>
          <w:rFonts w:ascii="Times New Roman;Times;serif" w:hAnsi="Times New Roman;Times;serif"/>
          <w:color w:val="231F20"/>
          <w:sz w:val="20"/>
        </w:rPr>
        <w:t>collaboration</w:t>
      </w:r>
      <w:r>
        <w:rPr>
          <w:rFonts w:ascii="Times New Roman;Times;serif" w:hAnsi="Times New Roman;Times;serif"/>
          <w:color w:val="231F20"/>
          <w:spacing w:val="-28"/>
          <w:sz w:val="20"/>
        </w:rPr>
        <w:t xml:space="preserve"> </w:t>
      </w:r>
      <w:r>
        <w:rPr>
          <w:rFonts w:ascii="Times New Roman;Times;serif" w:hAnsi="Times New Roman;Times;serif"/>
          <w:color w:val="231F20"/>
          <w:sz w:val="20"/>
        </w:rPr>
        <w:t>agreement,</w:t>
      </w:r>
      <w:r>
        <w:rPr>
          <w:rFonts w:ascii="Times New Roman;Times;serif" w:hAnsi="Times New Roman;Times;serif"/>
          <w:color w:val="231F20"/>
          <w:spacing w:val="-2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8"/>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28"/>
          <w:sz w:val="20"/>
        </w:rPr>
        <w:t xml:space="preserve"> </w:t>
      </w:r>
      <w:r>
        <w:rPr>
          <w:rFonts w:ascii="Times New Roman;Times;serif" w:hAnsi="Times New Roman;Times;serif"/>
          <w:color w:val="231F20"/>
          <w:sz w:val="20"/>
        </w:rPr>
        <w:t>prospects</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w:t>
      </w:r>
      <w:r>
        <w:rPr>
          <w:rFonts w:ascii="Times New Roman;Times;serif" w:hAnsi="Times New Roman;Times;serif"/>
          <w:color w:val="231F20"/>
          <w:spacing w:val="-9"/>
          <w:sz w:val="20"/>
        </w:rPr>
        <w:t xml:space="preserve"> </w:t>
      </w:r>
      <w:r>
        <w:rPr>
          <w:rFonts w:ascii="Times New Roman;Times;serif" w:hAnsi="Times New Roman;Times;serif"/>
          <w:color w:val="231F20"/>
          <w:sz w:val="20"/>
        </w:rPr>
        <w:t>limited,</w:t>
      </w:r>
      <w:r>
        <w:rPr>
          <w:rFonts w:ascii="Times New Roman;Times;serif" w:hAnsi="Times New Roman;Times;serif"/>
          <w:color w:val="231F20"/>
          <w:spacing w:val="-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9"/>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8"/>
          <w:sz w:val="20"/>
        </w:rPr>
        <w:t xml:space="preserve"> </w:t>
      </w:r>
      <w:r>
        <w:rPr>
          <w:rFonts w:ascii="Times New Roman;Times;serif" w:hAnsi="Times New Roman;Times;serif"/>
          <w:color w:val="231F20"/>
          <w:sz w:val="20"/>
        </w:rPr>
        <w:t>condition</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9"/>
          <w:sz w:val="20"/>
        </w:rPr>
        <w:t xml:space="preserve"> </w:t>
      </w:r>
      <w:r>
        <w:rPr>
          <w:rFonts w:ascii="Times New Roman;Times;serif" w:hAnsi="Times New Roman;Times;serif"/>
          <w:color w:val="231F20"/>
          <w:sz w:val="20"/>
        </w:rPr>
        <w:t>be</w:t>
      </w:r>
      <w:r>
        <w:rPr>
          <w:rFonts w:ascii="Times New Roman;Times;serif" w:hAnsi="Times New Roman;Times;serif"/>
          <w:color w:val="231F20"/>
          <w:spacing w:val="-9"/>
          <w:sz w:val="20"/>
        </w:rPr>
        <w:t xml:space="preserve"> </w:t>
      </w:r>
      <w:r>
        <w:rPr>
          <w:rFonts w:ascii="Times New Roman;Times;serif" w:hAnsi="Times New Roman;Times;serif"/>
          <w:color w:val="231F20"/>
          <w:sz w:val="20"/>
        </w:rPr>
        <w:t>adversely</w:t>
      </w:r>
      <w:r>
        <w:rPr>
          <w:rFonts w:ascii="Times New Roman;Times;serif" w:hAnsi="Times New Roman;Times;serif"/>
          <w:color w:val="231F20"/>
          <w:spacing w:val="-8"/>
          <w:sz w:val="20"/>
        </w:rPr>
        <w:t xml:space="preserve"> </w:t>
      </w:r>
      <w:r>
        <w:rPr>
          <w:rFonts w:ascii="Times New Roman;Times;serif" w:hAnsi="Times New Roman;Times;serif"/>
          <w:color w:val="231F20"/>
          <w:sz w:val="20"/>
        </w:rPr>
        <w:t>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73"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 xml:space="preserve">Upon commercialization of our products, </w:t>
      </w:r>
      <w:r>
        <w:rPr>
          <w:rFonts w:ascii="Times New Roman;Times;serif" w:hAnsi="Times New Roman;Times;serif"/>
          <w:b/>
          <w:i/>
          <w:color w:val="231F20"/>
          <w:spacing w:val="-4"/>
          <w:sz w:val="20"/>
        </w:rPr>
        <w:t xml:space="preserve">we </w:t>
      </w:r>
      <w:r>
        <w:rPr>
          <w:rFonts w:ascii="Times New Roman;Times;serif" w:hAnsi="Times New Roman;Times;serif"/>
          <w:b/>
          <w:i/>
          <w:color w:val="231F20"/>
          <w:sz w:val="20"/>
        </w:rPr>
        <w:t>may be dependent on third parties to market, distribute and sell our</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products.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If</w:t>
      </w:r>
      <w:r>
        <w:rPr>
          <w:rFonts w:ascii="Times New Roman;Times;serif" w:hAnsi="Times New Roman;Times;serif"/>
          <w:b/>
          <w:color w:val="231F20"/>
          <w:spacing w:val="7"/>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are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successful</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contracting</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third</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parties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for</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these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services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on</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favorable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terms,</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or at all, our product revenues could be</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disappointing.</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We have no experience selling, marketing or distributing products and no internal capability to do so. In order to commercialize our products, if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are </w:t>
      </w:r>
      <w:r>
        <w:rPr>
          <w:rFonts w:ascii="Times New Roman;Times;serif" w:hAnsi="Times New Roman;Times;serif"/>
          <w:color w:val="231F20"/>
          <w:spacing w:val="-3"/>
          <w:sz w:val="20"/>
        </w:rPr>
        <w:t xml:space="preserve">approved </w:t>
      </w:r>
      <w:r>
        <w:rPr>
          <w:rFonts w:ascii="Times New Roman;Times;serif" w:hAnsi="Times New Roman;Times;serif"/>
          <w:color w:val="231F20"/>
          <w:sz w:val="20"/>
        </w:rPr>
        <w:t xml:space="preserve">by the </w:t>
      </w:r>
      <w:r>
        <w:rPr>
          <w:rFonts w:ascii="Times New Roman;Times;serif" w:hAnsi="Times New Roman;Times;serif"/>
          <w:color w:val="231F20"/>
          <w:spacing w:val="-3"/>
          <w:sz w:val="20"/>
        </w:rPr>
        <w:t xml:space="preserve">FDA, </w:t>
      </w:r>
      <w:r>
        <w:rPr>
          <w:rFonts w:ascii="Times New Roman;Times;serif" w:hAnsi="Times New Roman;Times;serif"/>
          <w:color w:val="231F20"/>
          <w:sz w:val="20"/>
        </w:rPr>
        <w:t xml:space="preserve">we will either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to develop such</w:t>
      </w:r>
      <w:r>
        <w:rPr>
          <w:rFonts w:ascii="Times New Roman;Times;serif" w:hAnsi="Times New Roman;Times;serif"/>
          <w:color w:val="231F20"/>
          <w:spacing w:val="-14"/>
          <w:sz w:val="20"/>
        </w:rPr>
        <w:t xml:space="preserve"> </w:t>
      </w:r>
      <w:r>
        <w:rPr>
          <w:rFonts w:ascii="Times New Roman;Times;serif" w:hAnsi="Times New Roman;Times;serif"/>
          <w:color w:val="231F20"/>
          <w:sz w:val="20"/>
        </w:rPr>
        <w:t>capabilities</w:t>
      </w:r>
      <w:r>
        <w:rPr>
          <w:rFonts w:ascii="Times New Roman;Times;serif" w:hAnsi="Times New Roman;Times;serif"/>
          <w:color w:val="231F20"/>
          <w:spacing w:val="-14"/>
          <w:sz w:val="20"/>
        </w:rPr>
        <w:t xml:space="preserve"> </w:t>
      </w:r>
      <w:r>
        <w:rPr>
          <w:rFonts w:ascii="Times New Roman;Times;serif" w:hAnsi="Times New Roman;Times;serif"/>
          <w:color w:val="231F20"/>
          <w:sz w:val="20"/>
        </w:rPr>
        <w:t>internally</w:t>
      </w:r>
      <w:r>
        <w:rPr>
          <w:rFonts w:ascii="Times New Roman;Times;serif" w:hAnsi="Times New Roman;Times;serif"/>
          <w:color w:val="231F20"/>
          <w:spacing w:val="-13"/>
          <w:sz w:val="20"/>
        </w:rPr>
        <w:t xml:space="preserve"> </w:t>
      </w:r>
      <w:r>
        <w:rPr>
          <w:rFonts w:ascii="Times New Roman;Times;serif" w:hAnsi="Times New Roman;Times;serif"/>
          <w:color w:val="231F20"/>
          <w:sz w:val="20"/>
        </w:rPr>
        <w:t>or</w:t>
      </w:r>
      <w:r>
        <w:rPr>
          <w:rFonts w:ascii="Times New Roman;Times;serif" w:hAnsi="Times New Roman;Times;serif"/>
          <w:color w:val="231F20"/>
          <w:spacing w:val="-14"/>
          <w:sz w:val="20"/>
        </w:rPr>
        <w:t xml:space="preserve"> </w:t>
      </w:r>
      <w:r>
        <w:rPr>
          <w:rFonts w:ascii="Times New Roman;Times;serif" w:hAnsi="Times New Roman;Times;serif"/>
          <w:color w:val="231F20"/>
          <w:sz w:val="20"/>
        </w:rPr>
        <w:t>collaborate</w:t>
      </w:r>
      <w:r>
        <w:rPr>
          <w:rFonts w:ascii="Times New Roman;Times;serif" w:hAnsi="Times New Roman;Times;serif"/>
          <w:color w:val="231F20"/>
          <w:spacing w:val="-14"/>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third</w:t>
      </w:r>
      <w:r>
        <w:rPr>
          <w:rFonts w:ascii="Times New Roman;Times;serif" w:hAnsi="Times New Roman;Times;serif"/>
          <w:color w:val="231F20"/>
          <w:spacing w:val="-14"/>
          <w:sz w:val="20"/>
        </w:rPr>
        <w:t xml:space="preserve"> </w:t>
      </w:r>
      <w:r>
        <w:rPr>
          <w:rFonts w:ascii="Times New Roman;Times;serif" w:hAnsi="Times New Roman;Times;serif"/>
          <w:color w:val="231F20"/>
          <w:sz w:val="20"/>
        </w:rPr>
        <w:t>parties</w:t>
      </w:r>
      <w:r>
        <w:rPr>
          <w:rFonts w:ascii="Times New Roman;Times;serif" w:hAnsi="Times New Roman;Times;serif"/>
          <w:color w:val="231F20"/>
          <w:spacing w:val="-14"/>
          <w:sz w:val="20"/>
        </w:rPr>
        <w:t xml:space="preserve"> </w:t>
      </w:r>
      <w:r>
        <w:rPr>
          <w:rFonts w:ascii="Times New Roman;Times;serif" w:hAnsi="Times New Roman;Times;serif"/>
          <w:color w:val="231F20"/>
          <w:sz w:val="20"/>
        </w:rPr>
        <w:t>who</w:t>
      </w:r>
      <w:r>
        <w:rPr>
          <w:rFonts w:ascii="Times New Roman;Times;serif" w:hAnsi="Times New Roman;Times;serif"/>
          <w:color w:val="231F20"/>
          <w:spacing w:val="-13"/>
          <w:sz w:val="20"/>
        </w:rPr>
        <w:t xml:space="preserve"> </w:t>
      </w:r>
      <w:r>
        <w:rPr>
          <w:rFonts w:ascii="Times New Roman;Times;serif" w:hAnsi="Times New Roman;Times;serif"/>
          <w:color w:val="231F20"/>
          <w:sz w:val="20"/>
        </w:rPr>
        <w:t>can</w:t>
      </w:r>
      <w:r>
        <w:rPr>
          <w:rFonts w:ascii="Times New Roman;Times;serif" w:hAnsi="Times New Roman;Times;serif"/>
          <w:color w:val="231F20"/>
          <w:spacing w:val="-14"/>
          <w:sz w:val="20"/>
        </w:rPr>
        <w:t xml:space="preserve"> </w:t>
      </w:r>
      <w:r>
        <w:rPr>
          <w:rFonts w:ascii="Times New Roman;Times;serif" w:hAnsi="Times New Roman;Times;serif"/>
          <w:color w:val="231F20"/>
          <w:sz w:val="20"/>
        </w:rPr>
        <w:t>perform</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these</w:t>
      </w:r>
      <w:r>
        <w:rPr>
          <w:rFonts w:ascii="Times New Roman;Times;serif" w:hAnsi="Times New Roman;Times;serif"/>
          <w:color w:val="231F20"/>
          <w:spacing w:val="-13"/>
          <w:sz w:val="20"/>
        </w:rPr>
        <w:t xml:space="preserve"> </w:t>
      </w:r>
      <w:r>
        <w:rPr>
          <w:rFonts w:ascii="Times New Roman;Times;serif" w:hAnsi="Times New Roman;Times;serif"/>
          <w:color w:val="231F20"/>
          <w:sz w:val="20"/>
        </w:rPr>
        <w:t>services</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4"/>
          <w:sz w:val="20"/>
        </w:rPr>
        <w:t xml:space="preserve"> </w:t>
      </w:r>
      <w:r>
        <w:rPr>
          <w:rFonts w:ascii="Times New Roman;Times;serif" w:hAnsi="Times New Roman;Times;serif"/>
          <w:color w:val="231F20"/>
          <w:spacing w:val="-5"/>
          <w:sz w:val="20"/>
        </w:rPr>
        <w:t>us.</w:t>
      </w:r>
      <w:r>
        <w:rPr>
          <w:rFonts w:ascii="Times New Roman;Times;serif" w:hAnsi="Times New Roman;Times;serif"/>
          <w:color w:val="231F20"/>
          <w:spacing w:val="-13"/>
          <w:sz w:val="20"/>
        </w:rPr>
        <w:t xml:space="preserve"> </w:t>
      </w:r>
      <w:r>
        <w:rPr>
          <w:rFonts w:ascii="Times New Roman;Times;serif" w:hAnsi="Times New Roman;Times;serif"/>
          <w:color w:val="231F20"/>
          <w:sz w:val="20"/>
        </w:rPr>
        <w:t>If</w:t>
      </w:r>
      <w:r>
        <w:rPr>
          <w:rFonts w:ascii="Times New Roman;Times;serif" w:hAnsi="Times New Roman;Times;serif"/>
          <w:color w:val="231F20"/>
          <w:spacing w:val="4"/>
          <w:sz w:val="20"/>
        </w:rPr>
        <w:t xml:space="preserve"> </w:t>
      </w:r>
      <w:r>
        <w:rPr>
          <w:rFonts w:ascii="Times New Roman;Times;serif" w:hAnsi="Times New Roman;Times;serif"/>
          <w:color w:val="231F20"/>
          <w:sz w:val="20"/>
        </w:rPr>
        <w:t>we</w:t>
      </w:r>
      <w:r>
        <w:rPr>
          <w:rFonts w:ascii="Times New Roman;Times;serif" w:hAnsi="Times New Roman;Times;serif"/>
          <w:color w:val="231F20"/>
          <w:spacing w:val="-14"/>
          <w:sz w:val="20"/>
        </w:rPr>
        <w:t xml:space="preserve"> </w:t>
      </w:r>
      <w:r>
        <w:rPr>
          <w:rFonts w:ascii="Times New Roman;Times;serif" w:hAnsi="Times New Roman;Times;serif"/>
          <w:color w:val="231F20"/>
          <w:sz w:val="20"/>
        </w:rPr>
        <w:t>decide to</w:t>
      </w:r>
      <w:r>
        <w:rPr>
          <w:rFonts w:ascii="Times New Roman;Times;serif" w:hAnsi="Times New Roman;Times;serif"/>
          <w:color w:val="231F20"/>
          <w:spacing w:val="-11"/>
          <w:sz w:val="20"/>
        </w:rPr>
        <w:t xml:space="preserve"> </w:t>
      </w:r>
      <w:r>
        <w:rPr>
          <w:rFonts w:ascii="Times New Roman;Times;serif" w:hAnsi="Times New Roman;Times;serif"/>
          <w:color w:val="231F20"/>
          <w:sz w:val="20"/>
        </w:rPr>
        <w:t>commercialize</w:t>
      </w:r>
      <w:r>
        <w:rPr>
          <w:rFonts w:ascii="Times New Roman;Times;serif" w:hAnsi="Times New Roman;Times;serif"/>
          <w:color w:val="231F20"/>
          <w:spacing w:val="-10"/>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0"/>
          <w:sz w:val="20"/>
        </w:rPr>
        <w:t xml:space="preserve"> </w:t>
      </w:r>
      <w:r>
        <w:rPr>
          <w:rFonts w:ascii="Times New Roman;Times;serif" w:hAnsi="Times New Roman;Times;serif"/>
          <w:color w:val="231F20"/>
          <w:sz w:val="20"/>
        </w:rPr>
        <w:t>of</w:t>
      </w:r>
      <w:r>
        <w:rPr>
          <w:rFonts w:ascii="Times New Roman;Times;serif" w:hAnsi="Times New Roman;Times;serif"/>
          <w:color w:val="231F20"/>
          <w:spacing w:val="8"/>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0"/>
          <w:sz w:val="20"/>
        </w:rPr>
        <w:t xml:space="preserve"> </w:t>
      </w:r>
      <w:r>
        <w:rPr>
          <w:rFonts w:ascii="Times New Roman;Times;serif" w:hAnsi="Times New Roman;Times;serif"/>
          <w:color w:val="231F20"/>
          <w:sz w:val="20"/>
        </w:rPr>
        <w:t>drugs</w:t>
      </w:r>
      <w:r>
        <w:rPr>
          <w:rFonts w:ascii="Times New Roman;Times;serif" w:hAnsi="Times New Roman;Times;serif"/>
          <w:color w:val="231F20"/>
          <w:spacing w:val="-11"/>
          <w:sz w:val="20"/>
        </w:rPr>
        <w:t xml:space="preserve"> </w:t>
      </w:r>
      <w:r>
        <w:rPr>
          <w:rFonts w:ascii="Times New Roman;Times;serif" w:hAnsi="Times New Roman;Times;serif"/>
          <w:color w:val="231F20"/>
          <w:sz w:val="20"/>
        </w:rPr>
        <w:t>ourselves,</w:t>
      </w:r>
      <w:r>
        <w:rPr>
          <w:rFonts w:ascii="Times New Roman;Times;serif" w:hAnsi="Times New Roman;Times;serif"/>
          <w:color w:val="231F20"/>
          <w:spacing w:val="-10"/>
          <w:sz w:val="20"/>
        </w:rPr>
        <w:t xml:space="preserve"> </w:t>
      </w:r>
      <w:r>
        <w:rPr>
          <w:rFonts w:ascii="Times New Roman;Times;serif" w:hAnsi="Times New Roman;Times;serif"/>
          <w:color w:val="231F20"/>
          <w:sz w:val="20"/>
        </w:rPr>
        <w:t>we</w:t>
      </w:r>
      <w:r>
        <w:rPr>
          <w:rFonts w:ascii="Times New Roman;Times;serif" w:hAnsi="Times New Roman;Times;serif"/>
          <w:color w:val="231F20"/>
          <w:spacing w:val="-10"/>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1"/>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0"/>
          <w:sz w:val="20"/>
        </w:rPr>
        <w:t xml:space="preserve"> </w:t>
      </w:r>
      <w:r>
        <w:rPr>
          <w:rFonts w:ascii="Times New Roman;Times;serif" w:hAnsi="Times New Roman;Times;serif"/>
          <w:color w:val="231F20"/>
          <w:sz w:val="20"/>
        </w:rPr>
        <w:t>be</w:t>
      </w:r>
      <w:r>
        <w:rPr>
          <w:rFonts w:ascii="Times New Roman;Times;serif" w:hAnsi="Times New Roman;Times;serif"/>
          <w:color w:val="231F20"/>
          <w:spacing w:val="-10"/>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11"/>
          <w:sz w:val="20"/>
        </w:rPr>
        <w:t xml:space="preserve"> </w:t>
      </w:r>
      <w:r>
        <w:rPr>
          <w:rFonts w:ascii="Times New Roman;Times;serif" w:hAnsi="Times New Roman;Times;serif"/>
          <w:color w:val="231F20"/>
          <w:sz w:val="20"/>
        </w:rPr>
        <w:t>to</w:t>
      </w:r>
      <w:r>
        <w:rPr>
          <w:rFonts w:ascii="Times New Roman;Times;serif" w:hAnsi="Times New Roman;Times;serif"/>
          <w:color w:val="231F20"/>
          <w:spacing w:val="-10"/>
          <w:sz w:val="20"/>
        </w:rPr>
        <w:t xml:space="preserve"> </w:t>
      </w:r>
      <w:r>
        <w:rPr>
          <w:rFonts w:ascii="Times New Roman;Times;serif" w:hAnsi="Times New Roman;Times;serif"/>
          <w:color w:val="231F20"/>
          <w:sz w:val="20"/>
        </w:rPr>
        <w:t>hire</w:t>
      </w:r>
      <w:r>
        <w:rPr>
          <w:rFonts w:ascii="Times New Roman;Times;serif" w:hAnsi="Times New Roman;Times;serif"/>
          <w:color w:val="231F20"/>
          <w:spacing w:val="-1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1"/>
          <w:sz w:val="20"/>
        </w:rPr>
        <w:t xml:space="preserve"> </w:t>
      </w:r>
      <w:r>
        <w:rPr>
          <w:rFonts w:ascii="Times New Roman;Times;serif" w:hAnsi="Times New Roman;Times;serif"/>
          <w:color w:val="231F20"/>
          <w:sz w:val="20"/>
        </w:rPr>
        <w:t>necessary</w:t>
      </w:r>
      <w:r>
        <w:rPr>
          <w:rFonts w:ascii="Times New Roman;Times;serif" w:hAnsi="Times New Roman;Times;serif"/>
          <w:color w:val="231F20"/>
          <w:spacing w:val="-10"/>
          <w:sz w:val="20"/>
        </w:rPr>
        <w:t xml:space="preserve"> </w:t>
      </w:r>
      <w:r>
        <w:rPr>
          <w:rFonts w:ascii="Times New Roman;Times;serif" w:hAnsi="Times New Roman;Times;serif"/>
          <w:color w:val="231F20"/>
          <w:sz w:val="20"/>
        </w:rPr>
        <w:t>experienced</w:t>
      </w:r>
      <w:r>
        <w:rPr>
          <w:rFonts w:ascii="Times New Roman;Times;serif" w:hAnsi="Times New Roman;Times;serif"/>
          <w:color w:val="231F20"/>
          <w:spacing w:val="-10"/>
          <w:sz w:val="20"/>
        </w:rPr>
        <w:t xml:space="preserve"> </w:t>
      </w:r>
      <w:r>
        <w:rPr>
          <w:rFonts w:ascii="Times New Roman;Times;serif" w:hAnsi="Times New Roman;Times;serif"/>
          <w:color w:val="231F20"/>
          <w:sz w:val="20"/>
        </w:rPr>
        <w:t xml:space="preserve">personnel and build </w:t>
      </w:r>
      <w:r>
        <w:rPr>
          <w:rFonts w:ascii="Times New Roman;Times;serif" w:hAnsi="Times New Roman;Times;serif"/>
          <w:color w:val="231F20"/>
          <w:spacing w:val="-4"/>
          <w:sz w:val="20"/>
        </w:rPr>
        <w:t xml:space="preserve">sales, </w:t>
      </w:r>
      <w:r>
        <w:rPr>
          <w:rFonts w:ascii="Times New Roman;Times;serif" w:hAnsi="Times New Roman;Times;serif"/>
          <w:color w:val="231F20"/>
          <w:sz w:val="20"/>
        </w:rPr>
        <w:t xml:space="preserve">marketing and distribution operations which are </w:t>
      </w:r>
      <w:r>
        <w:rPr>
          <w:rFonts w:ascii="Times New Roman;Times;serif" w:hAnsi="Times New Roman;Times;serif"/>
          <w:color w:val="231F20"/>
          <w:spacing w:val="-3"/>
          <w:sz w:val="20"/>
        </w:rPr>
        <w:t xml:space="preserve">capable </w:t>
      </w:r>
      <w:r>
        <w:rPr>
          <w:rFonts w:ascii="Times New Roman;Times;serif" w:hAnsi="Times New Roman;Times;serif"/>
          <w:color w:val="231F20"/>
          <w:sz w:val="20"/>
        </w:rPr>
        <w:t xml:space="preserve">of successfully launching new drugs and generating sufficient product </w:t>
      </w:r>
      <w:r>
        <w:rPr>
          <w:rFonts w:ascii="Times New Roman;Times;serif" w:hAnsi="Times New Roman;Times;serif"/>
          <w:color w:val="231F20"/>
          <w:spacing w:val="-4"/>
          <w:sz w:val="20"/>
        </w:rPr>
        <w:t xml:space="preserve">revenues. </w:t>
      </w:r>
      <w:r>
        <w:rPr>
          <w:rFonts w:ascii="Times New Roman;Times;serif" w:hAnsi="Times New Roman;Times;serif"/>
          <w:color w:val="231F20"/>
          <w:sz w:val="20"/>
        </w:rPr>
        <w:t xml:space="preserve">In addition, establishing such operations will </w:t>
      </w:r>
      <w:r>
        <w:rPr>
          <w:rFonts w:ascii="Times New Roman;Times;serif" w:hAnsi="Times New Roman;Times;serif"/>
          <w:color w:val="231F20"/>
          <w:spacing w:val="-4"/>
          <w:sz w:val="20"/>
        </w:rPr>
        <w:t xml:space="preserve">take </w:t>
      </w:r>
      <w:r>
        <w:rPr>
          <w:rFonts w:ascii="Times New Roman;Times;serif" w:hAnsi="Times New Roman;Times;serif"/>
          <w:color w:val="231F20"/>
          <w:sz w:val="20"/>
        </w:rPr>
        <w:t xml:space="preserve">time and </w:t>
      </w:r>
      <w:r>
        <w:rPr>
          <w:rFonts w:ascii="Times New Roman;Times;serif" w:hAnsi="Times New Roman;Times;serif"/>
          <w:color w:val="231F20"/>
          <w:spacing w:val="-3"/>
          <w:sz w:val="20"/>
        </w:rPr>
        <w:t xml:space="preserve">involve </w:t>
      </w:r>
      <w:r>
        <w:rPr>
          <w:rFonts w:ascii="Times New Roman;Times;serif" w:hAnsi="Times New Roman;Times;serif"/>
          <w:color w:val="231F20"/>
          <w:sz w:val="20"/>
        </w:rPr>
        <w:t>significant</w:t>
      </w:r>
      <w:r>
        <w:rPr>
          <w:rFonts w:ascii="Times New Roman;Times;serif" w:hAnsi="Times New Roman;Times;serif"/>
          <w:color w:val="231F20"/>
          <w:spacing w:val="-9"/>
          <w:sz w:val="20"/>
        </w:rPr>
        <w:t xml:space="preserve"> </w:t>
      </w:r>
      <w:r>
        <w:rPr>
          <w:rFonts w:ascii="Times New Roman;Times;serif" w:hAnsi="Times New Roman;Times;serif"/>
          <w:color w:val="231F20"/>
          <w:sz w:val="20"/>
        </w:rPr>
        <w:t>expense.</w:t>
      </w:r>
    </w:p>
    <w:p>
      <w:pPr>
        <w:pStyle w:val="TextBody"/>
        <w:spacing w:lineRule="auto" w:line="273" w:before="15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If we decide to enter into new co-promotion or other licensing arrangements with third parties, we may be unable to locate acceptable collaborators because the number of potential collaborators is limited and because of competition from others for similar alliances with potential collaborators. Even if we are able to identify one or more acceptable new collaborators, we may not be able to enter into any collaborative arrangements on favorable terms, or at all.</w:t>
      </w:r>
    </w:p>
    <w:p>
      <w:pPr>
        <w:pStyle w:val="TextBody"/>
        <w:spacing w:lineRule="auto" w:line="273" w:before="15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In addition, </w:t>
      </w:r>
      <w:r>
        <w:rPr>
          <w:rFonts w:ascii="Times New Roman;Times;serif" w:hAnsi="Times New Roman;Times;serif"/>
          <w:color w:val="231F20"/>
          <w:spacing w:val="-3"/>
          <w:sz w:val="20"/>
        </w:rPr>
        <w:t xml:space="preserve">any revenues </w:t>
      </w:r>
      <w:r>
        <w:rPr>
          <w:rFonts w:ascii="Times New Roman;Times;serif" w:hAnsi="Times New Roman;Times;serif"/>
          <w:color w:val="231F20"/>
          <w:sz w:val="20"/>
        </w:rPr>
        <w:t xml:space="preserve">we receive would depend upon our collaborators’ efforts which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adequate due to lack of attention or resource commitments, management </w:t>
      </w:r>
      <w:r>
        <w:rPr>
          <w:rFonts w:ascii="Times New Roman;Times;serif" w:hAnsi="Times New Roman;Times;serif"/>
          <w:color w:val="231F20"/>
          <w:spacing w:val="-4"/>
          <w:sz w:val="20"/>
        </w:rPr>
        <w:t xml:space="preserve">turnover, </w:t>
      </w:r>
      <w:r>
        <w:rPr>
          <w:rFonts w:ascii="Times New Roman;Times;serif" w:hAnsi="Times New Roman;Times;serif"/>
          <w:color w:val="231F20"/>
          <w:sz w:val="20"/>
        </w:rPr>
        <w:t xml:space="preserve">change of strategic </w:t>
      </w:r>
      <w:r>
        <w:rPr>
          <w:rFonts w:ascii="Times New Roman;Times;serif" w:hAnsi="Times New Roman;Times;serif"/>
          <w:color w:val="231F20"/>
          <w:spacing w:val="-3"/>
          <w:sz w:val="20"/>
        </w:rPr>
        <w:t xml:space="preserve">focus, </w:t>
      </w:r>
      <w:r>
        <w:rPr>
          <w:rFonts w:ascii="Times New Roman;Times;serif" w:hAnsi="Times New Roman;Times;serif"/>
          <w:color w:val="231F20"/>
          <w:sz w:val="20"/>
        </w:rPr>
        <w:t xml:space="preserve">business combinations or other factors outside of our control. Depending upon the terms of our collaboration, the remedies we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against an under-performing collaborator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limited. If we were to terminate the relationship, it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difficult or impossible to find a replacement collaborator on acceptable terms, or </w:t>
      </w:r>
      <w:r>
        <w:rPr>
          <w:rFonts w:ascii="Times New Roman;Times;serif" w:hAnsi="Times New Roman;Times;serif"/>
          <w:color w:val="231F20"/>
          <w:spacing w:val="-3"/>
          <w:sz w:val="20"/>
        </w:rPr>
        <w:t>at</w:t>
      </w:r>
      <w:r>
        <w:rPr>
          <w:rFonts w:ascii="Times New Roman;Times;serif" w:hAnsi="Times New Roman;Times;serif"/>
          <w:color w:val="231F20"/>
          <w:spacing w:val="-10"/>
          <w:sz w:val="20"/>
        </w:rPr>
        <w:t xml:space="preserve"> </w:t>
      </w:r>
      <w:r>
        <w:rPr>
          <w:rFonts w:ascii="Times New Roman;Times;serif" w:hAnsi="Times New Roman;Times;serif"/>
          <w:color w:val="231F20"/>
          <w:spacing w:val="-3"/>
          <w:sz w:val="20"/>
        </w:rPr>
        <w:t>all.</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Risks Related to Ownership of Our Common Stock</w:t>
      </w:r>
    </w:p>
    <w:p>
      <w:pPr>
        <w:pStyle w:val="TextBody"/>
        <w:spacing w:lineRule="auto" w:line="273"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Our issuance of additional shares of Common Stock or convertible securities could make it difficult for another</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company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acquire</w:t>
      </w:r>
      <w:r>
        <w:rPr>
          <w:rFonts w:ascii="Times New Roman;Times;serif" w:hAnsi="Times New Roman;Times;serif"/>
          <w:b/>
          <w:color w:val="231F20"/>
          <w:spacing w:val="-8"/>
          <w:sz w:val="20"/>
        </w:rPr>
        <w:t xml:space="preserve"> </w:t>
      </w:r>
      <w:r>
        <w:rPr>
          <w:rFonts w:ascii="Times New Roman;Times;serif" w:hAnsi="Times New Roman;Times;serif"/>
          <w:b/>
          <w:i/>
          <w:color w:val="231F20"/>
          <w:spacing w:val="-3"/>
          <w:sz w:val="20"/>
        </w:rPr>
        <w:t>us,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dilute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your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ownership</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of</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us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could</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adversely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affect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stock</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price.</w:t>
      </w:r>
    </w:p>
    <w:p>
      <w:pPr>
        <w:pStyle w:val="TextBody"/>
        <w:spacing w:lineRule="auto" w:line="273"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From time to time in the future, we may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pStyle w:val="TextBody"/>
        <w:spacing w:lineRule="auto" w:line="273"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w:t>
      </w:r>
    </w:p>
    <w:p>
      <w:pPr>
        <w:pStyle w:val="TextBody"/>
        <w:spacing w:lineRule="auto" w:line="273"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 See the “Description of Capital Stock” section of this annual report.</w:t>
      </w:r>
    </w:p>
    <w:p>
      <w:pPr>
        <w:pStyle w:val="TextBody"/>
        <w:spacing w:lineRule="auto" w:line="300"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Future sales, or the perception of future sales, of our Common Stock by us or our existing stockholders in the public market could cause the market price for our Common Stock to decline.</w:t>
      </w:r>
    </w:p>
    <w:p>
      <w:pPr>
        <w:pStyle w:val="TextBody"/>
        <w:spacing w:lineRule="auto" w:line="300" w:before="160"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 xml:space="preserve">The sale of substantial amounts of shares of our Common Stock in the public market, or the perception that such sales could occur, could harm the prevailing market price of shares of our Common Stock. These sales, or the possibility that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these sales may occur, also might make it more difficult for us to sell equity securities in the future at a time and at a price that we deem appropriate.</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In addition, the shares of Common Stock reserved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future issuance under the NRx 2021</w:t>
      </w:r>
      <w:r>
        <w:rPr>
          <w:rFonts w:ascii="Times New Roman;Times;serif" w:hAnsi="Times New Roman;Times;serif"/>
          <w:color w:val="231F20"/>
          <w:spacing w:val="-8"/>
          <w:sz w:val="20"/>
        </w:rPr>
        <w:t xml:space="preserve"> </w:t>
      </w:r>
      <w:r>
        <w:rPr>
          <w:rFonts w:ascii="Times New Roman;Times;serif" w:hAnsi="Times New Roman;Times;serif"/>
          <w:color w:val="231F20"/>
          <w:sz w:val="20"/>
        </w:rPr>
        <w:t>Omnibus</w:t>
      </w:r>
      <w:r>
        <w:rPr>
          <w:rFonts w:ascii="Times New Roman;Times;serif" w:hAnsi="Times New Roman;Times;serif"/>
          <w:color w:val="231F20"/>
          <w:spacing w:val="-7"/>
          <w:sz w:val="20"/>
        </w:rPr>
        <w:t xml:space="preserve"> </w:t>
      </w:r>
      <w:r>
        <w:rPr>
          <w:rFonts w:ascii="Times New Roman;Times;serif" w:hAnsi="Times New Roman;Times;serif"/>
          <w:color w:val="231F20"/>
          <w:sz w:val="20"/>
        </w:rPr>
        <w:t>Incentive</w:t>
      </w:r>
      <w:r>
        <w:rPr>
          <w:rFonts w:ascii="Times New Roman;Times;serif" w:hAnsi="Times New Roman;Times;serif"/>
          <w:color w:val="231F20"/>
          <w:spacing w:val="-8"/>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“Incentive</w:t>
      </w:r>
      <w:r>
        <w:rPr>
          <w:rFonts w:ascii="Times New Roman;Times;serif" w:hAnsi="Times New Roman;Times;serif"/>
          <w:color w:val="231F20"/>
          <w:spacing w:val="-8"/>
          <w:sz w:val="20"/>
        </w:rPr>
        <w:t xml:space="preserve"> </w:t>
      </w:r>
      <w:r>
        <w:rPr>
          <w:rFonts w:ascii="Times New Roman;Times;serif" w:hAnsi="Times New Roman;Times;serif"/>
          <w:color w:val="231F20"/>
          <w:sz w:val="20"/>
        </w:rPr>
        <w:t>Plan”)</w:t>
      </w:r>
      <w:r>
        <w:rPr>
          <w:rFonts w:ascii="Times New Roman;Times;serif" w:hAnsi="Times New Roman;Times;serif"/>
          <w:color w:val="231F20"/>
          <w:spacing w:val="-8"/>
          <w:sz w:val="20"/>
        </w:rPr>
        <w:t xml:space="preserve"> </w:t>
      </w:r>
      <w:r>
        <w:rPr>
          <w:rFonts w:ascii="Times New Roman;Times;serif" w:hAnsi="Times New Roman;Times;serif"/>
          <w:color w:val="231F20"/>
          <w:sz w:val="20"/>
        </w:rPr>
        <w:t>are</w:t>
      </w:r>
      <w:r>
        <w:rPr>
          <w:rFonts w:ascii="Times New Roman;Times;serif" w:hAnsi="Times New Roman;Times;serif"/>
          <w:color w:val="231F20"/>
          <w:spacing w:val="-7"/>
          <w:sz w:val="20"/>
        </w:rPr>
        <w:t xml:space="preserve"> </w:t>
      </w:r>
      <w:r>
        <w:rPr>
          <w:rFonts w:ascii="Times New Roman;Times;serif" w:hAnsi="Times New Roman;Times;serif"/>
          <w:color w:val="231F20"/>
          <w:sz w:val="20"/>
        </w:rPr>
        <w:t>eligible</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sale</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public</w:t>
      </w:r>
      <w:r>
        <w:rPr>
          <w:rFonts w:ascii="Times New Roman;Times;serif" w:hAnsi="Times New Roman;Times;serif"/>
          <w:color w:val="231F20"/>
          <w:spacing w:val="-8"/>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8"/>
          <w:sz w:val="20"/>
        </w:rPr>
        <w:t xml:space="preserve"> </w:t>
      </w:r>
      <w:r>
        <w:rPr>
          <w:rFonts w:ascii="Times New Roman;Times;serif" w:hAnsi="Times New Roman;Times;serif"/>
          <w:color w:val="231F20"/>
          <w:sz w:val="20"/>
        </w:rPr>
        <w:t>once</w:t>
      </w:r>
      <w:r>
        <w:rPr>
          <w:rFonts w:ascii="Times New Roman;Times;serif" w:hAnsi="Times New Roman;Times;serif"/>
          <w:color w:val="231F20"/>
          <w:spacing w:val="-7"/>
          <w:sz w:val="20"/>
        </w:rPr>
        <w:t xml:space="preserve"> </w:t>
      </w:r>
      <w:r>
        <w:rPr>
          <w:rFonts w:ascii="Times New Roman;Times;serif" w:hAnsi="Times New Roman;Times;serif"/>
          <w:color w:val="231F20"/>
          <w:sz w:val="20"/>
        </w:rPr>
        <w:t>those shares are issued, subject to provisions relating to various vesting agreements, lock-up agreements and, in some</w:t>
      </w:r>
      <w:r>
        <w:rPr>
          <w:rFonts w:ascii="Times New Roman;Times;serif" w:hAnsi="Times New Roman;Times;serif"/>
          <w:color w:val="231F20"/>
          <w:spacing w:val="-9"/>
          <w:sz w:val="20"/>
        </w:rPr>
        <w:t xml:space="preserve"> </w:t>
      </w:r>
      <w:r>
        <w:rPr>
          <w:rFonts w:ascii="Times New Roman;Times;serif" w:hAnsi="Times New Roman;Times;serif"/>
          <w:color w:val="231F20"/>
          <w:sz w:val="20"/>
        </w:rPr>
        <w:t>cases,</w:t>
      </w:r>
      <w:r>
        <w:rPr>
          <w:rFonts w:ascii="Times New Roman;Times;serif" w:hAnsi="Times New Roman;Times;serif"/>
          <w:color w:val="231F20"/>
          <w:spacing w:val="-8"/>
          <w:sz w:val="20"/>
        </w:rPr>
        <w:t xml:space="preserve"> </w:t>
      </w:r>
      <w:r>
        <w:rPr>
          <w:rFonts w:ascii="Times New Roman;Times;serif" w:hAnsi="Times New Roman;Times;serif"/>
          <w:color w:val="231F20"/>
          <w:sz w:val="20"/>
        </w:rPr>
        <w:t>limitations</w:t>
      </w:r>
      <w:r>
        <w:rPr>
          <w:rFonts w:ascii="Times New Roman;Times;serif" w:hAnsi="Times New Roman;Times;serif"/>
          <w:color w:val="231F20"/>
          <w:spacing w:val="-8"/>
          <w:sz w:val="20"/>
        </w:rPr>
        <w:t xml:space="preserve"> </w:t>
      </w:r>
      <w:r>
        <w:rPr>
          <w:rFonts w:ascii="Times New Roman;Times;serif" w:hAnsi="Times New Roman;Times;serif"/>
          <w:color w:val="231F20"/>
          <w:sz w:val="20"/>
        </w:rPr>
        <w:t>on</w:t>
      </w:r>
      <w:r>
        <w:rPr>
          <w:rFonts w:ascii="Times New Roman;Times;serif" w:hAnsi="Times New Roman;Times;serif"/>
          <w:color w:val="231F20"/>
          <w:spacing w:val="-8"/>
          <w:sz w:val="20"/>
        </w:rPr>
        <w:t xml:space="preserve"> </w:t>
      </w:r>
      <w:r>
        <w:rPr>
          <w:rFonts w:ascii="Times New Roman;Times;serif" w:hAnsi="Times New Roman;Times;serif"/>
          <w:color w:val="231F20"/>
          <w:sz w:val="20"/>
        </w:rPr>
        <w:t>volume</w:t>
      </w:r>
      <w:r>
        <w:rPr>
          <w:rFonts w:ascii="Times New Roman;Times;serif" w:hAnsi="Times New Roman;Times;serif"/>
          <w:color w:val="231F20"/>
          <w:spacing w:val="-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manner</w:t>
      </w:r>
      <w:r>
        <w:rPr>
          <w:rFonts w:ascii="Times New Roman;Times;serif" w:hAnsi="Times New Roman;Times;serif"/>
          <w:color w:val="231F20"/>
          <w:spacing w:val="-8"/>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pacing w:val="-3"/>
          <w:sz w:val="20"/>
        </w:rPr>
        <w:t>sale</w:t>
      </w:r>
      <w:r>
        <w:rPr>
          <w:rFonts w:ascii="Times New Roman;Times;serif" w:hAnsi="Times New Roman;Times;serif"/>
          <w:color w:val="231F20"/>
          <w:spacing w:val="-8"/>
          <w:sz w:val="20"/>
        </w:rPr>
        <w:t xml:space="preserve"> </w:t>
      </w:r>
      <w:r>
        <w:rPr>
          <w:rFonts w:ascii="Times New Roman;Times;serif" w:hAnsi="Times New Roman;Times;serif"/>
          <w:color w:val="231F20"/>
          <w:sz w:val="20"/>
        </w:rPr>
        <w:t>applicable</w:t>
      </w:r>
      <w:r>
        <w:rPr>
          <w:rFonts w:ascii="Times New Roman;Times;serif" w:hAnsi="Times New Roman;Times;serif"/>
          <w:color w:val="231F20"/>
          <w:spacing w:val="-8"/>
          <w:sz w:val="20"/>
        </w:rPr>
        <w:t xml:space="preserve"> </w:t>
      </w:r>
      <w:r>
        <w:rPr>
          <w:rFonts w:ascii="Times New Roman;Times;serif" w:hAnsi="Times New Roman;Times;serif"/>
          <w:color w:val="231F20"/>
          <w:sz w:val="20"/>
        </w:rPr>
        <w:t>to</w:t>
      </w:r>
      <w:r>
        <w:rPr>
          <w:rFonts w:ascii="Times New Roman;Times;serif" w:hAnsi="Times New Roman;Times;serif"/>
          <w:color w:val="231F20"/>
          <w:spacing w:val="-8"/>
          <w:sz w:val="20"/>
        </w:rPr>
        <w:t xml:space="preserve"> </w:t>
      </w:r>
      <w:r>
        <w:rPr>
          <w:rFonts w:ascii="Times New Roman;Times;serif" w:hAnsi="Times New Roman;Times;serif"/>
          <w:color w:val="231F20"/>
          <w:sz w:val="20"/>
        </w:rPr>
        <w:t>affiliates</w:t>
      </w:r>
      <w:r>
        <w:rPr>
          <w:rFonts w:ascii="Times New Roman;Times;serif" w:hAnsi="Times New Roman;Times;serif"/>
          <w:color w:val="231F20"/>
          <w:spacing w:val="-8"/>
          <w:sz w:val="20"/>
        </w:rPr>
        <w:t xml:space="preserve"> </w:t>
      </w:r>
      <w:r>
        <w:rPr>
          <w:rFonts w:ascii="Times New Roman;Times;serif" w:hAnsi="Times New Roman;Times;serif"/>
          <w:color w:val="231F20"/>
          <w:sz w:val="20"/>
        </w:rPr>
        <w:t>under</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Rule</w:t>
      </w:r>
      <w:r>
        <w:rPr>
          <w:rFonts w:ascii="Times New Roman;Times;serif" w:hAnsi="Times New Roman;Times;serif"/>
          <w:color w:val="231F20"/>
          <w:spacing w:val="-8"/>
          <w:sz w:val="20"/>
        </w:rPr>
        <w:t xml:space="preserve"> </w:t>
      </w:r>
      <w:r>
        <w:rPr>
          <w:rFonts w:ascii="Times New Roman;Times;serif" w:hAnsi="Times New Roman;Times;serif"/>
          <w:color w:val="231F20"/>
          <w:sz w:val="20"/>
        </w:rPr>
        <w:t>144</w:t>
      </w:r>
      <w:r>
        <w:rPr>
          <w:rFonts w:ascii="Times New Roman;Times;serif" w:hAnsi="Times New Roman;Times;serif"/>
          <w:color w:val="231F20"/>
          <w:spacing w:val="-8"/>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Exchange Act, as </w:t>
      </w:r>
      <w:r>
        <w:rPr>
          <w:rFonts w:ascii="Times New Roman;Times;serif" w:hAnsi="Times New Roman;Times;serif"/>
          <w:color w:val="231F20"/>
          <w:spacing w:val="-3"/>
          <w:sz w:val="20"/>
        </w:rPr>
        <w:t xml:space="preserve">applicable. </w:t>
      </w:r>
      <w:r>
        <w:rPr>
          <w:rFonts w:ascii="Times New Roman;Times;serif" w:hAnsi="Times New Roman;Times;serif"/>
          <w:color w:val="231F20"/>
          <w:sz w:val="20"/>
        </w:rPr>
        <w:t xml:space="preserve">The original number of shares reserved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future issuance under the Incentive Plan was 5,373,394. In addition, the Incentive Plan includes an evergreen feature that will </w:t>
      </w:r>
      <w:r>
        <w:rPr>
          <w:rFonts w:ascii="Times New Roman;Times;serif" w:hAnsi="Times New Roman;Times;serif"/>
          <w:color w:val="231F20"/>
          <w:spacing w:val="-3"/>
          <w:sz w:val="20"/>
        </w:rPr>
        <w:t xml:space="preserve">allow </w:t>
      </w:r>
      <w:r>
        <w:rPr>
          <w:rFonts w:ascii="Times New Roman;Times;serif" w:hAnsi="Times New Roman;Times;serif"/>
          <w:color w:val="231F20"/>
          <w:sz w:val="20"/>
        </w:rPr>
        <w:t xml:space="preserve">our Board, in its sole discretion, to reserve additional shares of Common Stock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future issuance under the Incentive Plan each calendar </w:t>
      </w:r>
      <w:r>
        <w:rPr>
          <w:rFonts w:ascii="Times New Roman;Times;serif" w:hAnsi="Times New Roman;Times;serif"/>
          <w:color w:val="231F20"/>
          <w:spacing w:val="-5"/>
          <w:sz w:val="20"/>
        </w:rPr>
        <w:t xml:space="preserve">year, </w:t>
      </w:r>
      <w:r>
        <w:rPr>
          <w:rFonts w:ascii="Times New Roman;Times;serif" w:hAnsi="Times New Roman;Times;serif"/>
          <w:color w:val="231F20"/>
          <w:sz w:val="20"/>
        </w:rPr>
        <w:t xml:space="preserve">beginning </w:t>
      </w:r>
      <w:r>
        <w:rPr>
          <w:rFonts w:ascii="Times New Roman;Times;serif" w:hAnsi="Times New Roman;Times;serif"/>
          <w:color w:val="231F20"/>
          <w:spacing w:val="-3"/>
          <w:sz w:val="20"/>
        </w:rPr>
        <w:t xml:space="preserve">January </w:t>
      </w:r>
      <w:r>
        <w:rPr>
          <w:rFonts w:ascii="Times New Roman;Times;serif" w:hAnsi="Times New Roman;Times;serif"/>
          <w:color w:val="231F20"/>
          <w:sz w:val="20"/>
        </w:rPr>
        <w:t xml:space="preserve">1, 2022 and ending on and including </w:t>
      </w:r>
      <w:r>
        <w:rPr>
          <w:rFonts w:ascii="Times New Roman;Times;serif" w:hAnsi="Times New Roman;Times;serif"/>
          <w:color w:val="231F20"/>
          <w:spacing w:val="-3"/>
          <w:sz w:val="20"/>
        </w:rPr>
        <w:t xml:space="preserve">January </w:t>
      </w:r>
      <w:r>
        <w:rPr>
          <w:rFonts w:ascii="Times New Roman;Times;serif" w:hAnsi="Times New Roman;Times;serif"/>
          <w:color w:val="231F20"/>
          <w:sz w:val="20"/>
        </w:rPr>
        <w:t>1, 2031, equal to the lesser</w:t>
      </w:r>
      <w:r>
        <w:rPr>
          <w:rFonts w:ascii="Times New Roman;Times;serif" w:hAnsi="Times New Roman;Times;serif"/>
          <w:color w:val="231F20"/>
          <w:spacing w:val="-15"/>
          <w:sz w:val="20"/>
        </w:rPr>
        <w:t xml:space="preserve"> </w:t>
      </w:r>
      <w:r>
        <w:rPr>
          <w:rFonts w:ascii="Times New Roman;Times;serif" w:hAnsi="Times New Roman;Times;serif"/>
          <w:color w:val="231F20"/>
          <w:sz w:val="20"/>
        </w:rPr>
        <w:t>of (A) 1% of the shares of Common Stock outstanding on the final day of the immediately preceding calendar year or (B) a smaller number of shares determined by the Board.</w:t>
      </w:r>
    </w:p>
    <w:p>
      <w:pPr>
        <w:pStyle w:val="TextBody"/>
        <w:spacing w:lineRule="auto" w:line="300" w:before="160"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Accordingly, </w:t>
      </w:r>
      <w:r>
        <w:rPr>
          <w:rFonts w:ascii="Times New Roman;Times;serif" w:hAnsi="Times New Roman;Times;serif"/>
          <w:color w:val="231F20"/>
          <w:sz w:val="20"/>
        </w:rPr>
        <w:t xml:space="preserve">our stockholders and the holders of insider shares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sell large amounts of Common Stock or warrants in the open market or in </w:t>
      </w:r>
      <w:r>
        <w:rPr>
          <w:rFonts w:ascii="Times New Roman;Times;serif" w:hAnsi="Times New Roman;Times;serif"/>
          <w:color w:val="231F20"/>
          <w:spacing w:val="-3"/>
          <w:sz w:val="20"/>
        </w:rPr>
        <w:t xml:space="preserve">privately </w:t>
      </w:r>
      <w:r>
        <w:rPr>
          <w:rFonts w:ascii="Times New Roman;Times;serif" w:hAnsi="Times New Roman;Times;serif"/>
          <w:color w:val="231F20"/>
          <w:sz w:val="20"/>
        </w:rPr>
        <w:t xml:space="preserve">negotiated transactions when permitted, which could </w:t>
      </w:r>
      <w:r>
        <w:rPr>
          <w:rFonts w:ascii="Times New Roman;Times;serif" w:hAnsi="Times New Roman;Times;serif"/>
          <w:color w:val="231F20"/>
          <w:spacing w:val="-5"/>
          <w:sz w:val="20"/>
        </w:rPr>
        <w:t>have</w:t>
      </w:r>
      <w:r>
        <w:rPr>
          <w:rFonts w:ascii="Times New Roman;Times;serif" w:hAnsi="Times New Roman;Times;serif"/>
          <w:color w:val="231F20"/>
          <w:spacing w:val="-1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effect</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13"/>
          <w:sz w:val="20"/>
        </w:rPr>
        <w:t xml:space="preserve"> </w:t>
      </w:r>
      <w:r>
        <w:rPr>
          <w:rFonts w:ascii="Times New Roman;Times;serif" w:hAnsi="Times New Roman;Times;serif"/>
          <w:color w:val="231F20"/>
          <w:sz w:val="20"/>
        </w:rPr>
        <w:t>increasing</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volatility</w:t>
      </w:r>
      <w:r>
        <w:rPr>
          <w:rFonts w:ascii="Times New Roman;Times;serif" w:hAnsi="Times New Roman;Times;serif"/>
          <w:color w:val="231F20"/>
          <w:spacing w:val="-9"/>
          <w:sz w:val="20"/>
        </w:rPr>
        <w:t xml:space="preserve"> </w:t>
      </w:r>
      <w:r>
        <w:rPr>
          <w:rFonts w:ascii="Times New Roman;Times;serif" w:hAnsi="Times New Roman;Times;serif"/>
          <w:color w:val="231F20"/>
          <w:sz w:val="20"/>
        </w:rPr>
        <w:t>in</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trading</w:t>
      </w:r>
      <w:r>
        <w:rPr>
          <w:rFonts w:ascii="Times New Roman;Times;serif" w:hAnsi="Times New Roman;Times;serif"/>
          <w:color w:val="231F20"/>
          <w:spacing w:val="-9"/>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9"/>
          <w:sz w:val="20"/>
        </w:rPr>
        <w:t xml:space="preserve"> </w:t>
      </w:r>
      <w:r>
        <w:rPr>
          <w:rFonts w:ascii="Times New Roman;Times;serif" w:hAnsi="Times New Roman;Times;serif"/>
          <w:color w:val="231F20"/>
          <w:sz w:val="20"/>
        </w:rPr>
        <w:t>of</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0"/>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9"/>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9"/>
          <w:sz w:val="20"/>
        </w:rPr>
        <w:t xml:space="preserve"> </w:t>
      </w:r>
      <w:r>
        <w:rPr>
          <w:rFonts w:ascii="Times New Roman;Times;serif" w:hAnsi="Times New Roman;Times;serif"/>
          <w:color w:val="231F20"/>
          <w:sz w:val="20"/>
        </w:rPr>
        <w:t>or</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z w:val="20"/>
        </w:rPr>
        <w:t>warrants</w:t>
      </w:r>
      <w:r>
        <w:rPr>
          <w:rFonts w:ascii="Times New Roman;Times;serif" w:hAnsi="Times New Roman;Times;serif"/>
          <w:color w:val="231F20"/>
          <w:spacing w:val="-9"/>
          <w:sz w:val="20"/>
        </w:rPr>
        <w:t xml:space="preserve"> </w:t>
      </w:r>
      <w:r>
        <w:rPr>
          <w:rFonts w:ascii="Times New Roman;Times;serif" w:hAnsi="Times New Roman;Times;serif"/>
          <w:color w:val="231F20"/>
          <w:sz w:val="20"/>
        </w:rPr>
        <w:t>or</w:t>
      </w:r>
      <w:r>
        <w:rPr>
          <w:rFonts w:ascii="Times New Roman;Times;serif" w:hAnsi="Times New Roman;Times;serif"/>
          <w:color w:val="231F20"/>
          <w:spacing w:val="-9"/>
          <w:sz w:val="20"/>
        </w:rPr>
        <w:t xml:space="preserve"> </w:t>
      </w:r>
      <w:r>
        <w:rPr>
          <w:rFonts w:ascii="Times New Roman;Times;serif" w:hAnsi="Times New Roman;Times;serif"/>
          <w:color w:val="231F20"/>
          <w:sz w:val="20"/>
        </w:rPr>
        <w:t>putting significant downward pressure on the price of the Common Stock or the</w:t>
      </w:r>
      <w:r>
        <w:rPr>
          <w:rFonts w:ascii="Times New Roman;Times;serif" w:hAnsi="Times New Roman;Times;serif"/>
          <w:color w:val="231F20"/>
          <w:spacing w:val="-1"/>
          <w:sz w:val="20"/>
        </w:rPr>
        <w:t xml:space="preserve"> </w:t>
      </w:r>
      <w:r>
        <w:rPr>
          <w:rFonts w:ascii="Times New Roman;Times;serif" w:hAnsi="Times New Roman;Times;serif"/>
          <w:color w:val="231F20"/>
          <w:spacing w:val="-3"/>
          <w:sz w:val="20"/>
        </w:rPr>
        <w:t>warrants.</w:t>
      </w:r>
    </w:p>
    <w:p>
      <w:pPr>
        <w:pStyle w:val="TextBody"/>
        <w:spacing w:lineRule="auto" w:line="300" w:before="159" w:after="240"/>
        <w:ind w:left="0" w:right="0" w:firstLine="403"/>
        <w:jc w:val="both"/>
        <w:rPr>
          <w:rFonts w:ascii="Times New Roman;Times;serif" w:hAnsi="Times New Roman;Times;serif"/>
          <w:sz w:val="20"/>
        </w:rPr>
      </w:pPr>
      <w:r>
        <w:rPr>
          <w:rFonts w:ascii="Times New Roman;Times;serif" w:hAnsi="Times New Roman;Times;serif"/>
          <w:color w:val="231F20"/>
          <w:spacing w:val="-3"/>
          <w:sz w:val="20"/>
        </w:rPr>
        <w:t>Further,</w:t>
      </w:r>
      <w:r>
        <w:rPr>
          <w:rFonts w:ascii="Times New Roman;Times;serif" w:hAnsi="Times New Roman;Times;serif"/>
          <w:color w:val="231F20"/>
          <w:spacing w:val="-19"/>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18"/>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warrants</w:t>
      </w:r>
      <w:r>
        <w:rPr>
          <w:rFonts w:ascii="Times New Roman;Times;serif" w:hAnsi="Times New Roman;Times;serif"/>
          <w:color w:val="231F20"/>
          <w:spacing w:val="-18"/>
          <w:sz w:val="20"/>
        </w:rPr>
        <w:t xml:space="preserve"> </w:t>
      </w:r>
      <w:r>
        <w:rPr>
          <w:rFonts w:ascii="Times New Roman;Times;serif" w:hAnsi="Times New Roman;Times;serif"/>
          <w:color w:val="231F20"/>
          <w:sz w:val="20"/>
        </w:rPr>
        <w:t>upon</w:t>
      </w:r>
      <w:r>
        <w:rPr>
          <w:rFonts w:ascii="Times New Roman;Times;serif" w:hAnsi="Times New Roman;Times;serif"/>
          <w:color w:val="231F20"/>
          <w:spacing w:val="-18"/>
          <w:sz w:val="20"/>
        </w:rPr>
        <w:t xml:space="preserve"> </w:t>
      </w:r>
      <w:r>
        <w:rPr>
          <w:rFonts w:ascii="Times New Roman;Times;serif" w:hAnsi="Times New Roman;Times;serif"/>
          <w:color w:val="231F20"/>
          <w:sz w:val="20"/>
        </w:rPr>
        <w:t>expiration</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9"/>
          <w:sz w:val="20"/>
        </w:rPr>
        <w:t xml:space="preserve"> </w:t>
      </w:r>
      <w:r>
        <w:rPr>
          <w:rFonts w:ascii="Times New Roman;Times;serif" w:hAnsi="Times New Roman;Times;serif"/>
          <w:color w:val="231F20"/>
          <w:sz w:val="20"/>
        </w:rPr>
        <w:t>applicable</w:t>
      </w:r>
      <w:r>
        <w:rPr>
          <w:rFonts w:ascii="Times New Roman;Times;serif" w:hAnsi="Times New Roman;Times;serif"/>
          <w:color w:val="231F20"/>
          <w:spacing w:val="-18"/>
          <w:sz w:val="20"/>
        </w:rPr>
        <w:t xml:space="preserve"> </w:t>
      </w:r>
      <w:r>
        <w:rPr>
          <w:rFonts w:ascii="Times New Roman;Times;serif" w:hAnsi="Times New Roman;Times;serif"/>
          <w:color w:val="231F20"/>
          <w:sz w:val="20"/>
        </w:rPr>
        <w:t>lockup</w:t>
      </w:r>
      <w:r>
        <w:rPr>
          <w:rFonts w:ascii="Times New Roman;Times;serif" w:hAnsi="Times New Roman;Times;serif"/>
          <w:color w:val="231F20"/>
          <w:spacing w:val="-18"/>
          <w:sz w:val="20"/>
        </w:rPr>
        <w:t xml:space="preserve"> </w:t>
      </w:r>
      <w:r>
        <w:rPr>
          <w:rFonts w:ascii="Times New Roman;Times;serif" w:hAnsi="Times New Roman;Times;serif"/>
          <w:color w:val="231F20"/>
          <w:sz w:val="20"/>
        </w:rPr>
        <w:t>periods</w:t>
      </w:r>
      <w:r>
        <w:rPr>
          <w:rFonts w:ascii="Times New Roman;Times;serif" w:hAnsi="Times New Roman;Times;serif"/>
          <w:color w:val="231F20"/>
          <w:spacing w:val="-18"/>
          <w:sz w:val="20"/>
        </w:rPr>
        <w:t xml:space="preserve"> </w:t>
      </w:r>
      <w:r>
        <w:rPr>
          <w:rFonts w:ascii="Times New Roman;Times;serif" w:hAnsi="Times New Roman;Times;serif"/>
          <w:color w:val="231F20"/>
          <w:sz w:val="20"/>
        </w:rPr>
        <w:t xml:space="preserve">could encourage short sales of our Common Stock or warrants by market participants. </w:t>
      </w:r>
      <w:r>
        <w:rPr>
          <w:rFonts w:ascii="Times New Roman;Times;serif" w:hAnsi="Times New Roman;Times;serif"/>
          <w:color w:val="231F20"/>
          <w:spacing w:val="-4"/>
          <w:sz w:val="20"/>
        </w:rPr>
        <w:t xml:space="preserve">Generally, </w:t>
      </w:r>
      <w:r>
        <w:rPr>
          <w:rFonts w:ascii="Times New Roman;Times;serif" w:hAnsi="Times New Roman;Times;serif"/>
          <w:color w:val="231F20"/>
          <w:sz w:val="20"/>
        </w:rPr>
        <w:t>short selling means</w:t>
      </w:r>
      <w:r>
        <w:rPr>
          <w:rFonts w:ascii="Times New Roman;Times;serif" w:hAnsi="Times New Roman;Times;serif"/>
          <w:color w:val="231F20"/>
          <w:spacing w:val="-35"/>
          <w:sz w:val="20"/>
        </w:rPr>
        <w:t xml:space="preserve"> </w:t>
      </w:r>
      <w:r>
        <w:rPr>
          <w:rFonts w:ascii="Times New Roman;Times;serif" w:hAnsi="Times New Roman;Times;serif"/>
          <w:color w:val="231F20"/>
          <w:sz w:val="20"/>
        </w:rPr>
        <w:t>selling</w:t>
      </w:r>
      <w:r>
        <w:rPr>
          <w:rFonts w:ascii="Times New Roman;Times;serif" w:hAnsi="Times New Roman;Times;serif"/>
          <w:color w:val="231F20"/>
          <w:spacing w:val="-35"/>
          <w:sz w:val="20"/>
        </w:rPr>
        <w:t xml:space="preserve"> </w:t>
      </w:r>
      <w:r>
        <w:rPr>
          <w:rFonts w:ascii="Times New Roman;Times;serif" w:hAnsi="Times New Roman;Times;serif"/>
          <w:color w:val="231F20"/>
          <w:sz w:val="20"/>
        </w:rPr>
        <w:t>a</w:t>
      </w:r>
      <w:r>
        <w:rPr>
          <w:rFonts w:ascii="Times New Roman;Times;serif" w:hAnsi="Times New Roman;Times;serif"/>
          <w:color w:val="231F20"/>
          <w:spacing w:val="-35"/>
          <w:sz w:val="20"/>
        </w:rPr>
        <w:t xml:space="preserve"> </w:t>
      </w:r>
      <w:r>
        <w:rPr>
          <w:rFonts w:ascii="Times New Roman;Times;serif" w:hAnsi="Times New Roman;Times;serif"/>
          <w:color w:val="231F20"/>
          <w:sz w:val="20"/>
        </w:rPr>
        <w:t>security,</w:t>
      </w:r>
      <w:r>
        <w:rPr>
          <w:rFonts w:ascii="Times New Roman;Times;serif" w:hAnsi="Times New Roman;Times;serif"/>
          <w:color w:val="231F20"/>
          <w:spacing w:val="-34"/>
          <w:sz w:val="20"/>
        </w:rPr>
        <w:t xml:space="preserve"> </w:t>
      </w:r>
      <w:r>
        <w:rPr>
          <w:rFonts w:ascii="Times New Roman;Times;serif" w:hAnsi="Times New Roman;Times;serif"/>
          <w:color w:val="231F20"/>
          <w:sz w:val="20"/>
        </w:rPr>
        <w:t>contract</w:t>
      </w:r>
      <w:r>
        <w:rPr>
          <w:rFonts w:ascii="Times New Roman;Times;serif" w:hAnsi="Times New Roman;Times;serif"/>
          <w:color w:val="231F20"/>
          <w:spacing w:val="-35"/>
          <w:sz w:val="20"/>
        </w:rPr>
        <w:t xml:space="preserve"> </w:t>
      </w:r>
      <w:r>
        <w:rPr>
          <w:rFonts w:ascii="Times New Roman;Times;serif" w:hAnsi="Times New Roman;Times;serif"/>
          <w:color w:val="231F20"/>
          <w:sz w:val="20"/>
        </w:rPr>
        <w:t>or</w:t>
      </w:r>
      <w:r>
        <w:rPr>
          <w:rFonts w:ascii="Times New Roman;Times;serif" w:hAnsi="Times New Roman;Times;serif"/>
          <w:color w:val="231F20"/>
          <w:spacing w:val="-35"/>
          <w:sz w:val="20"/>
        </w:rPr>
        <w:t xml:space="preserve"> </w:t>
      </w:r>
      <w:r>
        <w:rPr>
          <w:rFonts w:ascii="Times New Roman;Times;serif" w:hAnsi="Times New Roman;Times;serif"/>
          <w:color w:val="231F20"/>
          <w:sz w:val="20"/>
        </w:rPr>
        <w:t>commodity</w:t>
      </w:r>
      <w:r>
        <w:rPr>
          <w:rFonts w:ascii="Times New Roman;Times;serif" w:hAnsi="Times New Roman;Times;serif"/>
          <w:color w:val="231F20"/>
          <w:spacing w:val="-34"/>
          <w:sz w:val="20"/>
        </w:rPr>
        <w:t xml:space="preserve"> </w:t>
      </w:r>
      <w:r>
        <w:rPr>
          <w:rFonts w:ascii="Times New Roman;Times;serif" w:hAnsi="Times New Roman;Times;serif"/>
          <w:color w:val="231F20"/>
          <w:sz w:val="20"/>
        </w:rPr>
        <w:t>not</w:t>
      </w:r>
      <w:r>
        <w:rPr>
          <w:rFonts w:ascii="Times New Roman;Times;serif" w:hAnsi="Times New Roman;Times;serif"/>
          <w:color w:val="231F20"/>
          <w:spacing w:val="-35"/>
          <w:sz w:val="20"/>
        </w:rPr>
        <w:t xml:space="preserve"> </w:t>
      </w:r>
      <w:r>
        <w:rPr>
          <w:rFonts w:ascii="Times New Roman;Times;serif" w:hAnsi="Times New Roman;Times;serif"/>
          <w:color w:val="231F20"/>
          <w:sz w:val="20"/>
        </w:rPr>
        <w:t>owned</w:t>
      </w:r>
      <w:r>
        <w:rPr>
          <w:rFonts w:ascii="Times New Roman;Times;serif" w:hAnsi="Times New Roman;Times;serif"/>
          <w:color w:val="231F20"/>
          <w:spacing w:val="-35"/>
          <w:sz w:val="20"/>
        </w:rPr>
        <w:t xml:space="preserve"> </w:t>
      </w:r>
      <w:r>
        <w:rPr>
          <w:rFonts w:ascii="Times New Roman;Times;serif" w:hAnsi="Times New Roman;Times;serif"/>
          <w:color w:val="231F20"/>
          <w:sz w:val="20"/>
        </w:rPr>
        <w:t>by</w:t>
      </w:r>
      <w:r>
        <w:rPr>
          <w:rFonts w:ascii="Times New Roman;Times;serif" w:hAnsi="Times New Roman;Times;serif"/>
          <w:color w:val="231F20"/>
          <w:spacing w:val="-3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5"/>
          <w:sz w:val="20"/>
        </w:rPr>
        <w:t xml:space="preserve"> </w:t>
      </w:r>
      <w:r>
        <w:rPr>
          <w:rFonts w:ascii="Times New Roman;Times;serif" w:hAnsi="Times New Roman;Times;serif"/>
          <w:color w:val="231F20"/>
          <w:spacing w:val="-3"/>
          <w:sz w:val="20"/>
        </w:rPr>
        <w:t>seller.</w:t>
      </w:r>
      <w:r>
        <w:rPr>
          <w:rFonts w:ascii="Times New Roman;Times;serif" w:hAnsi="Times New Roman;Times;serif"/>
          <w:color w:val="231F20"/>
          <w:spacing w:val="-3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4"/>
          <w:sz w:val="20"/>
        </w:rPr>
        <w:t xml:space="preserve"> </w:t>
      </w:r>
      <w:r>
        <w:rPr>
          <w:rFonts w:ascii="Times New Roman;Times;serif" w:hAnsi="Times New Roman;Times;serif"/>
          <w:color w:val="231F20"/>
          <w:sz w:val="20"/>
        </w:rPr>
        <w:t>seller</w:t>
      </w:r>
      <w:r>
        <w:rPr>
          <w:rFonts w:ascii="Times New Roman;Times;serif" w:hAnsi="Times New Roman;Times;serif"/>
          <w:color w:val="231F20"/>
          <w:spacing w:val="-35"/>
          <w:sz w:val="20"/>
        </w:rPr>
        <w:t xml:space="preserve"> </w:t>
      </w:r>
      <w:r>
        <w:rPr>
          <w:rFonts w:ascii="Times New Roman;Times;serif" w:hAnsi="Times New Roman;Times;serif"/>
          <w:color w:val="231F20"/>
          <w:sz w:val="20"/>
        </w:rPr>
        <w:t>is</w:t>
      </w:r>
      <w:r>
        <w:rPr>
          <w:rFonts w:ascii="Times New Roman;Times;serif" w:hAnsi="Times New Roman;Times;serif"/>
          <w:color w:val="231F20"/>
          <w:spacing w:val="-35"/>
          <w:sz w:val="20"/>
        </w:rPr>
        <w:t xml:space="preserve"> </w:t>
      </w:r>
      <w:r>
        <w:rPr>
          <w:rFonts w:ascii="Times New Roman;Times;serif" w:hAnsi="Times New Roman;Times;serif"/>
          <w:color w:val="231F20"/>
          <w:sz w:val="20"/>
        </w:rPr>
        <w:t>committed</w:t>
      </w:r>
      <w:r>
        <w:rPr>
          <w:rFonts w:ascii="Times New Roman;Times;serif" w:hAnsi="Times New Roman;Times;serif"/>
          <w:color w:val="231F20"/>
          <w:spacing w:val="-35"/>
          <w:sz w:val="20"/>
        </w:rPr>
        <w:t xml:space="preserve"> </w:t>
      </w:r>
      <w:r>
        <w:rPr>
          <w:rFonts w:ascii="Times New Roman;Times;serif" w:hAnsi="Times New Roman;Times;serif"/>
          <w:color w:val="231F20"/>
          <w:sz w:val="20"/>
        </w:rPr>
        <w:t>to</w:t>
      </w:r>
      <w:r>
        <w:rPr>
          <w:rFonts w:ascii="Times New Roman;Times;serif" w:hAnsi="Times New Roman;Times;serif"/>
          <w:color w:val="231F20"/>
          <w:spacing w:val="-34"/>
          <w:sz w:val="20"/>
        </w:rPr>
        <w:t xml:space="preserve"> </w:t>
      </w:r>
      <w:r>
        <w:rPr>
          <w:rFonts w:ascii="Times New Roman;Times;serif" w:hAnsi="Times New Roman;Times;serif"/>
          <w:color w:val="231F20"/>
          <w:sz w:val="20"/>
        </w:rPr>
        <w:t>eventually purchase</w:t>
      </w:r>
      <w:r>
        <w:rPr>
          <w:rFonts w:ascii="Times New Roman;Times;serif" w:hAnsi="Times New Roman;Times;serif"/>
          <w:color w:val="231F20"/>
          <w:spacing w:val="-2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6"/>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26"/>
          <w:sz w:val="20"/>
        </w:rPr>
        <w:t xml:space="preserve"> </w:t>
      </w:r>
      <w:r>
        <w:rPr>
          <w:rFonts w:ascii="Times New Roman;Times;serif" w:hAnsi="Times New Roman;Times;serif"/>
          <w:color w:val="231F20"/>
          <w:sz w:val="20"/>
        </w:rPr>
        <w:t>instrument</w:t>
      </w:r>
      <w:r>
        <w:rPr>
          <w:rFonts w:ascii="Times New Roman;Times;serif" w:hAnsi="Times New Roman;Times;serif"/>
          <w:color w:val="231F20"/>
          <w:spacing w:val="-25"/>
          <w:sz w:val="20"/>
        </w:rPr>
        <w:t xml:space="preserve"> </w:t>
      </w:r>
      <w:r>
        <w:rPr>
          <w:rFonts w:ascii="Times New Roman;Times;serif" w:hAnsi="Times New Roman;Times;serif"/>
          <w:color w:val="231F20"/>
          <w:sz w:val="20"/>
        </w:rPr>
        <w:t>previously</w:t>
      </w:r>
      <w:r>
        <w:rPr>
          <w:rFonts w:ascii="Times New Roman;Times;serif" w:hAnsi="Times New Roman;Times;serif"/>
          <w:color w:val="231F20"/>
          <w:spacing w:val="-26"/>
          <w:sz w:val="20"/>
        </w:rPr>
        <w:t xml:space="preserve"> </w:t>
      </w:r>
      <w:r>
        <w:rPr>
          <w:rFonts w:ascii="Times New Roman;Times;serif" w:hAnsi="Times New Roman;Times;serif"/>
          <w:color w:val="231F20"/>
          <w:sz w:val="20"/>
        </w:rPr>
        <w:t>sold.</w:t>
      </w:r>
      <w:r>
        <w:rPr>
          <w:rFonts w:ascii="Times New Roman;Times;serif" w:hAnsi="Times New Roman;Times;serif"/>
          <w:color w:val="231F20"/>
          <w:spacing w:val="-26"/>
          <w:sz w:val="20"/>
        </w:rPr>
        <w:t xml:space="preserve"> </w:t>
      </w:r>
      <w:r>
        <w:rPr>
          <w:rFonts w:ascii="Times New Roman;Times;serif" w:hAnsi="Times New Roman;Times;serif"/>
          <w:color w:val="231F20"/>
          <w:sz w:val="20"/>
        </w:rPr>
        <w:t>Short</w:t>
      </w:r>
      <w:r>
        <w:rPr>
          <w:rFonts w:ascii="Times New Roman;Times;serif" w:hAnsi="Times New Roman;Times;serif"/>
          <w:color w:val="231F20"/>
          <w:spacing w:val="-26"/>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25"/>
          <w:sz w:val="20"/>
        </w:rPr>
        <w:t xml:space="preserve"> </w:t>
      </w:r>
      <w:r>
        <w:rPr>
          <w:rFonts w:ascii="Times New Roman;Times;serif" w:hAnsi="Times New Roman;Times;serif"/>
          <w:color w:val="231F20"/>
          <w:sz w:val="20"/>
        </w:rPr>
        <w:t>are</w:t>
      </w:r>
      <w:r>
        <w:rPr>
          <w:rFonts w:ascii="Times New Roman;Times;serif" w:hAnsi="Times New Roman;Times;serif"/>
          <w:color w:val="231F20"/>
          <w:spacing w:val="-26"/>
          <w:sz w:val="20"/>
        </w:rPr>
        <w:t xml:space="preserve"> </w:t>
      </w:r>
      <w:r>
        <w:rPr>
          <w:rFonts w:ascii="Times New Roman;Times;serif" w:hAnsi="Times New Roman;Times;serif"/>
          <w:color w:val="231F20"/>
          <w:sz w:val="20"/>
        </w:rPr>
        <w:t>used</w:t>
      </w:r>
      <w:r>
        <w:rPr>
          <w:rFonts w:ascii="Times New Roman;Times;serif" w:hAnsi="Times New Roman;Times;serif"/>
          <w:color w:val="231F20"/>
          <w:spacing w:val="-26"/>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capitalize</w:t>
      </w:r>
      <w:r>
        <w:rPr>
          <w:rFonts w:ascii="Times New Roman;Times;serif" w:hAnsi="Times New Roman;Times;serif"/>
          <w:color w:val="231F20"/>
          <w:spacing w:val="-26"/>
          <w:sz w:val="20"/>
        </w:rPr>
        <w:t xml:space="preserve"> </w:t>
      </w:r>
      <w:r>
        <w:rPr>
          <w:rFonts w:ascii="Times New Roman;Times;serif" w:hAnsi="Times New Roman;Times;serif"/>
          <w:color w:val="231F20"/>
          <w:sz w:val="20"/>
        </w:rPr>
        <w:t>on</w:t>
      </w:r>
      <w:r>
        <w:rPr>
          <w:rFonts w:ascii="Times New Roman;Times;serif" w:hAnsi="Times New Roman;Times;serif"/>
          <w:color w:val="231F20"/>
          <w:spacing w:val="-26"/>
          <w:sz w:val="20"/>
        </w:rPr>
        <w:t xml:space="preserve"> </w:t>
      </w:r>
      <w:r>
        <w:rPr>
          <w:rFonts w:ascii="Times New Roman;Times;serif" w:hAnsi="Times New Roman;Times;serif"/>
          <w:color w:val="231F20"/>
          <w:sz w:val="20"/>
        </w:rPr>
        <w:t>an</w:t>
      </w:r>
      <w:r>
        <w:rPr>
          <w:rFonts w:ascii="Times New Roman;Times;serif" w:hAnsi="Times New Roman;Times;serif"/>
          <w:color w:val="231F20"/>
          <w:spacing w:val="-26"/>
          <w:sz w:val="20"/>
        </w:rPr>
        <w:t xml:space="preserve"> </w:t>
      </w:r>
      <w:r>
        <w:rPr>
          <w:rFonts w:ascii="Times New Roman;Times;serif" w:hAnsi="Times New Roman;Times;serif"/>
          <w:color w:val="231F20"/>
          <w:sz w:val="20"/>
        </w:rPr>
        <w:t>expected</w:t>
      </w:r>
      <w:r>
        <w:rPr>
          <w:rFonts w:ascii="Times New Roman;Times;serif" w:hAnsi="Times New Roman;Times;serif"/>
          <w:color w:val="231F20"/>
          <w:spacing w:val="-25"/>
          <w:sz w:val="20"/>
        </w:rPr>
        <w:t xml:space="preserve"> </w:t>
      </w:r>
      <w:r>
        <w:rPr>
          <w:rFonts w:ascii="Times New Roman;Times;serif" w:hAnsi="Times New Roman;Times;serif"/>
          <w:color w:val="231F20"/>
          <w:sz w:val="20"/>
        </w:rPr>
        <w:t>decline in</w:t>
      </w:r>
      <w:r>
        <w:rPr>
          <w:rFonts w:ascii="Times New Roman;Times;serif" w:hAnsi="Times New Roman;Times;serif"/>
          <w:color w:val="231F20"/>
          <w:spacing w:val="-1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5"/>
          <w:sz w:val="20"/>
        </w:rPr>
        <w:t xml:space="preserve"> </w:t>
      </w:r>
      <w:r>
        <w:rPr>
          <w:rFonts w:ascii="Times New Roman;Times;serif" w:hAnsi="Times New Roman;Times;serif"/>
          <w:color w:val="231F20"/>
          <w:sz w:val="20"/>
        </w:rPr>
        <w:t>security’s</w:t>
      </w:r>
      <w:r>
        <w:rPr>
          <w:rFonts w:ascii="Times New Roman;Times;serif" w:hAnsi="Times New Roman;Times;serif"/>
          <w:color w:val="231F20"/>
          <w:spacing w:val="-15"/>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15"/>
          <w:sz w:val="20"/>
        </w:rPr>
        <w:t xml:space="preserve"> </w:t>
      </w:r>
      <w:r>
        <w:rPr>
          <w:rFonts w:ascii="Times New Roman;Times;serif" w:hAnsi="Times New Roman;Times;serif"/>
          <w:color w:val="231F20"/>
          <w:sz w:val="20"/>
        </w:rPr>
        <w:t>Short</w:t>
      </w:r>
      <w:r>
        <w:rPr>
          <w:rFonts w:ascii="Times New Roman;Times;serif" w:hAnsi="Times New Roman;Times;serif"/>
          <w:color w:val="231F20"/>
          <w:spacing w:val="-15"/>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16"/>
          <w:sz w:val="20"/>
        </w:rPr>
        <w:t xml:space="preserve"> </w:t>
      </w:r>
      <w:r>
        <w:rPr>
          <w:rFonts w:ascii="Times New Roman;Times;serif" w:hAnsi="Times New Roman;Times;serif"/>
          <w:color w:val="231F20"/>
          <w:sz w:val="20"/>
        </w:rPr>
        <w:t>of</w:t>
      </w:r>
      <w:r>
        <w:rPr>
          <w:rFonts w:ascii="Times New Roman;Times;serif" w:hAnsi="Times New Roman;Times;serif"/>
          <w:color w:val="231F20"/>
          <w:spacing w:val="-1"/>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5"/>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16"/>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5"/>
          <w:sz w:val="20"/>
        </w:rPr>
        <w:t xml:space="preserve"> </w:t>
      </w:r>
      <w:r>
        <w:rPr>
          <w:rFonts w:ascii="Times New Roman;Times;serif" w:hAnsi="Times New Roman;Times;serif"/>
          <w:color w:val="231F20"/>
          <w:sz w:val="20"/>
        </w:rPr>
        <w:t>or</w:t>
      </w:r>
      <w:r>
        <w:rPr>
          <w:rFonts w:ascii="Times New Roman;Times;serif" w:hAnsi="Times New Roman;Times;serif"/>
          <w:color w:val="231F20"/>
          <w:spacing w:val="-15"/>
          <w:sz w:val="20"/>
        </w:rPr>
        <w:t xml:space="preserve"> </w:t>
      </w:r>
      <w:r>
        <w:rPr>
          <w:rFonts w:ascii="Times New Roman;Times;serif" w:hAnsi="Times New Roman;Times;serif"/>
          <w:color w:val="231F20"/>
          <w:sz w:val="20"/>
        </w:rPr>
        <w:t>warrants</w:t>
      </w:r>
      <w:r>
        <w:rPr>
          <w:rFonts w:ascii="Times New Roman;Times;serif" w:hAnsi="Times New Roman;Times;serif"/>
          <w:color w:val="231F20"/>
          <w:spacing w:val="-15"/>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15"/>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15"/>
          <w:sz w:val="20"/>
        </w:rPr>
        <w:t xml:space="preserve"> </w:t>
      </w:r>
      <w:r>
        <w:rPr>
          <w:rFonts w:ascii="Times New Roman;Times;serif" w:hAnsi="Times New Roman;Times;serif"/>
          <w:color w:val="231F20"/>
          <w:sz w:val="20"/>
        </w:rPr>
        <w:t>a</w:t>
      </w:r>
      <w:r>
        <w:rPr>
          <w:rFonts w:ascii="Times New Roman;Times;serif" w:hAnsi="Times New Roman;Times;serif"/>
          <w:color w:val="231F20"/>
          <w:spacing w:val="-16"/>
          <w:sz w:val="20"/>
        </w:rPr>
        <w:t xml:space="preserve"> </w:t>
      </w:r>
      <w:r>
        <w:rPr>
          <w:rFonts w:ascii="Times New Roman;Times;serif" w:hAnsi="Times New Roman;Times;serif"/>
          <w:color w:val="231F20"/>
          <w:sz w:val="20"/>
        </w:rPr>
        <w:t>tendency</w:t>
      </w:r>
      <w:r>
        <w:rPr>
          <w:rFonts w:ascii="Times New Roman;Times;serif" w:hAnsi="Times New Roman;Times;serif"/>
          <w:color w:val="231F20"/>
          <w:spacing w:val="-15"/>
          <w:sz w:val="20"/>
        </w:rPr>
        <w:t xml:space="preserve"> </w:t>
      </w:r>
      <w:r>
        <w:rPr>
          <w:rFonts w:ascii="Times New Roman;Times;serif" w:hAnsi="Times New Roman;Times;serif"/>
          <w:color w:val="231F20"/>
          <w:sz w:val="20"/>
        </w:rPr>
        <w:t>to</w:t>
      </w:r>
      <w:r>
        <w:rPr>
          <w:rFonts w:ascii="Times New Roman;Times;serif" w:hAnsi="Times New Roman;Times;serif"/>
          <w:color w:val="231F20"/>
          <w:spacing w:val="-15"/>
          <w:sz w:val="20"/>
        </w:rPr>
        <w:t xml:space="preserve"> </w:t>
      </w:r>
      <w:r>
        <w:rPr>
          <w:rFonts w:ascii="Times New Roman;Times;serif" w:hAnsi="Times New Roman;Times;serif"/>
          <w:color w:val="231F20"/>
          <w:sz w:val="20"/>
        </w:rPr>
        <w:t>depress</w:t>
      </w:r>
      <w:r>
        <w:rPr>
          <w:rFonts w:ascii="Times New Roman;Times;serif" w:hAnsi="Times New Roman;Times;serif"/>
          <w:color w:val="231F20"/>
          <w:spacing w:val="-15"/>
          <w:sz w:val="20"/>
        </w:rPr>
        <w:t xml:space="preserve"> </w:t>
      </w:r>
      <w:r>
        <w:rPr>
          <w:rFonts w:ascii="Times New Roman;Times;serif" w:hAnsi="Times New Roman;Times;serif"/>
          <w:color w:val="231F20"/>
          <w:sz w:val="20"/>
        </w:rPr>
        <w:t>the price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of</w:t>
      </w:r>
      <w:r>
        <w:rPr>
          <w:rFonts w:ascii="Times New Roman;Times;serif" w:hAnsi="Times New Roman;Times;serif"/>
          <w:color w:val="231F20"/>
          <w:spacing w:val="-5"/>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9"/>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warrants,</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respectively,</w:t>
      </w:r>
      <w:r>
        <w:rPr>
          <w:rFonts w:ascii="Times New Roman;Times;serif" w:hAnsi="Times New Roman;Times;serif"/>
          <w:color w:val="231F20"/>
          <w:spacing w:val="-19"/>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19"/>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increase</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9"/>
          <w:sz w:val="20"/>
        </w:rPr>
        <w:t xml:space="preserve"> </w:t>
      </w:r>
      <w:r>
        <w:rPr>
          <w:rFonts w:ascii="Times New Roman;Times;serif" w:hAnsi="Times New Roman;Times;serif"/>
          <w:color w:val="231F20"/>
          <w:sz w:val="20"/>
        </w:rPr>
        <w:t>potential</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short</w:t>
      </w:r>
      <w:r>
        <w:rPr>
          <w:rFonts w:ascii="Times New Roman;Times;serif" w:hAnsi="Times New Roman;Times;serif"/>
          <w:color w:val="231F20"/>
          <w:spacing w:val="-19"/>
          <w:sz w:val="20"/>
        </w:rPr>
        <w:t xml:space="preserve"> </w:t>
      </w:r>
      <w:r>
        <w:rPr>
          <w:rFonts w:ascii="Times New Roman;Times;serif" w:hAnsi="Times New Roman;Times;serif"/>
          <w:color w:val="231F20"/>
          <w:spacing w:val="-4"/>
          <w:sz w:val="20"/>
        </w:rPr>
        <w:t>sales.</w:t>
      </w:r>
    </w:p>
    <w:p>
      <w:pPr>
        <w:pStyle w:val="TextBody"/>
        <w:spacing w:lineRule="auto" w:line="300" w:before="159"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We</w:t>
      </w:r>
      <w:r>
        <w:rPr>
          <w:rFonts w:ascii="Times New Roman;Times;serif" w:hAnsi="Times New Roman;Times;serif"/>
          <w:color w:val="231F20"/>
          <w:spacing w:val="-18"/>
          <w:sz w:val="20"/>
        </w:rPr>
        <w:t xml:space="preserve"> </w:t>
      </w:r>
      <w:r>
        <w:rPr>
          <w:rFonts w:ascii="Times New Roman;Times;serif" w:hAnsi="Times New Roman;Times;serif"/>
          <w:color w:val="231F20"/>
          <w:sz w:val="20"/>
        </w:rPr>
        <w:t>cannot</w:t>
      </w:r>
      <w:r>
        <w:rPr>
          <w:rFonts w:ascii="Times New Roman;Times;serif" w:hAnsi="Times New Roman;Times;serif"/>
          <w:color w:val="231F20"/>
          <w:spacing w:val="-18"/>
          <w:sz w:val="20"/>
        </w:rPr>
        <w:t xml:space="preserve"> </w:t>
      </w:r>
      <w:r>
        <w:rPr>
          <w:rFonts w:ascii="Times New Roman;Times;serif" w:hAnsi="Times New Roman;Times;serif"/>
          <w:color w:val="231F20"/>
          <w:sz w:val="20"/>
        </w:rPr>
        <w:t>predict</w:t>
      </w:r>
      <w:r>
        <w:rPr>
          <w:rFonts w:ascii="Times New Roman;Times;serif" w:hAnsi="Times New Roman;Times;serif"/>
          <w:color w:val="231F20"/>
          <w:spacing w:val="-1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size</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4"/>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18"/>
          <w:sz w:val="20"/>
        </w:rPr>
        <w:t xml:space="preserve"> </w:t>
      </w:r>
      <w:r>
        <w:rPr>
          <w:rFonts w:ascii="Times New Roman;Times;serif" w:hAnsi="Times New Roman;Times;serif"/>
          <w:color w:val="231F20"/>
          <w:sz w:val="20"/>
        </w:rPr>
        <w:t>issuances</w:t>
      </w:r>
      <w:r>
        <w:rPr>
          <w:rFonts w:ascii="Times New Roman;Times;serif" w:hAnsi="Times New Roman;Times;serif"/>
          <w:color w:val="231F20"/>
          <w:spacing w:val="-18"/>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8"/>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18"/>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warrants</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8"/>
          <w:sz w:val="20"/>
        </w:rPr>
        <w:t xml:space="preserve"> </w:t>
      </w:r>
      <w:r>
        <w:rPr>
          <w:rFonts w:ascii="Times New Roman;Times;serif" w:hAnsi="Times New Roman;Times;serif"/>
          <w:color w:val="231F20"/>
          <w:sz w:val="20"/>
        </w:rPr>
        <w:t>effect,</w:t>
      </w:r>
      <w:r>
        <w:rPr>
          <w:rFonts w:ascii="Times New Roman;Times;serif" w:hAnsi="Times New Roman;Times;serif"/>
          <w:color w:val="231F20"/>
          <w:spacing w:val="-18"/>
          <w:sz w:val="20"/>
        </w:rPr>
        <w:t xml:space="preserve"> </w:t>
      </w:r>
      <w:r>
        <w:rPr>
          <w:rFonts w:ascii="Times New Roman;Times;serif" w:hAnsi="Times New Roman;Times;serif"/>
          <w:color w:val="231F20"/>
          <w:sz w:val="20"/>
        </w:rPr>
        <w:t>if</w:t>
      </w:r>
      <w:r>
        <w:rPr>
          <w:rFonts w:ascii="Times New Roman;Times;serif" w:hAnsi="Times New Roman;Times;serif"/>
          <w:color w:val="231F20"/>
          <w:spacing w:val="-4"/>
          <w:sz w:val="20"/>
        </w:rPr>
        <w:t xml:space="preserve"> </w:t>
      </w:r>
      <w:r>
        <w:rPr>
          <w:rFonts w:ascii="Times New Roman;Times;serif" w:hAnsi="Times New Roman;Times;serif"/>
          <w:color w:val="231F20"/>
          <w:spacing w:val="-7"/>
          <w:sz w:val="20"/>
        </w:rPr>
        <w:t xml:space="preserve">any, </w:t>
      </w:r>
      <w:r>
        <w:rPr>
          <w:rFonts w:ascii="Times New Roman;Times;serif" w:hAnsi="Times New Roman;Times;serif"/>
          <w:color w:val="231F20"/>
          <w:sz w:val="20"/>
        </w:rPr>
        <w:t>that</w:t>
      </w:r>
      <w:r>
        <w:rPr>
          <w:rFonts w:ascii="Times New Roman;Times;serif" w:hAnsi="Times New Roman;Times;serif"/>
          <w:color w:val="231F20"/>
          <w:spacing w:val="-20"/>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20"/>
          <w:sz w:val="20"/>
        </w:rPr>
        <w:t xml:space="preserve"> </w:t>
      </w:r>
      <w:r>
        <w:rPr>
          <w:rFonts w:ascii="Times New Roman;Times;serif" w:hAnsi="Times New Roman;Times;serif"/>
          <w:color w:val="231F20"/>
          <w:sz w:val="20"/>
        </w:rPr>
        <w:t>issuances</w:t>
      </w:r>
      <w:r>
        <w:rPr>
          <w:rFonts w:ascii="Times New Roman;Times;serif" w:hAnsi="Times New Roman;Times;serif"/>
          <w:color w:val="231F20"/>
          <w:spacing w:val="-1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0"/>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20"/>
          <w:sz w:val="20"/>
        </w:rPr>
        <w:t xml:space="preserve"> </w:t>
      </w:r>
      <w:r>
        <w:rPr>
          <w:rFonts w:ascii="Times New Roman;Times;serif" w:hAnsi="Times New Roman;Times;serif"/>
          <w:color w:val="231F20"/>
          <w:sz w:val="20"/>
        </w:rPr>
        <w:t>of</w:t>
      </w:r>
      <w:r>
        <w:rPr>
          <w:rFonts w:ascii="Times New Roman;Times;serif" w:hAnsi="Times New Roman;Times;serif"/>
          <w:color w:val="231F20"/>
          <w:spacing w:val="-5"/>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20"/>
          <w:sz w:val="20"/>
        </w:rPr>
        <w:t xml:space="preserve"> </w:t>
      </w:r>
      <w:r>
        <w:rPr>
          <w:rFonts w:ascii="Times New Roman;Times;serif" w:hAnsi="Times New Roman;Times;serif"/>
          <w:color w:val="231F20"/>
          <w:sz w:val="20"/>
        </w:rPr>
        <w:t>of</w:t>
      </w:r>
      <w:r>
        <w:rPr>
          <w:rFonts w:ascii="Times New Roman;Times;serif" w:hAnsi="Times New Roman;Times;serif"/>
          <w:color w:val="231F20"/>
          <w:spacing w:val="-6"/>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0"/>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20"/>
          <w:sz w:val="20"/>
        </w:rPr>
        <w:t xml:space="preserve"> </w:t>
      </w:r>
      <w:r>
        <w:rPr>
          <w:rFonts w:ascii="Times New Roman;Times;serif" w:hAnsi="Times New Roman;Times;serif"/>
          <w:color w:val="231F20"/>
          <w:sz w:val="20"/>
        </w:rPr>
        <w:t>or</w:t>
      </w:r>
      <w:r>
        <w:rPr>
          <w:rFonts w:ascii="Times New Roman;Times;serif" w:hAnsi="Times New Roman;Times;serif"/>
          <w:color w:val="231F20"/>
          <w:spacing w:val="-20"/>
          <w:sz w:val="20"/>
        </w:rPr>
        <w:t xml:space="preserve"> </w:t>
      </w:r>
      <w:r>
        <w:rPr>
          <w:rFonts w:ascii="Times New Roman;Times;serif" w:hAnsi="Times New Roman;Times;serif"/>
          <w:color w:val="231F20"/>
          <w:sz w:val="20"/>
        </w:rPr>
        <w:t>warrants</w:t>
      </w:r>
      <w:r>
        <w:rPr>
          <w:rFonts w:ascii="Times New Roman;Times;serif" w:hAnsi="Times New Roman;Times;serif"/>
          <w:color w:val="231F20"/>
          <w:spacing w:val="-19"/>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20"/>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on</w:t>
      </w:r>
      <w:r>
        <w:rPr>
          <w:rFonts w:ascii="Times New Roman;Times;serif" w:hAnsi="Times New Roman;Times;serif"/>
          <w:color w:val="231F20"/>
          <w:spacing w:val="-2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0"/>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19"/>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20"/>
          <w:sz w:val="20"/>
        </w:rPr>
        <w:t xml:space="preserve"> </w:t>
      </w:r>
      <w:r>
        <w:rPr>
          <w:rFonts w:ascii="Times New Roman;Times;serif" w:hAnsi="Times New Roman;Times;serif"/>
          <w:color w:val="231F20"/>
          <w:sz w:val="20"/>
        </w:rPr>
        <w:t xml:space="preserve">of our Common Stock or </w:t>
      </w:r>
      <w:r>
        <w:rPr>
          <w:rFonts w:ascii="Times New Roman;Times;serif" w:hAnsi="Times New Roman;Times;serif"/>
          <w:color w:val="231F20"/>
          <w:spacing w:val="-3"/>
          <w:sz w:val="20"/>
        </w:rPr>
        <w:t xml:space="preserve">warrants. </w:t>
      </w:r>
      <w:r>
        <w:rPr>
          <w:rFonts w:ascii="Times New Roman;Times;serif" w:hAnsi="Times New Roman;Times;serif"/>
          <w:color w:val="231F20"/>
          <w:sz w:val="20"/>
        </w:rPr>
        <w:t>Sales of substantial amounts of Common Stock, or the perception that such</w:t>
      </w:r>
      <w:r>
        <w:rPr>
          <w:rFonts w:ascii="Times New Roman;Times;serif" w:hAnsi="Times New Roman;Times;serif"/>
          <w:color w:val="231F20"/>
          <w:spacing w:val="-22"/>
          <w:sz w:val="20"/>
        </w:rPr>
        <w:t xml:space="preserve"> </w:t>
      </w:r>
      <w:r>
        <w:rPr>
          <w:rFonts w:ascii="Times New Roman;Times;serif" w:hAnsi="Times New Roman;Times;serif"/>
          <w:color w:val="231F20"/>
          <w:sz w:val="20"/>
        </w:rPr>
        <w:t>sales</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21"/>
          <w:sz w:val="20"/>
        </w:rPr>
        <w:t xml:space="preserve"> </w:t>
      </w:r>
      <w:r>
        <w:rPr>
          <w:rFonts w:ascii="Times New Roman;Times;serif" w:hAnsi="Times New Roman;Times;serif"/>
          <w:color w:val="231F20"/>
          <w:spacing w:val="-4"/>
          <w:sz w:val="20"/>
        </w:rPr>
        <w:t>occur,</w:t>
      </w:r>
      <w:r>
        <w:rPr>
          <w:rFonts w:ascii="Times New Roman;Times;serif" w:hAnsi="Times New Roman;Times;serif"/>
          <w:color w:val="231F20"/>
          <w:spacing w:val="-22"/>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1"/>
          <w:sz w:val="20"/>
        </w:rPr>
        <w:t xml:space="preserve"> </w:t>
      </w:r>
      <w:r>
        <w:rPr>
          <w:rFonts w:ascii="Times New Roman;Times;serif" w:hAnsi="Times New Roman;Times;serif"/>
          <w:color w:val="231F20"/>
          <w:sz w:val="20"/>
        </w:rPr>
        <w:t>adversely</w:t>
      </w:r>
      <w:r>
        <w:rPr>
          <w:rFonts w:ascii="Times New Roman;Times;serif" w:hAnsi="Times New Roman;Times;serif"/>
          <w:color w:val="231F20"/>
          <w:spacing w:val="-22"/>
          <w:sz w:val="20"/>
        </w:rPr>
        <w:t xml:space="preserve"> </w:t>
      </w:r>
      <w:r>
        <w:rPr>
          <w:rFonts w:ascii="Times New Roman;Times;serif" w:hAnsi="Times New Roman;Times;serif"/>
          <w:color w:val="231F20"/>
          <w:sz w:val="20"/>
        </w:rPr>
        <w:t>affect</w:t>
      </w:r>
      <w:r>
        <w:rPr>
          <w:rFonts w:ascii="Times New Roman;Times;serif" w:hAnsi="Times New Roman;Times;serif"/>
          <w:color w:val="231F20"/>
          <w:spacing w:val="-21"/>
          <w:sz w:val="20"/>
        </w:rPr>
        <w:t xml:space="preserve"> </w:t>
      </w:r>
      <w:r>
        <w:rPr>
          <w:rFonts w:ascii="Times New Roman;Times;serif" w:hAnsi="Times New Roman;Times;serif"/>
          <w:color w:val="231F20"/>
          <w:sz w:val="20"/>
        </w:rPr>
        <w:t>prevailing</w:t>
      </w:r>
      <w:r>
        <w:rPr>
          <w:rFonts w:ascii="Times New Roman;Times;serif" w:hAnsi="Times New Roman;Times;serif"/>
          <w:color w:val="231F20"/>
          <w:spacing w:val="-22"/>
          <w:sz w:val="20"/>
        </w:rPr>
        <w:t xml:space="preserve"> </w:t>
      </w:r>
      <w:r>
        <w:rPr>
          <w:rFonts w:ascii="Times New Roman;Times;serif" w:hAnsi="Times New Roman;Times;serif"/>
          <w:color w:val="231F20"/>
          <w:sz w:val="20"/>
        </w:rPr>
        <w:t>market</w:t>
      </w:r>
      <w:r>
        <w:rPr>
          <w:rFonts w:ascii="Times New Roman;Times;serif" w:hAnsi="Times New Roman;Times;serif"/>
          <w:color w:val="231F20"/>
          <w:spacing w:val="-22"/>
          <w:sz w:val="20"/>
        </w:rPr>
        <w:t xml:space="preserve"> </w:t>
      </w:r>
      <w:r>
        <w:rPr>
          <w:rFonts w:ascii="Times New Roman;Times;serif" w:hAnsi="Times New Roman;Times;serif"/>
          <w:color w:val="231F20"/>
          <w:sz w:val="20"/>
        </w:rPr>
        <w:t>prices</w:t>
      </w:r>
      <w:r>
        <w:rPr>
          <w:rFonts w:ascii="Times New Roman;Times;serif" w:hAnsi="Times New Roman;Times;serif"/>
          <w:color w:val="231F20"/>
          <w:spacing w:val="-21"/>
          <w:sz w:val="20"/>
        </w:rPr>
        <w:t xml:space="preserve"> </w:t>
      </w:r>
      <w:r>
        <w:rPr>
          <w:rFonts w:ascii="Times New Roman;Times;serif" w:hAnsi="Times New Roman;Times;serif"/>
          <w:color w:val="231F20"/>
          <w:sz w:val="20"/>
        </w:rPr>
        <w:t>of</w:t>
      </w:r>
      <w:r>
        <w:rPr>
          <w:rFonts w:ascii="Times New Roman;Times;serif" w:hAnsi="Times New Roman;Times;serif"/>
          <w:color w:val="231F20"/>
          <w:spacing w:val="-9"/>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1"/>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22"/>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21"/>
          <w:sz w:val="20"/>
        </w:rPr>
        <w:t xml:space="preserve"> </w:t>
      </w:r>
      <w:r>
        <w:rPr>
          <w:rFonts w:ascii="Times New Roman;Times;serif" w:hAnsi="Times New Roman;Times;serif"/>
          <w:color w:val="231F20"/>
          <w:sz w:val="20"/>
        </w:rPr>
        <w:t>or</w:t>
      </w:r>
      <w:r>
        <w:rPr>
          <w:rFonts w:ascii="Times New Roman;Times;serif" w:hAnsi="Times New Roman;Times;serif"/>
          <w:color w:val="231F20"/>
          <w:spacing w:val="-22"/>
          <w:sz w:val="20"/>
        </w:rPr>
        <w:t xml:space="preserve"> </w:t>
      </w:r>
      <w:r>
        <w:rPr>
          <w:rFonts w:ascii="Times New Roman;Times;serif" w:hAnsi="Times New Roman;Times;serif"/>
          <w:color w:val="231F20"/>
          <w:spacing w:val="-3"/>
          <w:sz w:val="20"/>
        </w:rPr>
        <w:t>warrants.</w:t>
      </w:r>
    </w:p>
    <w:p>
      <w:pPr>
        <w:pStyle w:val="TextBody"/>
        <w:spacing w:lineRule="auto" w:line="300" w:before="0" w:after="240"/>
        <w:ind w:left="0" w:right="0" w:hanging="0"/>
        <w:jc w:val="both"/>
        <w:rPr>
          <w:rFonts w:ascii="Times New Roman;Times;serif" w:hAnsi="Times New Roman;Times;serif"/>
          <w:b/>
          <w:sz w:val="20"/>
        </w:rPr>
      </w:pPr>
      <w:r>
        <w:rPr>
          <w:rFonts w:ascii="Times New Roman;Times;serif" w:hAnsi="Times New Roman;Times;serif"/>
          <w:b/>
          <w:i/>
          <w:color w:val="231F20"/>
          <w:spacing w:val="-13"/>
          <w:sz w:val="20"/>
        </w:rPr>
        <w:t>We</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qualify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w:t>
      </w:r>
      <w:r>
        <w:rPr>
          <w:rFonts w:ascii="Times New Roman;Times;serif" w:hAnsi="Times New Roman;Times;serif"/>
          <w:b/>
          <w:color w:val="231F20"/>
          <w:spacing w:val="-8"/>
          <w:sz w:val="20"/>
        </w:rPr>
        <w:t xml:space="preserve"> </w:t>
      </w:r>
      <w:r>
        <w:rPr>
          <w:rFonts w:ascii="Times New Roman;Times;serif" w:hAnsi="Times New Roman;Times;serif"/>
          <w:b/>
          <w:color w:val="231F20"/>
          <w:sz w:val="20"/>
        </w:rPr>
        <w:t>“</w:t>
      </w:r>
      <w:r>
        <w:rPr>
          <w:rFonts w:ascii="Times New Roman;Times;serif" w:hAnsi="Times New Roman;Times;serif"/>
          <w:b/>
          <w:i/>
          <w:color w:val="231F20"/>
          <w:sz w:val="20"/>
        </w:rPr>
        <w:t>smaller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reporting</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company”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within</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the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meaning</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 xml:space="preserve">of the Securities Act, and if </w:t>
      </w:r>
      <w:r>
        <w:rPr>
          <w:rFonts w:ascii="Times New Roman;Times;serif" w:hAnsi="Times New Roman;Times;serif"/>
          <w:b/>
          <w:i/>
          <w:color w:val="231F20"/>
          <w:spacing w:val="-4"/>
          <w:sz w:val="20"/>
        </w:rPr>
        <w:t xml:space="preserve">we </w:t>
      </w:r>
      <w:r>
        <w:rPr>
          <w:rFonts w:ascii="Times New Roman;Times;serif" w:hAnsi="Times New Roman;Times;serif"/>
          <w:b/>
          <w:i/>
          <w:color w:val="231F20"/>
          <w:sz w:val="20"/>
        </w:rPr>
        <w:t>take advantage of certain exemptions from disclosure requirements available to smaller reporting companies, it could make our securities less attractive to investors and may make it more difficult to compare our performance to the performance of other public companies.</w:t>
      </w:r>
    </w:p>
    <w:p>
      <w:pPr>
        <w:pStyle w:val="TextBody"/>
        <w:spacing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We qualify as a “smaller reporting company” as defined in Item 10(f)(1) of Regulation S-K. Smaller reporting companies may take advantage of certain reduced disclosure obligations, including, among other things, providing only two (2) years of audited financial statements. We will remain a smaller reporting company until the last </w:t>
      </w:r>
      <w:r>
        <w:rPr>
          <w:rFonts w:ascii="Times New Roman;Times;serif" w:hAnsi="Times New Roman;Times;serif"/>
          <w:color w:val="231F20"/>
          <w:spacing w:val="-3"/>
          <w:sz w:val="20"/>
        </w:rPr>
        <w:t xml:space="preserve">day </w:t>
      </w:r>
      <w:r>
        <w:rPr>
          <w:rFonts w:ascii="Times New Roman;Times;serif" w:hAnsi="Times New Roman;Times;serif"/>
          <w:color w:val="231F20"/>
          <w:sz w:val="20"/>
        </w:rPr>
        <w:t xml:space="preserve">of the fiscal year in which (i) the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 xml:space="preserve">of our Common Stock held by non-affiliates exceeds $250 million as of the end of that </w:t>
      </w:r>
      <w:r>
        <w:rPr>
          <w:rFonts w:ascii="Times New Roman;Times;serif" w:hAnsi="Times New Roman;Times;serif"/>
          <w:color w:val="231F20"/>
          <w:spacing w:val="-4"/>
          <w:sz w:val="20"/>
        </w:rPr>
        <w:t xml:space="preserve">year’s </w:t>
      </w:r>
      <w:r>
        <w:rPr>
          <w:rFonts w:ascii="Times New Roman;Times;serif" w:hAnsi="Times New Roman;Times;serif"/>
          <w:color w:val="231F20"/>
          <w:sz w:val="20"/>
        </w:rPr>
        <w:t xml:space="preserve">second fiscal </w:t>
      </w:r>
      <w:r>
        <w:rPr>
          <w:rFonts w:ascii="Times New Roman;Times;serif" w:hAnsi="Times New Roman;Times;serif"/>
          <w:color w:val="231F20"/>
          <w:spacing w:val="-3"/>
          <w:sz w:val="20"/>
        </w:rPr>
        <w:t xml:space="preserve">quarter, </w:t>
      </w:r>
      <w:r>
        <w:rPr>
          <w:rFonts w:ascii="Times New Roman;Times;serif" w:hAnsi="Times New Roman;Times;serif"/>
          <w:color w:val="231F20"/>
          <w:sz w:val="20"/>
        </w:rPr>
        <w:t xml:space="preserve">or (ii) our </w:t>
      </w:r>
      <w:r>
        <w:rPr>
          <w:rFonts w:ascii="Times New Roman;Times;serif" w:hAnsi="Times New Roman;Times;serif"/>
          <w:color w:val="231F20"/>
          <w:spacing w:val="-3"/>
          <w:sz w:val="20"/>
        </w:rPr>
        <w:t xml:space="preserve">annual revenues </w:t>
      </w:r>
      <w:r>
        <w:rPr>
          <w:rFonts w:ascii="Times New Roman;Times;serif" w:hAnsi="Times New Roman;Times;serif"/>
          <w:color w:val="231F20"/>
          <w:sz w:val="20"/>
        </w:rPr>
        <w:t xml:space="preserve">exceeded $100 million during such completed fiscal year and the market </w:t>
      </w:r>
      <w:r>
        <w:rPr>
          <w:rFonts w:ascii="Times New Roman;Times;serif" w:hAnsi="Times New Roman;Times;serif"/>
          <w:color w:val="231F20"/>
          <w:spacing w:val="-3"/>
          <w:sz w:val="20"/>
        </w:rPr>
        <w:t xml:space="preserve">value </w:t>
      </w:r>
      <w:r>
        <w:rPr>
          <w:rFonts w:ascii="Times New Roman;Times;serif" w:hAnsi="Times New Roman;Times;serif"/>
          <w:color w:val="231F20"/>
          <w:sz w:val="20"/>
        </w:rPr>
        <w:t>of our Common Stock held by non-affiliates exceeds $700 million as of the end of that</w:t>
      </w:r>
      <w:r>
        <w:rPr>
          <w:rFonts w:ascii="Times New Roman;Times;serif" w:hAnsi="Times New Roman;Times;serif"/>
          <w:color w:val="231F20"/>
          <w:spacing w:val="-3"/>
          <w:sz w:val="20"/>
        </w:rPr>
        <w:t xml:space="preserve"> </w:t>
      </w:r>
      <w:r>
        <w:rPr>
          <w:rFonts w:ascii="Times New Roman;Times;serif" w:hAnsi="Times New Roman;Times;serif"/>
          <w:color w:val="231F20"/>
          <w:spacing w:val="-4"/>
          <w:sz w:val="20"/>
        </w:rPr>
        <w:t xml:space="preserve">year’s </w:t>
      </w:r>
      <w:r>
        <w:rPr>
          <w:rFonts w:ascii="Times New Roman;Times;serif" w:hAnsi="Times New Roman;Times;serif"/>
          <w:color w:val="231F20"/>
          <w:sz w:val="20"/>
        </w:rPr>
        <w:t>second fiscal quarter. To the extent we take advantage of such reduced disclosure obligations, it may also make comparison of our financial statements with other public companies difficult or impossible.</w:t>
      </w:r>
    </w:p>
    <w:p>
      <w:pPr>
        <w:pStyle w:val="TextBody"/>
        <w:spacing w:lineRule="auto" w:line="288"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Anti-takeover provisions in our governing documents and under Delaware law could make an acquisition of us more difficult, limit attempts by our stockholders to replace or remove our current management and limit the market price of our Common Stock.</w:t>
      </w:r>
    </w:p>
    <w:p>
      <w:pPr>
        <w:pStyle w:val="TextBody"/>
        <w:spacing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Charter, the Bylaws and DGCL contain provisions that could have the effect of rendering more difficult, delaying, or preventing an acquisition deemed undesirable by our Board. Among other things, the Charter and/or the Bylaws include the following provisions: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a staggered board, which means that our Board is classified into three classes of directors with staggered three-year terms and directors are only </w:t>
            </w:r>
            <w:r>
              <w:rPr>
                <w:rFonts w:ascii="Times New Roman;Times;serif" w:hAnsi="Times New Roman;Times;serif"/>
                <w:b w:val="false"/>
                <w:i w:val="false"/>
                <w:caps w:val="false"/>
                <w:smallCaps w:val="false"/>
                <w:color w:val="231F20"/>
                <w:spacing w:val="-3"/>
                <w:sz w:val="20"/>
              </w:rPr>
              <w:t xml:space="preserve">able </w:t>
            </w:r>
            <w:r>
              <w:rPr>
                <w:rFonts w:ascii="Times New Roman;Times;serif" w:hAnsi="Times New Roman;Times;serif"/>
                <w:b w:val="false"/>
                <w:i w:val="false"/>
                <w:caps w:val="false"/>
                <w:smallCaps w:val="false"/>
                <w:color w:val="231F20"/>
                <w:sz w:val="20"/>
              </w:rPr>
              <w:t xml:space="preserve">to be removed from office </w:t>
            </w:r>
            <w:r>
              <w:rPr>
                <w:rFonts w:ascii="Times New Roman;Times;serif" w:hAnsi="Times New Roman;Times;serif"/>
                <w:b w:val="false"/>
                <w:i w:val="false"/>
                <w:caps w:val="false"/>
                <w:smallCaps w:val="false"/>
                <w:color w:val="231F20"/>
                <w:spacing w:val="-3"/>
                <w:sz w:val="20"/>
              </w:rPr>
              <w:t>for</w:t>
            </w:r>
            <w:r>
              <w:rPr>
                <w:caps w:val="false"/>
                <w:smallCaps w:val="false"/>
                <w:color w:val="231F20"/>
                <w:spacing w:val="-37"/>
              </w:rPr>
              <w:t xml:space="preserve">  </w:t>
            </w:r>
            <w:r>
              <w:rPr>
                <w:rFonts w:ascii="Times New Roman;Times;serif" w:hAnsi="Times New Roman;Times;serif"/>
                <w:b w:val="false"/>
                <w:i w:val="false"/>
                <w:caps w:val="false"/>
                <w:smallCaps w:val="false"/>
                <w:color w:val="231F20"/>
                <w:sz w:val="20"/>
              </w:rPr>
              <w:t>cause;</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limitations on convening special stockholder meetings, which could </w:t>
            </w:r>
            <w:r>
              <w:rPr>
                <w:rFonts w:ascii="Times New Roman;Times;serif" w:hAnsi="Times New Roman;Times;serif"/>
                <w:b w:val="false"/>
                <w:i w:val="false"/>
                <w:caps w:val="false"/>
                <w:smallCaps w:val="false"/>
                <w:color w:val="231F20"/>
                <w:spacing w:val="-4"/>
                <w:sz w:val="20"/>
              </w:rPr>
              <w:t xml:space="preserve">make </w:t>
            </w:r>
            <w:r>
              <w:rPr>
                <w:rFonts w:ascii="Times New Roman;Times;serif" w:hAnsi="Times New Roman;Times;serif"/>
                <w:b w:val="false"/>
                <w:i w:val="false"/>
                <w:caps w:val="false"/>
                <w:smallCaps w:val="false"/>
                <w:color w:val="231F20"/>
                <w:sz w:val="20"/>
              </w:rPr>
              <w:t xml:space="preserve">it difficult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pacing w:val="-4"/>
                <w:sz w:val="20"/>
              </w:rPr>
              <w:t xml:space="preserve">our </w:t>
            </w:r>
            <w:r>
              <w:rPr>
                <w:rFonts w:ascii="Times New Roman;Times;serif" w:hAnsi="Times New Roman;Times;serif"/>
                <w:b w:val="false"/>
                <w:i w:val="false"/>
                <w:caps w:val="false"/>
                <w:smallCaps w:val="false"/>
                <w:color w:val="231F20"/>
                <w:sz w:val="20"/>
              </w:rPr>
              <w:t>stockholders to adopt desired governance</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changes;</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a prohibition on stockholder action by written consent, which means that our stockholders will only be </w:t>
            </w:r>
            <w:r>
              <w:rPr>
                <w:rFonts w:ascii="Times New Roman;Times;serif" w:hAnsi="Times New Roman;Times;serif"/>
                <w:b w:val="false"/>
                <w:i w:val="false"/>
                <w:caps w:val="false"/>
                <w:smallCaps w:val="false"/>
                <w:color w:val="231F20"/>
                <w:spacing w:val="-3"/>
                <w:sz w:val="20"/>
              </w:rPr>
              <w:t xml:space="preserve">able </w:t>
            </w:r>
            <w:r>
              <w:rPr>
                <w:rFonts w:ascii="Times New Roman;Times;serif" w:hAnsi="Times New Roman;Times;serif"/>
                <w:b w:val="false"/>
                <w:i w:val="false"/>
                <w:caps w:val="false"/>
                <w:smallCaps w:val="false"/>
                <w:color w:val="231F20"/>
                <w:sz w:val="20"/>
              </w:rPr>
              <w:t xml:space="preserve">to </w:t>
            </w:r>
            <w:r>
              <w:rPr>
                <w:rFonts w:ascii="Times New Roman;Times;serif" w:hAnsi="Times New Roman;Times;serif"/>
                <w:b w:val="false"/>
                <w:i w:val="false"/>
                <w:caps w:val="false"/>
                <w:smallCaps w:val="false"/>
                <w:color w:val="231F20"/>
                <w:spacing w:val="-4"/>
                <w:sz w:val="20"/>
              </w:rPr>
              <w:t xml:space="preserve">take </w:t>
            </w:r>
            <w:r>
              <w:rPr>
                <w:rFonts w:ascii="Times New Roman;Times;serif" w:hAnsi="Times New Roman;Times;serif"/>
                <w:b w:val="false"/>
                <w:i w:val="false"/>
                <w:caps w:val="false"/>
                <w:smallCaps w:val="false"/>
                <w:color w:val="231F20"/>
                <w:sz w:val="20"/>
              </w:rPr>
              <w:t xml:space="preserve">action </w:t>
            </w:r>
            <w:r>
              <w:rPr>
                <w:rFonts w:ascii="Times New Roman;Times;serif" w:hAnsi="Times New Roman;Times;serif"/>
                <w:b w:val="false"/>
                <w:i w:val="false"/>
                <w:caps w:val="false"/>
                <w:smallCaps w:val="false"/>
                <w:color w:val="231F20"/>
                <w:spacing w:val="-3"/>
                <w:sz w:val="20"/>
              </w:rPr>
              <w:t xml:space="preserve">at </w:t>
            </w:r>
            <w:r>
              <w:rPr>
                <w:rFonts w:ascii="Times New Roman;Times;serif" w:hAnsi="Times New Roman;Times;serif"/>
                <w:b w:val="false"/>
                <w:i w:val="false"/>
                <w:caps w:val="false"/>
                <w:smallCaps w:val="false"/>
                <w:color w:val="231F20"/>
                <w:sz w:val="20"/>
              </w:rPr>
              <w:t>a meeting of stockholders;</w:t>
            </w:r>
          </w:p>
        </w:tc>
      </w:tr>
    </w:tbl>
    <w:tbl>
      <w:tblPr>
        <w:tblW w:w="8775" w:type="dxa"/>
        <w:jc w:val="left"/>
        <w:tblInd w:w="0" w:type="dxa"/>
        <w:tblCellMar>
          <w:top w:w="28" w:type="dxa"/>
          <w:left w:w="28" w:type="dxa"/>
          <w:bottom w:w="28" w:type="dxa"/>
          <w:right w:w="28" w:type="dxa"/>
        </w:tblCellMar>
      </w:tblPr>
      <w:tblGrid>
        <w:gridCol w:w="124"/>
        <w:gridCol w:w="196"/>
        <w:gridCol w:w="845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45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a</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forum</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selection</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clause,</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which</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means</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certain</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litigation</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against</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us</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can</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only</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be</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brought</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3"/>
              </w:rPr>
              <w:t xml:space="preserve"> </w:t>
            </w:r>
            <w:r>
              <w:rPr>
                <w:rFonts w:ascii="Times New Roman;Times;serif" w:hAnsi="Times New Roman;Times;serif"/>
                <w:b w:val="false"/>
                <w:i w:val="false"/>
                <w:caps w:val="false"/>
                <w:smallCaps w:val="false"/>
                <w:color w:val="231F20"/>
                <w:spacing w:val="-3"/>
                <w:sz w:val="20"/>
              </w:rPr>
              <w:t>Delaware;</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authorization of undesignated preferred stock, the terms of which </w:t>
            </w:r>
            <w:r>
              <w:rPr>
                <w:rFonts w:ascii="Times New Roman;Times;serif" w:hAnsi="Times New Roman;Times;serif"/>
                <w:b w:val="false"/>
                <w:i w:val="false"/>
                <w:caps w:val="false"/>
                <w:smallCaps w:val="false"/>
                <w:color w:val="231F20"/>
                <w:spacing w:val="-3"/>
                <w:sz w:val="20"/>
              </w:rPr>
              <w:t xml:space="preserve">may </w:t>
            </w:r>
            <w:r>
              <w:rPr>
                <w:rFonts w:ascii="Times New Roman;Times;serif" w:hAnsi="Times New Roman;Times;serif"/>
                <w:b w:val="false"/>
                <w:i w:val="false"/>
                <w:caps w:val="false"/>
                <w:smallCaps w:val="false"/>
                <w:color w:val="231F20"/>
                <w:sz w:val="20"/>
              </w:rPr>
              <w:t xml:space="preserve">be established and shares of which </w:t>
            </w:r>
            <w:r>
              <w:rPr>
                <w:rFonts w:ascii="Times New Roman;Times;serif" w:hAnsi="Times New Roman;Times;serif"/>
                <w:b w:val="false"/>
                <w:i w:val="false"/>
                <w:caps w:val="false"/>
                <w:smallCaps w:val="false"/>
                <w:color w:val="231F20"/>
                <w:spacing w:val="-3"/>
                <w:sz w:val="20"/>
              </w:rPr>
              <w:t xml:space="preserve">may </w:t>
            </w:r>
            <w:r>
              <w:rPr>
                <w:rFonts w:ascii="Times New Roman;Times;serif" w:hAnsi="Times New Roman;Times;serif"/>
                <w:b w:val="false"/>
                <w:i w:val="false"/>
                <w:caps w:val="false"/>
                <w:smallCaps w:val="false"/>
                <w:color w:val="231F20"/>
                <w:sz w:val="20"/>
              </w:rPr>
              <w:t>be issued without further action by our stockholders;</w:t>
            </w:r>
            <w:r>
              <w:rPr>
                <w:caps w:val="false"/>
                <w:smallCaps w:val="false"/>
                <w:color w:val="231F20"/>
                <w:spacing w:val="-2"/>
              </w:rPr>
              <w:t xml:space="preserve"> </w:t>
            </w:r>
            <w:r>
              <w:rPr>
                <w:rFonts w:ascii="Times New Roman;Times;serif" w:hAnsi="Times New Roman;Times;serif"/>
                <w:b w:val="false"/>
                <w:i w:val="false"/>
                <w:caps w:val="false"/>
                <w:smallCaps w:val="false"/>
                <w:color w:val="231F20"/>
                <w:sz w:val="20"/>
              </w:rPr>
              <w:t>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advance notice procedures, which apply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stockholders to nominate candidates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 xml:space="preserve">election as directors or to bring matters before an </w:t>
            </w:r>
            <w:r>
              <w:rPr>
                <w:rFonts w:ascii="Times New Roman;Times;serif" w:hAnsi="Times New Roman;Times;serif"/>
                <w:b w:val="false"/>
                <w:i w:val="false"/>
                <w:caps w:val="false"/>
                <w:smallCaps w:val="false"/>
                <w:color w:val="231F20"/>
                <w:spacing w:val="-3"/>
                <w:sz w:val="20"/>
              </w:rPr>
              <w:t xml:space="preserve">annual </w:t>
            </w:r>
            <w:r>
              <w:rPr>
                <w:rFonts w:ascii="Times New Roman;Times;serif" w:hAnsi="Times New Roman;Times;serif"/>
                <w:b w:val="false"/>
                <w:i w:val="false"/>
                <w:caps w:val="false"/>
                <w:smallCaps w:val="false"/>
                <w:color w:val="231F20"/>
                <w:sz w:val="20"/>
              </w:rPr>
              <w:t>meeting of</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stockholders.</w:t>
            </w:r>
          </w:p>
        </w:tc>
      </w:tr>
    </w:tbl>
    <w:p>
      <w:pPr>
        <w:pStyle w:val="TextBody"/>
        <w:spacing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These provisions, alone or together, could delay or prevent hostile takeovers and changes in control or changes in our management. We have elected in the Charter not to be subject to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at least 85% of the Common Stock, or (iii) following board approval, such business combination receives the approval of the holders of at least two-thirds of our outstanding Common Stock not held by such interested stockholder at an annual or special meeting of stockholders. However, the Charter contains provisions that have the same effect as Section 203 of the DGCL, except they provide that Jonathan Javitt and Daniel Javitt and their respective affiliates will not be deemed to be “interested stockholders” regardless of the percentage of Common Stock owned by them and, accordingly, will not be subject to such restrictions.</w:t>
      </w:r>
    </w:p>
    <w:p>
      <w:pPr>
        <w:pStyle w:val="TextBody"/>
        <w:spacing w:before="162"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Any provision of the Charter, the Bylaws or DGCL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The Charter and the Bylaws provide that the Court of Chancery of the State of Delaware will be the sole and exclusive</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forum</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for</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substantially</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all</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disputes</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between</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us</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stockholders,</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which</w:t>
      </w:r>
      <w:r>
        <w:rPr>
          <w:rFonts w:ascii="Times New Roman;Times;serif" w:hAnsi="Times New Roman;Times;serif"/>
          <w:b/>
          <w:color w:val="231F20"/>
          <w:spacing w:val="-23"/>
          <w:sz w:val="20"/>
        </w:rPr>
        <w:t xml:space="preserve"> </w:t>
      </w:r>
      <w:r>
        <w:rPr>
          <w:rFonts w:ascii="Times New Roman;Times;serif" w:hAnsi="Times New Roman;Times;serif"/>
          <w:b/>
          <w:i/>
          <w:color w:val="231F20"/>
          <w:sz w:val="20"/>
        </w:rPr>
        <w:t>could</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limit</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24"/>
          <w:sz w:val="20"/>
        </w:rPr>
        <w:t xml:space="preserve"> </w:t>
      </w:r>
      <w:r>
        <w:rPr>
          <w:rFonts w:ascii="Times New Roman;Times;serif" w:hAnsi="Times New Roman;Times;serif"/>
          <w:b/>
          <w:i/>
          <w:color w:val="231F20"/>
          <w:sz w:val="20"/>
        </w:rPr>
        <w:t>stockholders’ ability</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obtain</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a</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favorable</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judicial</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forum</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for</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disputes</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us</w:t>
      </w:r>
      <w:r>
        <w:rPr>
          <w:rFonts w:ascii="Times New Roman;Times;serif" w:hAnsi="Times New Roman;Times;serif"/>
          <w:b/>
          <w:color w:val="231F20"/>
          <w:spacing w:val="-3"/>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directors,</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officers,</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4"/>
          <w:sz w:val="20"/>
        </w:rPr>
        <w:t xml:space="preserve"> </w:t>
      </w:r>
      <w:r>
        <w:rPr>
          <w:rFonts w:ascii="Times New Roman;Times;serif" w:hAnsi="Times New Roman;Times;serif"/>
          <w:b/>
          <w:i/>
          <w:color w:val="231F20"/>
          <w:sz w:val="20"/>
        </w:rPr>
        <w:t>employees.</w:t>
      </w:r>
    </w:p>
    <w:p>
      <w:pPr>
        <w:pStyle w:val="TextBody"/>
        <w:spacing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 Charter and the </w:t>
      </w:r>
      <w:r>
        <w:rPr>
          <w:rFonts w:ascii="Times New Roman;Times;serif" w:hAnsi="Times New Roman;Times;serif"/>
          <w:color w:val="231F20"/>
          <w:spacing w:val="-3"/>
          <w:sz w:val="20"/>
        </w:rPr>
        <w:t xml:space="preserve">Bylaws </w:t>
      </w:r>
      <w:r>
        <w:rPr>
          <w:rFonts w:ascii="Times New Roman;Times;serif" w:hAnsi="Times New Roman;Times;serif"/>
          <w:color w:val="231F20"/>
          <w:sz w:val="20"/>
        </w:rPr>
        <w:t xml:space="preserve">provide that, unless we consent in writing to the selection of an alternative forum, the (a) Court of Chancery of the State of </w:t>
      </w:r>
      <w:r>
        <w:rPr>
          <w:rFonts w:ascii="Times New Roman;Times;serif" w:hAnsi="Times New Roman;Times;serif"/>
          <w:color w:val="231F20"/>
          <w:spacing w:val="-3"/>
          <w:sz w:val="20"/>
        </w:rPr>
        <w:t xml:space="preserve">Delaware </w:t>
      </w:r>
      <w:r>
        <w:rPr>
          <w:rFonts w:ascii="Times New Roman;Times;serif" w:hAnsi="Times New Roman;Times;serif"/>
          <w:color w:val="231F20"/>
          <w:sz w:val="20"/>
        </w:rPr>
        <w:t>(the “</w:t>
      </w:r>
      <w:r>
        <w:rPr>
          <w:rFonts w:ascii="Times New Roman;Times;serif" w:hAnsi="Times New Roman;Times;serif"/>
          <w:b/>
          <w:i/>
          <w:color w:val="231F20"/>
          <w:sz w:val="20"/>
        </w:rPr>
        <w:t>Chancery Court</w:t>
      </w:r>
      <w:r>
        <w:rPr>
          <w:rFonts w:ascii="Times New Roman;Times;serif" w:hAnsi="Times New Roman;Times;serif"/>
          <w:color w:val="231F20"/>
          <w:sz w:val="20"/>
        </w:rPr>
        <w:t xml:space="preserve">”) </w:t>
      </w:r>
      <w:r>
        <w:rPr>
          <w:rFonts w:ascii="Times New Roman;Times;serif" w:hAnsi="Times New Roman;Times;serif"/>
          <w:color w:val="231F20"/>
          <w:spacing w:val="-5"/>
          <w:sz w:val="20"/>
        </w:rPr>
        <w:t xml:space="preserve">(or, </w:t>
      </w:r>
      <w:r>
        <w:rPr>
          <w:rFonts w:ascii="Times New Roman;Times;serif" w:hAnsi="Times New Roman;Times;serif"/>
          <w:color w:val="231F20"/>
          <w:sz w:val="20"/>
        </w:rPr>
        <w:t xml:space="preserve">in the event that the Chancery Court does not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jurisdiction, the federal district court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the District of </w:t>
      </w:r>
      <w:r>
        <w:rPr>
          <w:rFonts w:ascii="Times New Roman;Times;serif" w:hAnsi="Times New Roman;Times;serif"/>
          <w:color w:val="231F20"/>
          <w:spacing w:val="-3"/>
          <w:sz w:val="20"/>
        </w:rPr>
        <w:t xml:space="preserve">Delaware </w:t>
      </w:r>
      <w:r>
        <w:rPr>
          <w:rFonts w:ascii="Times New Roman;Times;serif" w:hAnsi="Times New Roman;Times;serif"/>
          <w:color w:val="231F20"/>
          <w:sz w:val="20"/>
        </w:rPr>
        <w:t xml:space="preserve">or other state courts of the State of </w:t>
      </w:r>
      <w:r>
        <w:rPr>
          <w:rFonts w:ascii="Times New Roman;Times;serif" w:hAnsi="Times New Roman;Times;serif"/>
          <w:color w:val="231F20"/>
          <w:spacing w:val="-3"/>
          <w:sz w:val="20"/>
        </w:rPr>
        <w:t xml:space="preserve">Delaware) </w:t>
      </w:r>
      <w:r>
        <w:rPr>
          <w:rFonts w:ascii="Times New Roman;Times;serif" w:hAnsi="Times New Roman;Times;serif"/>
          <w:color w:val="231F20"/>
          <w:sz w:val="20"/>
        </w:rPr>
        <w:t xml:space="preserve">shall, to the fullest extent permitted by </w:t>
      </w:r>
      <w:r>
        <w:rPr>
          <w:rFonts w:ascii="Times New Roman;Times;serif" w:hAnsi="Times New Roman;Times;serif"/>
          <w:color w:val="231F20"/>
          <w:spacing w:val="-8"/>
          <w:sz w:val="20"/>
        </w:rPr>
        <w:t xml:space="preserve">law, </w:t>
      </w:r>
      <w:r>
        <w:rPr>
          <w:rFonts w:ascii="Times New Roman;Times;serif" w:hAnsi="Times New Roman;Times;serif"/>
          <w:color w:val="231F20"/>
          <w:sz w:val="20"/>
        </w:rPr>
        <w:t xml:space="preserve">be the sole and exclusive </w:t>
      </w:r>
      <w:r>
        <w:rPr>
          <w:rFonts w:ascii="Times New Roman;Times;serif" w:hAnsi="Times New Roman;Times;serif"/>
          <w:color w:val="231F20"/>
          <w:spacing w:val="-3"/>
          <w:sz w:val="20"/>
        </w:rPr>
        <w:t>forum</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2"/>
          <w:sz w:val="20"/>
        </w:rPr>
        <w:t xml:space="preserve"> </w:t>
      </w:r>
      <w:r>
        <w:rPr>
          <w:rFonts w:ascii="Times New Roman;Times;serif" w:hAnsi="Times New Roman;Times;serif"/>
          <w:color w:val="231F20"/>
          <w:sz w:val="20"/>
        </w:rPr>
        <w:t>(i)</w:t>
      </w:r>
      <w:r>
        <w:rPr>
          <w:rFonts w:ascii="Times New Roman;Times;serif" w:hAnsi="Times New Roman;Times;serif"/>
          <w:color w:val="231F20"/>
          <w:spacing w:val="-12"/>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2"/>
          <w:sz w:val="20"/>
        </w:rPr>
        <w:t xml:space="preserve"> </w:t>
      </w:r>
      <w:r>
        <w:rPr>
          <w:rFonts w:ascii="Times New Roman;Times;serif" w:hAnsi="Times New Roman;Times;serif"/>
          <w:color w:val="231F20"/>
          <w:spacing w:val="-3"/>
          <w:sz w:val="20"/>
        </w:rPr>
        <w:t>derivative</w:t>
      </w:r>
      <w:r>
        <w:rPr>
          <w:rFonts w:ascii="Times New Roman;Times;serif" w:hAnsi="Times New Roman;Times;serif"/>
          <w:color w:val="231F20"/>
          <w:spacing w:val="-12"/>
          <w:sz w:val="20"/>
        </w:rPr>
        <w:t xml:space="preserve"> </w:t>
      </w:r>
      <w:r>
        <w:rPr>
          <w:rFonts w:ascii="Times New Roman;Times;serif" w:hAnsi="Times New Roman;Times;serif"/>
          <w:color w:val="231F20"/>
          <w:sz w:val="20"/>
        </w:rPr>
        <w:t>action,</w:t>
      </w:r>
      <w:r>
        <w:rPr>
          <w:rFonts w:ascii="Times New Roman;Times;serif" w:hAnsi="Times New Roman;Times;serif"/>
          <w:color w:val="231F20"/>
          <w:spacing w:val="-12"/>
          <w:sz w:val="20"/>
        </w:rPr>
        <w:t xml:space="preserve"> </w:t>
      </w:r>
      <w:r>
        <w:rPr>
          <w:rFonts w:ascii="Times New Roman;Times;serif" w:hAnsi="Times New Roman;Times;serif"/>
          <w:color w:val="231F20"/>
          <w:sz w:val="20"/>
        </w:rPr>
        <w:t>suit</w:t>
      </w:r>
      <w:r>
        <w:rPr>
          <w:rFonts w:ascii="Times New Roman;Times;serif" w:hAnsi="Times New Roman;Times;serif"/>
          <w:color w:val="231F20"/>
          <w:spacing w:val="-12"/>
          <w:sz w:val="20"/>
        </w:rPr>
        <w:t xml:space="preserve"> </w:t>
      </w:r>
      <w:r>
        <w:rPr>
          <w:rFonts w:ascii="Times New Roman;Times;serif" w:hAnsi="Times New Roman;Times;serif"/>
          <w:color w:val="231F20"/>
          <w:sz w:val="20"/>
        </w:rPr>
        <w:t>or</w:t>
      </w:r>
      <w:r>
        <w:rPr>
          <w:rFonts w:ascii="Times New Roman;Times;serif" w:hAnsi="Times New Roman;Times;serif"/>
          <w:color w:val="231F20"/>
          <w:spacing w:val="-12"/>
          <w:sz w:val="20"/>
        </w:rPr>
        <w:t xml:space="preserve"> </w:t>
      </w:r>
      <w:r>
        <w:rPr>
          <w:rFonts w:ascii="Times New Roman;Times;serif" w:hAnsi="Times New Roman;Times;serif"/>
          <w:color w:val="231F20"/>
          <w:sz w:val="20"/>
        </w:rPr>
        <w:t>proceeding</w:t>
      </w:r>
      <w:r>
        <w:rPr>
          <w:rFonts w:ascii="Times New Roman;Times;serif" w:hAnsi="Times New Roman;Times;serif"/>
          <w:color w:val="231F20"/>
          <w:spacing w:val="-12"/>
          <w:sz w:val="20"/>
        </w:rPr>
        <w:t xml:space="preserve"> </w:t>
      </w:r>
      <w:r>
        <w:rPr>
          <w:rFonts w:ascii="Times New Roman;Times;serif" w:hAnsi="Times New Roman;Times;serif"/>
          <w:color w:val="231F20"/>
          <w:sz w:val="20"/>
        </w:rPr>
        <w:t>brought</w:t>
      </w:r>
      <w:r>
        <w:rPr>
          <w:rFonts w:ascii="Times New Roman;Times;serif" w:hAnsi="Times New Roman;Times;serif"/>
          <w:color w:val="231F20"/>
          <w:spacing w:val="-12"/>
          <w:sz w:val="20"/>
        </w:rPr>
        <w:t xml:space="preserve"> </w:t>
      </w:r>
      <w:r>
        <w:rPr>
          <w:rFonts w:ascii="Times New Roman;Times;serif" w:hAnsi="Times New Roman;Times;serif"/>
          <w:color w:val="231F20"/>
          <w:sz w:val="20"/>
        </w:rPr>
        <w:t>on</w:t>
      </w:r>
      <w:r>
        <w:rPr>
          <w:rFonts w:ascii="Times New Roman;Times;serif" w:hAnsi="Times New Roman;Times;serif"/>
          <w:color w:val="231F20"/>
          <w:spacing w:val="-12"/>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2"/>
          <w:sz w:val="20"/>
        </w:rPr>
        <w:t xml:space="preserve"> </w:t>
      </w:r>
      <w:r>
        <w:rPr>
          <w:rFonts w:ascii="Times New Roman;Times;serif" w:hAnsi="Times New Roman;Times;serif"/>
          <w:color w:val="231F20"/>
          <w:spacing w:val="-3"/>
          <w:sz w:val="20"/>
        </w:rPr>
        <w:t>behalf;</w:t>
      </w:r>
      <w:r>
        <w:rPr>
          <w:rFonts w:ascii="Times New Roman;Times;serif" w:hAnsi="Times New Roman;Times;serif"/>
          <w:color w:val="231F20"/>
          <w:spacing w:val="-12"/>
          <w:sz w:val="20"/>
        </w:rPr>
        <w:t xml:space="preserve"> </w:t>
      </w:r>
      <w:r>
        <w:rPr>
          <w:rFonts w:ascii="Times New Roman;Times;serif" w:hAnsi="Times New Roman;Times;serif"/>
          <w:color w:val="231F20"/>
          <w:sz w:val="20"/>
        </w:rPr>
        <w:t>(ii)</w:t>
      </w:r>
      <w:r>
        <w:rPr>
          <w:rFonts w:ascii="Times New Roman;Times;serif" w:hAnsi="Times New Roman;Times;serif"/>
          <w:color w:val="231F20"/>
          <w:spacing w:val="-12"/>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2"/>
          <w:sz w:val="20"/>
        </w:rPr>
        <w:t xml:space="preserve"> </w:t>
      </w:r>
      <w:r>
        <w:rPr>
          <w:rFonts w:ascii="Times New Roman;Times;serif" w:hAnsi="Times New Roman;Times;serif"/>
          <w:color w:val="231F20"/>
          <w:sz w:val="20"/>
        </w:rPr>
        <w:t>action,</w:t>
      </w:r>
      <w:r>
        <w:rPr>
          <w:rFonts w:ascii="Times New Roman;Times;serif" w:hAnsi="Times New Roman;Times;serif"/>
          <w:color w:val="231F20"/>
          <w:spacing w:val="-12"/>
          <w:sz w:val="20"/>
        </w:rPr>
        <w:t xml:space="preserve"> </w:t>
      </w:r>
      <w:r>
        <w:rPr>
          <w:rFonts w:ascii="Times New Roman;Times;serif" w:hAnsi="Times New Roman;Times;serif"/>
          <w:color w:val="231F20"/>
          <w:sz w:val="20"/>
        </w:rPr>
        <w:t>suit</w:t>
      </w:r>
      <w:r>
        <w:rPr>
          <w:rFonts w:ascii="Times New Roman;Times;serif" w:hAnsi="Times New Roman;Times;serif"/>
          <w:color w:val="231F20"/>
          <w:spacing w:val="-12"/>
          <w:sz w:val="20"/>
        </w:rPr>
        <w:t xml:space="preserve"> </w:t>
      </w:r>
      <w:r>
        <w:rPr>
          <w:rFonts w:ascii="Times New Roman;Times;serif" w:hAnsi="Times New Roman;Times;serif"/>
          <w:color w:val="231F20"/>
          <w:sz w:val="20"/>
        </w:rPr>
        <w:t>or</w:t>
      </w:r>
      <w:r>
        <w:rPr>
          <w:rFonts w:ascii="Times New Roman;Times;serif" w:hAnsi="Times New Roman;Times;serif"/>
          <w:color w:val="231F20"/>
          <w:spacing w:val="-12"/>
          <w:sz w:val="20"/>
        </w:rPr>
        <w:t xml:space="preserve"> </w:t>
      </w:r>
      <w:r>
        <w:rPr>
          <w:rFonts w:ascii="Times New Roman;Times;serif" w:hAnsi="Times New Roman;Times;serif"/>
          <w:color w:val="231F20"/>
          <w:sz w:val="20"/>
        </w:rPr>
        <w:t xml:space="preserve">proceeding asserting a claim of breach of fiduciary duty </w:t>
      </w:r>
      <w:r>
        <w:rPr>
          <w:rFonts w:ascii="Times New Roman;Times;serif" w:hAnsi="Times New Roman;Times;serif"/>
          <w:color w:val="231F20"/>
          <w:spacing w:val="-3"/>
          <w:sz w:val="20"/>
        </w:rPr>
        <w:t xml:space="preserve">owed </w:t>
      </w:r>
      <w:r>
        <w:rPr>
          <w:rFonts w:ascii="Times New Roman;Times;serif" w:hAnsi="Times New Roman;Times;serif"/>
          <w:color w:val="231F20"/>
          <w:sz w:val="20"/>
        </w:rPr>
        <w:t xml:space="preserve">by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of our directors, officers, or stockholders to</w:t>
      </w:r>
      <w:r>
        <w:rPr>
          <w:rFonts w:ascii="Times New Roman;Times;serif" w:hAnsi="Times New Roman;Times;serif"/>
          <w:color w:val="231F20"/>
          <w:spacing w:val="50"/>
          <w:sz w:val="20"/>
        </w:rPr>
        <w:t xml:space="preserve"> </w:t>
      </w:r>
      <w:r>
        <w:rPr>
          <w:rFonts w:ascii="Times New Roman;Times;serif" w:hAnsi="Times New Roman;Times;serif"/>
          <w:color w:val="231F20"/>
          <w:sz w:val="20"/>
        </w:rPr>
        <w:t>us or</w:t>
      </w:r>
      <w:r>
        <w:rPr>
          <w:rFonts w:ascii="Times New Roman;Times;serif" w:hAnsi="Times New Roman;Times;serif"/>
          <w:color w:val="231F20"/>
          <w:spacing w:val="-17"/>
          <w:sz w:val="20"/>
        </w:rPr>
        <w:t xml:space="preserve"> </w:t>
      </w:r>
      <w:r>
        <w:rPr>
          <w:rFonts w:ascii="Times New Roman;Times;serif" w:hAnsi="Times New Roman;Times;serif"/>
          <w:color w:val="231F20"/>
          <w:sz w:val="20"/>
        </w:rPr>
        <w:t>to</w:t>
      </w:r>
      <w:r>
        <w:rPr>
          <w:rFonts w:ascii="Times New Roman;Times;serif" w:hAnsi="Times New Roman;Times;serif"/>
          <w:color w:val="231F20"/>
          <w:spacing w:val="-1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7"/>
          <w:sz w:val="20"/>
        </w:rPr>
        <w:t xml:space="preserve"> </w:t>
      </w:r>
      <w:r>
        <w:rPr>
          <w:rFonts w:ascii="Times New Roman;Times;serif" w:hAnsi="Times New Roman;Times;serif"/>
          <w:color w:val="231F20"/>
          <w:sz w:val="20"/>
        </w:rPr>
        <w:t>stockholders;</w:t>
      </w:r>
      <w:r>
        <w:rPr>
          <w:rFonts w:ascii="Times New Roman;Times;serif" w:hAnsi="Times New Roman;Times;serif"/>
          <w:color w:val="231F20"/>
          <w:spacing w:val="-17"/>
          <w:sz w:val="20"/>
        </w:rPr>
        <w:t xml:space="preserve"> </w:t>
      </w:r>
      <w:r>
        <w:rPr>
          <w:rFonts w:ascii="Times New Roman;Times;serif" w:hAnsi="Times New Roman;Times;serif"/>
          <w:color w:val="231F20"/>
          <w:sz w:val="20"/>
        </w:rPr>
        <w:t>(iii)</w:t>
      </w:r>
      <w:r>
        <w:rPr>
          <w:rFonts w:ascii="Times New Roman;Times;serif" w:hAnsi="Times New Roman;Times;serif"/>
          <w:color w:val="231F20"/>
          <w:spacing w:val="-17"/>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7"/>
          <w:sz w:val="20"/>
        </w:rPr>
        <w:t xml:space="preserve"> </w:t>
      </w:r>
      <w:r>
        <w:rPr>
          <w:rFonts w:ascii="Times New Roman;Times;serif" w:hAnsi="Times New Roman;Times;serif"/>
          <w:color w:val="231F20"/>
          <w:sz w:val="20"/>
        </w:rPr>
        <w:t>action,</w:t>
      </w:r>
      <w:r>
        <w:rPr>
          <w:rFonts w:ascii="Times New Roman;Times;serif" w:hAnsi="Times New Roman;Times;serif"/>
          <w:color w:val="231F20"/>
          <w:spacing w:val="-17"/>
          <w:sz w:val="20"/>
        </w:rPr>
        <w:t xml:space="preserve"> </w:t>
      </w:r>
      <w:r>
        <w:rPr>
          <w:rFonts w:ascii="Times New Roman;Times;serif" w:hAnsi="Times New Roman;Times;serif"/>
          <w:color w:val="231F20"/>
          <w:sz w:val="20"/>
        </w:rPr>
        <w:t>suit</w:t>
      </w:r>
      <w:r>
        <w:rPr>
          <w:rFonts w:ascii="Times New Roman;Times;serif" w:hAnsi="Times New Roman;Times;serif"/>
          <w:color w:val="231F20"/>
          <w:spacing w:val="-17"/>
          <w:sz w:val="20"/>
        </w:rPr>
        <w:t xml:space="preserve"> </w:t>
      </w:r>
      <w:r>
        <w:rPr>
          <w:rFonts w:ascii="Times New Roman;Times;serif" w:hAnsi="Times New Roman;Times;serif"/>
          <w:color w:val="231F20"/>
          <w:sz w:val="20"/>
        </w:rPr>
        <w:t>or</w:t>
      </w:r>
      <w:r>
        <w:rPr>
          <w:rFonts w:ascii="Times New Roman;Times;serif" w:hAnsi="Times New Roman;Times;serif"/>
          <w:color w:val="231F20"/>
          <w:spacing w:val="-17"/>
          <w:sz w:val="20"/>
        </w:rPr>
        <w:t xml:space="preserve"> </w:t>
      </w:r>
      <w:r>
        <w:rPr>
          <w:rFonts w:ascii="Times New Roman;Times;serif" w:hAnsi="Times New Roman;Times;serif"/>
          <w:color w:val="231F20"/>
          <w:sz w:val="20"/>
        </w:rPr>
        <w:t>proceeding</w:t>
      </w:r>
      <w:r>
        <w:rPr>
          <w:rFonts w:ascii="Times New Roman;Times;serif" w:hAnsi="Times New Roman;Times;serif"/>
          <w:color w:val="231F20"/>
          <w:spacing w:val="-17"/>
          <w:sz w:val="20"/>
        </w:rPr>
        <w:t xml:space="preserve"> </w:t>
      </w:r>
      <w:r>
        <w:rPr>
          <w:rFonts w:ascii="Times New Roman;Times;serif" w:hAnsi="Times New Roman;Times;serif"/>
          <w:color w:val="231F20"/>
          <w:sz w:val="20"/>
        </w:rPr>
        <w:t>asserting</w:t>
      </w:r>
      <w:r>
        <w:rPr>
          <w:rFonts w:ascii="Times New Roman;Times;serif" w:hAnsi="Times New Roman;Times;serif"/>
          <w:color w:val="231F20"/>
          <w:spacing w:val="-17"/>
          <w:sz w:val="20"/>
        </w:rPr>
        <w:t xml:space="preserve"> </w:t>
      </w:r>
      <w:r>
        <w:rPr>
          <w:rFonts w:ascii="Times New Roman;Times;serif" w:hAnsi="Times New Roman;Times;serif"/>
          <w:color w:val="231F20"/>
          <w:sz w:val="20"/>
        </w:rPr>
        <w:t>a</w:t>
      </w:r>
      <w:r>
        <w:rPr>
          <w:rFonts w:ascii="Times New Roman;Times;serif" w:hAnsi="Times New Roman;Times;serif"/>
          <w:color w:val="231F20"/>
          <w:spacing w:val="-17"/>
          <w:sz w:val="20"/>
        </w:rPr>
        <w:t xml:space="preserve"> </w:t>
      </w:r>
      <w:r>
        <w:rPr>
          <w:rFonts w:ascii="Times New Roman;Times;serif" w:hAnsi="Times New Roman;Times;serif"/>
          <w:color w:val="231F20"/>
          <w:sz w:val="20"/>
        </w:rPr>
        <w:t>claim</w:t>
      </w:r>
      <w:r>
        <w:rPr>
          <w:rFonts w:ascii="Times New Roman;Times;serif" w:hAnsi="Times New Roman;Times;serif"/>
          <w:color w:val="231F20"/>
          <w:spacing w:val="-17"/>
          <w:sz w:val="20"/>
        </w:rPr>
        <w:t xml:space="preserve"> </w:t>
      </w:r>
      <w:r>
        <w:rPr>
          <w:rFonts w:ascii="Times New Roman;Times;serif" w:hAnsi="Times New Roman;Times;serif"/>
          <w:color w:val="231F20"/>
          <w:sz w:val="20"/>
        </w:rPr>
        <w:t>arising</w:t>
      </w:r>
      <w:r>
        <w:rPr>
          <w:rFonts w:ascii="Times New Roman;Times;serif" w:hAnsi="Times New Roman;Times;serif"/>
          <w:color w:val="231F20"/>
          <w:spacing w:val="-17"/>
          <w:sz w:val="20"/>
        </w:rPr>
        <w:t xml:space="preserve"> </w:t>
      </w:r>
      <w:r>
        <w:rPr>
          <w:rFonts w:ascii="Times New Roman;Times;serif" w:hAnsi="Times New Roman;Times;serif"/>
          <w:color w:val="231F20"/>
          <w:sz w:val="20"/>
        </w:rPr>
        <w:t>pursuant</w:t>
      </w:r>
      <w:r>
        <w:rPr>
          <w:rFonts w:ascii="Times New Roman;Times;serif" w:hAnsi="Times New Roman;Times;serif"/>
          <w:color w:val="231F20"/>
          <w:spacing w:val="-17"/>
          <w:sz w:val="20"/>
        </w:rPr>
        <w:t xml:space="preserve"> </w:t>
      </w:r>
      <w:r>
        <w:rPr>
          <w:rFonts w:ascii="Times New Roman;Times;serif" w:hAnsi="Times New Roman;Times;serif"/>
          <w:color w:val="231F20"/>
          <w:sz w:val="20"/>
        </w:rPr>
        <w:t>to</w:t>
      </w:r>
      <w:r>
        <w:rPr>
          <w:rFonts w:ascii="Times New Roman;Times;serif" w:hAnsi="Times New Roman;Times;serif"/>
          <w:color w:val="231F20"/>
          <w:spacing w:val="-1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7"/>
          <w:sz w:val="20"/>
        </w:rPr>
        <w:t xml:space="preserve"> </w:t>
      </w:r>
      <w:r>
        <w:rPr>
          <w:rFonts w:ascii="Times New Roman;Times;serif" w:hAnsi="Times New Roman;Times;serif"/>
          <w:color w:val="231F20"/>
          <w:sz w:val="20"/>
        </w:rPr>
        <w:t>DGCL, the</w:t>
      </w:r>
      <w:r>
        <w:rPr>
          <w:rFonts w:ascii="Times New Roman;Times;serif" w:hAnsi="Times New Roman;Times;serif"/>
          <w:color w:val="231F20"/>
          <w:spacing w:val="-14"/>
          <w:sz w:val="20"/>
        </w:rPr>
        <w:t xml:space="preserve"> </w:t>
      </w:r>
      <w:r>
        <w:rPr>
          <w:rFonts w:ascii="Times New Roman;Times;serif" w:hAnsi="Times New Roman;Times;serif"/>
          <w:color w:val="231F20"/>
          <w:sz w:val="20"/>
        </w:rPr>
        <w:t>Charter</w:t>
      </w:r>
      <w:r>
        <w:rPr>
          <w:rFonts w:ascii="Times New Roman;Times;serif" w:hAnsi="Times New Roman;Times;serif"/>
          <w:color w:val="231F20"/>
          <w:spacing w:val="-14"/>
          <w:sz w:val="20"/>
        </w:rPr>
        <w:t xml:space="preserve"> </w:t>
      </w:r>
      <w:r>
        <w:rPr>
          <w:rFonts w:ascii="Times New Roman;Times;serif" w:hAnsi="Times New Roman;Times;serif"/>
          <w:color w:val="231F20"/>
          <w:sz w:val="20"/>
        </w:rPr>
        <w:t>or</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4"/>
          <w:sz w:val="20"/>
        </w:rPr>
        <w:t xml:space="preserve"> </w:t>
      </w:r>
      <w:r>
        <w:rPr>
          <w:rFonts w:ascii="Times New Roman;Times;serif" w:hAnsi="Times New Roman;Times;serif"/>
          <w:color w:val="231F20"/>
          <w:sz w:val="20"/>
        </w:rPr>
        <w:t>Bylaws;</w:t>
      </w:r>
      <w:r>
        <w:rPr>
          <w:rFonts w:ascii="Times New Roman;Times;serif" w:hAnsi="Times New Roman;Times;serif"/>
          <w:color w:val="231F20"/>
          <w:spacing w:val="-14"/>
          <w:sz w:val="20"/>
        </w:rPr>
        <w:t xml:space="preserve"> </w:t>
      </w:r>
      <w:r>
        <w:rPr>
          <w:rFonts w:ascii="Times New Roman;Times;serif" w:hAnsi="Times New Roman;Times;serif"/>
          <w:color w:val="231F20"/>
          <w:sz w:val="20"/>
        </w:rPr>
        <w:t>or</w:t>
      </w:r>
      <w:r>
        <w:rPr>
          <w:rFonts w:ascii="Times New Roman;Times;serif" w:hAnsi="Times New Roman;Times;serif"/>
          <w:color w:val="231F20"/>
          <w:spacing w:val="-13"/>
          <w:sz w:val="20"/>
        </w:rPr>
        <w:t xml:space="preserve"> </w:t>
      </w:r>
      <w:r>
        <w:rPr>
          <w:rFonts w:ascii="Times New Roman;Times;serif" w:hAnsi="Times New Roman;Times;serif"/>
          <w:color w:val="231F20"/>
          <w:sz w:val="20"/>
        </w:rPr>
        <w:t>(iv)</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14"/>
          <w:sz w:val="20"/>
        </w:rPr>
        <w:t xml:space="preserve"> </w:t>
      </w:r>
      <w:r>
        <w:rPr>
          <w:rFonts w:ascii="Times New Roman;Times;serif" w:hAnsi="Times New Roman;Times;serif"/>
          <w:color w:val="231F20"/>
          <w:sz w:val="20"/>
        </w:rPr>
        <w:t>action,</w:t>
      </w:r>
      <w:r>
        <w:rPr>
          <w:rFonts w:ascii="Times New Roman;Times;serif" w:hAnsi="Times New Roman;Times;serif"/>
          <w:color w:val="231F20"/>
          <w:spacing w:val="-13"/>
          <w:sz w:val="20"/>
        </w:rPr>
        <w:t xml:space="preserve"> </w:t>
      </w:r>
      <w:r>
        <w:rPr>
          <w:rFonts w:ascii="Times New Roman;Times;serif" w:hAnsi="Times New Roman;Times;serif"/>
          <w:color w:val="231F20"/>
          <w:sz w:val="20"/>
        </w:rPr>
        <w:t>suit</w:t>
      </w:r>
      <w:r>
        <w:rPr>
          <w:rFonts w:ascii="Times New Roman;Times;serif" w:hAnsi="Times New Roman;Times;serif"/>
          <w:color w:val="231F20"/>
          <w:spacing w:val="-14"/>
          <w:sz w:val="20"/>
        </w:rPr>
        <w:t xml:space="preserve"> </w:t>
      </w:r>
      <w:r>
        <w:rPr>
          <w:rFonts w:ascii="Times New Roman;Times;serif" w:hAnsi="Times New Roman;Times;serif"/>
          <w:color w:val="231F20"/>
          <w:sz w:val="20"/>
        </w:rPr>
        <w:t>or</w:t>
      </w:r>
      <w:r>
        <w:rPr>
          <w:rFonts w:ascii="Times New Roman;Times;serif" w:hAnsi="Times New Roman;Times;serif"/>
          <w:color w:val="231F20"/>
          <w:spacing w:val="-14"/>
          <w:sz w:val="20"/>
        </w:rPr>
        <w:t xml:space="preserve"> </w:t>
      </w:r>
      <w:r>
        <w:rPr>
          <w:rFonts w:ascii="Times New Roman;Times;serif" w:hAnsi="Times New Roman;Times;serif"/>
          <w:color w:val="231F20"/>
          <w:sz w:val="20"/>
        </w:rPr>
        <w:t>proceeding</w:t>
      </w:r>
      <w:r>
        <w:rPr>
          <w:rFonts w:ascii="Times New Roman;Times;serif" w:hAnsi="Times New Roman;Times;serif"/>
          <w:color w:val="231F20"/>
          <w:spacing w:val="-13"/>
          <w:sz w:val="20"/>
        </w:rPr>
        <w:t xml:space="preserve"> </w:t>
      </w:r>
      <w:r>
        <w:rPr>
          <w:rFonts w:ascii="Times New Roman;Times;serif" w:hAnsi="Times New Roman;Times;serif"/>
          <w:color w:val="231F20"/>
          <w:sz w:val="20"/>
        </w:rPr>
        <w:t>asserting</w:t>
      </w:r>
      <w:r>
        <w:rPr>
          <w:rFonts w:ascii="Times New Roman;Times;serif" w:hAnsi="Times New Roman;Times;serif"/>
          <w:color w:val="231F20"/>
          <w:spacing w:val="-14"/>
          <w:sz w:val="20"/>
        </w:rPr>
        <w:t xml:space="preserve"> </w:t>
      </w:r>
      <w:r>
        <w:rPr>
          <w:rFonts w:ascii="Times New Roman;Times;serif" w:hAnsi="Times New Roman;Times;serif"/>
          <w:color w:val="231F20"/>
          <w:sz w:val="20"/>
        </w:rPr>
        <w:t>a</w:t>
      </w:r>
      <w:r>
        <w:rPr>
          <w:rFonts w:ascii="Times New Roman;Times;serif" w:hAnsi="Times New Roman;Times;serif"/>
          <w:color w:val="231F20"/>
          <w:spacing w:val="-14"/>
          <w:sz w:val="20"/>
        </w:rPr>
        <w:t xml:space="preserve"> </w:t>
      </w:r>
      <w:r>
        <w:rPr>
          <w:rFonts w:ascii="Times New Roman;Times;serif" w:hAnsi="Times New Roman;Times;serif"/>
          <w:color w:val="231F20"/>
          <w:sz w:val="20"/>
        </w:rPr>
        <w:t>claim</w:t>
      </w:r>
      <w:r>
        <w:rPr>
          <w:rFonts w:ascii="Times New Roman;Times;serif" w:hAnsi="Times New Roman;Times;serif"/>
          <w:color w:val="231F20"/>
          <w:spacing w:val="-13"/>
          <w:sz w:val="20"/>
        </w:rPr>
        <w:t xml:space="preserve"> </w:t>
      </w:r>
      <w:r>
        <w:rPr>
          <w:rFonts w:ascii="Times New Roman;Times;serif" w:hAnsi="Times New Roman;Times;serif"/>
          <w:color w:val="231F20"/>
          <w:sz w:val="20"/>
        </w:rPr>
        <w:t>governed</w:t>
      </w:r>
      <w:r>
        <w:rPr>
          <w:rFonts w:ascii="Times New Roman;Times;serif" w:hAnsi="Times New Roman;Times;serif"/>
          <w:color w:val="231F20"/>
          <w:spacing w:val="-14"/>
          <w:sz w:val="20"/>
        </w:rPr>
        <w:t xml:space="preserve"> </w:t>
      </w:r>
      <w:r>
        <w:rPr>
          <w:rFonts w:ascii="Times New Roman;Times;serif" w:hAnsi="Times New Roman;Times;serif"/>
          <w:color w:val="231F20"/>
          <w:sz w:val="20"/>
        </w:rPr>
        <w:t>by</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3"/>
          <w:sz w:val="20"/>
        </w:rPr>
        <w:t xml:space="preserve"> </w:t>
      </w:r>
      <w:r>
        <w:rPr>
          <w:rFonts w:ascii="Times New Roman;Times;serif" w:hAnsi="Times New Roman;Times;serif"/>
          <w:color w:val="231F20"/>
          <w:sz w:val="20"/>
        </w:rPr>
        <w:t>internal affairs</w:t>
      </w:r>
      <w:r>
        <w:rPr>
          <w:rFonts w:ascii="Times New Roman;Times;serif" w:hAnsi="Times New Roman;Times;serif"/>
          <w:color w:val="231F20"/>
          <w:spacing w:val="-23"/>
          <w:sz w:val="20"/>
        </w:rPr>
        <w:t xml:space="preserve"> </w:t>
      </w:r>
      <w:r>
        <w:rPr>
          <w:rFonts w:ascii="Times New Roman;Times;serif" w:hAnsi="Times New Roman;Times;serif"/>
          <w:color w:val="231F20"/>
          <w:sz w:val="20"/>
        </w:rPr>
        <w:t>doctrine;</w:t>
      </w:r>
      <w:r>
        <w:rPr>
          <w:rFonts w:ascii="Times New Roman;Times;serif" w:hAnsi="Times New Roman;Times;serif"/>
          <w:color w:val="231F20"/>
          <w:spacing w:val="-2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2"/>
          <w:sz w:val="20"/>
        </w:rPr>
        <w:t xml:space="preserve"> </w:t>
      </w:r>
      <w:r>
        <w:rPr>
          <w:rFonts w:ascii="Times New Roman;Times;serif" w:hAnsi="Times New Roman;Times;serif"/>
          <w:color w:val="231F20"/>
          <w:sz w:val="20"/>
        </w:rPr>
        <w:t>(b)</w:t>
      </w:r>
      <w:r>
        <w:rPr>
          <w:rFonts w:ascii="Times New Roman;Times;serif" w:hAnsi="Times New Roman;Times;serif"/>
          <w:color w:val="231F20"/>
          <w:spacing w:val="-23"/>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23"/>
          <w:sz w:val="20"/>
        </w:rPr>
        <w:t xml:space="preserve"> </w:t>
      </w:r>
      <w:r>
        <w:rPr>
          <w:rFonts w:ascii="Times New Roman;Times;serif" w:hAnsi="Times New Roman;Times;serif"/>
          <w:color w:val="231F20"/>
          <w:sz w:val="20"/>
        </w:rPr>
        <w:t>to</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foregoing,</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federal</w:t>
      </w:r>
      <w:r>
        <w:rPr>
          <w:rFonts w:ascii="Times New Roman;Times;serif" w:hAnsi="Times New Roman;Times;serif"/>
          <w:color w:val="231F20"/>
          <w:spacing w:val="-23"/>
          <w:sz w:val="20"/>
        </w:rPr>
        <w:t xml:space="preserve"> </w:t>
      </w:r>
      <w:r>
        <w:rPr>
          <w:rFonts w:ascii="Times New Roman;Times;serif" w:hAnsi="Times New Roman;Times;serif"/>
          <w:color w:val="231F20"/>
          <w:sz w:val="20"/>
        </w:rPr>
        <w:t>district</w:t>
      </w:r>
      <w:r>
        <w:rPr>
          <w:rFonts w:ascii="Times New Roman;Times;serif" w:hAnsi="Times New Roman;Times;serif"/>
          <w:color w:val="231F20"/>
          <w:spacing w:val="-22"/>
          <w:sz w:val="20"/>
        </w:rPr>
        <w:t xml:space="preserve"> </w:t>
      </w:r>
      <w:r>
        <w:rPr>
          <w:rFonts w:ascii="Times New Roman;Times;serif" w:hAnsi="Times New Roman;Times;serif"/>
          <w:color w:val="231F20"/>
          <w:sz w:val="20"/>
        </w:rPr>
        <w:t>courts</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U.S. shall</w:t>
      </w:r>
      <w:r>
        <w:rPr>
          <w:rFonts w:ascii="Times New Roman;Times;serif" w:hAnsi="Times New Roman;Times;serif"/>
          <w:color w:val="231F20"/>
          <w:spacing w:val="-24"/>
          <w:sz w:val="20"/>
        </w:rPr>
        <w:t xml:space="preserve"> </w:t>
      </w:r>
      <w:r>
        <w:rPr>
          <w:rFonts w:ascii="Times New Roman;Times;serif" w:hAnsi="Times New Roman;Times;serif"/>
          <w:color w:val="231F20"/>
          <w:sz w:val="20"/>
        </w:rPr>
        <w:t>be</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exclusive</w:t>
      </w:r>
      <w:r>
        <w:rPr>
          <w:rFonts w:ascii="Times New Roman;Times;serif" w:hAnsi="Times New Roman;Times;serif"/>
          <w:color w:val="231F20"/>
          <w:spacing w:val="-23"/>
          <w:sz w:val="20"/>
        </w:rPr>
        <w:t xml:space="preserve"> </w:t>
      </w:r>
      <w:r>
        <w:rPr>
          <w:rFonts w:ascii="Times New Roman;Times;serif" w:hAnsi="Times New Roman;Times;serif"/>
          <w:color w:val="231F20"/>
          <w:sz w:val="20"/>
        </w:rPr>
        <w:t>forum</w:t>
      </w:r>
      <w:r>
        <w:rPr>
          <w:rFonts w:ascii="Times New Roman;Times;serif" w:hAnsi="Times New Roman;Times;serif"/>
          <w:color w:val="231F20"/>
          <w:spacing w:val="-23"/>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resolution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0"/>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3"/>
          <w:sz w:val="20"/>
        </w:rPr>
        <w:t xml:space="preserve"> </w:t>
      </w:r>
      <w:r>
        <w:rPr>
          <w:rFonts w:ascii="Times New Roman;Times;serif" w:hAnsi="Times New Roman;Times;serif"/>
          <w:color w:val="231F20"/>
          <w:sz w:val="20"/>
        </w:rPr>
        <w:t>complaint</w:t>
      </w:r>
      <w:r>
        <w:rPr>
          <w:rFonts w:ascii="Times New Roman;Times;serif" w:hAnsi="Times New Roman;Times;serif"/>
          <w:color w:val="231F20"/>
          <w:spacing w:val="-24"/>
          <w:sz w:val="20"/>
        </w:rPr>
        <w:t xml:space="preserve"> </w:t>
      </w:r>
      <w:r>
        <w:rPr>
          <w:rFonts w:ascii="Times New Roman;Times;serif" w:hAnsi="Times New Roman;Times;serif"/>
          <w:color w:val="231F20"/>
          <w:sz w:val="20"/>
        </w:rPr>
        <w:t>asserting</w:t>
      </w:r>
      <w:r>
        <w:rPr>
          <w:rFonts w:ascii="Times New Roman;Times;serif" w:hAnsi="Times New Roman;Times;serif"/>
          <w:color w:val="231F20"/>
          <w:spacing w:val="-23"/>
          <w:sz w:val="20"/>
        </w:rPr>
        <w:t xml:space="preserve"> </w:t>
      </w:r>
      <w:r>
        <w:rPr>
          <w:rFonts w:ascii="Times New Roman;Times;serif" w:hAnsi="Times New Roman;Times;serif"/>
          <w:color w:val="231F20"/>
          <w:sz w:val="20"/>
        </w:rPr>
        <w:t>a</w:t>
      </w:r>
      <w:r>
        <w:rPr>
          <w:rFonts w:ascii="Times New Roman;Times;serif" w:hAnsi="Times New Roman;Times;serif"/>
          <w:color w:val="231F20"/>
          <w:spacing w:val="-23"/>
          <w:sz w:val="20"/>
        </w:rPr>
        <w:t xml:space="preserve"> </w:t>
      </w:r>
      <w:r>
        <w:rPr>
          <w:rFonts w:ascii="Times New Roman;Times;serif" w:hAnsi="Times New Roman;Times;serif"/>
          <w:color w:val="231F20"/>
          <w:sz w:val="20"/>
        </w:rPr>
        <w:t>cause</w:t>
      </w:r>
      <w:r>
        <w:rPr>
          <w:rFonts w:ascii="Times New Roman;Times;serif" w:hAnsi="Times New Roman;Times;serif"/>
          <w:color w:val="231F20"/>
          <w:spacing w:val="-23"/>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action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arising</w:t>
      </w:r>
      <w:r>
        <w:rPr>
          <w:rFonts w:ascii="Times New Roman;Times;serif" w:hAnsi="Times New Roman;Times;serif"/>
          <w:color w:val="231F20"/>
          <w:spacing w:val="-23"/>
          <w:sz w:val="20"/>
        </w:rPr>
        <w:t xml:space="preserve"> </w:t>
      </w:r>
      <w:r>
        <w:rPr>
          <w:rFonts w:ascii="Times New Roman;Times;serif" w:hAnsi="Times New Roman;Times;serif"/>
          <w:color w:val="231F20"/>
          <w:sz w:val="20"/>
        </w:rPr>
        <w:t>under</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 Securities Act. Notwithstanding the foregoing, such forum selection provisions shall not apply to suits brought</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3"/>
          <w:sz w:val="20"/>
        </w:rPr>
        <w:t xml:space="preserve"> </w:t>
      </w:r>
      <w:r>
        <w:rPr>
          <w:rFonts w:ascii="Times New Roman;Times;serif" w:hAnsi="Times New Roman;Times;serif"/>
          <w:color w:val="231F20"/>
          <w:sz w:val="20"/>
        </w:rPr>
        <w:t>enforce</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3"/>
          <w:sz w:val="20"/>
        </w:rPr>
        <w:t xml:space="preserve"> </w:t>
      </w:r>
      <w:r>
        <w:rPr>
          <w:rFonts w:ascii="Times New Roman;Times;serif" w:hAnsi="Times New Roman;Times;serif"/>
          <w:color w:val="231F20"/>
          <w:sz w:val="20"/>
        </w:rPr>
        <w:t>liability</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24"/>
          <w:sz w:val="20"/>
        </w:rPr>
        <w:t xml:space="preserve"> </w:t>
      </w:r>
      <w:r>
        <w:rPr>
          <w:rFonts w:ascii="Times New Roman;Times;serif" w:hAnsi="Times New Roman;Times;serif"/>
          <w:color w:val="231F20"/>
          <w:sz w:val="20"/>
        </w:rPr>
        <w:t>duty</w:t>
      </w:r>
      <w:r>
        <w:rPr>
          <w:rFonts w:ascii="Times New Roman;Times;serif" w:hAnsi="Times New Roman;Times;serif"/>
          <w:color w:val="231F20"/>
          <w:spacing w:val="-23"/>
          <w:sz w:val="20"/>
        </w:rPr>
        <w:t xml:space="preserve"> </w:t>
      </w:r>
      <w:r>
        <w:rPr>
          <w:rFonts w:ascii="Times New Roman;Times;serif" w:hAnsi="Times New Roman;Times;serif"/>
          <w:color w:val="231F20"/>
          <w:sz w:val="20"/>
        </w:rPr>
        <w:t>created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by</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Exchange</w:t>
      </w:r>
      <w:r>
        <w:rPr>
          <w:rFonts w:ascii="Times New Roman;Times;serif" w:hAnsi="Times New Roman;Times;serif"/>
          <w:color w:val="231F20"/>
          <w:spacing w:val="-24"/>
          <w:sz w:val="20"/>
        </w:rPr>
        <w:t xml:space="preserve"> </w:t>
      </w:r>
      <w:r>
        <w:rPr>
          <w:rFonts w:ascii="Times New Roman;Times;serif" w:hAnsi="Times New Roman;Times;serif"/>
          <w:color w:val="231F20"/>
          <w:sz w:val="20"/>
        </w:rPr>
        <w:t>Act</w:t>
      </w:r>
      <w:r>
        <w:rPr>
          <w:rFonts w:ascii="Times New Roman;Times;serif" w:hAnsi="Times New Roman;Times;serif"/>
          <w:color w:val="231F20"/>
          <w:spacing w:val="-23"/>
          <w:sz w:val="20"/>
        </w:rPr>
        <w:t xml:space="preserve"> </w:t>
      </w:r>
      <w:r>
        <w:rPr>
          <w:rFonts w:ascii="Times New Roman;Times;serif" w:hAnsi="Times New Roman;Times;serif"/>
          <w:color w:val="231F20"/>
          <w:sz w:val="20"/>
        </w:rPr>
        <w:t>or</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3"/>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3"/>
          <w:sz w:val="20"/>
        </w:rPr>
        <w:t xml:space="preserve"> </w:t>
      </w:r>
      <w:r>
        <w:rPr>
          <w:rFonts w:ascii="Times New Roman;Times;serif" w:hAnsi="Times New Roman;Times;serif"/>
          <w:color w:val="231F20"/>
          <w:sz w:val="20"/>
        </w:rPr>
        <w:t>claim</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3"/>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 xml:space="preserve">federal courts of the U.S.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exclusive jurisdiction. The choice of forum provision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limit a stockholder’s</w:t>
      </w:r>
      <w:r>
        <w:rPr>
          <w:rFonts w:ascii="Times New Roman;Times;serif" w:hAnsi="Times New Roman;Times;serif"/>
          <w:color w:val="231F20"/>
          <w:spacing w:val="-18"/>
          <w:sz w:val="20"/>
        </w:rPr>
        <w:t xml:space="preserve"> </w:t>
      </w:r>
      <w:r>
        <w:rPr>
          <w:rFonts w:ascii="Times New Roman;Times;serif" w:hAnsi="Times New Roman;Times;serif"/>
          <w:color w:val="231F20"/>
          <w:sz w:val="20"/>
        </w:rPr>
        <w:t>ability</w:t>
      </w:r>
      <w:r>
        <w:rPr>
          <w:rFonts w:ascii="Times New Roman;Times;serif" w:hAnsi="Times New Roman;Times;serif"/>
          <w:color w:val="231F20"/>
          <w:spacing w:val="-18"/>
          <w:sz w:val="20"/>
        </w:rPr>
        <w:t xml:space="preserve"> </w:t>
      </w:r>
      <w:r>
        <w:rPr>
          <w:rFonts w:ascii="Times New Roman;Times;serif" w:hAnsi="Times New Roman;Times;serif"/>
          <w:color w:val="231F20"/>
          <w:sz w:val="20"/>
        </w:rPr>
        <w:t>to</w:t>
      </w:r>
      <w:r>
        <w:rPr>
          <w:rFonts w:ascii="Times New Roman;Times;serif" w:hAnsi="Times New Roman;Times;serif"/>
          <w:color w:val="231F20"/>
          <w:spacing w:val="-17"/>
          <w:sz w:val="20"/>
        </w:rPr>
        <w:t xml:space="preserve"> </w:t>
      </w:r>
      <w:r>
        <w:rPr>
          <w:rFonts w:ascii="Times New Roman;Times;serif" w:hAnsi="Times New Roman;Times;serif"/>
          <w:color w:val="231F20"/>
          <w:sz w:val="20"/>
        </w:rPr>
        <w:t>bring</w:t>
      </w:r>
      <w:r>
        <w:rPr>
          <w:rFonts w:ascii="Times New Roman;Times;serif" w:hAnsi="Times New Roman;Times;serif"/>
          <w:color w:val="231F20"/>
          <w:spacing w:val="-18"/>
          <w:sz w:val="20"/>
        </w:rPr>
        <w:t xml:space="preserve"> </w:t>
      </w:r>
      <w:r>
        <w:rPr>
          <w:rFonts w:ascii="Times New Roman;Times;serif" w:hAnsi="Times New Roman;Times;serif"/>
          <w:color w:val="231F20"/>
          <w:sz w:val="20"/>
        </w:rPr>
        <w:t>a</w:t>
      </w:r>
      <w:r>
        <w:rPr>
          <w:rFonts w:ascii="Times New Roman;Times;serif" w:hAnsi="Times New Roman;Times;serif"/>
          <w:color w:val="231F20"/>
          <w:spacing w:val="-18"/>
          <w:sz w:val="20"/>
        </w:rPr>
        <w:t xml:space="preserve"> </w:t>
      </w:r>
      <w:r>
        <w:rPr>
          <w:rFonts w:ascii="Times New Roman;Times;serif" w:hAnsi="Times New Roman;Times;serif"/>
          <w:color w:val="231F20"/>
          <w:sz w:val="20"/>
        </w:rPr>
        <w:t>claim</w:t>
      </w:r>
      <w:r>
        <w:rPr>
          <w:rFonts w:ascii="Times New Roman;Times;serif" w:hAnsi="Times New Roman;Times;serif"/>
          <w:color w:val="231F20"/>
          <w:spacing w:val="-17"/>
          <w:sz w:val="20"/>
        </w:rPr>
        <w:t xml:space="preserve"> </w:t>
      </w:r>
      <w:r>
        <w:rPr>
          <w:rFonts w:ascii="Times New Roman;Times;serif" w:hAnsi="Times New Roman;Times;serif"/>
          <w:color w:val="231F20"/>
          <w:sz w:val="20"/>
        </w:rPr>
        <w:t>in</w:t>
      </w:r>
      <w:r>
        <w:rPr>
          <w:rFonts w:ascii="Times New Roman;Times;serif" w:hAnsi="Times New Roman;Times;serif"/>
          <w:color w:val="231F20"/>
          <w:spacing w:val="-18"/>
          <w:sz w:val="20"/>
        </w:rPr>
        <w:t xml:space="preserve"> </w:t>
      </w:r>
      <w:r>
        <w:rPr>
          <w:rFonts w:ascii="Times New Roman;Times;serif" w:hAnsi="Times New Roman;Times;serif"/>
          <w:color w:val="231F20"/>
          <w:sz w:val="20"/>
        </w:rPr>
        <w:t>a</w:t>
      </w:r>
      <w:r>
        <w:rPr>
          <w:rFonts w:ascii="Times New Roman;Times;serif" w:hAnsi="Times New Roman;Times;serif"/>
          <w:color w:val="231F20"/>
          <w:spacing w:val="-17"/>
          <w:sz w:val="20"/>
        </w:rPr>
        <w:t xml:space="preserve"> </w:t>
      </w:r>
      <w:r>
        <w:rPr>
          <w:rFonts w:ascii="Times New Roman;Times;serif" w:hAnsi="Times New Roman;Times;serif"/>
          <w:color w:val="231F20"/>
          <w:sz w:val="20"/>
        </w:rPr>
        <w:t>judicial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forum</w:t>
      </w:r>
      <w:r>
        <w:rPr>
          <w:rFonts w:ascii="Times New Roman;Times;serif" w:hAnsi="Times New Roman;Times;serif"/>
          <w:color w:val="231F20"/>
          <w:spacing w:val="-18"/>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17"/>
          <w:sz w:val="20"/>
        </w:rPr>
        <w:t xml:space="preserve"> </w:t>
      </w:r>
      <w:r>
        <w:rPr>
          <w:rFonts w:ascii="Times New Roman;Times;serif" w:hAnsi="Times New Roman;Times;serif"/>
          <w:color w:val="231F20"/>
          <w:sz w:val="20"/>
        </w:rPr>
        <w:t>it</w:t>
      </w:r>
      <w:r>
        <w:rPr>
          <w:rFonts w:ascii="Times New Roman;Times;serif" w:hAnsi="Times New Roman;Times;serif"/>
          <w:color w:val="231F20"/>
          <w:spacing w:val="-18"/>
          <w:sz w:val="20"/>
        </w:rPr>
        <w:t xml:space="preserve"> </w:t>
      </w:r>
      <w:r>
        <w:rPr>
          <w:rFonts w:ascii="Times New Roman;Times;serif" w:hAnsi="Times New Roman;Times;serif"/>
          <w:color w:val="231F20"/>
          <w:sz w:val="20"/>
        </w:rPr>
        <w:t>finds</w:t>
      </w:r>
      <w:r>
        <w:rPr>
          <w:rFonts w:ascii="Times New Roman;Times;serif" w:hAnsi="Times New Roman;Times;serif"/>
          <w:color w:val="231F20"/>
          <w:spacing w:val="-17"/>
          <w:sz w:val="20"/>
        </w:rPr>
        <w:t xml:space="preserve"> </w:t>
      </w:r>
      <w:r>
        <w:rPr>
          <w:rFonts w:ascii="Times New Roman;Times;serif" w:hAnsi="Times New Roman;Times;serif"/>
          <w:color w:val="231F20"/>
          <w:spacing w:val="-4"/>
          <w:sz w:val="20"/>
        </w:rPr>
        <w:t>favorable</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disputes</w:t>
      </w:r>
      <w:r>
        <w:rPr>
          <w:rFonts w:ascii="Times New Roman;Times;serif" w:hAnsi="Times New Roman;Times;serif"/>
          <w:color w:val="231F20"/>
          <w:spacing w:val="-17"/>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18"/>
          <w:sz w:val="20"/>
        </w:rPr>
        <w:t xml:space="preserve"> </w:t>
      </w:r>
      <w:r>
        <w:rPr>
          <w:rFonts w:ascii="Times New Roman;Times;serif" w:hAnsi="Times New Roman;Times;serif"/>
          <w:color w:val="231F20"/>
          <w:sz w:val="20"/>
        </w:rPr>
        <w:t>us</w:t>
      </w:r>
      <w:r>
        <w:rPr>
          <w:rFonts w:ascii="Times New Roman;Times;serif" w:hAnsi="Times New Roman;Times;serif"/>
          <w:color w:val="231F20"/>
          <w:spacing w:val="-17"/>
          <w:sz w:val="20"/>
        </w:rPr>
        <w:t xml:space="preserve"> </w:t>
      </w:r>
      <w:r>
        <w:rPr>
          <w:rFonts w:ascii="Times New Roman;Times;serif" w:hAnsi="Times New Roman;Times;serif"/>
          <w:color w:val="231F20"/>
          <w:sz w:val="20"/>
        </w:rPr>
        <w:t>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our directors,</w:t>
      </w:r>
      <w:r>
        <w:rPr>
          <w:rFonts w:ascii="Times New Roman;Times;serif" w:hAnsi="Times New Roman;Times;serif"/>
          <w:color w:val="231F20"/>
          <w:spacing w:val="-16"/>
          <w:sz w:val="20"/>
        </w:rPr>
        <w:t xml:space="preserve"> </w:t>
      </w:r>
      <w:r>
        <w:rPr>
          <w:rFonts w:ascii="Times New Roman;Times;serif" w:hAnsi="Times New Roman;Times;serif"/>
          <w:color w:val="231F20"/>
          <w:sz w:val="20"/>
        </w:rPr>
        <w:t>officers,</w:t>
      </w:r>
      <w:r>
        <w:rPr>
          <w:rFonts w:ascii="Times New Roman;Times;serif" w:hAnsi="Times New Roman;Times;serif"/>
          <w:color w:val="231F20"/>
          <w:spacing w:val="-16"/>
          <w:sz w:val="20"/>
        </w:rPr>
        <w:t xml:space="preserve"> </w:t>
      </w:r>
      <w:r>
        <w:rPr>
          <w:rFonts w:ascii="Times New Roman;Times;serif" w:hAnsi="Times New Roman;Times;serif"/>
          <w:color w:val="231F20"/>
          <w:sz w:val="20"/>
        </w:rPr>
        <w:t>or</w:t>
      </w:r>
      <w:r>
        <w:rPr>
          <w:rFonts w:ascii="Times New Roman;Times;serif" w:hAnsi="Times New Roman;Times;serif"/>
          <w:color w:val="231F20"/>
          <w:spacing w:val="-15"/>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6"/>
          <w:sz w:val="20"/>
        </w:rPr>
        <w:t xml:space="preserve"> </w:t>
      </w:r>
      <w:r>
        <w:rPr>
          <w:rFonts w:ascii="Times New Roman;Times;serif" w:hAnsi="Times New Roman;Times;serif"/>
          <w:color w:val="231F20"/>
          <w:sz w:val="20"/>
        </w:rPr>
        <w:t>employees,</w:t>
      </w:r>
      <w:r>
        <w:rPr>
          <w:rFonts w:ascii="Times New Roman;Times;serif" w:hAnsi="Times New Roman;Times;serif"/>
          <w:color w:val="231F20"/>
          <w:spacing w:val="-16"/>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6"/>
          <w:sz w:val="20"/>
        </w:rPr>
        <w:t xml:space="preserve"> </w:t>
      </w:r>
      <w:r>
        <w:rPr>
          <w:rFonts w:ascii="Times New Roman;Times;serif" w:hAnsi="Times New Roman;Times;serif"/>
          <w:color w:val="231F20"/>
          <w:sz w:val="20"/>
        </w:rPr>
        <w:t>discourage</w:t>
      </w:r>
      <w:r>
        <w:rPr>
          <w:rFonts w:ascii="Times New Roman;Times;serif" w:hAnsi="Times New Roman;Times;serif"/>
          <w:color w:val="231F20"/>
          <w:spacing w:val="-16"/>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15"/>
          <w:sz w:val="20"/>
        </w:rPr>
        <w:t xml:space="preserve"> </w:t>
      </w:r>
      <w:r>
        <w:rPr>
          <w:rFonts w:ascii="Times New Roman;Times;serif" w:hAnsi="Times New Roman;Times;serif"/>
          <w:color w:val="231F20"/>
          <w:sz w:val="20"/>
        </w:rPr>
        <w:t>lawsuits</w:t>
      </w:r>
      <w:r>
        <w:rPr>
          <w:rFonts w:ascii="Times New Roman;Times;serif" w:hAnsi="Times New Roman;Times;serif"/>
          <w:color w:val="231F20"/>
          <w:spacing w:val="-16"/>
          <w:sz w:val="20"/>
        </w:rPr>
        <w:t xml:space="preserve"> </w:t>
      </w:r>
      <w:r>
        <w:rPr>
          <w:rFonts w:ascii="Times New Roman;Times;serif" w:hAnsi="Times New Roman;Times;serif"/>
          <w:color w:val="231F20"/>
          <w:sz w:val="20"/>
        </w:rPr>
        <w:t>against</w:t>
      </w:r>
      <w:r>
        <w:rPr>
          <w:rFonts w:ascii="Times New Roman;Times;serif" w:hAnsi="Times New Roman;Times;serif"/>
          <w:color w:val="231F20"/>
          <w:spacing w:val="-16"/>
          <w:sz w:val="20"/>
        </w:rPr>
        <w:t xml:space="preserve"> </w:t>
      </w:r>
      <w:r>
        <w:rPr>
          <w:rFonts w:ascii="Times New Roman;Times;serif" w:hAnsi="Times New Roman;Times;serif"/>
          <w:color w:val="231F20"/>
          <w:sz w:val="20"/>
        </w:rPr>
        <w:t>us</w:t>
      </w:r>
      <w:r>
        <w:rPr>
          <w:rFonts w:ascii="Times New Roman;Times;serif" w:hAnsi="Times New Roman;Times;serif"/>
          <w:color w:val="231F20"/>
          <w:spacing w:val="-1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6"/>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6"/>
          <w:sz w:val="20"/>
        </w:rPr>
        <w:t xml:space="preserve"> </w:t>
      </w:r>
      <w:r>
        <w:rPr>
          <w:rFonts w:ascii="Times New Roman;Times;serif" w:hAnsi="Times New Roman;Times;serif"/>
          <w:color w:val="231F20"/>
          <w:sz w:val="20"/>
        </w:rPr>
        <w:t>directors, officers,</w:t>
      </w:r>
      <w:r>
        <w:rPr>
          <w:rFonts w:ascii="Times New Roman;Times;serif" w:hAnsi="Times New Roman;Times;serif"/>
          <w:color w:val="231F20"/>
          <w:spacing w:val="-2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4"/>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5"/>
          <w:sz w:val="20"/>
        </w:rPr>
        <w:t xml:space="preserve"> </w:t>
      </w:r>
      <w:r>
        <w:rPr>
          <w:rFonts w:ascii="Times New Roman;Times;serif" w:hAnsi="Times New Roman;Times;serif"/>
          <w:color w:val="231F20"/>
          <w:spacing w:val="-3"/>
          <w:sz w:val="20"/>
        </w:rPr>
        <w:t>employees.</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Alternatively,</w:t>
      </w:r>
      <w:r>
        <w:rPr>
          <w:rFonts w:ascii="Times New Roman;Times;serif" w:hAnsi="Times New Roman;Times;serif"/>
          <w:color w:val="231F20"/>
          <w:spacing w:val="-24"/>
          <w:sz w:val="20"/>
        </w:rPr>
        <w:t xml:space="preserve"> </w:t>
      </w:r>
      <w:r>
        <w:rPr>
          <w:rFonts w:ascii="Times New Roman;Times;serif" w:hAnsi="Times New Roman;Times;serif"/>
          <w:color w:val="231F20"/>
          <w:sz w:val="20"/>
        </w:rPr>
        <w:t>if</w:t>
      </w:r>
      <w:r>
        <w:rPr>
          <w:rFonts w:ascii="Times New Roman;Times;serif" w:hAnsi="Times New Roman;Times;serif"/>
          <w:color w:val="231F20"/>
          <w:spacing w:val="-13"/>
          <w:sz w:val="20"/>
        </w:rPr>
        <w:t xml:space="preserve"> </w:t>
      </w:r>
      <w:r>
        <w:rPr>
          <w:rFonts w:ascii="Times New Roman;Times;serif" w:hAnsi="Times New Roman;Times;serif"/>
          <w:color w:val="231F20"/>
          <w:sz w:val="20"/>
        </w:rPr>
        <w:t>a</w:t>
      </w:r>
      <w:r>
        <w:rPr>
          <w:rFonts w:ascii="Times New Roman;Times;serif" w:hAnsi="Times New Roman;Times;serif"/>
          <w:color w:val="231F20"/>
          <w:spacing w:val="-24"/>
          <w:sz w:val="20"/>
        </w:rPr>
        <w:t xml:space="preserve"> </w:t>
      </w:r>
      <w:r>
        <w:rPr>
          <w:rFonts w:ascii="Times New Roman;Times;serif" w:hAnsi="Times New Roman;Times;serif"/>
          <w:color w:val="231F20"/>
          <w:sz w:val="20"/>
        </w:rPr>
        <w:t>court</w:t>
      </w:r>
      <w:r>
        <w:rPr>
          <w:rFonts w:ascii="Times New Roman;Times;serif" w:hAnsi="Times New Roman;Times;serif"/>
          <w:color w:val="231F20"/>
          <w:spacing w:val="-25"/>
          <w:sz w:val="20"/>
        </w:rPr>
        <w:t xml:space="preserve"> </w:t>
      </w:r>
      <w:r>
        <w:rPr>
          <w:rFonts w:ascii="Times New Roman;Times;serif" w:hAnsi="Times New Roman;Times;serif"/>
          <w:color w:val="231F20"/>
          <w:sz w:val="20"/>
        </w:rPr>
        <w:t>were</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4"/>
          <w:sz w:val="20"/>
        </w:rPr>
        <w:t xml:space="preserve"> </w:t>
      </w:r>
      <w:r>
        <w:rPr>
          <w:rFonts w:ascii="Times New Roman;Times;serif" w:hAnsi="Times New Roman;Times;serif"/>
          <w:color w:val="231F20"/>
          <w:sz w:val="20"/>
        </w:rPr>
        <w:t>find</w:t>
      </w:r>
      <w:r>
        <w:rPr>
          <w:rFonts w:ascii="Times New Roman;Times;serif" w:hAnsi="Times New Roman;Times;serif"/>
          <w:color w:val="231F20"/>
          <w:spacing w:val="-2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choice</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3"/>
          <w:sz w:val="20"/>
        </w:rPr>
        <w:t xml:space="preserve"> </w:t>
      </w:r>
      <w:r>
        <w:rPr>
          <w:rFonts w:ascii="Times New Roman;Times;serif" w:hAnsi="Times New Roman;Times;serif"/>
          <w:color w:val="231F20"/>
          <w:sz w:val="20"/>
        </w:rPr>
        <w:t>forum</w:t>
      </w:r>
      <w:r>
        <w:rPr>
          <w:rFonts w:ascii="Times New Roman;Times;serif" w:hAnsi="Times New Roman;Times;serif"/>
          <w:color w:val="231F20"/>
          <w:spacing w:val="-24"/>
          <w:sz w:val="20"/>
        </w:rPr>
        <w:t xml:space="preserve"> </w:t>
      </w:r>
      <w:r>
        <w:rPr>
          <w:rFonts w:ascii="Times New Roman;Times;serif" w:hAnsi="Times New Roman;Times;serif"/>
          <w:color w:val="231F20"/>
          <w:sz w:val="20"/>
        </w:rPr>
        <w:t>provision</w:t>
      </w:r>
      <w:r>
        <w:rPr>
          <w:rFonts w:ascii="Times New Roman;Times;serif" w:hAnsi="Times New Roman;Times;serif"/>
          <w:color w:val="231F20"/>
          <w:spacing w:val="-25"/>
          <w:sz w:val="20"/>
        </w:rPr>
        <w:t xml:space="preserve"> </w:t>
      </w:r>
      <w:r>
        <w:rPr>
          <w:rFonts w:ascii="Times New Roman;Times;serif" w:hAnsi="Times New Roman;Times;serif"/>
          <w:color w:val="231F20"/>
          <w:sz w:val="20"/>
        </w:rPr>
        <w:t>contained in</w:t>
      </w:r>
      <w:r>
        <w:rPr>
          <w:rFonts w:ascii="Times New Roman;Times;serif" w:hAnsi="Times New Roman;Times;serif"/>
          <w:color w:val="231F20"/>
          <w:spacing w:val="-1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9"/>
          <w:sz w:val="20"/>
        </w:rPr>
        <w:t xml:space="preserve"> </w:t>
      </w:r>
      <w:r>
        <w:rPr>
          <w:rFonts w:ascii="Times New Roman;Times;serif" w:hAnsi="Times New Roman;Times;serif"/>
          <w:color w:val="231F20"/>
          <w:sz w:val="20"/>
        </w:rPr>
        <w:t>Charter</w:t>
      </w:r>
      <w:r>
        <w:rPr>
          <w:rFonts w:ascii="Times New Roman;Times;serif" w:hAnsi="Times New Roman;Times;serif"/>
          <w:color w:val="231F20"/>
          <w:spacing w:val="-19"/>
          <w:sz w:val="20"/>
        </w:rPr>
        <w:t xml:space="preserve"> </w:t>
      </w:r>
      <w:r>
        <w:rPr>
          <w:rFonts w:ascii="Times New Roman;Times;serif" w:hAnsi="Times New Roman;Times;serif"/>
          <w:color w:val="231F20"/>
          <w:sz w:val="20"/>
        </w:rPr>
        <w:t>to</w:t>
      </w:r>
      <w:r>
        <w:rPr>
          <w:rFonts w:ascii="Times New Roman;Times;serif" w:hAnsi="Times New Roman;Times;serif"/>
          <w:color w:val="231F20"/>
          <w:spacing w:val="-19"/>
          <w:sz w:val="20"/>
        </w:rPr>
        <w:t xml:space="preserve"> </w:t>
      </w:r>
      <w:r>
        <w:rPr>
          <w:rFonts w:ascii="Times New Roman;Times;serif" w:hAnsi="Times New Roman;Times;serif"/>
          <w:color w:val="231F20"/>
          <w:sz w:val="20"/>
        </w:rPr>
        <w:t>be</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inapplicable</w:t>
      </w:r>
      <w:r>
        <w:rPr>
          <w:rFonts w:ascii="Times New Roman;Times;serif" w:hAnsi="Times New Roman;Times;serif"/>
          <w:color w:val="231F20"/>
          <w:spacing w:val="-19"/>
          <w:sz w:val="20"/>
        </w:rPr>
        <w:t xml:space="preserve"> </w:t>
      </w:r>
      <w:r>
        <w:rPr>
          <w:rFonts w:ascii="Times New Roman;Times;serif" w:hAnsi="Times New Roman;Times;serif"/>
          <w:color w:val="231F20"/>
          <w:sz w:val="20"/>
        </w:rPr>
        <w:t>or</w:t>
      </w:r>
      <w:r>
        <w:rPr>
          <w:rFonts w:ascii="Times New Roman;Times;serif" w:hAnsi="Times New Roman;Times;serif"/>
          <w:color w:val="231F20"/>
          <w:spacing w:val="-19"/>
          <w:sz w:val="20"/>
        </w:rPr>
        <w:t xml:space="preserve"> </w:t>
      </w:r>
      <w:r>
        <w:rPr>
          <w:rFonts w:ascii="Times New Roman;Times;serif" w:hAnsi="Times New Roman;Times;serif"/>
          <w:color w:val="231F20"/>
          <w:sz w:val="20"/>
        </w:rPr>
        <w:t>unenforceable</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w:t>
      </w:r>
      <w:r>
        <w:rPr>
          <w:rFonts w:ascii="Times New Roman;Times;serif" w:hAnsi="Times New Roman;Times;serif"/>
          <w:color w:val="231F20"/>
          <w:spacing w:val="-19"/>
          <w:sz w:val="20"/>
        </w:rPr>
        <w:t xml:space="preserve"> </w:t>
      </w:r>
      <w:r>
        <w:rPr>
          <w:rFonts w:ascii="Times New Roman;Times;serif" w:hAnsi="Times New Roman;Times;serif"/>
          <w:color w:val="231F20"/>
          <w:sz w:val="20"/>
        </w:rPr>
        <w:t>an</w:t>
      </w:r>
      <w:r>
        <w:rPr>
          <w:rFonts w:ascii="Times New Roman;Times;serif" w:hAnsi="Times New Roman;Times;serif"/>
          <w:color w:val="231F20"/>
          <w:spacing w:val="-18"/>
          <w:sz w:val="20"/>
        </w:rPr>
        <w:t xml:space="preserve"> </w:t>
      </w:r>
      <w:r>
        <w:rPr>
          <w:rFonts w:ascii="Times New Roman;Times;serif" w:hAnsi="Times New Roman;Times;serif"/>
          <w:color w:val="231F20"/>
          <w:sz w:val="20"/>
        </w:rPr>
        <w:t>action,</w:t>
      </w:r>
      <w:r>
        <w:rPr>
          <w:rFonts w:ascii="Times New Roman;Times;serif" w:hAnsi="Times New Roman;Times;serif"/>
          <w:color w:val="231F20"/>
          <w:spacing w:val="-19"/>
          <w:sz w:val="20"/>
        </w:rPr>
        <w:t xml:space="preserve"> </w:t>
      </w:r>
      <w:r>
        <w:rPr>
          <w:rFonts w:ascii="Times New Roman;Times;serif" w:hAnsi="Times New Roman;Times;serif"/>
          <w:color w:val="231F20"/>
          <w:sz w:val="20"/>
        </w:rPr>
        <w:t>we</w:t>
      </w:r>
      <w:r>
        <w:rPr>
          <w:rFonts w:ascii="Times New Roman;Times;serif" w:hAnsi="Times New Roman;Times;serif"/>
          <w:color w:val="231F20"/>
          <w:spacing w:val="-19"/>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incur</w:t>
      </w:r>
      <w:r>
        <w:rPr>
          <w:rFonts w:ascii="Times New Roman;Times;serif" w:hAnsi="Times New Roman;Times;serif"/>
          <w:color w:val="231F20"/>
          <w:spacing w:val="-19"/>
          <w:sz w:val="20"/>
        </w:rPr>
        <w:t xml:space="preserve"> </w:t>
      </w:r>
      <w:r>
        <w:rPr>
          <w:rFonts w:ascii="Times New Roman;Times;serif" w:hAnsi="Times New Roman;Times;serif"/>
          <w:color w:val="231F20"/>
          <w:sz w:val="20"/>
        </w:rPr>
        <w:t>additional</w:t>
      </w:r>
      <w:r>
        <w:rPr>
          <w:rFonts w:ascii="Times New Roman;Times;serif" w:hAnsi="Times New Roman;Times;serif"/>
          <w:color w:val="231F20"/>
          <w:spacing w:val="-18"/>
          <w:sz w:val="20"/>
        </w:rPr>
        <w:t xml:space="preserve"> </w:t>
      </w:r>
      <w:r>
        <w:rPr>
          <w:rFonts w:ascii="Times New Roman;Times;serif" w:hAnsi="Times New Roman;Times;serif"/>
          <w:color w:val="231F20"/>
          <w:sz w:val="20"/>
        </w:rPr>
        <w:t>costs</w:t>
      </w:r>
      <w:r>
        <w:rPr>
          <w:rFonts w:ascii="Times New Roman;Times;serif" w:hAnsi="Times New Roman;Times;serif"/>
          <w:color w:val="231F20"/>
          <w:spacing w:val="-19"/>
          <w:sz w:val="20"/>
        </w:rPr>
        <w:t xml:space="preserve"> </w:t>
      </w:r>
      <w:r>
        <w:rPr>
          <w:rFonts w:ascii="Times New Roman;Times;serif" w:hAnsi="Times New Roman;Times;serif"/>
          <w:color w:val="231F20"/>
          <w:sz w:val="20"/>
        </w:rPr>
        <w:t>associated with</w:t>
      </w:r>
      <w:r>
        <w:rPr>
          <w:rFonts w:ascii="Times New Roman;Times;serif" w:hAnsi="Times New Roman;Times;serif"/>
          <w:color w:val="231F20"/>
          <w:spacing w:val="-25"/>
          <w:sz w:val="20"/>
        </w:rPr>
        <w:t xml:space="preserve"> </w:t>
      </w:r>
      <w:r>
        <w:rPr>
          <w:rFonts w:ascii="Times New Roman;Times;serif" w:hAnsi="Times New Roman;Times;serif"/>
          <w:color w:val="231F20"/>
          <w:sz w:val="20"/>
        </w:rPr>
        <w:t>resolving</w:t>
      </w:r>
      <w:r>
        <w:rPr>
          <w:rFonts w:ascii="Times New Roman;Times;serif" w:hAnsi="Times New Roman;Times;serif"/>
          <w:color w:val="231F20"/>
          <w:spacing w:val="-24"/>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24"/>
          <w:sz w:val="20"/>
        </w:rPr>
        <w:t xml:space="preserve"> </w:t>
      </w:r>
      <w:r>
        <w:rPr>
          <w:rFonts w:ascii="Times New Roman;Times;serif" w:hAnsi="Times New Roman;Times;serif"/>
          <w:color w:val="231F20"/>
          <w:sz w:val="20"/>
        </w:rPr>
        <w:t>action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w:t>
      </w:r>
      <w:r>
        <w:rPr>
          <w:rFonts w:ascii="Times New Roman;Times;serif" w:hAnsi="Times New Roman;Times;serif"/>
          <w:color w:val="231F20"/>
          <w:spacing w:val="-24"/>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25"/>
          <w:sz w:val="20"/>
        </w:rPr>
        <w:t xml:space="preserve"> </w:t>
      </w:r>
      <w:r>
        <w:rPr>
          <w:rFonts w:ascii="Times New Roman;Times;serif" w:hAnsi="Times New Roman;Times;serif"/>
          <w:color w:val="231F20"/>
          <w:sz w:val="20"/>
        </w:rPr>
        <w:t>jurisdictions,</w:t>
      </w:r>
      <w:r>
        <w:rPr>
          <w:rFonts w:ascii="Times New Roman;Times;serif" w:hAnsi="Times New Roman;Times;serif"/>
          <w:color w:val="231F20"/>
          <w:spacing w:val="-24"/>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24"/>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24"/>
          <w:sz w:val="20"/>
        </w:rPr>
        <w:t xml:space="preserve"> </w:t>
      </w:r>
      <w:r>
        <w:rPr>
          <w:rFonts w:ascii="Times New Roman;Times;serif" w:hAnsi="Times New Roman;Times;serif"/>
          <w:color w:val="231F20"/>
          <w:sz w:val="20"/>
        </w:rPr>
        <w:t>harm</w:t>
      </w:r>
      <w:r>
        <w:rPr>
          <w:rFonts w:ascii="Times New Roman;Times;serif" w:hAnsi="Times New Roman;Times;serif"/>
          <w:color w:val="231F20"/>
          <w:spacing w:val="-2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25"/>
          <w:sz w:val="20"/>
        </w:rPr>
        <w:t xml:space="preserve"> </w:t>
      </w:r>
      <w:r>
        <w:rPr>
          <w:rFonts w:ascii="Times New Roman;Times;serif" w:hAnsi="Times New Roman;Times;serif"/>
          <w:color w:val="231F20"/>
          <w:sz w:val="20"/>
        </w:rPr>
        <w:t>business,</w:t>
      </w:r>
      <w:r>
        <w:rPr>
          <w:rFonts w:ascii="Times New Roman;Times;serif" w:hAnsi="Times New Roman;Times;serif"/>
          <w:color w:val="231F20"/>
          <w:spacing w:val="-24"/>
          <w:sz w:val="20"/>
        </w:rPr>
        <w:t xml:space="preserve"> </w:t>
      </w:r>
      <w:r>
        <w:rPr>
          <w:rFonts w:ascii="Times New Roman;Times;serif" w:hAnsi="Times New Roman;Times;serif"/>
          <w:color w:val="231F20"/>
          <w:sz w:val="20"/>
        </w:rPr>
        <w:t>results</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2"/>
          <w:sz w:val="20"/>
        </w:rPr>
        <w:t xml:space="preserve"> </w:t>
      </w:r>
      <w:r>
        <w:rPr>
          <w:rFonts w:ascii="Times New Roman;Times;serif" w:hAnsi="Times New Roman;Times;serif"/>
          <w:color w:val="231F20"/>
          <w:sz w:val="20"/>
        </w:rPr>
        <w:t>operations,</w:t>
      </w:r>
      <w:r>
        <w:rPr>
          <w:rFonts w:ascii="Times New Roman;Times;serif" w:hAnsi="Times New Roman;Times;serif"/>
          <w:color w:val="231F20"/>
          <w:spacing w:val="-25"/>
          <w:sz w:val="20"/>
        </w:rPr>
        <w:t xml:space="preserve"> </w:t>
      </w:r>
      <w:r>
        <w:rPr>
          <w:rFonts w:ascii="Times New Roman;Times;serif" w:hAnsi="Times New Roman;Times;serif"/>
          <w:color w:val="231F20"/>
          <w:sz w:val="20"/>
        </w:rPr>
        <w:t>and financial</w:t>
      </w:r>
      <w:r>
        <w:rPr>
          <w:rFonts w:ascii="Times New Roman;Times;serif" w:hAnsi="Times New Roman;Times;serif"/>
          <w:color w:val="231F20"/>
          <w:spacing w:val="-7"/>
          <w:sz w:val="20"/>
        </w:rPr>
        <w:t xml:space="preserve"> </w:t>
      </w:r>
      <w:r>
        <w:rPr>
          <w:rFonts w:ascii="Times New Roman;Times;serif" w:hAnsi="Times New Roman;Times;serif"/>
          <w:color w:val="231F20"/>
          <w:sz w:val="20"/>
        </w:rPr>
        <w:t>condition.</w:t>
      </w:r>
    </w:p>
    <w:p>
      <w:pPr>
        <w:pStyle w:val="TextBody"/>
        <w:spacing w:before="171" w:after="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Additionally, </w:t>
      </w:r>
      <w:r>
        <w:rPr>
          <w:rFonts w:ascii="Times New Roman;Times;serif" w:hAnsi="Times New Roman;Times;serif"/>
          <w:color w:val="231F20"/>
          <w:sz w:val="20"/>
        </w:rPr>
        <w:t xml:space="preserve">Section 22 of the Securities Act creates concurrent jurisdiction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federal and state courts </w:t>
      </w:r>
      <w:r>
        <w:rPr>
          <w:rFonts w:ascii="Times New Roman;Times;serif" w:hAnsi="Times New Roman;Times;serif"/>
          <w:color w:val="231F20"/>
          <w:spacing w:val="-3"/>
          <w:sz w:val="20"/>
        </w:rPr>
        <w:t xml:space="preserve">over all </w:t>
      </w:r>
      <w:r>
        <w:rPr>
          <w:rFonts w:ascii="Times New Roman;Times;serif" w:hAnsi="Times New Roman;Times;serif"/>
          <w:color w:val="231F20"/>
          <w:sz w:val="20"/>
        </w:rPr>
        <w:t xml:space="preserve">suits brought to enforce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duty or liability created by the Securities Act or the rules and regulations</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thereunder.</w:t>
      </w:r>
      <w:r>
        <w:rPr>
          <w:rFonts w:ascii="Times New Roman;Times;serif" w:hAnsi="Times New Roman;Times;serif"/>
          <w:color w:val="231F20"/>
          <w:spacing w:val="-9"/>
          <w:sz w:val="20"/>
        </w:rPr>
        <w:t xml:space="preserve"> </w:t>
      </w:r>
      <w:r>
        <w:rPr>
          <w:rFonts w:ascii="Times New Roman;Times;serif" w:hAnsi="Times New Roman;Times;serif"/>
          <w:color w:val="231F20"/>
          <w:sz w:val="20"/>
        </w:rPr>
        <w:t>As</w:t>
      </w:r>
      <w:r>
        <w:rPr>
          <w:rFonts w:ascii="Times New Roman;Times;serif" w:hAnsi="Times New Roman;Times;serif"/>
          <w:color w:val="231F20"/>
          <w:spacing w:val="-8"/>
          <w:sz w:val="20"/>
        </w:rPr>
        <w:t xml:space="preserve"> </w:t>
      </w:r>
      <w:r>
        <w:rPr>
          <w:rFonts w:ascii="Times New Roman;Times;serif" w:hAnsi="Times New Roman;Times;serif"/>
          <w:color w:val="231F20"/>
          <w:sz w:val="20"/>
        </w:rPr>
        <w:t>noted</w:t>
      </w:r>
      <w:r>
        <w:rPr>
          <w:rFonts w:ascii="Times New Roman;Times;serif" w:hAnsi="Times New Roman;Times;serif"/>
          <w:color w:val="231F20"/>
          <w:spacing w:val="-9"/>
          <w:sz w:val="20"/>
        </w:rPr>
        <w:t xml:space="preserve"> </w:t>
      </w:r>
      <w:r>
        <w:rPr>
          <w:rFonts w:ascii="Times New Roman;Times;serif" w:hAnsi="Times New Roman;Times;serif"/>
          <w:color w:val="231F20"/>
          <w:spacing w:val="-5"/>
          <w:sz w:val="20"/>
        </w:rPr>
        <w:t>above,</w:t>
      </w:r>
      <w:r>
        <w:rPr>
          <w:rFonts w:ascii="Times New Roman;Times;serif" w:hAnsi="Times New Roman;Times;serif"/>
          <w:color w:val="231F20"/>
          <w:spacing w:val="-9"/>
          <w:sz w:val="20"/>
        </w:rPr>
        <w:t xml:space="preser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Charter</w:t>
      </w:r>
      <w:r>
        <w:rPr>
          <w:rFonts w:ascii="Times New Roman;Times;serif" w:hAnsi="Times New Roman;Times;serif"/>
          <w:color w:val="231F20"/>
          <w:spacing w:val="-9"/>
          <w:sz w:val="20"/>
        </w:rPr>
        <w:t xml:space="preserve">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the</w:t>
      </w:r>
      <w:r>
        <w:rPr>
          <w:rFonts w:ascii="Times New Roman;Times;serif" w:hAnsi="Times New Roman;Times;serif"/>
          <w:color w:val="231F20"/>
          <w:spacing w:val="-9"/>
          <w:sz w:val="20"/>
        </w:rPr>
        <w:t xml:space="preserve"> </w:t>
      </w:r>
      <w:r>
        <w:rPr>
          <w:rFonts w:ascii="Times New Roman;Times;serif" w:hAnsi="Times New Roman;Times;serif"/>
          <w:color w:val="231F20"/>
          <w:spacing w:val="-3"/>
          <w:sz w:val="20"/>
        </w:rPr>
        <w:t>Bylaws</w:t>
      </w:r>
      <w:r>
        <w:rPr>
          <w:rFonts w:ascii="Times New Roman;Times;serif" w:hAnsi="Times New Roman;Times;serif"/>
          <w:color w:val="231F20"/>
          <w:spacing w:val="-9"/>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8"/>
          <w:sz w:val="20"/>
        </w:rPr>
        <w:t xml:space="preserve"> </w:t>
      </w:r>
      <w:r>
        <w:rPr>
          <w:rFonts w:ascii="Times New Roman;Times;serif" w:hAnsi="Times New Roman;Times;serif"/>
          <w:color w:val="231F20"/>
          <w:sz w:val="20"/>
        </w:rPr>
        <w:t>provide</w:t>
      </w:r>
      <w:r>
        <w:rPr>
          <w:rFonts w:ascii="Times New Roman;Times;serif" w:hAnsi="Times New Roman;Times;serif"/>
          <w:color w:val="231F20"/>
          <w:spacing w:val="-9"/>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8"/>
          <w:sz w:val="20"/>
        </w:rPr>
        <w:t xml:space="preserve"> </w:t>
      </w:r>
      <w:r>
        <w:rPr>
          <w:rFonts w:ascii="Times New Roman;Times;serif" w:hAnsi="Times New Roman;Times;serif"/>
          <w:color w:val="231F20"/>
          <w:sz w:val="20"/>
        </w:rPr>
        <w:t>federal</w:t>
      </w:r>
      <w:r>
        <w:rPr>
          <w:rFonts w:ascii="Times New Roman;Times;serif" w:hAnsi="Times New Roman;Times;serif"/>
          <w:color w:val="231F20"/>
          <w:spacing w:val="-9"/>
          <w:sz w:val="20"/>
        </w:rPr>
        <w:t xml:space="preserve"> </w:t>
      </w:r>
      <w:r>
        <w:rPr>
          <w:rFonts w:ascii="Times New Roman;Times;serif" w:hAnsi="Times New Roman;Times;serif"/>
          <w:color w:val="231F20"/>
          <w:sz w:val="20"/>
        </w:rPr>
        <w:t>district</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courts of the U.S. shall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jurisdiction </w:t>
      </w:r>
      <w:r>
        <w:rPr>
          <w:rFonts w:ascii="Times New Roman;Times;serif" w:hAnsi="Times New Roman;Times;serif"/>
          <w:color w:val="231F20"/>
          <w:spacing w:val="-3"/>
          <w:sz w:val="20"/>
        </w:rPr>
        <w:t xml:space="preserve">over any </w:t>
      </w:r>
      <w:r>
        <w:rPr>
          <w:rFonts w:ascii="Times New Roman;Times;serif" w:hAnsi="Times New Roman;Times;serif"/>
          <w:color w:val="231F20"/>
          <w:sz w:val="20"/>
        </w:rPr>
        <w:t>action arising under the Securities</w:t>
      </w:r>
      <w:r>
        <w:rPr>
          <w:rFonts w:ascii="Times New Roman;Times;serif" w:hAnsi="Times New Roman;Times;serif"/>
          <w:color w:val="231F20"/>
          <w:spacing w:val="39"/>
          <w:sz w:val="20"/>
        </w:rPr>
        <w:t xml:space="preserve"> </w:t>
      </w:r>
      <w:r>
        <w:rPr>
          <w:rFonts w:ascii="Times New Roman;Times;serif" w:hAnsi="Times New Roman;Times;serif"/>
          <w:color w:val="231F20"/>
          <w:sz w:val="20"/>
        </w:rPr>
        <w:t>Act.</w:t>
      </w:r>
    </w:p>
    <w:p>
      <w:pPr>
        <w:pStyle w:val="TextBody"/>
        <w:spacing w:before="164"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Accordingly, there is uncertainty as to whether a court would enforce such provision. Our stockholders will not be deemed to have waived our compliance with the federal securities laws and the rules and regulations thereunder.</w:t>
      </w:r>
    </w:p>
    <w:p>
      <w:pPr>
        <w:pStyle w:val="TextBody"/>
        <w:spacing w:before="1"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Certain of our stockholders have effective control of NRx, and their interests may conflict with NRx’s or yours in the future.</w:t>
      </w:r>
    </w:p>
    <w:p>
      <w:pPr>
        <w:pStyle w:val="TextBody"/>
        <w:spacing w:before="164"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Jonathan Javitt and Daniel Javitt beneficially own approximately 20.2% and 13.4% of the outstanding shares of Common Stock, respectively. For so long as Jonathan Javitt and Daniel Javitt continue to own a significant percentage of Common Stock, Jonathan Javitt and Daniel Javitt will still be able to significantly influence the composition of our Board and the approval of actions requiring stockholder approval. </w:t>
      </w:r>
      <w:r>
        <w:rPr>
          <w:rFonts w:ascii="Times New Roman;Times;serif" w:hAnsi="Times New Roman;Times;serif"/>
          <w:color w:val="231F20"/>
          <w:spacing w:val="-3"/>
          <w:sz w:val="20"/>
        </w:rPr>
        <w:t>Accordingly,</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0"/>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20"/>
          <w:sz w:val="20"/>
        </w:rPr>
        <w:t xml:space="preserve"> </w:t>
      </w:r>
      <w:r>
        <w:rPr>
          <w:rFonts w:ascii="Times New Roman;Times;serif" w:hAnsi="Times New Roman;Times;serif"/>
          <w:color w:val="231F20"/>
          <w:sz w:val="20"/>
        </w:rPr>
        <w:t>period</w:t>
      </w:r>
      <w:r>
        <w:rPr>
          <w:rFonts w:ascii="Times New Roman;Times;serif" w:hAnsi="Times New Roman;Times;serif"/>
          <w:color w:val="231F20"/>
          <w:spacing w:val="-20"/>
          <w:sz w:val="20"/>
        </w:rPr>
        <w:t xml:space="preserve"> </w:t>
      </w:r>
      <w:r>
        <w:rPr>
          <w:rFonts w:ascii="Times New Roman;Times;serif" w:hAnsi="Times New Roman;Times;serif"/>
          <w:color w:val="231F20"/>
          <w:sz w:val="20"/>
        </w:rPr>
        <w:t>of</w:t>
      </w:r>
      <w:r>
        <w:rPr>
          <w:rFonts w:ascii="Times New Roman;Times;serif" w:hAnsi="Times New Roman;Times;serif"/>
          <w:color w:val="231F20"/>
          <w:spacing w:val="-7"/>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Jonathan</w:t>
      </w:r>
      <w:r>
        <w:rPr>
          <w:rFonts w:ascii="Times New Roman;Times;serif" w:hAnsi="Times New Roman;Times;serif"/>
          <w:color w:val="231F20"/>
          <w:spacing w:val="-20"/>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2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0"/>
          <w:sz w:val="20"/>
        </w:rPr>
        <w:t xml:space="preserve"> </w:t>
      </w:r>
      <w:r>
        <w:rPr>
          <w:rFonts w:ascii="Times New Roman;Times;serif" w:hAnsi="Times New Roman;Times;serif"/>
          <w:color w:val="231F20"/>
          <w:sz w:val="20"/>
        </w:rPr>
        <w:t>Daniel</w:t>
      </w:r>
      <w:r>
        <w:rPr>
          <w:rFonts w:ascii="Times New Roman;Times;serif" w:hAnsi="Times New Roman;Times;serif"/>
          <w:color w:val="231F20"/>
          <w:spacing w:val="-20"/>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20"/>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9"/>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20"/>
          <w:sz w:val="20"/>
        </w:rPr>
        <w:t xml:space="preserve"> </w:t>
      </w:r>
      <w:r>
        <w:rPr>
          <w:rFonts w:ascii="Times New Roman;Times;serif" w:hAnsi="Times New Roman;Times;serif"/>
          <w:color w:val="231F20"/>
          <w:sz w:val="20"/>
        </w:rPr>
        <w:t>significant</w:t>
      </w:r>
      <w:r>
        <w:rPr>
          <w:rFonts w:ascii="Times New Roman;Times;serif" w:hAnsi="Times New Roman;Times;serif"/>
          <w:color w:val="231F20"/>
          <w:spacing w:val="-20"/>
          <w:sz w:val="20"/>
        </w:rPr>
        <w:t xml:space="preserve"> </w:t>
      </w:r>
      <w:r>
        <w:rPr>
          <w:rFonts w:ascii="Times New Roman;Times;serif" w:hAnsi="Times New Roman;Times;serif"/>
          <w:color w:val="231F20"/>
          <w:sz w:val="20"/>
        </w:rPr>
        <w:t>influence</w:t>
      </w:r>
      <w:r>
        <w:rPr>
          <w:rFonts w:ascii="Times New Roman;Times;serif" w:hAnsi="Times New Roman;Times;serif"/>
          <w:color w:val="231F20"/>
          <w:spacing w:val="-20"/>
          <w:sz w:val="20"/>
        </w:rPr>
        <w:t xml:space="preserve"> </w:t>
      </w:r>
      <w:r>
        <w:rPr>
          <w:rFonts w:ascii="Times New Roman;Times;serif" w:hAnsi="Times New Roman;Times;serif"/>
          <w:color w:val="231F20"/>
          <w:sz w:val="20"/>
        </w:rPr>
        <w:t xml:space="preserve">with respect to our management, business plans and policies. In particular,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so long as </w:t>
      </w:r>
      <w:r>
        <w:rPr>
          <w:rFonts w:ascii="Times New Roman;Times;serif" w:hAnsi="Times New Roman;Times;serif"/>
          <w:color w:val="231F20"/>
          <w:spacing w:val="-3"/>
          <w:sz w:val="20"/>
        </w:rPr>
        <w:t xml:space="preserve">Jonathan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and Daniel</w:t>
      </w:r>
      <w:r>
        <w:rPr>
          <w:rFonts w:ascii="Times New Roman;Times;serif" w:hAnsi="Times New Roman;Times;serif"/>
          <w:color w:val="231F20"/>
          <w:spacing w:val="-14"/>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13"/>
          <w:sz w:val="20"/>
        </w:rPr>
        <w:t xml:space="preserve"> </w:t>
      </w:r>
      <w:r>
        <w:rPr>
          <w:rFonts w:ascii="Times New Roman;Times;serif" w:hAnsi="Times New Roman;Times;serif"/>
          <w:color w:val="231F20"/>
          <w:sz w:val="20"/>
        </w:rPr>
        <w:t>continue</w:t>
      </w:r>
      <w:r>
        <w:rPr>
          <w:rFonts w:ascii="Times New Roman;Times;serif" w:hAnsi="Times New Roman;Times;serif"/>
          <w:color w:val="231F20"/>
          <w:spacing w:val="-13"/>
          <w:sz w:val="20"/>
        </w:rPr>
        <w:t xml:space="preserve"> </w:t>
      </w:r>
      <w:r>
        <w:rPr>
          <w:rFonts w:ascii="Times New Roman;Times;serif" w:hAnsi="Times New Roman;Times;serif"/>
          <w:color w:val="231F20"/>
          <w:sz w:val="20"/>
        </w:rPr>
        <w:t>to</w:t>
      </w:r>
      <w:r>
        <w:rPr>
          <w:rFonts w:ascii="Times New Roman;Times;serif" w:hAnsi="Times New Roman;Times;serif"/>
          <w:color w:val="231F20"/>
          <w:spacing w:val="-13"/>
          <w:sz w:val="20"/>
        </w:rPr>
        <w:t xml:space="preserve"> </w:t>
      </w:r>
      <w:r>
        <w:rPr>
          <w:rFonts w:ascii="Times New Roman;Times;serif" w:hAnsi="Times New Roman;Times;serif"/>
          <w:color w:val="231F20"/>
          <w:sz w:val="20"/>
        </w:rPr>
        <w:t>own</w:t>
      </w:r>
      <w:r>
        <w:rPr>
          <w:rFonts w:ascii="Times New Roman;Times;serif" w:hAnsi="Times New Roman;Times;serif"/>
          <w:color w:val="231F20"/>
          <w:spacing w:val="-13"/>
          <w:sz w:val="20"/>
        </w:rPr>
        <w:t xml:space="preserve"> </w:t>
      </w:r>
      <w:r>
        <w:rPr>
          <w:rFonts w:ascii="Times New Roman;Times;serif" w:hAnsi="Times New Roman;Times;serif"/>
          <w:color w:val="231F20"/>
          <w:sz w:val="20"/>
        </w:rPr>
        <w:t>a</w:t>
      </w:r>
      <w:r>
        <w:rPr>
          <w:rFonts w:ascii="Times New Roman;Times;serif" w:hAnsi="Times New Roman;Times;serif"/>
          <w:color w:val="231F20"/>
          <w:spacing w:val="-13"/>
          <w:sz w:val="20"/>
        </w:rPr>
        <w:t xml:space="preserve"> </w:t>
      </w:r>
      <w:r>
        <w:rPr>
          <w:rFonts w:ascii="Times New Roman;Times;serif" w:hAnsi="Times New Roman;Times;serif"/>
          <w:color w:val="231F20"/>
          <w:sz w:val="20"/>
        </w:rPr>
        <w:t>significant</w:t>
      </w:r>
      <w:r>
        <w:rPr>
          <w:rFonts w:ascii="Times New Roman;Times;serif" w:hAnsi="Times New Roman;Times;serif"/>
          <w:color w:val="231F20"/>
          <w:spacing w:val="-13"/>
          <w:sz w:val="20"/>
        </w:rPr>
        <w:t xml:space="preserve"> </w:t>
      </w:r>
      <w:r>
        <w:rPr>
          <w:rFonts w:ascii="Times New Roman;Times;serif" w:hAnsi="Times New Roman;Times;serif"/>
          <w:color w:val="231F20"/>
          <w:sz w:val="20"/>
        </w:rPr>
        <w:t>percentage</w:t>
      </w:r>
      <w:r>
        <w:rPr>
          <w:rFonts w:ascii="Times New Roman;Times;serif" w:hAnsi="Times New Roman;Times;serif"/>
          <w:color w:val="231F20"/>
          <w:spacing w:val="-13"/>
          <w:sz w:val="20"/>
        </w:rPr>
        <w:t xml:space="preserve"> </w:t>
      </w:r>
      <w:r>
        <w:rPr>
          <w:rFonts w:ascii="Times New Roman;Times;serif" w:hAnsi="Times New Roman;Times;serif"/>
          <w:color w:val="231F20"/>
          <w:sz w:val="20"/>
        </w:rPr>
        <w:t>of Common</w:t>
      </w:r>
      <w:r>
        <w:rPr>
          <w:rFonts w:ascii="Times New Roman;Times;serif" w:hAnsi="Times New Roman;Times;serif"/>
          <w:color w:val="231F20"/>
          <w:spacing w:val="-13"/>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Jonathan</w:t>
      </w:r>
      <w:r>
        <w:rPr>
          <w:rFonts w:ascii="Times New Roman;Times;serif" w:hAnsi="Times New Roman;Times;serif"/>
          <w:color w:val="231F20"/>
          <w:spacing w:val="-13"/>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13"/>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3"/>
          <w:sz w:val="20"/>
        </w:rPr>
        <w:t xml:space="preserve"> </w:t>
      </w:r>
      <w:r>
        <w:rPr>
          <w:rFonts w:ascii="Times New Roman;Times;serif" w:hAnsi="Times New Roman;Times;serif"/>
          <w:color w:val="231F20"/>
          <w:sz w:val="20"/>
        </w:rPr>
        <w:t>Daniel</w:t>
      </w:r>
      <w:r>
        <w:rPr>
          <w:rFonts w:ascii="Times New Roman;Times;serif" w:hAnsi="Times New Roman;Times;serif"/>
          <w:color w:val="231F20"/>
          <w:spacing w:val="-13"/>
          <w:sz w:val="20"/>
        </w:rPr>
        <w:t xml:space="preserve">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will</w:t>
      </w:r>
      <w:r>
        <w:rPr>
          <w:rFonts w:ascii="Times New Roman;Times;serif" w:hAnsi="Times New Roman;Times;serif"/>
          <w:color w:val="231F20"/>
          <w:spacing w:val="-15"/>
          <w:sz w:val="20"/>
        </w:rPr>
        <w:t xml:space="preserve"> </w:t>
      </w:r>
      <w:r>
        <w:rPr>
          <w:rFonts w:ascii="Times New Roman;Times;serif" w:hAnsi="Times New Roman;Times;serif"/>
          <w:color w:val="231F20"/>
          <w:sz w:val="20"/>
        </w:rPr>
        <w:t>be</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15"/>
          <w:sz w:val="20"/>
        </w:rPr>
        <w:t xml:space="preserve"> </w:t>
      </w:r>
      <w:r>
        <w:rPr>
          <w:rFonts w:ascii="Times New Roman;Times;serif" w:hAnsi="Times New Roman;Times;serif"/>
          <w:color w:val="231F20"/>
          <w:sz w:val="20"/>
        </w:rPr>
        <w:t>to</w:t>
      </w:r>
      <w:r>
        <w:rPr>
          <w:rFonts w:ascii="Times New Roman;Times;serif" w:hAnsi="Times New Roman;Times;serif"/>
          <w:color w:val="231F20"/>
          <w:spacing w:val="-15"/>
          <w:sz w:val="20"/>
        </w:rPr>
        <w:t xml:space="preserve"> influence </w:t>
      </w:r>
      <w:r>
        <w:rPr>
          <w:rFonts w:ascii="Times New Roman;Times;serif" w:hAnsi="Times New Roman;Times;serif"/>
          <w:color w:val="231F20"/>
          <w:sz w:val="20"/>
        </w:rPr>
        <w:t>the</w:t>
      </w:r>
      <w:r>
        <w:rPr>
          <w:rFonts w:ascii="Times New Roman;Times;serif" w:hAnsi="Times New Roman;Times;serif"/>
          <w:color w:val="231F20"/>
          <w:spacing w:val="-15"/>
          <w:sz w:val="20"/>
        </w:rPr>
        <w:t xml:space="preserve"> </w:t>
      </w:r>
      <w:r>
        <w:rPr>
          <w:rFonts w:ascii="Times New Roman;Times;serif" w:hAnsi="Times New Roman;Times;serif"/>
          <w:color w:val="231F20"/>
          <w:sz w:val="20"/>
        </w:rPr>
        <w:t>composition</w:t>
      </w:r>
      <w:r>
        <w:rPr>
          <w:rFonts w:ascii="Times New Roman;Times;serif" w:hAnsi="Times New Roman;Times;serif"/>
          <w:color w:val="231F20"/>
          <w:spacing w:val="-15"/>
          <w:sz w:val="20"/>
        </w:rPr>
        <w:t xml:space="preserve"> </w:t>
      </w:r>
      <w:r>
        <w:rPr>
          <w:rFonts w:ascii="Times New Roman;Times;serif" w:hAnsi="Times New Roman;Times;serif"/>
          <w:color w:val="231F20"/>
          <w:sz w:val="20"/>
        </w:rPr>
        <w:t>of</w:t>
      </w:r>
      <w:r>
        <w:rPr>
          <w:rFonts w:ascii="Times New Roman;Times;serif" w:hAnsi="Times New Roman;Times;serif"/>
          <w:color w:val="231F20"/>
          <w:spacing w:val="1"/>
          <w:sz w:val="20"/>
        </w:rPr>
        <w:t xml:space="preserve"> </w:t>
      </w:r>
      <w:r>
        <w:rPr>
          <w:rFonts w:ascii="Times New Roman;Times;serif" w:hAnsi="Times New Roman;Times;serif"/>
          <w:color w:val="231F20"/>
          <w:sz w:val="20"/>
        </w:rPr>
        <w:t>our</w:t>
      </w:r>
      <w:r>
        <w:rPr>
          <w:rFonts w:ascii="Times New Roman;Times;serif" w:hAnsi="Times New Roman;Times;serif"/>
          <w:color w:val="231F20"/>
          <w:spacing w:val="-15"/>
          <w:sz w:val="20"/>
        </w:rPr>
        <w:t xml:space="preserve"> </w:t>
      </w:r>
      <w:r>
        <w:rPr>
          <w:rFonts w:ascii="Times New Roman;Times;serif" w:hAnsi="Times New Roman;Times;serif"/>
          <w:color w:val="231F20"/>
          <w:sz w:val="20"/>
        </w:rPr>
        <w:t>Board and</w:t>
      </w:r>
      <w:r>
        <w:rPr>
          <w:rFonts w:ascii="Times New Roman;Times;serif" w:hAnsi="Times New Roman;Times;serif"/>
          <w:color w:val="231F20"/>
          <w:spacing w:val="-24"/>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24"/>
          <w:sz w:val="20"/>
        </w:rPr>
        <w:t xml:space="preserve"> </w:t>
      </w:r>
      <w:r>
        <w:rPr>
          <w:rFonts w:ascii="Times New Roman;Times;serif" w:hAnsi="Times New Roman;Times;serif"/>
          <w:color w:val="231F20"/>
          <w:sz w:val="20"/>
        </w:rPr>
        <w:t>preclude</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3"/>
          <w:sz w:val="20"/>
        </w:rPr>
        <w:t xml:space="preserve"> </w:t>
      </w:r>
      <w:r>
        <w:rPr>
          <w:rFonts w:ascii="Times New Roman;Times;serif" w:hAnsi="Times New Roman;Times;serif"/>
          <w:color w:val="231F20"/>
          <w:sz w:val="20"/>
        </w:rPr>
        <w:t>unsolicited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acquisition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NRx.</w:t>
      </w:r>
      <w:r>
        <w:rPr>
          <w:rFonts w:ascii="Times New Roman;Times;serif" w:hAnsi="Times New Roman;Times;serif"/>
          <w:color w:val="231F20"/>
          <w:spacing w:val="-2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concentration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ownership</w:t>
      </w:r>
      <w:r>
        <w:rPr>
          <w:rFonts w:ascii="Times New Roman;Times;serif" w:hAnsi="Times New Roman;Times;serif"/>
          <w:color w:val="231F20"/>
          <w:spacing w:val="-24"/>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24"/>
          <w:sz w:val="20"/>
        </w:rPr>
        <w:t xml:space="preserve"> </w:t>
      </w:r>
      <w:r>
        <w:rPr>
          <w:rFonts w:ascii="Times New Roman;Times;serif" w:hAnsi="Times New Roman;Times;serif"/>
          <w:color w:val="231F20"/>
          <w:sz w:val="20"/>
        </w:rPr>
        <w:t>deprive</w:t>
      </w:r>
      <w:r>
        <w:rPr>
          <w:rFonts w:ascii="Times New Roman;Times;serif" w:hAnsi="Times New Roman;Times;serif"/>
          <w:color w:val="231F20"/>
          <w:spacing w:val="-23"/>
          <w:sz w:val="20"/>
        </w:rPr>
        <w:t xml:space="preserve"> </w:t>
      </w:r>
      <w:r>
        <w:rPr>
          <w:rFonts w:ascii="Times New Roman;Times;serif" w:hAnsi="Times New Roman;Times;serif"/>
          <w:color w:val="231F20"/>
          <w:spacing w:val="-3"/>
          <w:sz w:val="20"/>
        </w:rPr>
        <w:t xml:space="preserve">you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an</w:t>
      </w:r>
      <w:r>
        <w:rPr>
          <w:rFonts w:ascii="Times New Roman;Times;serif" w:hAnsi="Times New Roman;Times;serif"/>
          <w:color w:val="231F20"/>
          <w:spacing w:val="-13"/>
          <w:sz w:val="20"/>
        </w:rPr>
        <w:t xml:space="preserve"> </w:t>
      </w:r>
      <w:r>
        <w:rPr>
          <w:rFonts w:ascii="Times New Roman;Times;serif" w:hAnsi="Times New Roman;Times;serif"/>
          <w:color w:val="231F20"/>
          <w:sz w:val="20"/>
        </w:rPr>
        <w:t>opportunity</w:t>
      </w:r>
      <w:r>
        <w:rPr>
          <w:rFonts w:ascii="Times New Roman;Times;serif" w:hAnsi="Times New Roman;Times;serif"/>
          <w:color w:val="231F20"/>
          <w:spacing w:val="-13"/>
          <w:sz w:val="20"/>
        </w:rPr>
        <w:t xml:space="preserve"> </w:t>
      </w:r>
      <w:r>
        <w:rPr>
          <w:rFonts w:ascii="Times New Roman;Times;serif" w:hAnsi="Times New Roman;Times;serif"/>
          <w:color w:val="231F20"/>
          <w:sz w:val="20"/>
        </w:rPr>
        <w:t>to</w:t>
      </w:r>
      <w:r>
        <w:rPr>
          <w:rFonts w:ascii="Times New Roman;Times;serif" w:hAnsi="Times New Roman;Times;serif"/>
          <w:color w:val="231F20"/>
          <w:spacing w:val="-12"/>
          <w:sz w:val="20"/>
        </w:rPr>
        <w:t xml:space="preserve"> </w:t>
      </w:r>
      <w:r>
        <w:rPr>
          <w:rFonts w:ascii="Times New Roman;Times;serif" w:hAnsi="Times New Roman;Times;serif"/>
          <w:color w:val="231F20"/>
          <w:sz w:val="20"/>
        </w:rPr>
        <w:t>receive</w:t>
      </w:r>
      <w:r>
        <w:rPr>
          <w:rFonts w:ascii="Times New Roman;Times;serif" w:hAnsi="Times New Roman;Times;serif"/>
          <w:color w:val="231F20"/>
          <w:spacing w:val="-13"/>
          <w:sz w:val="20"/>
        </w:rPr>
        <w:t xml:space="preserve"> </w:t>
      </w:r>
      <w:r>
        <w:rPr>
          <w:rFonts w:ascii="Times New Roman;Times;serif" w:hAnsi="Times New Roman;Times;serif"/>
          <w:color w:val="231F20"/>
          <w:sz w:val="20"/>
        </w:rPr>
        <w:t>a</w:t>
      </w:r>
      <w:r>
        <w:rPr>
          <w:rFonts w:ascii="Times New Roman;Times;serif" w:hAnsi="Times New Roman;Times;serif"/>
          <w:color w:val="231F20"/>
          <w:spacing w:val="-13"/>
          <w:sz w:val="20"/>
        </w:rPr>
        <w:t xml:space="preserve"> </w:t>
      </w:r>
      <w:r>
        <w:rPr>
          <w:rFonts w:ascii="Times New Roman;Times;serif" w:hAnsi="Times New Roman;Times;serif"/>
          <w:color w:val="231F20"/>
          <w:sz w:val="20"/>
        </w:rPr>
        <w:t>premium</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13"/>
          <w:sz w:val="20"/>
        </w:rPr>
        <w:t xml:space="preserve"> </w:t>
      </w:r>
      <w:r>
        <w:rPr>
          <w:rFonts w:ascii="Times New Roman;Times;serif" w:hAnsi="Times New Roman;Times;serif"/>
          <w:color w:val="231F20"/>
          <w:sz w:val="20"/>
        </w:rPr>
        <w:t>your</w:t>
      </w:r>
      <w:r>
        <w:rPr>
          <w:rFonts w:ascii="Times New Roman;Times;serif" w:hAnsi="Times New Roman;Times;serif"/>
          <w:color w:val="231F20"/>
          <w:spacing w:val="-13"/>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12"/>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13"/>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13"/>
          <w:sz w:val="20"/>
        </w:rPr>
        <w:t xml:space="preserve"> </w:t>
      </w:r>
      <w:r>
        <w:rPr>
          <w:rFonts w:ascii="Times New Roman;Times;serif" w:hAnsi="Times New Roman;Times;serif"/>
          <w:color w:val="231F20"/>
          <w:sz w:val="20"/>
        </w:rPr>
        <w:t>as</w:t>
      </w:r>
      <w:r>
        <w:rPr>
          <w:rFonts w:ascii="Times New Roman;Times;serif" w:hAnsi="Times New Roman;Times;serif"/>
          <w:color w:val="231F20"/>
          <w:spacing w:val="-12"/>
          <w:sz w:val="20"/>
        </w:rPr>
        <w:t xml:space="preserve"> </w:t>
      </w:r>
      <w:r>
        <w:rPr>
          <w:rFonts w:ascii="Times New Roman;Times;serif" w:hAnsi="Times New Roman;Times;serif"/>
          <w:color w:val="231F20"/>
          <w:sz w:val="20"/>
        </w:rPr>
        <w:t>part</w:t>
      </w:r>
      <w:r>
        <w:rPr>
          <w:rFonts w:ascii="Times New Roman;Times;serif" w:hAnsi="Times New Roman;Times;serif"/>
          <w:color w:val="231F20"/>
          <w:spacing w:val="-13"/>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a</w:t>
      </w:r>
      <w:r>
        <w:rPr>
          <w:rFonts w:ascii="Times New Roman;Times;serif" w:hAnsi="Times New Roman;Times;serif"/>
          <w:color w:val="231F20"/>
          <w:spacing w:val="-13"/>
          <w:sz w:val="20"/>
        </w:rPr>
        <w:t xml:space="preserve"> </w:t>
      </w:r>
      <w:r>
        <w:rPr>
          <w:rFonts w:ascii="Times New Roman;Times;serif" w:hAnsi="Times New Roman;Times;serif"/>
          <w:color w:val="231F20"/>
          <w:spacing w:val="-3"/>
          <w:sz w:val="20"/>
        </w:rPr>
        <w:t>sale</w:t>
      </w:r>
      <w:r>
        <w:rPr>
          <w:rFonts w:ascii="Times New Roman;Times;serif" w:hAnsi="Times New Roman;Times;serif"/>
          <w:color w:val="231F20"/>
          <w:spacing w:val="-12"/>
          <w:sz w:val="20"/>
        </w:rPr>
        <w:t xml:space="preserve"> </w:t>
      </w:r>
      <w:r>
        <w:rPr>
          <w:rFonts w:ascii="Times New Roman;Times;serif" w:hAnsi="Times New Roman;Times;serif"/>
          <w:color w:val="231F20"/>
          <w:sz w:val="20"/>
        </w:rPr>
        <w:t>of</w:t>
      </w:r>
      <w:r>
        <w:rPr>
          <w:rFonts w:ascii="Times New Roman;Times;serif" w:hAnsi="Times New Roman;Times;serif"/>
          <w:color w:val="231F20"/>
          <w:spacing w:val="3"/>
          <w:sz w:val="20"/>
        </w:rPr>
        <w:t xml:space="preserve"> </w:t>
      </w:r>
      <w:r>
        <w:rPr>
          <w:rFonts w:ascii="Times New Roman;Times;serif" w:hAnsi="Times New Roman;Times;serif"/>
          <w:color w:val="231F20"/>
          <w:sz w:val="20"/>
        </w:rPr>
        <w:t>NRx</w:t>
      </w:r>
      <w:r>
        <w:rPr>
          <w:rFonts w:ascii="Times New Roman;Times;serif" w:hAnsi="Times New Roman;Times;serif"/>
          <w:color w:val="231F20"/>
          <w:spacing w:val="-13"/>
          <w:sz w:val="20"/>
        </w:rPr>
        <w:t xml:space="preserve"> </w:t>
      </w:r>
      <w:r>
        <w:rPr>
          <w:rFonts w:ascii="Times New Roman;Times;serif" w:hAnsi="Times New Roman;Times;serif"/>
          <w:color w:val="231F20"/>
          <w:sz w:val="20"/>
        </w:rPr>
        <w:t>and ultimately might affect the market price of Common Stock. So</w:t>
      </w:r>
      <w:r>
        <w:rPr>
          <w:rFonts w:ascii="Times New Roman;Times;serif" w:hAnsi="Times New Roman;Times;serif"/>
          <w:color w:val="231F20"/>
          <w:spacing w:val="-8"/>
          <w:sz w:val="20"/>
        </w:rPr>
        <w:t xml:space="preserve"> </w:t>
      </w:r>
      <w:r>
        <w:rPr>
          <w:rFonts w:ascii="Times New Roman;Times;serif" w:hAnsi="Times New Roman;Times;serif"/>
          <w:color w:val="231F20"/>
          <w:sz w:val="20"/>
        </w:rPr>
        <w:t>long</w:t>
      </w:r>
      <w:r>
        <w:rPr>
          <w:rFonts w:ascii="Times New Roman;Times;serif" w:hAnsi="Times New Roman;Times;serif"/>
          <w:color w:val="231F20"/>
          <w:spacing w:val="-7"/>
          <w:sz w:val="20"/>
        </w:rPr>
        <w:t xml:space="preserve"> </w:t>
      </w:r>
      <w:r>
        <w:rPr>
          <w:rFonts w:ascii="Times New Roman;Times;serif" w:hAnsi="Times New Roman;Times;serif"/>
          <w:color w:val="231F20"/>
          <w:sz w:val="20"/>
        </w:rPr>
        <w:t>as</w:t>
      </w:r>
      <w:r>
        <w:rPr>
          <w:rFonts w:ascii="Times New Roman;Times;serif" w:hAnsi="Times New Roman;Times;serif"/>
          <w:color w:val="231F20"/>
          <w:spacing w:val="-8"/>
          <w:sz w:val="20"/>
        </w:rPr>
        <w:t xml:space="preserve"> </w:t>
      </w:r>
      <w:r>
        <w:rPr>
          <w:rFonts w:ascii="Times New Roman;Times;serif" w:hAnsi="Times New Roman;Times;serif"/>
          <w:color w:val="231F20"/>
          <w:spacing w:val="-3"/>
          <w:sz w:val="20"/>
        </w:rPr>
        <w:t>Jonathan</w:t>
      </w:r>
      <w:r>
        <w:rPr>
          <w:rFonts w:ascii="Times New Roman;Times;serif" w:hAnsi="Times New Roman;Times;serif"/>
          <w:color w:val="231F20"/>
          <w:spacing w:val="-8"/>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8"/>
          <w:sz w:val="20"/>
        </w:rPr>
        <w:t xml:space="preserve"> </w:t>
      </w:r>
      <w:r>
        <w:rPr>
          <w:rFonts w:ascii="Times New Roman;Times;serif" w:hAnsi="Times New Roman;Times;serif"/>
          <w:color w:val="231F20"/>
          <w:sz w:val="20"/>
        </w:rPr>
        <w:t>Daniel</w:t>
      </w:r>
      <w:r>
        <w:rPr>
          <w:rFonts w:ascii="Times New Roman;Times;serif" w:hAnsi="Times New Roman;Times;serif"/>
          <w:color w:val="231F20"/>
          <w:spacing w:val="-8"/>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8"/>
          <w:sz w:val="20"/>
        </w:rPr>
        <w:t xml:space="preserve"> </w:t>
      </w:r>
      <w:r>
        <w:rPr>
          <w:rFonts w:ascii="Times New Roman;Times;serif" w:hAnsi="Times New Roman;Times;serif"/>
          <w:color w:val="231F20"/>
          <w:sz w:val="20"/>
        </w:rPr>
        <w:t>continue</w:t>
      </w:r>
      <w:r>
        <w:rPr>
          <w:rFonts w:ascii="Times New Roman;Times;serif" w:hAnsi="Times New Roman;Times;serif"/>
          <w:color w:val="231F20"/>
          <w:spacing w:val="-8"/>
          <w:sz w:val="20"/>
        </w:rPr>
        <w:t xml:space="preserve"> </w:t>
      </w:r>
      <w:r>
        <w:rPr>
          <w:rFonts w:ascii="Times New Roman;Times;serif" w:hAnsi="Times New Roman;Times;serif"/>
          <w:color w:val="231F20"/>
          <w:sz w:val="20"/>
        </w:rPr>
        <w:t>to</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own</w:t>
      </w:r>
      <w:r>
        <w:rPr>
          <w:rFonts w:ascii="Times New Roman;Times;serif" w:hAnsi="Times New Roman;Times;serif"/>
          <w:color w:val="231F20"/>
          <w:spacing w:val="-8"/>
          <w:sz w:val="20"/>
        </w:rPr>
        <w:t xml:space="preserve"> </w:t>
      </w:r>
      <w:r>
        <w:rPr>
          <w:rFonts w:ascii="Times New Roman;Times;serif" w:hAnsi="Times New Roman;Times;serif"/>
          <w:color w:val="231F20"/>
          <w:sz w:val="20"/>
        </w:rPr>
        <w:t>a</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significant amount of our combined voting </w:t>
      </w:r>
      <w:r>
        <w:rPr>
          <w:rFonts w:ascii="Times New Roman;Times;serif" w:hAnsi="Times New Roman;Times;serif"/>
          <w:color w:val="231F20"/>
          <w:spacing w:val="-5"/>
          <w:sz w:val="20"/>
        </w:rPr>
        <w:t xml:space="preserve">power, </w:t>
      </w:r>
      <w:r>
        <w:rPr>
          <w:rFonts w:ascii="Times New Roman;Times;serif" w:hAnsi="Times New Roman;Times;serif"/>
          <w:color w:val="231F20"/>
          <w:sz w:val="20"/>
        </w:rPr>
        <w:t xml:space="preserve">even if such amount is less than 50%, </w:t>
      </w:r>
      <w:r>
        <w:rPr>
          <w:rFonts w:ascii="Times New Roman;Times;serif" w:hAnsi="Times New Roman;Times;serif"/>
          <w:color w:val="231F20"/>
          <w:spacing w:val="-3"/>
          <w:sz w:val="20"/>
        </w:rPr>
        <w:t xml:space="preserve">Jonathan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 xml:space="preserve">and Daniel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will</w:t>
      </w:r>
      <w:r>
        <w:rPr>
          <w:rFonts w:ascii="Times New Roman;Times;serif" w:hAnsi="Times New Roman;Times;serif"/>
          <w:color w:val="231F20"/>
          <w:spacing w:val="-4"/>
          <w:sz w:val="20"/>
        </w:rPr>
        <w:t xml:space="preserve"> </w:t>
      </w:r>
      <w:r>
        <w:rPr>
          <w:rFonts w:ascii="Times New Roman;Times;serif" w:hAnsi="Times New Roman;Times;serif"/>
          <w:color w:val="231F20"/>
          <w:sz w:val="20"/>
        </w:rPr>
        <w:t>continue</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be</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strongly</w:t>
      </w:r>
      <w:r>
        <w:rPr>
          <w:rFonts w:ascii="Times New Roman;Times;serif" w:hAnsi="Times New Roman;Times;serif"/>
          <w:color w:val="231F20"/>
          <w:spacing w:val="-4"/>
          <w:sz w:val="20"/>
        </w:rPr>
        <w:t xml:space="preserve"> </w:t>
      </w:r>
      <w:r>
        <w:rPr>
          <w:rFonts w:ascii="Times New Roman;Times;serif" w:hAnsi="Times New Roman;Times;serif"/>
          <w:color w:val="231F20"/>
          <w:sz w:val="20"/>
        </w:rPr>
        <w:t>influence</w:t>
      </w:r>
      <w:r>
        <w:rPr>
          <w:rFonts w:ascii="Times New Roman;Times;serif" w:hAnsi="Times New Roman;Times;serif"/>
          <w:color w:val="231F20"/>
          <w:spacing w:val="-4"/>
          <w:sz w:val="20"/>
        </w:rPr>
        <w:t xml:space="preserve"> </w:t>
      </w:r>
      <w:r>
        <w:rPr>
          <w:rFonts w:ascii="Times New Roman;Times;serif" w:hAnsi="Times New Roman;Times;serif"/>
          <w:color w:val="231F20"/>
          <w:sz w:val="20"/>
        </w:rPr>
        <w:t>or</w:t>
      </w:r>
      <w:r>
        <w:rPr>
          <w:rFonts w:ascii="Times New Roman;Times;serif" w:hAnsi="Times New Roman;Times;serif"/>
          <w:color w:val="231F20"/>
          <w:spacing w:val="-4"/>
          <w:sz w:val="20"/>
        </w:rPr>
        <w:t xml:space="preserve"> </w:t>
      </w:r>
      <w:r>
        <w:rPr>
          <w:rFonts w:ascii="Times New Roman;Times;serif" w:hAnsi="Times New Roman;Times;serif"/>
          <w:color w:val="231F20"/>
          <w:sz w:val="20"/>
        </w:rPr>
        <w:t>effectively</w:t>
      </w:r>
      <w:r>
        <w:rPr>
          <w:rFonts w:ascii="Times New Roman;Times;serif" w:hAnsi="Times New Roman;Times;serif"/>
          <w:color w:val="231F20"/>
          <w:spacing w:val="-4"/>
          <w:sz w:val="20"/>
        </w:rPr>
        <w:t xml:space="preserve"> </w:t>
      </w:r>
      <w:r>
        <w:rPr>
          <w:rFonts w:ascii="Times New Roman;Times;serif" w:hAnsi="Times New Roman;Times;serif"/>
          <w:color w:val="231F20"/>
          <w:sz w:val="20"/>
        </w:rPr>
        <w:t>control</w:t>
      </w:r>
      <w:r>
        <w:rPr>
          <w:rFonts w:ascii="Times New Roman;Times;serif" w:hAnsi="Times New Roman;Times;serif"/>
          <w:color w:val="231F20"/>
          <w:spacing w:val="-4"/>
          <w:sz w:val="20"/>
        </w:rPr>
        <w:t xml:space="preserve"> </w:t>
      </w:r>
      <w:r>
        <w:rPr>
          <w:rFonts w:ascii="Times New Roman;Times;serif" w:hAnsi="Times New Roman;Times;serif"/>
          <w:color w:val="231F20"/>
          <w:sz w:val="20"/>
        </w:rPr>
        <w:t>our</w:t>
      </w:r>
      <w:r>
        <w:rPr>
          <w:rFonts w:ascii="Times New Roman;Times;serif" w:hAnsi="Times New Roman;Times;serif"/>
          <w:color w:val="231F20"/>
          <w:spacing w:val="-4"/>
          <w:sz w:val="20"/>
        </w:rPr>
        <w:t xml:space="preserve"> </w:t>
      </w:r>
      <w:r>
        <w:rPr>
          <w:rFonts w:ascii="Times New Roman;Times;serif" w:hAnsi="Times New Roman;Times;serif"/>
          <w:color w:val="231F20"/>
          <w:sz w:val="20"/>
        </w:rPr>
        <w:t>decisions.</w:t>
      </w:r>
    </w:p>
    <w:p>
      <w:pPr>
        <w:pStyle w:val="TextBody"/>
        <w:spacing w:lineRule="auto" w:line="302" w:before="169" w:after="240"/>
        <w:ind w:left="0" w:right="0" w:firstLine="399"/>
        <w:jc w:val="both"/>
        <w:rPr>
          <w:rFonts w:ascii="Times New Roman;Times;serif" w:hAnsi="Times New Roman;Times;serif"/>
          <w:sz w:val="20"/>
        </w:rPr>
      </w:pPr>
      <w:r>
        <w:rPr>
          <w:rFonts w:ascii="Times New Roman;Times;serif" w:hAnsi="Times New Roman;Times;serif"/>
          <w:color w:val="231F20"/>
          <w:sz w:val="20"/>
        </w:rPr>
        <w:t>Notwithstanding</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Jonathan</w:t>
      </w:r>
      <w:r>
        <w:rPr>
          <w:rFonts w:ascii="Times New Roman;Times;serif" w:hAnsi="Times New Roman;Times;serif"/>
          <w:color w:val="231F20"/>
          <w:spacing w:val="-19"/>
          <w:sz w:val="20"/>
        </w:rPr>
        <w:t xml:space="preserve"> </w:t>
      </w:r>
      <w:r>
        <w:rPr>
          <w:rFonts w:ascii="Times New Roman;Times;serif" w:hAnsi="Times New Roman;Times;serif"/>
          <w:color w:val="231F20"/>
          <w:spacing w:val="-6"/>
          <w:sz w:val="20"/>
        </w:rPr>
        <w:t>Javitt’s</w:t>
      </w:r>
      <w:r>
        <w:rPr>
          <w:rFonts w:ascii="Times New Roman;Times;serif" w:hAnsi="Times New Roman;Times;serif"/>
          <w:color w:val="231F20"/>
          <w:spacing w:val="-20"/>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color w:val="231F20"/>
          <w:sz w:val="20"/>
        </w:rPr>
        <w:t>Daniel</w:t>
      </w:r>
      <w:r>
        <w:rPr>
          <w:rFonts w:ascii="Times New Roman;Times;serif" w:hAnsi="Times New Roman;Times;serif"/>
          <w:color w:val="231F20"/>
          <w:spacing w:val="-20"/>
          <w:sz w:val="20"/>
        </w:rPr>
        <w:t xml:space="preserve"> </w:t>
      </w:r>
      <w:r>
        <w:rPr>
          <w:rFonts w:ascii="Times New Roman;Times;serif" w:hAnsi="Times New Roman;Times;serif"/>
          <w:color w:val="231F20"/>
          <w:spacing w:val="-6"/>
          <w:sz w:val="20"/>
        </w:rPr>
        <w:t>Javitt’s</w:t>
      </w:r>
      <w:r>
        <w:rPr>
          <w:rFonts w:ascii="Times New Roman;Times;serif" w:hAnsi="Times New Roman;Times;serif"/>
          <w:color w:val="231F20"/>
          <w:spacing w:val="-19"/>
          <w:sz w:val="20"/>
        </w:rPr>
        <w:t xml:space="preserve"> </w:t>
      </w:r>
      <w:r>
        <w:rPr>
          <w:rFonts w:ascii="Times New Roman;Times;serif" w:hAnsi="Times New Roman;Times;serif"/>
          <w:color w:val="231F20"/>
          <w:sz w:val="20"/>
        </w:rPr>
        <w:t>substantial</w:t>
      </w:r>
      <w:r>
        <w:rPr>
          <w:rFonts w:ascii="Times New Roman;Times;serif" w:hAnsi="Times New Roman;Times;serif"/>
          <w:color w:val="231F20"/>
          <w:spacing w:val="-19"/>
          <w:sz w:val="20"/>
        </w:rPr>
        <w:t xml:space="preserve"> </w:t>
      </w:r>
      <w:r>
        <w:rPr>
          <w:rFonts w:ascii="Times New Roman;Times;serif" w:hAnsi="Times New Roman;Times;serif"/>
          <w:color w:val="231F20"/>
          <w:sz w:val="20"/>
        </w:rPr>
        <w:t>influence</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over</w:t>
      </w:r>
      <w:r>
        <w:rPr>
          <w:rFonts w:ascii="Times New Roman;Times;serif" w:hAnsi="Times New Roman;Times;serif"/>
          <w:color w:val="231F20"/>
          <w:spacing w:val="-19"/>
          <w:sz w:val="20"/>
        </w:rPr>
        <w:t xml:space="preserve"> </w:t>
      </w:r>
      <w:r>
        <w:rPr>
          <w:rFonts w:ascii="Times New Roman;Times;serif" w:hAnsi="Times New Roman;Times;serif"/>
          <w:color w:val="231F20"/>
          <w:sz w:val="20"/>
        </w:rPr>
        <w:t>NRx,</w:t>
      </w:r>
      <w:r>
        <w:rPr>
          <w:rFonts w:ascii="Times New Roman;Times;serif" w:hAnsi="Times New Roman;Times;serif"/>
          <w:color w:val="231F20"/>
          <w:spacing w:val="-20"/>
          <w:sz w:val="20"/>
        </w:rPr>
        <w:t xml:space="preserve"> </w:t>
      </w:r>
      <w:r>
        <w:rPr>
          <w:rFonts w:ascii="Times New Roman;Times;serif" w:hAnsi="Times New Roman;Times;serif"/>
          <w:color w:val="231F20"/>
          <w:sz w:val="20"/>
        </w:rPr>
        <w:t xml:space="preserve">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from time to time enter into transactions with </w:t>
      </w:r>
      <w:r>
        <w:rPr>
          <w:rFonts w:ascii="Times New Roman;Times;serif" w:hAnsi="Times New Roman;Times;serif"/>
          <w:color w:val="231F20"/>
          <w:spacing w:val="-3"/>
          <w:sz w:val="20"/>
        </w:rPr>
        <w:t xml:space="preserve">Jonathan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 xml:space="preserve">and Daniel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and their respective affiliates,</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w:t>
      </w:r>
      <w:r>
        <w:rPr>
          <w:rFonts w:ascii="Times New Roman;Times;serif" w:hAnsi="Times New Roman;Times;serif"/>
          <w:color w:val="231F20"/>
          <w:spacing w:val="-18"/>
          <w:sz w:val="20"/>
        </w:rPr>
        <w:t xml:space="preserve"> </w:t>
      </w:r>
      <w:r>
        <w:rPr>
          <w:rFonts w:ascii="Times New Roman;Times;serif" w:hAnsi="Times New Roman;Times;serif"/>
          <w:color w:val="231F20"/>
          <w:sz w:val="20"/>
        </w:rPr>
        <w:t>enter</w:t>
      </w:r>
      <w:r>
        <w:rPr>
          <w:rFonts w:ascii="Times New Roman;Times;serif" w:hAnsi="Times New Roman;Times;serif"/>
          <w:color w:val="231F20"/>
          <w:spacing w:val="-17"/>
          <w:sz w:val="20"/>
        </w:rPr>
        <w:t xml:space="preserve"> </w:t>
      </w:r>
      <w:r>
        <w:rPr>
          <w:rFonts w:ascii="Times New Roman;Times;serif" w:hAnsi="Times New Roman;Times;serif"/>
          <w:color w:val="231F20"/>
          <w:sz w:val="20"/>
        </w:rPr>
        <w:t>into</w:t>
      </w:r>
      <w:r>
        <w:rPr>
          <w:rFonts w:ascii="Times New Roman;Times;serif" w:hAnsi="Times New Roman;Times;serif"/>
          <w:color w:val="231F20"/>
          <w:spacing w:val="-18"/>
          <w:sz w:val="20"/>
        </w:rPr>
        <w:t xml:space="preserve"> </w:t>
      </w:r>
      <w:r>
        <w:rPr>
          <w:rFonts w:ascii="Times New Roman;Times;serif" w:hAnsi="Times New Roman;Times;serif"/>
          <w:color w:val="231F20"/>
          <w:sz w:val="20"/>
        </w:rPr>
        <w:t>transactions</w:t>
      </w:r>
      <w:r>
        <w:rPr>
          <w:rFonts w:ascii="Times New Roman;Times;serif" w:hAnsi="Times New Roman;Times;serif"/>
          <w:color w:val="231F20"/>
          <w:spacing w:val="-18"/>
          <w:sz w:val="20"/>
        </w:rPr>
        <w:t xml:space="preserve"> </w:t>
      </w:r>
      <w:r>
        <w:rPr>
          <w:rFonts w:ascii="Times New Roman;Times;serif" w:hAnsi="Times New Roman;Times;serif"/>
          <w:color w:val="231F20"/>
          <w:sz w:val="20"/>
        </w:rPr>
        <w:t>in</w:t>
      </w:r>
      <w:r>
        <w:rPr>
          <w:rFonts w:ascii="Times New Roman;Times;serif" w:hAnsi="Times New Roman;Times;serif"/>
          <w:color w:val="231F20"/>
          <w:spacing w:val="-17"/>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18"/>
          <w:sz w:val="20"/>
        </w:rPr>
        <w:t xml:space="preserve"> </w:t>
      </w:r>
      <w:r>
        <w:rPr>
          <w:rFonts w:ascii="Times New Roman;Times;serif" w:hAnsi="Times New Roman;Times;serif"/>
          <w:color w:val="231F20"/>
          <w:spacing w:val="-3"/>
          <w:sz w:val="20"/>
        </w:rPr>
        <w:t>Jonathan</w:t>
      </w:r>
      <w:r>
        <w:rPr>
          <w:rFonts w:ascii="Times New Roman;Times;serif" w:hAnsi="Times New Roman;Times;serif"/>
          <w:color w:val="231F20"/>
          <w:spacing w:val="-17"/>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18"/>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8"/>
          <w:sz w:val="20"/>
        </w:rPr>
        <w:t xml:space="preserve"> </w:t>
      </w:r>
      <w:r>
        <w:rPr>
          <w:rFonts w:ascii="Times New Roman;Times;serif" w:hAnsi="Times New Roman;Times;serif"/>
          <w:color w:val="231F20"/>
          <w:sz w:val="20"/>
        </w:rPr>
        <w:t>Daniel</w:t>
      </w:r>
      <w:r>
        <w:rPr>
          <w:rFonts w:ascii="Times New Roman;Times;serif" w:hAnsi="Times New Roman;Times;serif"/>
          <w:color w:val="231F20"/>
          <w:spacing w:val="-17"/>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18"/>
          <w:sz w:val="20"/>
        </w:rPr>
        <w:t xml:space="preserve"> </w:t>
      </w:r>
      <w:r>
        <w:rPr>
          <w:rFonts w:ascii="Times New Roman;Times;serif" w:hAnsi="Times New Roman;Times;serif"/>
          <w:color w:val="231F20"/>
          <w:sz w:val="20"/>
        </w:rPr>
        <w:t>or</w:t>
      </w:r>
      <w:r>
        <w:rPr>
          <w:rFonts w:ascii="Times New Roman;Times;serif" w:hAnsi="Times New Roman;Times;serif"/>
          <w:color w:val="231F20"/>
          <w:spacing w:val="-17"/>
          <w:sz w:val="20"/>
        </w:rPr>
        <w:t xml:space="preserve"> </w:t>
      </w:r>
      <w:r>
        <w:rPr>
          <w:rFonts w:ascii="Times New Roman;Times;serif" w:hAnsi="Times New Roman;Times;serif"/>
          <w:color w:val="231F20"/>
          <w:sz w:val="20"/>
        </w:rPr>
        <w:t>their</w:t>
      </w:r>
      <w:r>
        <w:rPr>
          <w:rFonts w:ascii="Times New Roman;Times;serif" w:hAnsi="Times New Roman;Times;serif"/>
          <w:color w:val="231F20"/>
          <w:spacing w:val="-18"/>
          <w:sz w:val="20"/>
        </w:rPr>
        <w:t xml:space="preserve"> </w:t>
      </w:r>
      <w:r>
        <w:rPr>
          <w:rFonts w:ascii="Times New Roman;Times;serif" w:hAnsi="Times New Roman;Times;serif"/>
          <w:color w:val="231F20"/>
          <w:sz w:val="20"/>
        </w:rPr>
        <w:t>respective</w:t>
      </w:r>
      <w:r>
        <w:rPr>
          <w:rFonts w:ascii="Times New Roman;Times;serif" w:hAnsi="Times New Roman;Times;serif"/>
          <w:color w:val="231F20"/>
          <w:spacing w:val="-18"/>
          <w:sz w:val="20"/>
        </w:rPr>
        <w:t xml:space="preserve"> </w:t>
      </w:r>
      <w:r>
        <w:rPr>
          <w:rFonts w:ascii="Times New Roman;Times;serif" w:hAnsi="Times New Roman;Times;serif"/>
          <w:color w:val="231F20"/>
          <w:sz w:val="20"/>
        </w:rPr>
        <w:t>affiliates otherwise</w:t>
      </w:r>
      <w:r>
        <w:rPr>
          <w:rFonts w:ascii="Times New Roman;Times;serif" w:hAnsi="Times New Roman;Times;serif"/>
          <w:color w:val="231F20"/>
          <w:spacing w:val="-23"/>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22"/>
          <w:sz w:val="20"/>
        </w:rPr>
        <w:t xml:space="preserve"> </w:t>
      </w:r>
      <w:r>
        <w:rPr>
          <w:rFonts w:ascii="Times New Roman;Times;serif" w:hAnsi="Times New Roman;Times;serif"/>
          <w:color w:val="231F20"/>
          <w:sz w:val="20"/>
        </w:rPr>
        <w:t>a</w:t>
      </w:r>
      <w:r>
        <w:rPr>
          <w:rFonts w:ascii="Times New Roman;Times;serif" w:hAnsi="Times New Roman;Times;serif"/>
          <w:color w:val="231F20"/>
          <w:spacing w:val="-23"/>
          <w:sz w:val="20"/>
        </w:rPr>
        <w:t xml:space="preserve"> </w:t>
      </w:r>
      <w:r>
        <w:rPr>
          <w:rFonts w:ascii="Times New Roman;Times;serif" w:hAnsi="Times New Roman;Times;serif"/>
          <w:color w:val="231F20"/>
          <w:sz w:val="20"/>
        </w:rPr>
        <w:t>direct</w:t>
      </w:r>
      <w:r>
        <w:rPr>
          <w:rFonts w:ascii="Times New Roman;Times;serif" w:hAnsi="Times New Roman;Times;serif"/>
          <w:color w:val="231F20"/>
          <w:spacing w:val="-22"/>
          <w:sz w:val="20"/>
        </w:rPr>
        <w:t xml:space="preserve"> </w:t>
      </w:r>
      <w:r>
        <w:rPr>
          <w:rFonts w:ascii="Times New Roman;Times;serif" w:hAnsi="Times New Roman;Times;serif"/>
          <w:color w:val="231F20"/>
          <w:sz w:val="20"/>
        </w:rPr>
        <w:t>or</w:t>
      </w:r>
      <w:r>
        <w:rPr>
          <w:rFonts w:ascii="Times New Roman;Times;serif" w:hAnsi="Times New Roman;Times;serif"/>
          <w:color w:val="231F20"/>
          <w:spacing w:val="-23"/>
          <w:sz w:val="20"/>
        </w:rPr>
        <w:t xml:space="preserve"> </w:t>
      </w:r>
      <w:r>
        <w:rPr>
          <w:rFonts w:ascii="Times New Roman;Times;serif" w:hAnsi="Times New Roman;Times;serif"/>
          <w:color w:val="231F20"/>
          <w:sz w:val="20"/>
        </w:rPr>
        <w:t>indirect</w:t>
      </w:r>
      <w:r>
        <w:rPr>
          <w:rFonts w:ascii="Times New Roman;Times;serif" w:hAnsi="Times New Roman;Times;serif"/>
          <w:color w:val="231F20"/>
          <w:spacing w:val="-22"/>
          <w:sz w:val="20"/>
        </w:rPr>
        <w:t xml:space="preserve"> </w:t>
      </w:r>
      <w:r>
        <w:rPr>
          <w:rFonts w:ascii="Times New Roman;Times;serif" w:hAnsi="Times New Roman;Times;serif"/>
          <w:color w:val="231F20"/>
          <w:sz w:val="20"/>
        </w:rPr>
        <w:t>material</w:t>
      </w:r>
      <w:r>
        <w:rPr>
          <w:rFonts w:ascii="Times New Roman;Times;serif" w:hAnsi="Times New Roman;Times;serif"/>
          <w:color w:val="231F20"/>
          <w:spacing w:val="-23"/>
          <w:sz w:val="20"/>
        </w:rPr>
        <w:t xml:space="preserve"> </w:t>
      </w:r>
      <w:r>
        <w:rPr>
          <w:rFonts w:ascii="Times New Roman;Times;serif" w:hAnsi="Times New Roman;Times;serif"/>
          <w:color w:val="231F20"/>
          <w:sz w:val="20"/>
        </w:rPr>
        <w:t>interest.</w:t>
      </w:r>
      <w:r>
        <w:rPr>
          <w:rFonts w:ascii="Times New Roman;Times;serif" w:hAnsi="Times New Roman;Times;serif"/>
          <w:color w:val="231F20"/>
          <w:spacing w:val="-22"/>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22"/>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23"/>
          <w:sz w:val="20"/>
        </w:rPr>
        <w:t xml:space="preserve"> </w:t>
      </w:r>
      <w:r>
        <w:rPr>
          <w:rFonts w:ascii="Times New Roman;Times;serif" w:hAnsi="Times New Roman;Times;serif"/>
          <w:color w:val="231F20"/>
          <w:sz w:val="20"/>
        </w:rPr>
        <w:t>adopted</w:t>
      </w:r>
      <w:r>
        <w:rPr>
          <w:rFonts w:ascii="Times New Roman;Times;serif" w:hAnsi="Times New Roman;Times;serif"/>
          <w:color w:val="231F20"/>
          <w:spacing w:val="-22"/>
          <w:sz w:val="20"/>
        </w:rPr>
        <w:t xml:space="preserve"> </w:t>
      </w:r>
      <w:r>
        <w:rPr>
          <w:rFonts w:ascii="Times New Roman;Times;serif" w:hAnsi="Times New Roman;Times;serif"/>
          <w:color w:val="231F20"/>
          <w:sz w:val="20"/>
        </w:rPr>
        <w:t>a</w:t>
      </w:r>
      <w:r>
        <w:rPr>
          <w:rFonts w:ascii="Times New Roman;Times;serif" w:hAnsi="Times New Roman;Times;serif"/>
          <w:color w:val="231F20"/>
          <w:spacing w:val="-23"/>
          <w:sz w:val="20"/>
        </w:rPr>
        <w:t xml:space="preserve"> </w:t>
      </w:r>
      <w:r>
        <w:rPr>
          <w:rFonts w:ascii="Times New Roman;Times;serif" w:hAnsi="Times New Roman;Times;serif"/>
          <w:color w:val="231F20"/>
          <w:spacing w:val="-3"/>
          <w:sz w:val="20"/>
        </w:rPr>
        <w:t>formal</w:t>
      </w:r>
      <w:r>
        <w:rPr>
          <w:rFonts w:ascii="Times New Roman;Times;serif" w:hAnsi="Times New Roman;Times;serif"/>
          <w:color w:val="231F20"/>
          <w:spacing w:val="-22"/>
          <w:sz w:val="20"/>
        </w:rPr>
        <w:t xml:space="preserve"> </w:t>
      </w:r>
      <w:r>
        <w:rPr>
          <w:rFonts w:ascii="Times New Roman;Times;serif" w:hAnsi="Times New Roman;Times;serif"/>
          <w:color w:val="231F20"/>
          <w:sz w:val="20"/>
        </w:rPr>
        <w:t>written</w:t>
      </w:r>
      <w:r>
        <w:rPr>
          <w:rFonts w:ascii="Times New Roman;Times;serif" w:hAnsi="Times New Roman;Times;serif"/>
          <w:color w:val="231F20"/>
          <w:spacing w:val="-23"/>
          <w:sz w:val="20"/>
        </w:rPr>
        <w:t xml:space="preserve"> </w:t>
      </w:r>
      <w:r>
        <w:rPr>
          <w:rFonts w:ascii="Times New Roman;Times;serif" w:hAnsi="Times New Roman;Times;serif"/>
          <w:color w:val="231F20"/>
          <w:sz w:val="20"/>
        </w:rPr>
        <w:t>policy</w:t>
      </w:r>
      <w:r>
        <w:rPr>
          <w:rFonts w:ascii="Times New Roman;Times;serif" w:hAnsi="Times New Roman;Times;serif"/>
          <w:color w:val="231F20"/>
          <w:spacing w:val="-22"/>
          <w:sz w:val="20"/>
        </w:rPr>
        <w:t xml:space="preserve"> </w:t>
      </w:r>
      <w:r>
        <w:rPr>
          <w:rFonts w:ascii="Times New Roman;Times;serif" w:hAnsi="Times New Roman;Times;serif"/>
          <w:color w:val="231F20"/>
          <w:spacing w:val="-3"/>
          <w:sz w:val="20"/>
        </w:rPr>
        <w:t>for</w:t>
      </w:r>
      <w:r>
        <w:rPr>
          <w:rFonts w:ascii="Times New Roman;Times;serif" w:hAnsi="Times New Roman;Times;serif"/>
          <w:color w:val="231F20"/>
          <w:spacing w:val="-22"/>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3"/>
          <w:sz w:val="20"/>
        </w:rPr>
        <w:t xml:space="preserve"> </w:t>
      </w:r>
      <w:r>
        <w:rPr>
          <w:rFonts w:ascii="Times New Roman;Times;serif" w:hAnsi="Times New Roman;Times;serif"/>
          <w:color w:val="231F20"/>
          <w:sz w:val="20"/>
        </w:rPr>
        <w:t>review and</w:t>
      </w:r>
      <w:r>
        <w:rPr>
          <w:rFonts w:ascii="Times New Roman;Times;serif" w:hAnsi="Times New Roman;Times;serif"/>
          <w:color w:val="231F20"/>
          <w:spacing w:val="-25"/>
          <w:sz w:val="20"/>
        </w:rPr>
        <w:t xml:space="preserve"> </w:t>
      </w:r>
      <w:r>
        <w:rPr>
          <w:rFonts w:ascii="Times New Roman;Times;serif" w:hAnsi="Times New Roman;Times;serif"/>
          <w:color w:val="231F20"/>
          <w:spacing w:val="-4"/>
          <w:sz w:val="20"/>
        </w:rPr>
        <w:t>approval</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3"/>
          <w:sz w:val="20"/>
        </w:rPr>
        <w:t xml:space="preserve"> </w:t>
      </w:r>
      <w:r>
        <w:rPr>
          <w:rFonts w:ascii="Times New Roman;Times;serif" w:hAnsi="Times New Roman;Times;serif"/>
          <w:color w:val="231F20"/>
          <w:sz w:val="20"/>
        </w:rPr>
        <w:t>transactions</w:t>
      </w:r>
      <w:r>
        <w:rPr>
          <w:rFonts w:ascii="Times New Roman;Times;serif" w:hAnsi="Times New Roman;Times;serif"/>
          <w:color w:val="231F20"/>
          <w:spacing w:val="-24"/>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5"/>
          <w:sz w:val="20"/>
        </w:rPr>
        <w:t xml:space="preserve"> </w:t>
      </w:r>
      <w:r>
        <w:rPr>
          <w:rFonts w:ascii="Times New Roman;Times;serif" w:hAnsi="Times New Roman;Times;serif"/>
          <w:color w:val="231F20"/>
          <w:sz w:val="20"/>
        </w:rPr>
        <w:t>related</w:t>
      </w:r>
      <w:r>
        <w:rPr>
          <w:rFonts w:ascii="Times New Roman;Times;serif" w:hAnsi="Times New Roman;Times;serif"/>
          <w:color w:val="231F20"/>
          <w:spacing w:val="-24"/>
          <w:sz w:val="20"/>
        </w:rPr>
        <w:t xml:space="preserve"> </w:t>
      </w:r>
      <w:r>
        <w:rPr>
          <w:rFonts w:ascii="Times New Roman;Times;serif" w:hAnsi="Times New Roman;Times;serif"/>
          <w:color w:val="231F20"/>
          <w:sz w:val="20"/>
        </w:rPr>
        <w:t>persons.</w:t>
      </w:r>
      <w:r>
        <w:rPr>
          <w:rFonts w:ascii="Times New Roman;Times;serif" w:hAnsi="Times New Roman;Times;serif"/>
          <w:color w:val="231F20"/>
          <w:spacing w:val="-25"/>
          <w:sz w:val="20"/>
        </w:rPr>
        <w:t xml:space="preserve"> </w:t>
      </w:r>
      <w:r>
        <w:rPr>
          <w:rFonts w:ascii="Times New Roman;Times;serif" w:hAnsi="Times New Roman;Times;serif"/>
          <w:color w:val="231F20"/>
          <w:sz w:val="20"/>
        </w:rPr>
        <w:t>A</w:t>
      </w:r>
      <w:r>
        <w:rPr>
          <w:rFonts w:ascii="Times New Roman;Times;serif" w:hAnsi="Times New Roman;Times;serif"/>
          <w:color w:val="231F20"/>
          <w:spacing w:val="-24"/>
          <w:sz w:val="20"/>
        </w:rPr>
        <w:t xml:space="preserve"> </w:t>
      </w:r>
      <w:r>
        <w:rPr>
          <w:rFonts w:ascii="Times New Roman;Times;serif" w:hAnsi="Times New Roman;Times;serif"/>
          <w:color w:val="231F20"/>
          <w:sz w:val="20"/>
        </w:rPr>
        <w:t>description</w:t>
      </w:r>
      <w:r>
        <w:rPr>
          <w:rFonts w:ascii="Times New Roman;Times;serif" w:hAnsi="Times New Roman;Times;serif"/>
          <w:color w:val="231F20"/>
          <w:spacing w:val="-2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policy</w:t>
      </w:r>
      <w:r>
        <w:rPr>
          <w:rFonts w:ascii="Times New Roman;Times;serif" w:hAnsi="Times New Roman;Times;serif"/>
          <w:color w:val="231F20"/>
          <w:spacing w:val="-25"/>
          <w:sz w:val="20"/>
        </w:rPr>
        <w:t xml:space="preserve"> </w:t>
      </w:r>
      <w:r>
        <w:rPr>
          <w:rFonts w:ascii="Times New Roman;Times;serif" w:hAnsi="Times New Roman;Times;serif"/>
          <w:color w:val="231F20"/>
          <w:sz w:val="20"/>
        </w:rPr>
        <w:t>we</w:t>
      </w:r>
      <w:r>
        <w:rPr>
          <w:rFonts w:ascii="Times New Roman;Times;serif" w:hAnsi="Times New Roman;Times;serif"/>
          <w:color w:val="231F20"/>
          <w:spacing w:val="-24"/>
          <w:sz w:val="20"/>
        </w:rPr>
        <w:t xml:space="preserve"> </w:t>
      </w:r>
      <w:r>
        <w:rPr>
          <w:rFonts w:ascii="Times New Roman;Times;serif" w:hAnsi="Times New Roman;Times;serif"/>
          <w:color w:val="231F20"/>
          <w:sz w:val="20"/>
        </w:rPr>
        <w:t>adopted</w:t>
      </w:r>
      <w:r>
        <w:rPr>
          <w:rFonts w:ascii="Times New Roman;Times;serif" w:hAnsi="Times New Roman;Times;serif"/>
          <w:color w:val="231F20"/>
          <w:spacing w:val="-25"/>
          <w:sz w:val="20"/>
        </w:rPr>
        <w:t xml:space="preserve"> </w:t>
      </w:r>
      <w:r>
        <w:rPr>
          <w:rFonts w:ascii="Times New Roman;Times;serif" w:hAnsi="Times New Roman;Times;serif"/>
          <w:color w:val="231F20"/>
          <w:sz w:val="20"/>
        </w:rPr>
        <w:t>with</w:t>
      </w:r>
      <w:r>
        <w:rPr>
          <w:rFonts w:ascii="Times New Roman;Times;serif" w:hAnsi="Times New Roman;Times;serif"/>
          <w:color w:val="231F20"/>
          <w:spacing w:val="-24"/>
          <w:sz w:val="20"/>
        </w:rPr>
        <w:t xml:space="preserve"> </w:t>
      </w:r>
      <w:r>
        <w:rPr>
          <w:rFonts w:ascii="Times New Roman;Times;serif" w:hAnsi="Times New Roman;Times;serif"/>
          <w:color w:val="231F20"/>
          <w:sz w:val="20"/>
        </w:rPr>
        <w:t>respect</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 xml:space="preserve">the </w:t>
      </w:r>
      <w:r>
        <w:rPr>
          <w:rFonts w:ascii="Times New Roman;Times;serif" w:hAnsi="Times New Roman;Times;serif"/>
          <w:color w:val="231F20"/>
          <w:spacing w:val="-4"/>
          <w:sz w:val="20"/>
        </w:rPr>
        <w:t>approval</w:t>
      </w:r>
      <w:r>
        <w:rPr>
          <w:rFonts w:ascii="Times New Roman;Times;serif" w:hAnsi="Times New Roman;Times;serif"/>
          <w:color w:val="231F20"/>
          <w:spacing w:val="-16"/>
          <w:sz w:val="20"/>
        </w:rPr>
        <w:t xml:space="preserve"> </w:t>
      </w:r>
      <w:r>
        <w:rPr>
          <w:rFonts w:ascii="Times New Roman;Times;serif" w:hAnsi="Times New Roman;Times;serif"/>
          <w:color w:val="231F20"/>
          <w:sz w:val="20"/>
        </w:rPr>
        <w:t>or</w:t>
      </w:r>
      <w:r>
        <w:rPr>
          <w:rFonts w:ascii="Times New Roman;Times;serif" w:hAnsi="Times New Roman;Times;serif"/>
          <w:color w:val="231F20"/>
          <w:spacing w:val="-15"/>
          <w:sz w:val="20"/>
        </w:rPr>
        <w:t xml:space="preserve"> </w:t>
      </w:r>
      <w:r>
        <w:rPr>
          <w:rFonts w:ascii="Times New Roman;Times;serif" w:hAnsi="Times New Roman;Times;serif"/>
          <w:color w:val="231F20"/>
          <w:sz w:val="20"/>
        </w:rPr>
        <w:t>ratification</w:t>
      </w:r>
      <w:r>
        <w:rPr>
          <w:rFonts w:ascii="Times New Roman;Times;serif" w:hAnsi="Times New Roman;Times;serif"/>
          <w:color w:val="231F20"/>
          <w:spacing w:val="-15"/>
          <w:sz w:val="20"/>
        </w:rPr>
        <w:t xml:space="preserve"> </w:t>
      </w:r>
      <w:r>
        <w:rPr>
          <w:rFonts w:ascii="Times New Roman;Times;serif" w:hAnsi="Times New Roman;Times;serif"/>
          <w:color w:val="231F20"/>
          <w:sz w:val="20"/>
        </w:rPr>
        <w:t>of transactions</w:t>
      </w:r>
      <w:r>
        <w:rPr>
          <w:rFonts w:ascii="Times New Roman;Times;serif" w:hAnsi="Times New Roman;Times;serif"/>
          <w:color w:val="231F20"/>
          <w:spacing w:val="-15"/>
          <w:sz w:val="20"/>
        </w:rPr>
        <w:t xml:space="preserve"> </w:t>
      </w:r>
      <w:r>
        <w:rPr>
          <w:rFonts w:ascii="Times New Roman;Times;serif" w:hAnsi="Times New Roman;Times;serif"/>
          <w:color w:val="231F20"/>
          <w:sz w:val="20"/>
        </w:rPr>
        <w:t>in</w:t>
      </w:r>
      <w:r>
        <w:rPr>
          <w:rFonts w:ascii="Times New Roman;Times;serif" w:hAnsi="Times New Roman;Times;serif"/>
          <w:color w:val="231F20"/>
          <w:spacing w:val="-15"/>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15"/>
          <w:sz w:val="20"/>
        </w:rPr>
        <w:t xml:space="preserve"> </w:t>
      </w:r>
      <w:r>
        <w:rPr>
          <w:rFonts w:ascii="Times New Roman;Times;serif" w:hAnsi="Times New Roman;Times;serif"/>
          <w:color w:val="231F20"/>
          <w:sz w:val="20"/>
        </w:rPr>
        <w:t>related</w:t>
      </w:r>
      <w:r>
        <w:rPr>
          <w:rFonts w:ascii="Times New Roman;Times;serif" w:hAnsi="Times New Roman;Times;serif"/>
          <w:color w:val="231F20"/>
          <w:spacing w:val="-16"/>
          <w:sz w:val="20"/>
        </w:rPr>
        <w:t xml:space="preserve"> </w:t>
      </w:r>
      <w:r>
        <w:rPr>
          <w:rFonts w:ascii="Times New Roman;Times;serif" w:hAnsi="Times New Roman;Times;serif"/>
          <w:color w:val="231F20"/>
          <w:sz w:val="20"/>
        </w:rPr>
        <w:t>persons,</w:t>
      </w:r>
      <w:r>
        <w:rPr>
          <w:rFonts w:ascii="Times New Roman;Times;serif" w:hAnsi="Times New Roman;Times;serif"/>
          <w:color w:val="231F20"/>
          <w:spacing w:val="-15"/>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15"/>
          <w:sz w:val="20"/>
        </w:rPr>
        <w:t xml:space="preserve"> </w:t>
      </w:r>
      <w:r>
        <w:rPr>
          <w:rFonts w:ascii="Times New Roman;Times;serif" w:hAnsi="Times New Roman;Times;serif"/>
          <w:color w:val="231F20"/>
          <w:sz w:val="20"/>
        </w:rPr>
        <w:t>as</w:t>
      </w:r>
      <w:r>
        <w:rPr>
          <w:rFonts w:ascii="Times New Roman;Times;serif" w:hAnsi="Times New Roman;Times;serif"/>
          <w:color w:val="231F20"/>
          <w:spacing w:val="-15"/>
          <w:sz w:val="20"/>
        </w:rPr>
        <w:t xml:space="preserve"> </w:t>
      </w:r>
      <w:r>
        <w:rPr>
          <w:rFonts w:ascii="Times New Roman;Times;serif" w:hAnsi="Times New Roman;Times;serif"/>
          <w:color w:val="231F20"/>
          <w:spacing w:val="-3"/>
          <w:sz w:val="20"/>
        </w:rPr>
        <w:t>Jonathan</w:t>
      </w:r>
      <w:r>
        <w:rPr>
          <w:rFonts w:ascii="Times New Roman;Times;serif" w:hAnsi="Times New Roman;Times;serif"/>
          <w:color w:val="231F20"/>
          <w:spacing w:val="-15"/>
          <w:sz w:val="20"/>
        </w:rPr>
        <w:t xml:space="preserve"> </w:t>
      </w:r>
      <w:r>
        <w:rPr>
          <w:rFonts w:ascii="Times New Roman;Times;serif" w:hAnsi="Times New Roman;Times;serif"/>
          <w:color w:val="231F20"/>
          <w:spacing w:val="-5"/>
          <w:sz w:val="20"/>
        </w:rPr>
        <w:t>Javitt</w:t>
      </w:r>
      <w:r>
        <w:rPr>
          <w:rFonts w:ascii="Times New Roman;Times;serif" w:hAnsi="Times New Roman;Times;serif"/>
          <w:color w:val="231F20"/>
          <w:spacing w:val="-15"/>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6"/>
          <w:sz w:val="20"/>
        </w:rPr>
        <w:t xml:space="preserve"> </w:t>
      </w:r>
      <w:r>
        <w:rPr>
          <w:rFonts w:ascii="Times New Roman;Times;serif" w:hAnsi="Times New Roman;Times;serif"/>
          <w:color w:val="231F20"/>
          <w:sz w:val="20"/>
        </w:rPr>
        <w:t>Daniel</w:t>
      </w:r>
      <w:r>
        <w:rPr>
          <w:rFonts w:ascii="Times New Roman;Times;serif" w:hAnsi="Times New Roman;Times;serif"/>
          <w:color w:val="231F20"/>
          <w:spacing w:val="-15"/>
          <w:sz w:val="20"/>
        </w:rPr>
        <w:t xml:space="preserve">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and</w:t>
      </w:r>
      <w:r>
        <w:rPr>
          <w:rFonts w:ascii="Times New Roman;Times;serif" w:hAnsi="Times New Roman;Times;serif"/>
          <w:color w:val="231F20"/>
          <w:spacing w:val="-37"/>
          <w:sz w:val="20"/>
        </w:rPr>
        <w:t xml:space="preserve"> </w:t>
      </w:r>
      <w:r>
        <w:rPr>
          <w:rFonts w:ascii="Times New Roman;Times;serif" w:hAnsi="Times New Roman;Times;serif"/>
          <w:color w:val="231F20"/>
          <w:sz w:val="20"/>
        </w:rPr>
        <w:t>their</w:t>
      </w:r>
      <w:r>
        <w:rPr>
          <w:rFonts w:ascii="Times New Roman;Times;serif" w:hAnsi="Times New Roman;Times;serif"/>
          <w:color w:val="231F20"/>
          <w:spacing w:val="-36"/>
          <w:sz w:val="20"/>
        </w:rPr>
        <w:t xml:space="preserve"> </w:t>
      </w:r>
      <w:r>
        <w:rPr>
          <w:rFonts w:ascii="Times New Roman;Times;serif" w:hAnsi="Times New Roman;Times;serif"/>
          <w:color w:val="231F20"/>
          <w:sz w:val="20"/>
        </w:rPr>
        <w:t>respective</w:t>
      </w:r>
      <w:r>
        <w:rPr>
          <w:rFonts w:ascii="Times New Roman;Times;serif" w:hAnsi="Times New Roman;Times;serif"/>
          <w:color w:val="231F20"/>
          <w:spacing w:val="-37"/>
          <w:sz w:val="20"/>
        </w:rPr>
        <w:t xml:space="preserve"> </w:t>
      </w:r>
      <w:r>
        <w:rPr>
          <w:rFonts w:ascii="Times New Roman;Times;serif" w:hAnsi="Times New Roman;Times;serif"/>
          <w:color w:val="231F20"/>
          <w:sz w:val="20"/>
        </w:rPr>
        <w:t>affiliates,</w:t>
      </w:r>
      <w:r>
        <w:rPr>
          <w:rFonts w:ascii="Times New Roman;Times;serif" w:hAnsi="Times New Roman;Times;serif"/>
          <w:color w:val="231F20"/>
          <w:spacing w:val="-36"/>
          <w:sz w:val="20"/>
        </w:rPr>
        <w:t xml:space="preserve"> </w:t>
      </w:r>
      <w:r>
        <w:rPr>
          <w:rFonts w:ascii="Times New Roman;Times;serif" w:hAnsi="Times New Roman;Times;serif"/>
          <w:color w:val="231F20"/>
          <w:spacing w:val="-5"/>
          <w:sz w:val="20"/>
        </w:rPr>
        <w:t>have</w:t>
      </w:r>
      <w:r>
        <w:rPr>
          <w:rFonts w:ascii="Times New Roman;Times;serif" w:hAnsi="Times New Roman;Times;serif"/>
          <w:color w:val="231F20"/>
          <w:spacing w:val="-37"/>
          <w:sz w:val="20"/>
        </w:rPr>
        <w:t xml:space="preserve"> </w:t>
      </w:r>
      <w:r>
        <w:rPr>
          <w:rFonts w:ascii="Times New Roman;Times;serif" w:hAnsi="Times New Roman;Times;serif"/>
          <w:color w:val="231F20"/>
          <w:sz w:val="20"/>
        </w:rPr>
        <w:t>a</w:t>
      </w:r>
      <w:r>
        <w:rPr>
          <w:rFonts w:ascii="Times New Roman;Times;serif" w:hAnsi="Times New Roman;Times;serif"/>
          <w:color w:val="231F20"/>
          <w:spacing w:val="-36"/>
          <w:sz w:val="20"/>
        </w:rPr>
        <w:t xml:space="preserve"> </w:t>
      </w:r>
      <w:r>
        <w:rPr>
          <w:rFonts w:ascii="Times New Roman;Times;serif" w:hAnsi="Times New Roman;Times;serif"/>
          <w:color w:val="231F20"/>
          <w:sz w:val="20"/>
        </w:rPr>
        <w:t>direct</w:t>
      </w:r>
      <w:r>
        <w:rPr>
          <w:rFonts w:ascii="Times New Roman;Times;serif" w:hAnsi="Times New Roman;Times;serif"/>
          <w:color w:val="231F20"/>
          <w:spacing w:val="-37"/>
          <w:sz w:val="20"/>
        </w:rPr>
        <w:t xml:space="preserve"> </w:t>
      </w:r>
      <w:r>
        <w:rPr>
          <w:rFonts w:ascii="Times New Roman;Times;serif" w:hAnsi="Times New Roman;Times;serif"/>
          <w:color w:val="231F20"/>
          <w:sz w:val="20"/>
        </w:rPr>
        <w:t>or</w:t>
      </w:r>
      <w:r>
        <w:rPr>
          <w:rFonts w:ascii="Times New Roman;Times;serif" w:hAnsi="Times New Roman;Times;serif"/>
          <w:color w:val="231F20"/>
          <w:spacing w:val="-36"/>
          <w:sz w:val="20"/>
        </w:rPr>
        <w:t xml:space="preserve"> </w:t>
      </w:r>
      <w:r>
        <w:rPr>
          <w:rFonts w:ascii="Times New Roman;Times;serif" w:hAnsi="Times New Roman;Times;serif"/>
          <w:color w:val="231F20"/>
          <w:sz w:val="20"/>
        </w:rPr>
        <w:t>indirect</w:t>
      </w:r>
      <w:r>
        <w:rPr>
          <w:rFonts w:ascii="Times New Roman;Times;serif" w:hAnsi="Times New Roman;Times;serif"/>
          <w:color w:val="231F20"/>
          <w:spacing w:val="-37"/>
          <w:sz w:val="20"/>
        </w:rPr>
        <w:t xml:space="preserve"> </w:t>
      </w:r>
      <w:r>
        <w:rPr>
          <w:rFonts w:ascii="Times New Roman;Times;serif" w:hAnsi="Times New Roman;Times;serif"/>
          <w:color w:val="231F20"/>
          <w:sz w:val="20"/>
        </w:rPr>
        <w:t>material</w:t>
      </w:r>
      <w:r>
        <w:rPr>
          <w:rFonts w:ascii="Times New Roman;Times;serif" w:hAnsi="Times New Roman;Times;serif"/>
          <w:color w:val="231F20"/>
          <w:spacing w:val="-36"/>
          <w:sz w:val="20"/>
        </w:rPr>
        <w:t xml:space="preserve"> </w:t>
      </w:r>
      <w:r>
        <w:rPr>
          <w:rFonts w:ascii="Times New Roman;Times;serif" w:hAnsi="Times New Roman;Times;serif"/>
          <w:color w:val="231F20"/>
          <w:sz w:val="20"/>
        </w:rPr>
        <w:t>interest</w:t>
      </w:r>
      <w:r>
        <w:rPr>
          <w:rFonts w:ascii="Times New Roman;Times;serif" w:hAnsi="Times New Roman;Times;serif"/>
          <w:color w:val="231F20"/>
          <w:spacing w:val="-36"/>
          <w:sz w:val="20"/>
        </w:rPr>
        <w:t xml:space="preserve"> </w:t>
      </w:r>
      <w:r>
        <w:rPr>
          <w:rFonts w:ascii="Times New Roman;Times;serif" w:hAnsi="Times New Roman;Times;serif"/>
          <w:color w:val="231F20"/>
          <w:sz w:val="20"/>
        </w:rPr>
        <w:t>is</w:t>
      </w:r>
      <w:r>
        <w:rPr>
          <w:rFonts w:ascii="Times New Roman;Times;serif" w:hAnsi="Times New Roman;Times;serif"/>
          <w:color w:val="231F20"/>
          <w:spacing w:val="-37"/>
          <w:sz w:val="20"/>
        </w:rPr>
        <w:t xml:space="preserve"> </w:t>
      </w:r>
      <w:r>
        <w:rPr>
          <w:rFonts w:ascii="Times New Roman;Times;serif" w:hAnsi="Times New Roman;Times;serif"/>
          <w:color w:val="231F20"/>
          <w:sz w:val="20"/>
        </w:rPr>
        <w:t>included</w:t>
      </w:r>
      <w:r>
        <w:rPr>
          <w:rFonts w:ascii="Times New Roman;Times;serif" w:hAnsi="Times New Roman;Times;serif"/>
          <w:color w:val="231F20"/>
          <w:spacing w:val="-36"/>
          <w:sz w:val="20"/>
        </w:rPr>
        <w:t xml:space="preserve"> </w:t>
      </w:r>
      <w:r>
        <w:rPr>
          <w:rFonts w:ascii="Times New Roman;Times;serif" w:hAnsi="Times New Roman;Times;serif"/>
          <w:color w:val="231F20"/>
          <w:sz w:val="20"/>
        </w:rPr>
        <w:t>in</w:t>
      </w:r>
      <w:r>
        <w:rPr>
          <w:rFonts w:ascii="Times New Roman;Times;serif" w:hAnsi="Times New Roman;Times;serif"/>
          <w:color w:val="231F20"/>
          <w:spacing w:val="-37"/>
          <w:sz w:val="20"/>
        </w:rPr>
        <w:t xml:space="preserve"> </w:t>
      </w:r>
      <w:r>
        <w:rPr>
          <w:rFonts w:ascii="Times New Roman;Times;serif" w:hAnsi="Times New Roman;Times;serif"/>
          <w:color w:val="231F20"/>
          <w:sz w:val="20"/>
        </w:rPr>
        <w:t>this annual report.</w:t>
      </w:r>
      <w:r>
        <w:rPr>
          <w:rFonts w:ascii="Times New Roman;Times;serif" w:hAnsi="Times New Roman;Times;serif"/>
          <w:color w:val="231F20"/>
          <w:spacing w:val="-37"/>
          <w:sz w:val="20"/>
        </w:rPr>
        <w:t xml:space="preserve"> </w:t>
      </w:r>
      <w:r>
        <w:rPr>
          <w:rFonts w:ascii="Times New Roman;Times;serif" w:hAnsi="Times New Roman;Times;serif"/>
          <w:color w:val="231F20"/>
          <w:spacing w:val="-6"/>
          <w:sz w:val="20"/>
        </w:rPr>
        <w:t>For</w:t>
      </w:r>
      <w:r>
        <w:rPr>
          <w:rFonts w:ascii="Times New Roman;Times;serif" w:hAnsi="Times New Roman;Times;serif"/>
          <w:color w:val="231F20"/>
          <w:spacing w:val="-36"/>
          <w:sz w:val="20"/>
        </w:rPr>
        <w:t xml:space="preserve"> </w:t>
      </w:r>
      <w:r>
        <w:rPr>
          <w:rFonts w:ascii="Times New Roman;Times;serif" w:hAnsi="Times New Roman;Times;serif"/>
          <w:color w:val="231F20"/>
          <w:sz w:val="20"/>
        </w:rPr>
        <w:t>more information,</w:t>
      </w:r>
      <w:r>
        <w:rPr>
          <w:rFonts w:ascii="Times New Roman;Times;serif" w:hAnsi="Times New Roman;Times;serif"/>
          <w:color w:val="231F20"/>
          <w:spacing w:val="-23"/>
          <w:sz w:val="20"/>
        </w:rPr>
        <w:t xml:space="preserve"> </w:t>
      </w:r>
      <w:r>
        <w:rPr>
          <w:rFonts w:ascii="Times New Roman;Times;serif" w:hAnsi="Times New Roman;Times;serif"/>
          <w:color w:val="231F20"/>
          <w:sz w:val="20"/>
        </w:rPr>
        <w:t>see</w:t>
      </w:r>
      <w:r>
        <w:rPr>
          <w:rFonts w:ascii="Times New Roman;Times;serif" w:hAnsi="Times New Roman;Times;serif"/>
          <w:color w:val="231F20"/>
          <w:spacing w:val="-22"/>
          <w:sz w:val="20"/>
        </w:rPr>
        <w:t xml:space="preserve"> </w:t>
      </w:r>
      <w:r>
        <w:rPr>
          <w:rFonts w:ascii="Times New Roman;Times;serif" w:hAnsi="Times New Roman;Times;serif"/>
          <w:color w:val="231F20"/>
          <w:sz w:val="20"/>
        </w:rPr>
        <w:t>“</w:t>
      </w:r>
      <w:r>
        <w:rPr>
          <w:rFonts w:ascii="Times New Roman;Times;serif" w:hAnsi="Times New Roman;Times;serif"/>
          <w:i/>
          <w:color w:val="231F20"/>
          <w:sz w:val="20"/>
        </w:rPr>
        <w:t>Certain</w:t>
      </w:r>
      <w:r>
        <w:rPr>
          <w:rFonts w:ascii="Times New Roman;Times;serif" w:hAnsi="Times New Roman;Times;serif"/>
          <w:color w:val="231F20"/>
          <w:spacing w:val="-22"/>
          <w:sz w:val="20"/>
        </w:rPr>
        <w:t xml:space="preserve"> </w:t>
      </w:r>
      <w:r>
        <w:rPr>
          <w:rFonts w:ascii="Times New Roman;Times;serif" w:hAnsi="Times New Roman;Times;serif"/>
          <w:i/>
          <w:color w:val="231F20"/>
          <w:sz w:val="20"/>
        </w:rPr>
        <w:t>Relationships</w:t>
      </w:r>
      <w:r>
        <w:rPr>
          <w:rFonts w:ascii="Times New Roman;Times;serif" w:hAnsi="Times New Roman;Times;serif"/>
          <w:color w:val="231F20"/>
          <w:spacing w:val="-22"/>
          <w:sz w:val="20"/>
        </w:rPr>
        <w:t xml:space="preserve"> </w:t>
      </w:r>
      <w:r>
        <w:rPr>
          <w:rFonts w:ascii="Times New Roman;Times;serif" w:hAnsi="Times New Roman;Times;serif"/>
          <w:i/>
          <w:color w:val="231F20"/>
          <w:sz w:val="20"/>
        </w:rPr>
        <w:t>and</w:t>
      </w:r>
      <w:r>
        <w:rPr>
          <w:rFonts w:ascii="Times New Roman;Times;serif" w:hAnsi="Times New Roman;Times;serif"/>
          <w:color w:val="231F20"/>
          <w:spacing w:val="-22"/>
          <w:sz w:val="20"/>
        </w:rPr>
        <w:t xml:space="preserve"> </w:t>
      </w:r>
      <w:r>
        <w:rPr>
          <w:rFonts w:ascii="Times New Roman;Times;serif" w:hAnsi="Times New Roman;Times;serif"/>
          <w:i/>
          <w:color w:val="231F20"/>
          <w:sz w:val="20"/>
        </w:rPr>
        <w:t>Related</w:t>
      </w:r>
      <w:r>
        <w:rPr>
          <w:rFonts w:ascii="Times New Roman;Times;serif" w:hAnsi="Times New Roman;Times;serif"/>
          <w:color w:val="231F20"/>
          <w:spacing w:val="-22"/>
          <w:sz w:val="20"/>
        </w:rPr>
        <w:t xml:space="preserve"> </w:t>
      </w:r>
      <w:r>
        <w:rPr>
          <w:rFonts w:ascii="Times New Roman;Times;serif" w:hAnsi="Times New Roman;Times;serif"/>
          <w:i/>
          <w:color w:val="231F20"/>
          <w:spacing w:val="-5"/>
          <w:sz w:val="20"/>
        </w:rPr>
        <w:t>Party</w:t>
      </w:r>
      <w:r>
        <w:rPr>
          <w:rFonts w:ascii="Times New Roman;Times;serif" w:hAnsi="Times New Roman;Times;serif"/>
          <w:color w:val="231F20"/>
          <w:spacing w:val="-22"/>
          <w:sz w:val="20"/>
        </w:rPr>
        <w:t xml:space="preserve"> </w:t>
      </w:r>
      <w:r>
        <w:rPr>
          <w:rFonts w:ascii="Times New Roman;Times;serif" w:hAnsi="Times New Roman;Times;serif"/>
          <w:i/>
          <w:color w:val="231F20"/>
          <w:sz w:val="20"/>
        </w:rPr>
        <w:t>Transactions</w:t>
      </w:r>
      <w:r>
        <w:rPr>
          <w:rFonts w:ascii="Times New Roman;Times;serif" w:hAnsi="Times New Roman;Times;serif"/>
          <w:color w:val="231F20"/>
          <w:sz w:val="20"/>
        </w:rPr>
        <w:t>”</w:t>
      </w:r>
      <w:r>
        <w:rPr>
          <w:rFonts w:ascii="Times New Roman;Times;serif" w:hAnsi="Times New Roman;Times;serif"/>
          <w:color w:val="231F20"/>
          <w:spacing w:val="-30"/>
          <w:sz w:val="20"/>
        </w:rPr>
        <w:t xml:space="preserve"> </w:t>
      </w:r>
      <w:r>
        <w:rPr>
          <w:rFonts w:ascii="Times New Roman;Times;serif" w:hAnsi="Times New Roman;Times;serif"/>
          <w:color w:val="231F20"/>
          <w:sz w:val="20"/>
        </w:rPr>
        <w:t>section</w:t>
      </w:r>
      <w:r>
        <w:rPr>
          <w:rFonts w:ascii="Times New Roman;Times;serif" w:hAnsi="Times New Roman;Times;serif"/>
          <w:color w:val="231F20"/>
          <w:spacing w:val="-22"/>
          <w:sz w:val="20"/>
        </w:rPr>
        <w:t xml:space="preserve"> </w:t>
      </w:r>
      <w:r>
        <w:rPr>
          <w:rFonts w:ascii="Times New Roman;Times;serif" w:hAnsi="Times New Roman;Times;serif"/>
          <w:color w:val="231F20"/>
          <w:sz w:val="20"/>
        </w:rPr>
        <w:t>of</w:t>
      </w:r>
      <w:r>
        <w:rPr>
          <w:rFonts w:ascii="Times New Roman;Times;serif" w:hAnsi="Times New Roman;Times;serif"/>
          <w:color w:val="231F20"/>
          <w:spacing w:val="-9"/>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23"/>
          <w:sz w:val="20"/>
        </w:rPr>
        <w:t xml:space="preserve"> </w:t>
      </w:r>
      <w:r>
        <w:rPr>
          <w:rFonts w:ascii="Times New Roman;Times;serif" w:hAnsi="Times New Roman;Times;serif"/>
          <w:color w:val="231F20"/>
          <w:sz w:val="20"/>
        </w:rPr>
        <w:t>annual report.</w:t>
      </w:r>
    </w:p>
    <w:p>
      <w:pPr>
        <w:pStyle w:val="TextBody"/>
        <w:spacing w:lineRule="auto" w:line="302"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Our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Charter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prevent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Jonathan</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Javitt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Daniel</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Javitt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their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respective</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affiliates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from</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engaging</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in business activities which compete with us or otherwise conflict with our</w:t>
      </w:r>
      <w:r>
        <w:rPr>
          <w:rFonts w:ascii="Times New Roman;Times;serif" w:hAnsi="Times New Roman;Times;serif"/>
          <w:b/>
          <w:color w:val="231F20"/>
          <w:spacing w:val="-28"/>
          <w:sz w:val="20"/>
        </w:rPr>
        <w:t xml:space="preserve"> </w:t>
      </w:r>
      <w:r>
        <w:rPr>
          <w:rFonts w:ascii="Times New Roman;Times;serif" w:hAnsi="Times New Roman;Times;serif"/>
          <w:b/>
          <w:i/>
          <w:color w:val="231F20"/>
          <w:sz w:val="20"/>
        </w:rPr>
        <w:t>interests.</w:t>
      </w:r>
    </w:p>
    <w:p>
      <w:pPr>
        <w:pStyle w:val="TextBody"/>
        <w:spacing w:lineRule="auto" w:line="302"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Although </w:t>
      </w:r>
      <w:r>
        <w:rPr>
          <w:rFonts w:ascii="Times New Roman;Times;serif" w:hAnsi="Times New Roman;Times;serif"/>
          <w:color w:val="231F20"/>
          <w:spacing w:val="-3"/>
          <w:sz w:val="20"/>
        </w:rPr>
        <w:t xml:space="preserve">Jonathan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 xml:space="preserve">and Daniel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 xml:space="preserve">are precluded from engaging, directly or </w:t>
      </w:r>
      <w:r>
        <w:rPr>
          <w:rFonts w:ascii="Times New Roman;Times;serif" w:hAnsi="Times New Roman;Times;serif"/>
          <w:color w:val="231F20"/>
          <w:spacing w:val="-3"/>
          <w:sz w:val="20"/>
        </w:rPr>
        <w:t xml:space="preserve">indirectly, </w:t>
      </w:r>
      <w:r>
        <w:rPr>
          <w:rFonts w:ascii="Times New Roman;Times;serif" w:hAnsi="Times New Roman;Times;serif"/>
          <w:color w:val="231F20"/>
          <w:sz w:val="20"/>
        </w:rPr>
        <w:t xml:space="preserve">in the same business </w:t>
      </w:r>
      <w:r>
        <w:rPr>
          <w:rFonts w:ascii="Times New Roman;Times;serif" w:hAnsi="Times New Roman;Times;serif"/>
          <w:color w:val="231F20"/>
          <w:spacing w:val="-6"/>
          <w:sz w:val="20"/>
        </w:rPr>
        <w:t>activities or similar business activities or lines of business in which our Company operates based on Jonathan Javitt’s prior employment contract and current consulting contract with us and the Glytech DLA, respectively, our Charter provides that none of Jonathan Javitt and Daniel Javitt or their respective affiliates will have any duty to refrain from engaging, directly or indirectly, in the same business activities or similar business activities or lines of business in which NRx operates. Jonathan Javitt and Daniel Javitt also may pursue corporate opportunities that may be complementary to our business and, as a result, those corporate</w:t>
      </w:r>
      <w:r>
        <w:rPr>
          <w:rFonts w:ascii="Times New Roman;Times;serif" w:hAnsi="Times New Roman;Times;serif"/>
          <w:color w:val="231F20"/>
          <w:sz w:val="20"/>
        </w:rPr>
        <w:t xml:space="preserve"> opportunities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to</w:t>
      </w:r>
      <w:r>
        <w:rPr>
          <w:rFonts w:ascii="Times New Roman;Times;serif" w:hAnsi="Times New Roman;Times;serif"/>
          <w:color w:val="231F20"/>
          <w:spacing w:val="-9"/>
          <w:sz w:val="20"/>
        </w:rPr>
        <w:t xml:space="preserve"> </w:t>
      </w:r>
      <w:r>
        <w:rPr>
          <w:rFonts w:ascii="Times New Roman;Times;serif" w:hAnsi="Times New Roman;Times;serif"/>
          <w:color w:val="231F20"/>
          <w:spacing w:val="-5"/>
          <w:sz w:val="20"/>
        </w:rPr>
        <w:t>us.</w:t>
      </w:r>
    </w:p>
    <w:p>
      <w:pPr>
        <w:pStyle w:val="TextBody"/>
        <w:spacing w:lineRule="auto" w:line="302" w:before="232"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are no longer a “controlled company” under the corporate governance rules of Nasdaq. However, we continue to rely on an exception in the listing requirements to allow a non-independent director to sit on the Nominating and Governance Committee.</w:t>
      </w:r>
    </w:p>
    <w:p>
      <w:pPr>
        <w:pStyle w:val="TextBody"/>
        <w:spacing w:lineRule="auto" w:line="302" w:before="155" w:after="240"/>
        <w:ind w:left="0" w:right="0" w:firstLine="399"/>
        <w:jc w:val="both"/>
        <w:rPr>
          <w:rFonts w:ascii="Times New Roman;Times;serif" w:hAnsi="Times New Roman;Times;serif"/>
          <w:sz w:val="20"/>
        </w:rPr>
      </w:pPr>
      <w:r>
        <w:rPr>
          <w:rFonts w:ascii="Times New Roman;Times;serif" w:hAnsi="Times New Roman;Times;serif"/>
          <w:color w:val="231F20"/>
          <w:spacing w:val="-3"/>
          <w:sz w:val="20"/>
        </w:rPr>
        <w:t xml:space="preserve">Previously, Jonathan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 xml:space="preserve">and Daniel </w:t>
      </w:r>
      <w:r>
        <w:rPr>
          <w:rFonts w:ascii="Times New Roman;Times;serif" w:hAnsi="Times New Roman;Times;serif"/>
          <w:color w:val="231F20"/>
          <w:spacing w:val="-5"/>
          <w:sz w:val="20"/>
        </w:rPr>
        <w:t xml:space="preserve">Javitt </w:t>
      </w:r>
      <w:r>
        <w:rPr>
          <w:rFonts w:ascii="Times New Roman;Times;serif" w:hAnsi="Times New Roman;Times;serif"/>
          <w:color w:val="231F20"/>
          <w:sz w:val="20"/>
        </w:rPr>
        <w:t xml:space="preserve">controlled the votes of the majority of our Common Stock. As a result, we were a “controlled company”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purposes of the Nasdaq corporate governance rules and were exempt from certain governance requirements otherwise required by Nasdaq, including requirements that we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a nominating and corporate governance committee that is composed entirely of independent directors with a written charter addressing the committee’s purpose and</w:t>
      </w:r>
      <w:r>
        <w:rPr>
          <w:rFonts w:ascii="Times New Roman;Times;serif" w:hAnsi="Times New Roman;Times;serif"/>
          <w:color w:val="231F20"/>
          <w:spacing w:val="-18"/>
          <w:sz w:val="20"/>
        </w:rPr>
        <w:t xml:space="preserve"> </w:t>
      </w:r>
      <w:r>
        <w:rPr>
          <w:rFonts w:ascii="Times New Roman;Times;serif" w:hAnsi="Times New Roman;Times;serif"/>
          <w:color w:val="231F20"/>
          <w:sz w:val="20"/>
        </w:rPr>
        <w:t>responsibilities.</w:t>
      </w:r>
    </w:p>
    <w:p>
      <w:pPr>
        <w:pStyle w:val="TextBody"/>
        <w:spacing w:lineRule="auto" w:line="302" w:before="155" w:after="0"/>
        <w:ind w:left="0" w:right="0" w:hanging="0"/>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are no longer a “controlled company” under the corporate governance rules of Nasdaq. Under the Nasdaq listing requirements, a company that ceases to be a “controlled company” must comply with the independent board committee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02" w:before="0" w:after="240"/>
        <w:ind w:left="0" w:right="0" w:hanging="0"/>
        <w:jc w:val="both"/>
        <w:rPr>
          <w:rFonts w:ascii="Times New Roman;Times;serif" w:hAnsi="Times New Roman;Times;serif"/>
          <w:sz w:val="20"/>
        </w:rPr>
      </w:pPr>
      <w:r>
        <w:rPr>
          <w:rFonts w:ascii="Times New Roman;Times;serif" w:hAnsi="Times New Roman;Times;serif"/>
          <w:color w:val="231F20"/>
          <w:sz w:val="20"/>
        </w:rPr>
        <w:t xml:space="preserve">requirements as they relate to the nominating and corporate governance.  However, we continue to rely on Rule 5605(e)(3), which permits that </w:t>
      </w:r>
      <w:r>
        <w:rPr>
          <w:rFonts w:ascii="Times New Roman;Times;serif" w:hAnsi="Times New Roman;Times;serif"/>
          <w:color w:val="231F20"/>
          <w:spacing w:val="-10"/>
          <w:sz w:val="20"/>
        </w:rPr>
        <w:t>one director, who is not an independent director and is not currently an executive officer or employee of the Company, may be appointed to the nominating and governance committee if the board, under exceptional and limited circumstances, determines that such individual's membership on the committee is required by the best interests of the Company and its Shareholders.  Jonathan Javitt, who is not an independent director, continues to serve on the Company’s nominating and corporate governance committee because the Board has determined that his unique experience and qualifications as a scientist and a co-founder of the Company are beneficial to the Company.</w:t>
      </w:r>
      <w:r>
        <w:rPr>
          <w:rFonts w:ascii="Times New Roman;Times;serif" w:hAnsi="Times New Roman;Times;serif"/>
          <w:color w:val="231F20"/>
          <w:sz w:val="20"/>
        </w:rPr>
        <w:t xml:space="preserve"> </w:t>
      </w:r>
      <w:r>
        <w:rPr>
          <w:rFonts w:ascii="Times New Roman;Times;serif" w:hAnsi="Times New Roman;Times;serif"/>
          <w:color w:val="231F20"/>
          <w:spacing w:val="-10"/>
          <w:sz w:val="20"/>
        </w:rPr>
        <w:t>Until we are fully subject to the listing requirements, however, our stockholders will not have the same protections afforded to stockholders of companies that are subject to all of the corporate governance requirements of Nasdaq.</w:t>
      </w:r>
    </w:p>
    <w:p>
      <w:pPr>
        <w:pStyle w:val="TextBody"/>
        <w:spacing w:before="87"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General Risk Factors</w:t>
      </w:r>
    </w:p>
    <w:p>
      <w:pPr>
        <w:pStyle w:val="TextBody"/>
        <w:spacing w:lineRule="auto" w:line="288"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Our Common Stock price may be volatile or may decline regardless of our operating performance. You may lose some or all of your investment.</w:t>
      </w:r>
    </w:p>
    <w:p>
      <w:pPr>
        <w:pStyle w:val="TextBody"/>
        <w:spacing w:lineRule="auto" w:line="288" w:before="161"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The trading price of our Common Stock is </w:t>
      </w:r>
      <w:r>
        <w:rPr>
          <w:rFonts w:ascii="Times New Roman;Times;serif" w:hAnsi="Times New Roman;Times;serif"/>
          <w:color w:val="231F20"/>
          <w:spacing w:val="-3"/>
          <w:sz w:val="20"/>
        </w:rPr>
        <w:t xml:space="preserve">likely </w:t>
      </w:r>
      <w:r>
        <w:rPr>
          <w:rFonts w:ascii="Times New Roman;Times;serif" w:hAnsi="Times New Roman;Times;serif"/>
          <w:color w:val="231F20"/>
          <w:sz w:val="20"/>
        </w:rPr>
        <w:t xml:space="preserve">to be </w:t>
      </w:r>
      <w:r>
        <w:rPr>
          <w:rFonts w:ascii="Times New Roman;Times;serif" w:hAnsi="Times New Roman;Times;serif"/>
          <w:color w:val="231F20"/>
          <w:spacing w:val="-3"/>
          <w:sz w:val="20"/>
        </w:rPr>
        <w:t xml:space="preserve">volatile. </w:t>
      </w:r>
      <w:r>
        <w:rPr>
          <w:rFonts w:ascii="Times New Roman;Times;serif" w:hAnsi="Times New Roman;Times;serif"/>
          <w:color w:val="231F20"/>
          <w:sz w:val="20"/>
        </w:rPr>
        <w:t>The stock market recently has experienced</w:t>
      </w:r>
      <w:r>
        <w:rPr>
          <w:rFonts w:ascii="Times New Roman;Times;serif" w:hAnsi="Times New Roman;Times;serif"/>
          <w:color w:val="231F20"/>
          <w:spacing w:val="-26"/>
          <w:sz w:val="20"/>
        </w:rPr>
        <w:t xml:space="preserve"> </w:t>
      </w:r>
      <w:r>
        <w:rPr>
          <w:rFonts w:ascii="Times New Roman;Times;serif" w:hAnsi="Times New Roman;Times;serif"/>
          <w:color w:val="231F20"/>
          <w:sz w:val="20"/>
        </w:rPr>
        <w:t>extreme</w:t>
      </w:r>
      <w:r>
        <w:rPr>
          <w:rFonts w:ascii="Times New Roman;Times;serif" w:hAnsi="Times New Roman;Times;serif"/>
          <w:color w:val="231F20"/>
          <w:spacing w:val="-26"/>
          <w:sz w:val="20"/>
        </w:rPr>
        <w:t xml:space="preserve"> </w:t>
      </w:r>
      <w:r>
        <w:rPr>
          <w:rFonts w:ascii="Times New Roman;Times;serif" w:hAnsi="Times New Roman;Times;serif"/>
          <w:color w:val="231F20"/>
          <w:spacing w:val="-4"/>
          <w:sz w:val="20"/>
        </w:rPr>
        <w:t>volatility.</w:t>
      </w:r>
      <w:r>
        <w:rPr>
          <w:rFonts w:ascii="Times New Roman;Times;serif" w:hAnsi="Times New Roman;Times;serif"/>
          <w:color w:val="231F20"/>
          <w:spacing w:val="-26"/>
          <w:sz w:val="20"/>
        </w:rPr>
        <w:t xml:space="preserve"> </w:t>
      </w:r>
      <w:r>
        <w:rPr>
          <w:rFonts w:ascii="Times New Roman;Times;serif" w:hAnsi="Times New Roman;Times;serif"/>
          <w:color w:val="231F20"/>
          <w:sz w:val="20"/>
        </w:rPr>
        <w:t>This</w:t>
      </w:r>
      <w:r>
        <w:rPr>
          <w:rFonts w:ascii="Times New Roman;Times;serif" w:hAnsi="Times New Roman;Times;serif"/>
          <w:color w:val="231F20"/>
          <w:spacing w:val="-26"/>
          <w:sz w:val="20"/>
        </w:rPr>
        <w:t xml:space="preserve"> </w:t>
      </w:r>
      <w:r>
        <w:rPr>
          <w:rFonts w:ascii="Times New Roman;Times;serif" w:hAnsi="Times New Roman;Times;serif"/>
          <w:color w:val="231F20"/>
          <w:sz w:val="20"/>
        </w:rPr>
        <w:t>volatility</w:t>
      </w:r>
      <w:r>
        <w:rPr>
          <w:rFonts w:ascii="Times New Roman;Times;serif" w:hAnsi="Times New Roman;Times;serif"/>
          <w:color w:val="231F20"/>
          <w:spacing w:val="-25"/>
          <w:sz w:val="20"/>
        </w:rPr>
        <w:t xml:space="preserve"> </w:t>
      </w:r>
      <w:r>
        <w:rPr>
          <w:rFonts w:ascii="Times New Roman;Times;serif" w:hAnsi="Times New Roman;Times;serif"/>
          <w:color w:val="231F20"/>
          <w:sz w:val="20"/>
        </w:rPr>
        <w:t>often</w:t>
      </w:r>
      <w:r>
        <w:rPr>
          <w:rFonts w:ascii="Times New Roman;Times;serif" w:hAnsi="Times New Roman;Times;serif"/>
          <w:color w:val="231F20"/>
          <w:spacing w:val="-26"/>
          <w:sz w:val="20"/>
        </w:rPr>
        <w:t xml:space="preserve"> </w:t>
      </w:r>
      <w:r>
        <w:rPr>
          <w:rFonts w:ascii="Times New Roman;Times;serif" w:hAnsi="Times New Roman;Times;serif"/>
          <w:color w:val="231F20"/>
          <w:sz w:val="20"/>
        </w:rPr>
        <w:t>has</w:t>
      </w:r>
      <w:r>
        <w:rPr>
          <w:rFonts w:ascii="Times New Roman;Times;serif" w:hAnsi="Times New Roman;Times;serif"/>
          <w:color w:val="231F20"/>
          <w:spacing w:val="-26"/>
          <w:sz w:val="20"/>
        </w:rPr>
        <w:t xml:space="preserve"> </w:t>
      </w:r>
      <w:r>
        <w:rPr>
          <w:rFonts w:ascii="Times New Roman;Times;serif" w:hAnsi="Times New Roman;Times;serif"/>
          <w:color w:val="231F20"/>
          <w:sz w:val="20"/>
        </w:rPr>
        <w:t>been</w:t>
      </w:r>
      <w:r>
        <w:rPr>
          <w:rFonts w:ascii="Times New Roman;Times;serif" w:hAnsi="Times New Roman;Times;serif"/>
          <w:color w:val="231F20"/>
          <w:spacing w:val="-26"/>
          <w:sz w:val="20"/>
        </w:rPr>
        <w:t xml:space="preserve"> </w:t>
      </w:r>
      <w:r>
        <w:rPr>
          <w:rFonts w:ascii="Times New Roman;Times;serif" w:hAnsi="Times New Roman;Times;serif"/>
          <w:color w:val="231F20"/>
          <w:sz w:val="20"/>
        </w:rPr>
        <w:t>unrelated</w:t>
      </w:r>
      <w:r>
        <w:rPr>
          <w:rFonts w:ascii="Times New Roman;Times;serif" w:hAnsi="Times New Roman;Times;serif"/>
          <w:color w:val="231F20"/>
          <w:spacing w:val="-25"/>
          <w:sz w:val="20"/>
        </w:rPr>
        <w:t xml:space="preserve"> </w:t>
      </w:r>
      <w:r>
        <w:rPr>
          <w:rFonts w:ascii="Times New Roman;Times;serif" w:hAnsi="Times New Roman;Times;serif"/>
          <w:color w:val="231F20"/>
          <w:sz w:val="20"/>
        </w:rPr>
        <w:t>or</w:t>
      </w:r>
      <w:r>
        <w:rPr>
          <w:rFonts w:ascii="Times New Roman;Times;serif" w:hAnsi="Times New Roman;Times;serif"/>
          <w:color w:val="231F20"/>
          <w:spacing w:val="-26"/>
          <w:sz w:val="20"/>
        </w:rPr>
        <w:t xml:space="preserve"> </w:t>
      </w:r>
      <w:r>
        <w:rPr>
          <w:rFonts w:ascii="Times New Roman;Times;serif" w:hAnsi="Times New Roman;Times;serif"/>
          <w:color w:val="231F20"/>
          <w:sz w:val="20"/>
        </w:rPr>
        <w:t>disproportionate</w:t>
      </w:r>
      <w:r>
        <w:rPr>
          <w:rFonts w:ascii="Times New Roman;Times;serif" w:hAnsi="Times New Roman;Times;serif"/>
          <w:color w:val="231F20"/>
          <w:spacing w:val="-26"/>
          <w:sz w:val="20"/>
        </w:rPr>
        <w:t xml:space="preserve"> </w:t>
      </w:r>
      <w:r>
        <w:rPr>
          <w:rFonts w:ascii="Times New Roman;Times;serif" w:hAnsi="Times New Roman;Times;serif"/>
          <w:color w:val="231F20"/>
          <w:sz w:val="20"/>
        </w:rPr>
        <w:t>to</w:t>
      </w:r>
      <w:r>
        <w:rPr>
          <w:rFonts w:ascii="Times New Roman;Times;serif" w:hAnsi="Times New Roman;Times;serif"/>
          <w:color w:val="231F20"/>
          <w:spacing w:val="-26"/>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5"/>
          <w:sz w:val="20"/>
        </w:rPr>
        <w:t xml:space="preserve"> </w:t>
      </w:r>
      <w:r>
        <w:rPr>
          <w:rFonts w:ascii="Times New Roman;Times;serif" w:hAnsi="Times New Roman;Times;serif"/>
          <w:color w:val="231F20"/>
          <w:sz w:val="20"/>
        </w:rPr>
        <w:t>operating performance</w:t>
      </w:r>
      <w:r>
        <w:rPr>
          <w:rFonts w:ascii="Times New Roman;Times;serif" w:hAnsi="Times New Roman;Times;serif"/>
          <w:color w:val="231F20"/>
          <w:spacing w:val="-25"/>
          <w:sz w:val="20"/>
        </w:rPr>
        <w:t xml:space="preserve"> </w:t>
      </w:r>
      <w:r>
        <w:rPr>
          <w:rFonts w:ascii="Times New Roman;Times;serif" w:hAnsi="Times New Roman;Times;serif"/>
          <w:color w:val="231F20"/>
          <w:sz w:val="20"/>
        </w:rPr>
        <w:t>of</w:t>
      </w:r>
      <w:r>
        <w:rPr>
          <w:rFonts w:ascii="Times New Roman;Times;serif" w:hAnsi="Times New Roman;Times;serif"/>
          <w:color w:val="231F20"/>
          <w:spacing w:val="-11"/>
          <w:sz w:val="20"/>
        </w:rPr>
        <w:t xml:space="preserve"> </w:t>
      </w:r>
      <w:r>
        <w:rPr>
          <w:rFonts w:ascii="Times New Roman;Times;serif" w:hAnsi="Times New Roman;Times;serif"/>
          <w:color w:val="231F20"/>
          <w:sz w:val="20"/>
        </w:rPr>
        <w:t>particular</w:t>
      </w:r>
      <w:r>
        <w:rPr>
          <w:rFonts w:ascii="Times New Roman;Times;serif" w:hAnsi="Times New Roman;Times;serif"/>
          <w:color w:val="231F20"/>
          <w:spacing w:val="-25"/>
          <w:sz w:val="20"/>
        </w:rPr>
        <w:t xml:space="preserve"> </w:t>
      </w:r>
      <w:r>
        <w:rPr>
          <w:rFonts w:ascii="Times New Roman;Times;serif" w:hAnsi="Times New Roman;Times;serif"/>
          <w:color w:val="231F20"/>
          <w:sz w:val="20"/>
        </w:rPr>
        <w:t>companies.</w:t>
      </w:r>
      <w:r>
        <w:rPr>
          <w:rFonts w:ascii="Times New Roman;Times;serif" w:hAnsi="Times New Roman;Times;serif"/>
          <w:color w:val="231F20"/>
          <w:spacing w:val="-25"/>
          <w:sz w:val="20"/>
        </w:rPr>
        <w:t xml:space="preserve"> </w:t>
      </w:r>
      <w:r>
        <w:rPr>
          <w:rFonts w:ascii="Times New Roman;Times;serif" w:hAnsi="Times New Roman;Times;serif"/>
          <w:color w:val="231F20"/>
          <w:spacing w:val="-10"/>
          <w:sz w:val="20"/>
        </w:rPr>
        <w:t>You</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5"/>
          <w:sz w:val="20"/>
        </w:rPr>
        <w:t xml:space="preserve"> </w:t>
      </w:r>
      <w:r>
        <w:rPr>
          <w:rFonts w:ascii="Times New Roman;Times;serif" w:hAnsi="Times New Roman;Times;serif"/>
          <w:color w:val="231F20"/>
          <w:sz w:val="20"/>
        </w:rPr>
        <w:t>not</w:t>
      </w:r>
      <w:r>
        <w:rPr>
          <w:rFonts w:ascii="Times New Roman;Times;serif" w:hAnsi="Times New Roman;Times;serif"/>
          <w:color w:val="231F20"/>
          <w:spacing w:val="-24"/>
          <w:sz w:val="20"/>
        </w:rPr>
        <w:t xml:space="preserve"> </w:t>
      </w:r>
      <w:r>
        <w:rPr>
          <w:rFonts w:ascii="Times New Roman;Times;serif" w:hAnsi="Times New Roman;Times;serif"/>
          <w:color w:val="231F20"/>
          <w:sz w:val="20"/>
        </w:rPr>
        <w:t>be</w:t>
      </w:r>
      <w:r>
        <w:rPr>
          <w:rFonts w:ascii="Times New Roman;Times;serif" w:hAnsi="Times New Roman;Times;serif"/>
          <w:color w:val="231F20"/>
          <w:spacing w:val="-25"/>
          <w:sz w:val="20"/>
        </w:rPr>
        <w:t xml:space="preserve"> </w:t>
      </w:r>
      <w:r>
        <w:rPr>
          <w:rFonts w:ascii="Times New Roman;Times;serif" w:hAnsi="Times New Roman;Times;serif"/>
          <w:color w:val="231F20"/>
          <w:spacing w:val="-3"/>
          <w:sz w:val="20"/>
        </w:rPr>
        <w:t>able</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resell</w:t>
      </w:r>
      <w:r>
        <w:rPr>
          <w:rFonts w:ascii="Times New Roman;Times;serif" w:hAnsi="Times New Roman;Times;serif"/>
          <w:color w:val="231F20"/>
          <w:spacing w:val="-24"/>
          <w:sz w:val="20"/>
        </w:rPr>
        <w:t xml:space="preserve"> </w:t>
      </w:r>
      <w:r>
        <w:rPr>
          <w:rFonts w:ascii="Times New Roman;Times;serif" w:hAnsi="Times New Roman;Times;serif"/>
          <w:color w:val="231F20"/>
          <w:sz w:val="20"/>
        </w:rPr>
        <w:t>your</w:t>
      </w:r>
      <w:r>
        <w:rPr>
          <w:rFonts w:ascii="Times New Roman;Times;serif" w:hAnsi="Times New Roman;Times;serif"/>
          <w:color w:val="231F20"/>
          <w:spacing w:val="-25"/>
          <w:sz w:val="20"/>
        </w:rPr>
        <w:t xml:space="preserve"> </w:t>
      </w:r>
      <w:r>
        <w:rPr>
          <w:rFonts w:ascii="Times New Roman;Times;serif" w:hAnsi="Times New Roman;Times;serif"/>
          <w:color w:val="231F20"/>
          <w:sz w:val="20"/>
        </w:rPr>
        <w:t>shares</w:t>
      </w:r>
      <w:r>
        <w:rPr>
          <w:rFonts w:ascii="Times New Roman;Times;serif" w:hAnsi="Times New Roman;Times;serif"/>
          <w:color w:val="231F20"/>
          <w:spacing w:val="-24"/>
          <w:sz w:val="20"/>
        </w:rPr>
        <w:t xml:space="preserve"> </w:t>
      </w:r>
      <w:r>
        <w:rPr>
          <w:rFonts w:ascii="Times New Roman;Times;serif" w:hAnsi="Times New Roman;Times;serif"/>
          <w:color w:val="231F20"/>
          <w:spacing w:val="-3"/>
          <w:sz w:val="20"/>
        </w:rPr>
        <w:t>at</w:t>
      </w:r>
      <w:r>
        <w:rPr>
          <w:rFonts w:ascii="Times New Roman;Times;serif" w:hAnsi="Times New Roman;Times;serif"/>
          <w:color w:val="231F20"/>
          <w:spacing w:val="-25"/>
          <w:sz w:val="20"/>
        </w:rPr>
        <w:t xml:space="preserve"> </w:t>
      </w:r>
      <w:r>
        <w:rPr>
          <w:rFonts w:ascii="Times New Roman;Times;serif" w:hAnsi="Times New Roman;Times;serif"/>
          <w:color w:val="231F20"/>
          <w:sz w:val="20"/>
        </w:rPr>
        <w:t>an</w:t>
      </w:r>
      <w:r>
        <w:rPr>
          <w:rFonts w:ascii="Times New Roman;Times;serif" w:hAnsi="Times New Roman;Times;serif"/>
          <w:color w:val="231F20"/>
          <w:spacing w:val="-25"/>
          <w:sz w:val="20"/>
        </w:rPr>
        <w:t xml:space="preserve"> </w:t>
      </w:r>
      <w:r>
        <w:rPr>
          <w:rFonts w:ascii="Times New Roman;Times;serif" w:hAnsi="Times New Roman;Times;serif"/>
          <w:color w:val="231F20"/>
          <w:sz w:val="20"/>
        </w:rPr>
        <w:t>attractive</w:t>
      </w:r>
      <w:r>
        <w:rPr>
          <w:rFonts w:ascii="Times New Roman;Times;serif" w:hAnsi="Times New Roman;Times;serif"/>
          <w:color w:val="231F20"/>
          <w:spacing w:val="-24"/>
          <w:sz w:val="20"/>
        </w:rPr>
        <w:t xml:space="preserve"> </w:t>
      </w:r>
      <w:r>
        <w:rPr>
          <w:rFonts w:ascii="Times New Roman;Times;serif" w:hAnsi="Times New Roman;Times;serif"/>
          <w:color w:val="231F20"/>
          <w:sz w:val="20"/>
        </w:rPr>
        <w:t>price</w:t>
      </w:r>
      <w:r>
        <w:rPr>
          <w:rFonts w:ascii="Times New Roman;Times;serif" w:hAnsi="Times New Roman;Times;serif"/>
          <w:color w:val="231F20"/>
          <w:spacing w:val="-25"/>
          <w:sz w:val="20"/>
        </w:rPr>
        <w:t xml:space="preserve"> </w:t>
      </w:r>
      <w:r>
        <w:rPr>
          <w:rFonts w:ascii="Times New Roman;Times;serif" w:hAnsi="Times New Roman;Times;serif"/>
          <w:color w:val="231F20"/>
          <w:sz w:val="20"/>
        </w:rPr>
        <w:t>due</w:t>
      </w:r>
      <w:r>
        <w:rPr>
          <w:rFonts w:ascii="Times New Roman;Times;serif" w:hAnsi="Times New Roman;Times;serif"/>
          <w:color w:val="231F20"/>
          <w:spacing w:val="-24"/>
          <w:sz w:val="20"/>
        </w:rPr>
        <w:t xml:space="preserve"> </w:t>
      </w:r>
      <w:r>
        <w:rPr>
          <w:rFonts w:ascii="Times New Roman;Times;serif" w:hAnsi="Times New Roman;Times;serif"/>
          <w:color w:val="231F20"/>
          <w:sz w:val="20"/>
        </w:rPr>
        <w:t>to</w:t>
      </w:r>
      <w:r>
        <w:rPr>
          <w:rFonts w:ascii="Times New Roman;Times;serif" w:hAnsi="Times New Roman;Times;serif"/>
          <w:color w:val="231F20"/>
          <w:spacing w:val="-25"/>
          <w:sz w:val="20"/>
        </w:rPr>
        <w:t xml:space="preserve"> </w:t>
      </w:r>
      <w:r>
        <w:rPr>
          <w:rFonts w:ascii="Times New Roman;Times;serif" w:hAnsi="Times New Roman;Times;serif"/>
          <w:color w:val="231F20"/>
          <w:sz w:val="20"/>
        </w:rPr>
        <w:t>a number</w:t>
      </w:r>
      <w:r>
        <w:rPr>
          <w:rFonts w:ascii="Times New Roman;Times;serif" w:hAnsi="Times New Roman;Times;serif"/>
          <w:color w:val="231F20"/>
          <w:spacing w:val="-30"/>
          <w:sz w:val="20"/>
        </w:rPr>
        <w:t xml:space="preserve"> </w:t>
      </w:r>
      <w:r>
        <w:rPr>
          <w:rFonts w:ascii="Times New Roman;Times;serif" w:hAnsi="Times New Roman;Times;serif"/>
          <w:color w:val="231F20"/>
          <w:sz w:val="20"/>
        </w:rPr>
        <w:t>of</w:t>
      </w:r>
      <w:r>
        <w:rPr>
          <w:rFonts w:ascii="Times New Roman;Times;serif" w:hAnsi="Times New Roman;Times;serif"/>
          <w:color w:val="231F20"/>
          <w:spacing w:val="-18"/>
          <w:sz w:val="20"/>
        </w:rPr>
        <w:t xml:space="preserve"> </w:t>
      </w:r>
      <w:r>
        <w:rPr>
          <w:rFonts w:ascii="Times New Roman;Times;serif" w:hAnsi="Times New Roman;Times;serif"/>
          <w:color w:val="231F20"/>
          <w:sz w:val="20"/>
        </w:rPr>
        <w:t>factors</w:t>
      </w:r>
      <w:r>
        <w:rPr>
          <w:rFonts w:ascii="Times New Roman;Times;serif" w:hAnsi="Times New Roman;Times;serif"/>
          <w:color w:val="231F20"/>
          <w:spacing w:val="-29"/>
          <w:sz w:val="20"/>
        </w:rPr>
        <w:t xml:space="preserve"> </w:t>
      </w:r>
      <w:r>
        <w:rPr>
          <w:rFonts w:ascii="Times New Roman;Times;serif" w:hAnsi="Times New Roman;Times;serif"/>
          <w:color w:val="231F20"/>
          <w:sz w:val="20"/>
        </w:rPr>
        <w:t>such</w:t>
      </w:r>
      <w:r>
        <w:rPr>
          <w:rFonts w:ascii="Times New Roman;Times;serif" w:hAnsi="Times New Roman;Times;serif"/>
          <w:color w:val="231F20"/>
          <w:spacing w:val="-29"/>
          <w:sz w:val="20"/>
        </w:rPr>
        <w:t xml:space="preserve"> </w:t>
      </w:r>
      <w:r>
        <w:rPr>
          <w:rFonts w:ascii="Times New Roman;Times;serif" w:hAnsi="Times New Roman;Times;serif"/>
          <w:color w:val="231F20"/>
          <w:sz w:val="20"/>
        </w:rPr>
        <w:t>as</w:t>
      </w:r>
      <w:r>
        <w:rPr>
          <w:rFonts w:ascii="Times New Roman;Times;serif" w:hAnsi="Times New Roman;Times;serif"/>
          <w:color w:val="231F20"/>
          <w:spacing w:val="-30"/>
          <w:sz w:val="20"/>
        </w:rPr>
        <w:t xml:space="preserve"> </w:t>
      </w:r>
      <w:r>
        <w:rPr>
          <w:rFonts w:ascii="Times New Roman;Times;serif" w:hAnsi="Times New Roman;Times;serif"/>
          <w:color w:val="231F20"/>
          <w:sz w:val="20"/>
        </w:rPr>
        <w:t>those</w:t>
      </w:r>
      <w:r>
        <w:rPr>
          <w:rFonts w:ascii="Times New Roman;Times;serif" w:hAnsi="Times New Roman;Times;serif"/>
          <w:color w:val="231F20"/>
          <w:spacing w:val="-29"/>
          <w:sz w:val="20"/>
        </w:rPr>
        <w:t xml:space="preserve"> </w:t>
      </w:r>
      <w:r>
        <w:rPr>
          <w:rFonts w:ascii="Times New Roman;Times;serif" w:hAnsi="Times New Roman;Times;serif"/>
          <w:color w:val="231F20"/>
          <w:sz w:val="20"/>
        </w:rPr>
        <w:t>listed</w:t>
      </w:r>
      <w:r>
        <w:rPr>
          <w:rFonts w:ascii="Times New Roman;Times;serif" w:hAnsi="Times New Roman;Times;serif"/>
          <w:color w:val="231F20"/>
          <w:spacing w:val="-29"/>
          <w:sz w:val="20"/>
        </w:rPr>
        <w:t xml:space="preserve"> </w:t>
      </w:r>
      <w:r>
        <w:rPr>
          <w:rFonts w:ascii="Times New Roman;Times;serif" w:hAnsi="Times New Roman;Times;serif"/>
          <w:color w:val="231F20"/>
          <w:sz w:val="20"/>
        </w:rPr>
        <w:t>in</w:t>
      </w:r>
      <w:r>
        <w:rPr>
          <w:rFonts w:ascii="Times New Roman;Times;serif" w:hAnsi="Times New Roman;Times;serif"/>
          <w:color w:val="231F20"/>
          <w:spacing w:val="-29"/>
          <w:sz w:val="20"/>
        </w:rPr>
        <w:t xml:space="preserve"> </w:t>
      </w:r>
      <w:r>
        <w:rPr>
          <w:rFonts w:ascii="Times New Roman;Times;serif" w:hAnsi="Times New Roman;Times;serif"/>
          <w:color w:val="231F20"/>
          <w:sz w:val="20"/>
        </w:rPr>
        <w:t>“—</w:t>
      </w:r>
      <w:r>
        <w:rPr>
          <w:rFonts w:ascii="Times New Roman;Times;serif" w:hAnsi="Times New Roman;Times;serif"/>
          <w:color w:val="231F20"/>
          <w:spacing w:val="-29"/>
          <w:sz w:val="20"/>
        </w:rPr>
        <w:t xml:space="preserve"> </w:t>
      </w:r>
      <w:r>
        <w:rPr>
          <w:rFonts w:ascii="Times New Roman;Times;serif" w:hAnsi="Times New Roman;Times;serif"/>
          <w:i/>
          <w:color w:val="231F20"/>
          <w:sz w:val="20"/>
        </w:rPr>
        <w:t>Risks</w:t>
      </w:r>
      <w:r>
        <w:rPr>
          <w:rFonts w:ascii="Times New Roman;Times;serif" w:hAnsi="Times New Roman;Times;serif"/>
          <w:color w:val="231F20"/>
          <w:spacing w:val="-29"/>
          <w:sz w:val="20"/>
        </w:rPr>
        <w:t xml:space="preserve"> </w:t>
      </w:r>
      <w:r>
        <w:rPr>
          <w:rFonts w:ascii="Times New Roman;Times;serif" w:hAnsi="Times New Roman;Times;serif"/>
          <w:i/>
          <w:color w:val="231F20"/>
          <w:sz w:val="20"/>
        </w:rPr>
        <w:t>Related</w:t>
      </w:r>
      <w:r>
        <w:rPr>
          <w:rFonts w:ascii="Times New Roman;Times;serif" w:hAnsi="Times New Roman;Times;serif"/>
          <w:color w:val="231F20"/>
          <w:spacing w:val="-30"/>
          <w:sz w:val="20"/>
        </w:rPr>
        <w:t xml:space="preserve"> </w:t>
      </w:r>
      <w:r>
        <w:rPr>
          <w:rFonts w:ascii="Times New Roman;Times;serif" w:hAnsi="Times New Roman;Times;serif"/>
          <w:i/>
          <w:color w:val="231F20"/>
          <w:sz w:val="20"/>
        </w:rPr>
        <w:t>to</w:t>
      </w:r>
      <w:r>
        <w:rPr>
          <w:rFonts w:ascii="Times New Roman;Times;serif" w:hAnsi="Times New Roman;Times;serif"/>
          <w:color w:val="231F20"/>
          <w:spacing w:val="-29"/>
          <w:sz w:val="20"/>
        </w:rPr>
        <w:t xml:space="preserve"> </w:t>
      </w:r>
      <w:r>
        <w:rPr>
          <w:rFonts w:ascii="Times New Roman;Times;serif" w:hAnsi="Times New Roman;Times;serif"/>
          <w:i/>
          <w:color w:val="231F20"/>
          <w:sz w:val="20"/>
        </w:rPr>
        <w:t>Our</w:t>
      </w:r>
      <w:r>
        <w:rPr>
          <w:rFonts w:ascii="Times New Roman;Times;serif" w:hAnsi="Times New Roman;Times;serif"/>
          <w:color w:val="231F20"/>
          <w:spacing w:val="-29"/>
          <w:sz w:val="20"/>
        </w:rPr>
        <w:t xml:space="preserve"> </w:t>
      </w:r>
      <w:r>
        <w:rPr>
          <w:rFonts w:ascii="Times New Roman;Times;serif" w:hAnsi="Times New Roman;Times;serif"/>
          <w:i/>
          <w:color w:val="231F20"/>
          <w:sz w:val="20"/>
        </w:rPr>
        <w:t>Business</w:t>
      </w:r>
      <w:r>
        <w:rPr>
          <w:rFonts w:ascii="Times New Roman;Times;serif" w:hAnsi="Times New Roman;Times;serif"/>
          <w:color w:val="231F20"/>
          <w:spacing w:val="-29"/>
          <w:sz w:val="20"/>
        </w:rPr>
        <w:t xml:space="preserve"> </w:t>
      </w:r>
      <w:r>
        <w:rPr>
          <w:rFonts w:ascii="Times New Roman;Times;serif" w:hAnsi="Times New Roman;Times;serif"/>
          <w:i/>
          <w:color w:val="231F20"/>
          <w:sz w:val="20"/>
        </w:rPr>
        <w:t>and</w:t>
      </w:r>
      <w:r>
        <w:rPr>
          <w:rFonts w:ascii="Times New Roman;Times;serif" w:hAnsi="Times New Roman;Times;serif"/>
          <w:color w:val="231F20"/>
          <w:spacing w:val="-29"/>
          <w:sz w:val="20"/>
        </w:rPr>
        <w:t xml:space="preserve"> </w:t>
      </w:r>
      <w:r>
        <w:rPr>
          <w:rFonts w:ascii="Times New Roman;Times;serif" w:hAnsi="Times New Roman;Times;serif"/>
          <w:i/>
          <w:color w:val="231F20"/>
          <w:sz w:val="20"/>
        </w:rPr>
        <w:t>Industry</w:t>
      </w:r>
      <w:r>
        <w:rPr>
          <w:rFonts w:ascii="Times New Roman;Times;serif" w:hAnsi="Times New Roman;Times;serif"/>
          <w:color w:val="231F20"/>
          <w:sz w:val="20"/>
        </w:rPr>
        <w:t>”</w:t>
      </w:r>
      <w:r>
        <w:rPr>
          <w:rFonts w:ascii="Times New Roman;Times;serif" w:hAnsi="Times New Roman;Times;serif"/>
          <w:color w:val="231F20"/>
          <w:spacing w:val="-36"/>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9"/>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9"/>
          <w:sz w:val="20"/>
        </w:rPr>
        <w:t xml:space="preserve"> </w:t>
      </w:r>
      <w:r>
        <w:rPr>
          <w:rFonts w:ascii="Times New Roman;Times;serif" w:hAnsi="Times New Roman;Times;serif"/>
          <w:color w:val="231F20"/>
          <w:sz w:val="20"/>
        </w:rPr>
        <w:t>following:</w:t>
      </w:r>
    </w:p>
    <w:tbl>
      <w:tblPr>
        <w:tblW w:w="9426" w:type="dxa"/>
        <w:jc w:val="left"/>
        <w:tblInd w:w="0" w:type="dxa"/>
        <w:tblCellMar>
          <w:top w:w="28" w:type="dxa"/>
          <w:left w:w="28" w:type="dxa"/>
          <w:bottom w:w="28" w:type="dxa"/>
          <w:right w:w="28" w:type="dxa"/>
        </w:tblCellMar>
      </w:tblPr>
      <w:tblGrid>
        <w:gridCol w:w="124"/>
        <w:gridCol w:w="196"/>
        <w:gridCol w:w="910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10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 impact of a resurgence of the COVID-19 pandemic on our financial condition and the results of</w:t>
            </w:r>
            <w:r>
              <w:rPr>
                <w:caps w:val="false"/>
                <w:smallCaps w:val="false"/>
                <w:color w:val="231F20"/>
                <w:spacing w:val="-27"/>
              </w:rPr>
              <w:t xml:space="preserve"> </w:t>
            </w:r>
            <w:r>
              <w:rPr>
                <w:rFonts w:ascii="Times New Roman;Times;serif" w:hAnsi="Times New Roman;Times;serif"/>
                <w:b w:val="false"/>
                <w:i w:val="false"/>
                <w:caps w:val="false"/>
                <w:smallCaps w:val="false"/>
                <w:color w:val="231F20"/>
                <w:sz w:val="20"/>
              </w:rPr>
              <w:t>operations;</w:t>
            </w:r>
          </w:p>
        </w:tc>
      </w:tr>
    </w:tbl>
    <w:tbl>
      <w:tblPr>
        <w:tblW w:w="5031" w:type="dxa"/>
        <w:jc w:val="left"/>
        <w:tblInd w:w="0" w:type="dxa"/>
        <w:tblCellMar>
          <w:top w:w="28" w:type="dxa"/>
          <w:left w:w="28" w:type="dxa"/>
          <w:bottom w:w="28" w:type="dxa"/>
          <w:right w:w="28" w:type="dxa"/>
        </w:tblCellMar>
      </w:tblPr>
      <w:tblGrid>
        <w:gridCol w:w="124"/>
        <w:gridCol w:w="196"/>
        <w:gridCol w:w="471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71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our</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operating</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financial</w:t>
            </w:r>
            <w:r>
              <w:rPr>
                <w:caps w:val="false"/>
                <w:smallCaps w:val="false"/>
                <w:color w:val="231F20"/>
                <w:spacing w:val="-8"/>
              </w:rPr>
              <w:t xml:space="preserve"> </w:t>
            </w:r>
            <w:r>
              <w:rPr>
                <w:rFonts w:ascii="Times New Roman;Times;serif" w:hAnsi="Times New Roman;Times;serif"/>
                <w:b w:val="false"/>
                <w:i w:val="false"/>
                <w:caps w:val="false"/>
                <w:smallCaps w:val="false"/>
                <w:color w:val="231F20"/>
                <w:sz w:val="20"/>
              </w:rPr>
              <w:t>performance</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and</w:t>
            </w:r>
            <w:r>
              <w:rPr>
                <w:caps w:val="false"/>
                <w:smallCaps w:val="false"/>
                <w:color w:val="231F20"/>
                <w:spacing w:val="-7"/>
              </w:rPr>
              <w:t xml:space="preserve"> </w:t>
            </w:r>
            <w:r>
              <w:rPr>
                <w:rFonts w:ascii="Times New Roman;Times;serif" w:hAnsi="Times New Roman;Times;serif"/>
                <w:b w:val="false"/>
                <w:i w:val="false"/>
                <w:caps w:val="false"/>
                <w:smallCaps w:val="false"/>
                <w:color w:val="231F20"/>
                <w:sz w:val="20"/>
              </w:rPr>
              <w:t>prospects;</w:t>
            </w:r>
          </w:p>
        </w:tc>
      </w:tr>
    </w:tbl>
    <w:tbl>
      <w:tblPr>
        <w:tblW w:w="9576" w:type="dxa"/>
        <w:jc w:val="left"/>
        <w:tblInd w:w="0" w:type="dxa"/>
        <w:tblCellMar>
          <w:top w:w="28" w:type="dxa"/>
          <w:left w:w="28" w:type="dxa"/>
          <w:bottom w:w="28" w:type="dxa"/>
          <w:right w:w="28" w:type="dxa"/>
        </w:tblCellMar>
      </w:tblPr>
      <w:tblGrid>
        <w:gridCol w:w="124"/>
        <w:gridCol w:w="196"/>
        <w:gridCol w:w="92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25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our</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quarterly</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6"/>
              </w:rPr>
              <w:t xml:space="preserve"> </w:t>
            </w:r>
            <w:r>
              <w:rPr>
                <w:rFonts w:ascii="Times New Roman;Times;serif" w:hAnsi="Times New Roman;Times;serif"/>
                <w:b w:val="false"/>
                <w:i w:val="false"/>
                <w:caps w:val="false"/>
                <w:smallCaps w:val="false"/>
                <w:color w:val="231F20"/>
                <w:spacing w:val="-3"/>
                <w:sz w:val="20"/>
              </w:rPr>
              <w:t>annual</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earnings</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those</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of other</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companies</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industry</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compared</w:t>
            </w:r>
            <w:r>
              <w:rPr>
                <w:caps w:val="false"/>
                <w:smallCaps w:val="false"/>
                <w:color w:val="231F20"/>
                <w:spacing w:val="-15"/>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market expectations;</w:t>
            </w:r>
          </w:p>
        </w:tc>
      </w:tr>
    </w:tbl>
    <w:tbl>
      <w:tblPr>
        <w:tblW w:w="4395" w:type="dxa"/>
        <w:jc w:val="left"/>
        <w:tblInd w:w="0" w:type="dxa"/>
        <w:tblCellMar>
          <w:top w:w="28" w:type="dxa"/>
          <w:left w:w="28" w:type="dxa"/>
          <w:bottom w:w="28" w:type="dxa"/>
          <w:right w:w="28" w:type="dxa"/>
        </w:tblCellMar>
      </w:tblPr>
      <w:tblGrid>
        <w:gridCol w:w="124"/>
        <w:gridCol w:w="196"/>
        <w:gridCol w:w="407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07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conditions that impact demand </w:t>
            </w:r>
            <w:r>
              <w:rPr>
                <w:rFonts w:ascii="Times New Roman;Times;serif" w:hAnsi="Times New Roman;Times;serif"/>
                <w:b w:val="false"/>
                <w:i w:val="false"/>
                <w:caps w:val="false"/>
                <w:smallCaps w:val="false"/>
                <w:color w:val="231F20"/>
                <w:spacing w:val="-3"/>
                <w:sz w:val="20"/>
              </w:rPr>
              <w:t xml:space="preserve">for </w:t>
            </w:r>
            <w:r>
              <w:rPr>
                <w:rFonts w:ascii="Times New Roman;Times;serif" w:hAnsi="Times New Roman;Times;serif"/>
                <w:b w:val="false"/>
                <w:i w:val="false"/>
                <w:caps w:val="false"/>
                <w:smallCaps w:val="false"/>
                <w:color w:val="231F20"/>
                <w:sz w:val="20"/>
              </w:rPr>
              <w:t>our</w:t>
            </w:r>
            <w:r>
              <w:rPr>
                <w:caps w:val="false"/>
                <w:smallCaps w:val="false"/>
                <w:color w:val="231F20"/>
                <w:spacing w:val="-37"/>
              </w:rPr>
              <w:t xml:space="preserve"> </w:t>
            </w:r>
            <w:r>
              <w:rPr>
                <w:rFonts w:ascii="Times New Roman;Times;serif" w:hAnsi="Times New Roman;Times;serif"/>
                <w:b w:val="false"/>
                <w:i w:val="false"/>
                <w:caps w:val="false"/>
                <w:smallCaps w:val="false"/>
                <w:color w:val="231F20"/>
                <w:sz w:val="20"/>
              </w:rPr>
              <w:t>products;</w:t>
            </w:r>
          </w:p>
        </w:tc>
      </w:tr>
    </w:tbl>
    <w:tbl>
      <w:tblPr>
        <w:tblW w:w="9276" w:type="dxa"/>
        <w:jc w:val="left"/>
        <w:tblInd w:w="0" w:type="dxa"/>
        <w:tblCellMar>
          <w:top w:w="28" w:type="dxa"/>
          <w:left w:w="28" w:type="dxa"/>
          <w:bottom w:w="28" w:type="dxa"/>
          <w:right w:w="28" w:type="dxa"/>
        </w:tblCellMar>
      </w:tblPr>
      <w:tblGrid>
        <w:gridCol w:w="124"/>
        <w:gridCol w:w="196"/>
        <w:gridCol w:w="89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9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future announcements concerning our business, our product users’ businesses or our competitors’ businesses;</w:t>
            </w:r>
          </w:p>
        </w:tc>
      </w:tr>
    </w:tbl>
    <w:tbl>
      <w:tblPr>
        <w:tblW w:w="8265" w:type="dxa"/>
        <w:jc w:val="left"/>
        <w:tblInd w:w="0" w:type="dxa"/>
        <w:tblCellMar>
          <w:top w:w="28" w:type="dxa"/>
          <w:left w:w="28" w:type="dxa"/>
          <w:bottom w:w="28" w:type="dxa"/>
          <w:right w:w="28" w:type="dxa"/>
        </w:tblCellMar>
      </w:tblPr>
      <w:tblGrid>
        <w:gridCol w:w="124"/>
        <w:gridCol w:w="196"/>
        <w:gridCol w:w="794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94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the </w:t>
            </w:r>
            <w:r>
              <w:rPr>
                <w:rFonts w:ascii="Times New Roman;Times;serif" w:hAnsi="Times New Roman;Times;serif"/>
                <w:b w:val="false"/>
                <w:i w:val="false"/>
                <w:caps w:val="false"/>
                <w:smallCaps w:val="false"/>
                <w:color w:val="231F20"/>
                <w:spacing w:val="-3"/>
                <w:sz w:val="20"/>
              </w:rPr>
              <w:t xml:space="preserve">public’s </w:t>
            </w:r>
            <w:r>
              <w:rPr>
                <w:rFonts w:ascii="Times New Roman;Times;serif" w:hAnsi="Times New Roman;Times;serif"/>
                <w:b w:val="false"/>
                <w:i w:val="false"/>
                <w:caps w:val="false"/>
                <w:smallCaps w:val="false"/>
                <w:color w:val="231F20"/>
                <w:sz w:val="20"/>
              </w:rPr>
              <w:t>reaction to our press releases, other public announcements and filings with the</w:t>
            </w:r>
            <w:r>
              <w:rPr>
                <w:caps w:val="false"/>
                <w:smallCaps w:val="false"/>
                <w:color w:val="231F20"/>
                <w:spacing w:val="-32"/>
              </w:rPr>
              <w:t xml:space="preserve"> </w:t>
            </w:r>
            <w:r>
              <w:rPr>
                <w:rFonts w:ascii="Times New Roman;Times;serif" w:hAnsi="Times New Roman;Times;serif"/>
                <w:b w:val="false"/>
                <w:i w:val="false"/>
                <w:caps w:val="false"/>
                <w:smallCaps w:val="false"/>
                <w:color w:val="231F20"/>
                <w:sz w:val="20"/>
              </w:rPr>
              <w:t>SEC;</w:t>
            </w:r>
          </w:p>
        </w:tc>
      </w:tr>
    </w:tbl>
    <w:tbl>
      <w:tblPr>
        <w:tblW w:w="2676" w:type="dxa"/>
        <w:jc w:val="left"/>
        <w:tblInd w:w="0" w:type="dxa"/>
        <w:tblCellMar>
          <w:top w:w="28" w:type="dxa"/>
          <w:left w:w="28" w:type="dxa"/>
          <w:bottom w:w="28" w:type="dxa"/>
          <w:right w:w="28" w:type="dxa"/>
        </w:tblCellMar>
      </w:tblPr>
      <w:tblGrid>
        <w:gridCol w:w="124"/>
        <w:gridCol w:w="196"/>
        <w:gridCol w:w="235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35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the size of our public</w:t>
            </w:r>
            <w:r>
              <w:rPr>
                <w:caps w:val="false"/>
                <w:smallCaps w:val="false"/>
                <w:color w:val="231F20"/>
                <w:spacing w:val="1"/>
              </w:rPr>
              <w:t xml:space="preserve"> </w:t>
            </w:r>
            <w:r>
              <w:rPr>
                <w:rFonts w:ascii="Times New Roman;Times;serif" w:hAnsi="Times New Roman;Times;serif"/>
                <w:b w:val="false"/>
                <w:i w:val="false"/>
                <w:caps w:val="false"/>
                <w:smallCaps w:val="false"/>
                <w:color w:val="231F20"/>
                <w:sz w:val="20"/>
              </w:rPr>
              <w:t>float;</w:t>
            </w:r>
          </w:p>
        </w:tc>
      </w:tr>
    </w:tbl>
    <w:tbl>
      <w:tblPr>
        <w:tblW w:w="9105" w:type="dxa"/>
        <w:jc w:val="left"/>
        <w:tblInd w:w="0" w:type="dxa"/>
        <w:tblCellMar>
          <w:top w:w="28" w:type="dxa"/>
          <w:left w:w="28" w:type="dxa"/>
          <w:bottom w:w="28" w:type="dxa"/>
          <w:right w:w="28" w:type="dxa"/>
        </w:tblCellMar>
      </w:tblPr>
      <w:tblGrid>
        <w:gridCol w:w="124"/>
        <w:gridCol w:w="196"/>
        <w:gridCol w:w="87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7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pacing w:val="-3"/>
                <w:sz w:val="20"/>
              </w:rPr>
              <w:t>coverage</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by</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changes</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in</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financial</w:t>
            </w:r>
            <w:r>
              <w:rPr>
                <w:caps w:val="false"/>
                <w:smallCaps w:val="false"/>
                <w:color w:val="231F20"/>
                <w:spacing w:val="-15"/>
              </w:rPr>
              <w:t xml:space="preserve"> </w:t>
            </w:r>
            <w:r>
              <w:rPr>
                <w:rFonts w:ascii="Times New Roman;Times;serif" w:hAnsi="Times New Roman;Times;serif"/>
                <w:b w:val="false"/>
                <w:i w:val="false"/>
                <w:caps w:val="false"/>
                <w:smallCaps w:val="false"/>
                <w:color w:val="231F20"/>
                <w:sz w:val="20"/>
              </w:rPr>
              <w:t>estimates</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by</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securities</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analysts</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failure</w:t>
            </w:r>
            <w:r>
              <w:rPr>
                <w:caps w:val="false"/>
                <w:smallCaps w:val="false"/>
                <w:color w:val="231F20"/>
                <w:spacing w:val="-15"/>
              </w:rPr>
              <w:t xml:space="preserve"> </w:t>
            </w:r>
            <w:r>
              <w:rPr>
                <w:rFonts w:ascii="Times New Roman;Times;serif" w:hAnsi="Times New Roman;Times;serif"/>
                <w:b w:val="false"/>
                <w:i w:val="false"/>
                <w:caps w:val="false"/>
                <w:smallCaps w:val="false"/>
                <w:color w:val="231F20"/>
                <w:sz w:val="20"/>
              </w:rPr>
              <w:t>to</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meet</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their</w:t>
            </w:r>
            <w:r>
              <w:rPr>
                <w:caps w:val="false"/>
                <w:smallCaps w:val="false"/>
                <w:color w:val="231F20"/>
                <w:spacing w:val="-16"/>
              </w:rPr>
              <w:t xml:space="preserve"> </w:t>
            </w:r>
            <w:r>
              <w:rPr>
                <w:rFonts w:ascii="Times New Roman;Times;serif" w:hAnsi="Times New Roman;Times;serif"/>
                <w:b w:val="false"/>
                <w:i w:val="false"/>
                <w:caps w:val="false"/>
                <w:smallCaps w:val="false"/>
                <w:color w:val="231F20"/>
                <w:sz w:val="20"/>
              </w:rPr>
              <w:t>expectations;</w:t>
            </w:r>
          </w:p>
        </w:tc>
      </w:tr>
    </w:tbl>
    <w:tbl>
      <w:tblPr>
        <w:tblW w:w="8136" w:type="dxa"/>
        <w:jc w:val="left"/>
        <w:tblInd w:w="0" w:type="dxa"/>
        <w:tblCellMar>
          <w:top w:w="28" w:type="dxa"/>
          <w:left w:w="28" w:type="dxa"/>
          <w:bottom w:w="28" w:type="dxa"/>
          <w:right w:w="28" w:type="dxa"/>
        </w:tblCellMar>
      </w:tblPr>
      <w:tblGrid>
        <w:gridCol w:w="124"/>
        <w:gridCol w:w="196"/>
        <w:gridCol w:w="781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81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market and industry perception of our success, or lack thereof, in pursuing our </w:t>
            </w:r>
            <w:r>
              <w:rPr>
                <w:rFonts w:ascii="Times New Roman;Times;serif" w:hAnsi="Times New Roman;Times;serif"/>
                <w:b w:val="false"/>
                <w:i w:val="false"/>
                <w:caps w:val="false"/>
                <w:smallCaps w:val="false"/>
                <w:color w:val="231F20"/>
                <w:spacing w:val="-3"/>
                <w:sz w:val="20"/>
              </w:rPr>
              <w:t>growth</w:t>
            </w:r>
            <w:r>
              <w:rPr>
                <w:caps w:val="false"/>
                <w:smallCaps w:val="false"/>
                <w:color w:val="231F20"/>
                <w:spacing w:val="3"/>
              </w:rPr>
              <w:t xml:space="preserve"> </w:t>
            </w:r>
            <w:r>
              <w:rPr>
                <w:rFonts w:ascii="Times New Roman;Times;serif" w:hAnsi="Times New Roman;Times;serif"/>
                <w:b w:val="false"/>
                <w:i w:val="false"/>
                <w:caps w:val="false"/>
                <w:smallCaps w:val="false"/>
                <w:color w:val="231F20"/>
                <w:sz w:val="20"/>
              </w:rPr>
              <w:t>strategy;</w:t>
            </w:r>
          </w:p>
        </w:tc>
      </w:tr>
    </w:tbl>
    <w:tbl>
      <w:tblPr>
        <w:tblW w:w="6951" w:type="dxa"/>
        <w:jc w:val="left"/>
        <w:tblInd w:w="0" w:type="dxa"/>
        <w:tblCellMar>
          <w:top w:w="28" w:type="dxa"/>
          <w:left w:w="28" w:type="dxa"/>
          <w:bottom w:w="28" w:type="dxa"/>
          <w:right w:w="28" w:type="dxa"/>
        </w:tblCellMar>
      </w:tblPr>
      <w:tblGrid>
        <w:gridCol w:w="124"/>
        <w:gridCol w:w="196"/>
        <w:gridCol w:w="663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63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strategic actions by us or our competitors, such as acquisitions or</w:t>
            </w:r>
            <w:r>
              <w:rPr>
                <w:caps w:val="false"/>
                <w:smallCaps w:val="false"/>
                <w:color w:val="231F20"/>
                <w:spacing w:val="-26"/>
              </w:rPr>
              <w:t xml:space="preserve"> </w:t>
            </w:r>
            <w:r>
              <w:rPr>
                <w:rFonts w:ascii="Times New Roman;Times;serif" w:hAnsi="Times New Roman;Times;serif"/>
                <w:b w:val="false"/>
                <w:i w:val="false"/>
                <w:caps w:val="false"/>
                <w:smallCaps w:val="false"/>
                <w:color w:val="231F20"/>
                <w:sz w:val="20"/>
              </w:rPr>
              <w:t>restructurings;</w:t>
            </w:r>
          </w:p>
        </w:tc>
      </w:tr>
    </w:tbl>
    <w:tbl>
      <w:tblPr>
        <w:tblW w:w="6369" w:type="dxa"/>
        <w:jc w:val="left"/>
        <w:tblInd w:w="0" w:type="dxa"/>
        <w:tblCellMar>
          <w:top w:w="28" w:type="dxa"/>
          <w:left w:w="28" w:type="dxa"/>
          <w:bottom w:w="28" w:type="dxa"/>
          <w:right w:w="28" w:type="dxa"/>
        </w:tblCellMar>
      </w:tblPr>
      <w:tblGrid>
        <w:gridCol w:w="124"/>
        <w:gridCol w:w="196"/>
        <w:gridCol w:w="6049"/>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04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changes in </w:t>
            </w:r>
            <w:r>
              <w:rPr>
                <w:rFonts w:ascii="Times New Roman;Times;serif" w:hAnsi="Times New Roman;Times;serif"/>
                <w:b w:val="false"/>
                <w:i w:val="false"/>
                <w:caps w:val="false"/>
                <w:smallCaps w:val="false"/>
                <w:color w:val="231F20"/>
                <w:spacing w:val="-4"/>
                <w:sz w:val="20"/>
              </w:rPr>
              <w:t xml:space="preserve">laws </w:t>
            </w:r>
            <w:r>
              <w:rPr>
                <w:rFonts w:ascii="Times New Roman;Times;serif" w:hAnsi="Times New Roman;Times;serif"/>
                <w:b w:val="false"/>
                <w:i w:val="false"/>
                <w:caps w:val="false"/>
                <w:smallCaps w:val="false"/>
                <w:color w:val="231F20"/>
                <w:sz w:val="20"/>
              </w:rPr>
              <w:t>or regulations which adversely affect our industry or</w:t>
            </w:r>
            <w:r>
              <w:rPr>
                <w:caps w:val="false"/>
                <w:smallCaps w:val="false"/>
                <w:color w:val="231F20"/>
                <w:spacing w:val="-36"/>
              </w:rPr>
              <w:t xml:space="preserve">  </w:t>
            </w:r>
            <w:r>
              <w:rPr>
                <w:rFonts w:ascii="Times New Roman;Times;serif" w:hAnsi="Times New Roman;Times;serif"/>
                <w:b w:val="false"/>
                <w:i w:val="false"/>
                <w:caps w:val="false"/>
                <w:smallCaps w:val="false"/>
                <w:color w:val="231F20"/>
                <w:sz w:val="20"/>
              </w:rPr>
              <w:t>us;</w:t>
            </w:r>
          </w:p>
        </w:tc>
      </w:tr>
    </w:tbl>
    <w:tbl>
      <w:tblPr>
        <w:tblW w:w="7101" w:type="dxa"/>
        <w:jc w:val="left"/>
        <w:tblInd w:w="0" w:type="dxa"/>
        <w:tblCellMar>
          <w:top w:w="28" w:type="dxa"/>
          <w:left w:w="28" w:type="dxa"/>
          <w:bottom w:w="28" w:type="dxa"/>
          <w:right w:w="28" w:type="dxa"/>
        </w:tblCellMar>
      </w:tblPr>
      <w:tblGrid>
        <w:gridCol w:w="124"/>
        <w:gridCol w:w="196"/>
        <w:gridCol w:w="678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78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changes in accounting standards, policies, guidance, interpretations or</w:t>
            </w:r>
            <w:r>
              <w:rPr>
                <w:caps w:val="false"/>
                <w:smallCaps w:val="false"/>
                <w:color w:val="231F20"/>
                <w:spacing w:val="-25"/>
              </w:rPr>
              <w:t xml:space="preserve"> </w:t>
            </w:r>
            <w:r>
              <w:rPr>
                <w:rFonts w:ascii="Times New Roman;Times;serif" w:hAnsi="Times New Roman;Times;serif"/>
                <w:b w:val="false"/>
                <w:i w:val="false"/>
                <w:caps w:val="false"/>
                <w:smallCaps w:val="false"/>
                <w:color w:val="231F20"/>
                <w:sz w:val="20"/>
              </w:rPr>
              <w:t>principles;</w:t>
            </w:r>
          </w:p>
        </w:tc>
      </w:tr>
    </w:tbl>
    <w:tbl>
      <w:tblPr>
        <w:tblW w:w="4425" w:type="dxa"/>
        <w:jc w:val="left"/>
        <w:tblInd w:w="0" w:type="dxa"/>
        <w:tblCellMar>
          <w:top w:w="28" w:type="dxa"/>
          <w:left w:w="28" w:type="dxa"/>
          <w:bottom w:w="28" w:type="dxa"/>
          <w:right w:w="28" w:type="dxa"/>
        </w:tblCellMar>
      </w:tblPr>
      <w:tblGrid>
        <w:gridCol w:w="124"/>
        <w:gridCol w:w="196"/>
        <w:gridCol w:w="410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10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changes in senior management or </w:t>
            </w:r>
            <w:r>
              <w:rPr>
                <w:rFonts w:ascii="Times New Roman;Times;serif" w:hAnsi="Times New Roman;Times;serif"/>
                <w:b w:val="false"/>
                <w:i w:val="false"/>
                <w:caps w:val="false"/>
                <w:smallCaps w:val="false"/>
                <w:color w:val="231F20"/>
                <w:spacing w:val="-3"/>
                <w:sz w:val="20"/>
              </w:rPr>
              <w:t>key</w:t>
            </w:r>
            <w:r>
              <w:rPr>
                <w:caps w:val="false"/>
                <w:smallCaps w:val="false"/>
                <w:color w:val="231F20"/>
                <w:spacing w:val="-21"/>
              </w:rPr>
              <w:t xml:space="preserve"> </w:t>
            </w:r>
            <w:r>
              <w:rPr>
                <w:rFonts w:ascii="Times New Roman;Times;serif" w:hAnsi="Times New Roman;Times;serif"/>
                <w:b w:val="false"/>
                <w:i w:val="false"/>
                <w:caps w:val="false"/>
                <w:smallCaps w:val="false"/>
                <w:color w:val="231F20"/>
                <w:sz w:val="20"/>
              </w:rPr>
              <w:t>personnel;</w:t>
            </w:r>
          </w:p>
        </w:tc>
      </w:tr>
    </w:tbl>
    <w:tbl>
      <w:tblPr>
        <w:tblW w:w="8105" w:type="dxa"/>
        <w:jc w:val="left"/>
        <w:tblInd w:w="0" w:type="dxa"/>
        <w:tblCellMar>
          <w:top w:w="28" w:type="dxa"/>
          <w:left w:w="28" w:type="dxa"/>
          <w:bottom w:w="28" w:type="dxa"/>
          <w:right w:w="28" w:type="dxa"/>
        </w:tblCellMar>
      </w:tblPr>
      <w:tblGrid>
        <w:gridCol w:w="124"/>
        <w:gridCol w:w="196"/>
        <w:gridCol w:w="77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7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issuances,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exchanges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5"/>
              </w:rPr>
              <w:t xml:space="preserve"> </w:t>
            </w:r>
            <w:r>
              <w:rPr>
                <w:rFonts w:ascii="Times New Roman;Times;serif" w:hAnsi="Times New Roman;Times;serif"/>
                <w:b w:val="false"/>
                <w:i w:val="false"/>
                <w:caps w:val="false"/>
                <w:smallCaps w:val="false"/>
                <w:color w:val="231F20"/>
                <w:spacing w:val="-4"/>
                <w:sz w:val="20"/>
              </w:rPr>
              <w:t>sales,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expected</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issuances,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exchanges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or</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sales</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of</w:t>
            </w:r>
            <w:r>
              <w:rPr>
                <w:caps w:val="false"/>
                <w:smallCaps w:val="false"/>
                <w:color w:val="231F20"/>
                <w:spacing w:val="13"/>
              </w:rPr>
              <w:t xml:space="preserve"> </w:t>
            </w:r>
            <w:r>
              <w:rPr>
                <w:rFonts w:ascii="Times New Roman;Times;serif" w:hAnsi="Times New Roman;Times;serif"/>
                <w:b w:val="false"/>
                <w:i w:val="false"/>
                <w:caps w:val="false"/>
                <w:smallCaps w:val="false"/>
                <w:color w:val="231F20"/>
                <w:sz w:val="20"/>
              </w:rPr>
              <w:t>our</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capital</w:t>
            </w:r>
            <w:r>
              <w:rPr>
                <w:caps w:val="false"/>
                <w:smallCaps w:val="false"/>
                <w:color w:val="231F20"/>
                <w:spacing w:val="-5"/>
              </w:rPr>
              <w:t xml:space="preserve"> </w:t>
            </w:r>
            <w:r>
              <w:rPr>
                <w:rFonts w:ascii="Times New Roman;Times;serif" w:hAnsi="Times New Roman;Times;serif"/>
                <w:b w:val="false"/>
                <w:i w:val="false"/>
                <w:caps w:val="false"/>
                <w:smallCaps w:val="false"/>
                <w:color w:val="231F20"/>
                <w:sz w:val="20"/>
              </w:rPr>
              <w:t>stock;</w:t>
            </w:r>
          </w:p>
        </w:tc>
      </w:tr>
    </w:tbl>
    <w:tbl>
      <w:tblPr>
        <w:tblW w:w="3081" w:type="dxa"/>
        <w:jc w:val="left"/>
        <w:tblInd w:w="0" w:type="dxa"/>
        <w:tblCellMar>
          <w:top w:w="28" w:type="dxa"/>
          <w:left w:w="28" w:type="dxa"/>
          <w:bottom w:w="28" w:type="dxa"/>
          <w:right w:w="28" w:type="dxa"/>
        </w:tblCellMar>
      </w:tblPr>
      <w:tblGrid>
        <w:gridCol w:w="124"/>
        <w:gridCol w:w="196"/>
        <w:gridCol w:w="2761"/>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76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changes in our dividend</w:t>
            </w:r>
            <w:r>
              <w:rPr>
                <w:caps w:val="false"/>
                <w:smallCaps w:val="false"/>
                <w:color w:val="231F20"/>
                <w:spacing w:val="-15"/>
              </w:rPr>
              <w:t xml:space="preserve"> </w:t>
            </w:r>
            <w:r>
              <w:rPr>
                <w:rFonts w:ascii="Times New Roman;Times;serif" w:hAnsi="Times New Roman;Times;serif"/>
                <w:b w:val="false"/>
                <w:i w:val="false"/>
                <w:caps w:val="false"/>
                <w:smallCaps w:val="false"/>
                <w:color w:val="231F20"/>
                <w:sz w:val="20"/>
              </w:rPr>
              <w:t>policy;</w:t>
            </w:r>
          </w:p>
        </w:tc>
      </w:tr>
    </w:tbl>
    <w:tbl>
      <w:tblPr>
        <w:tblW w:w="5556" w:type="dxa"/>
        <w:jc w:val="left"/>
        <w:tblInd w:w="0" w:type="dxa"/>
        <w:tblCellMar>
          <w:top w:w="28" w:type="dxa"/>
          <w:left w:w="28" w:type="dxa"/>
          <w:bottom w:w="28" w:type="dxa"/>
          <w:right w:w="28" w:type="dxa"/>
        </w:tblCellMar>
      </w:tblPr>
      <w:tblGrid>
        <w:gridCol w:w="124"/>
        <w:gridCol w:w="196"/>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23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adverse resolution of new or pending litigation against us;</w:t>
            </w:r>
            <w:r>
              <w:rPr>
                <w:caps w:val="false"/>
                <w:smallCaps w:val="false"/>
                <w:color w:val="231F20"/>
                <w:spacing w:val="-10"/>
              </w:rPr>
              <w:t xml:space="preserve"> </w:t>
            </w:r>
            <w:r>
              <w:rPr>
                <w:rFonts w:ascii="Times New Roman;Times;serif" w:hAnsi="Times New Roman;Times;serif"/>
                <w:b w:val="false"/>
                <w:i w:val="false"/>
                <w:caps w:val="false"/>
                <w:smallCaps w:val="false"/>
                <w:color w:val="231F20"/>
                <w:sz w:val="20"/>
              </w:rPr>
              <w:t>and</w:t>
            </w:r>
          </w:p>
        </w:tc>
      </w:tr>
    </w:tbl>
    <w:tbl>
      <w:tblPr>
        <w:tblW w:w="10205" w:type="dxa"/>
        <w:jc w:val="left"/>
        <w:tblInd w:w="0" w:type="dxa"/>
        <w:tblCellMar>
          <w:top w:w="28" w:type="dxa"/>
          <w:left w:w="28" w:type="dxa"/>
          <w:bottom w:w="28" w:type="dxa"/>
          <w:right w:w="28"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8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color w:val="231F20"/>
                <w:sz w:val="20"/>
              </w:rPr>
              <w:t xml:space="preserve">changes in general market, economic and political conditions in the U.S. and global economies or financial </w:t>
            </w:r>
            <w:r>
              <w:rPr>
                <w:rFonts w:ascii="Times New Roman;Times;serif" w:hAnsi="Times New Roman;Times;serif"/>
                <w:b w:val="false"/>
                <w:i w:val="false"/>
                <w:caps w:val="false"/>
                <w:smallCaps w:val="false"/>
                <w:color w:val="231F20"/>
                <w:spacing w:val="-3"/>
                <w:sz w:val="20"/>
              </w:rPr>
              <w:t xml:space="preserve">markets, </w:t>
            </w:r>
            <w:r>
              <w:rPr>
                <w:rFonts w:ascii="Times New Roman;Times;serif" w:hAnsi="Times New Roman;Times;serif"/>
                <w:b w:val="false"/>
                <w:i w:val="false"/>
                <w:caps w:val="false"/>
                <w:smallCaps w:val="false"/>
                <w:color w:val="231F20"/>
                <w:sz w:val="20"/>
              </w:rPr>
              <w:t xml:space="preserve">including those resulting from </w:t>
            </w:r>
            <w:r>
              <w:rPr>
                <w:rFonts w:ascii="Times New Roman;Times;serif" w:hAnsi="Times New Roman;Times;serif"/>
                <w:b w:val="false"/>
                <w:i w:val="false"/>
                <w:caps w:val="false"/>
                <w:smallCaps w:val="false"/>
                <w:color w:val="231F20"/>
                <w:spacing w:val="-3"/>
                <w:sz w:val="20"/>
              </w:rPr>
              <w:t xml:space="preserve">natural </w:t>
            </w:r>
            <w:r>
              <w:rPr>
                <w:rFonts w:ascii="Times New Roman;Times;serif" w:hAnsi="Times New Roman;Times;serif"/>
                <w:b w:val="false"/>
                <w:i w:val="false"/>
                <w:caps w:val="false"/>
                <w:smallCaps w:val="false"/>
                <w:color w:val="231F20"/>
                <w:sz w:val="20"/>
              </w:rPr>
              <w:t>disasters, terrorist attacks, acts of war and responses to such</w:t>
            </w:r>
            <w:r>
              <w:rPr>
                <w:caps w:val="false"/>
                <w:smallCaps w:val="false"/>
                <w:color w:val="231F20"/>
                <w:spacing w:val="-4"/>
              </w:rPr>
              <w:t xml:space="preserve"> </w:t>
            </w:r>
            <w:r>
              <w:rPr>
                <w:rFonts w:ascii="Times New Roman;Times;serif" w:hAnsi="Times New Roman;Times;serif"/>
                <w:b w:val="false"/>
                <w:i w:val="false"/>
                <w:caps w:val="false"/>
                <w:smallCaps w:val="false"/>
                <w:color w:val="231F20"/>
                <w:spacing w:val="-3"/>
                <w:sz w:val="20"/>
              </w:rPr>
              <w:t>events.</w:t>
            </w:r>
          </w:p>
        </w:tc>
      </w:tr>
    </w:tbl>
    <w:p>
      <w:pPr>
        <w:pStyle w:val="TextBody"/>
        <w:spacing w:lineRule="auto" w:line="290" w:before="162"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These broad market and industry factors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materially reduce the market price of our Common Stock, regardless of our operating performance. In addition, price volatility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be greater if the public float</w:t>
      </w:r>
      <w:r>
        <w:rPr>
          <w:rFonts w:ascii="Times New Roman;Times;serif" w:hAnsi="Times New Roman;Times;serif"/>
          <w:color w:val="231F20"/>
          <w:spacing w:val="-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4"/>
          <w:sz w:val="20"/>
        </w:rPr>
        <w:t xml:space="preserve"> </w:t>
      </w:r>
      <w:r>
        <w:rPr>
          <w:rFonts w:ascii="Times New Roman;Times;serif" w:hAnsi="Times New Roman;Times;serif"/>
          <w:color w:val="231F20"/>
          <w:sz w:val="20"/>
        </w:rPr>
        <w:t>trading</w:t>
      </w:r>
      <w:r>
        <w:rPr>
          <w:rFonts w:ascii="Times New Roman;Times;serif" w:hAnsi="Times New Roman;Times;serif"/>
          <w:color w:val="231F20"/>
          <w:spacing w:val="-4"/>
          <w:sz w:val="20"/>
        </w:rPr>
        <w:t xml:space="preserve"> </w:t>
      </w:r>
      <w:r>
        <w:rPr>
          <w:rFonts w:ascii="Times New Roman;Times;serif" w:hAnsi="Times New Roman;Times;serif"/>
          <w:color w:val="231F20"/>
          <w:sz w:val="20"/>
        </w:rPr>
        <w:t>volume</w:t>
      </w:r>
      <w:r>
        <w:rPr>
          <w:rFonts w:ascii="Times New Roman;Times;serif" w:hAnsi="Times New Roman;Times;serif"/>
          <w:color w:val="231F20"/>
          <w:spacing w:val="-4"/>
          <w:sz w:val="20"/>
        </w:rPr>
        <w:t xml:space="preserve"> </w:t>
      </w:r>
      <w:r>
        <w:rPr>
          <w:rFonts w:ascii="Times New Roman;Times;serif" w:hAnsi="Times New Roman;Times;serif"/>
          <w:color w:val="231F20"/>
          <w:sz w:val="20"/>
        </w:rPr>
        <w:t>of</w:t>
      </w:r>
      <w:r>
        <w:rPr>
          <w:rFonts w:ascii="Times New Roman;Times;serif" w:hAnsi="Times New Roman;Times;serif"/>
          <w:color w:val="231F20"/>
          <w:spacing w:val="1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4"/>
          <w:sz w:val="20"/>
        </w:rPr>
        <w:t xml:space="preserve"> </w:t>
      </w:r>
      <w:r>
        <w:rPr>
          <w:rFonts w:ascii="Times New Roman;Times;serif" w:hAnsi="Times New Roman;Times;serif"/>
          <w:color w:val="231F20"/>
          <w:sz w:val="20"/>
        </w:rPr>
        <w:t>Common</w:t>
      </w:r>
      <w:r>
        <w:rPr>
          <w:rFonts w:ascii="Times New Roman;Times;serif" w:hAnsi="Times New Roman;Times;serif"/>
          <w:color w:val="231F20"/>
          <w:spacing w:val="-4"/>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4"/>
          <w:sz w:val="20"/>
        </w:rPr>
        <w:t xml:space="preserve"> </w:t>
      </w:r>
      <w:r>
        <w:rPr>
          <w:rFonts w:ascii="Times New Roman;Times;serif" w:hAnsi="Times New Roman;Times;serif"/>
          <w:color w:val="231F20"/>
          <w:sz w:val="20"/>
        </w:rPr>
        <w:t>is</w:t>
      </w:r>
      <w:r>
        <w:rPr>
          <w:rFonts w:ascii="Times New Roman;Times;serif" w:hAnsi="Times New Roman;Times;serif"/>
          <w:color w:val="231F20"/>
          <w:spacing w:val="-4"/>
          <w:sz w:val="20"/>
        </w:rPr>
        <w:t xml:space="preserve"> </w:t>
      </w:r>
      <w:r>
        <w:rPr>
          <w:rFonts w:ascii="Times New Roman;Times;serif" w:hAnsi="Times New Roman;Times;serif"/>
          <w:color w:val="231F20"/>
          <w:spacing w:val="-7"/>
          <w:sz w:val="20"/>
        </w:rPr>
        <w:t>low.</w:t>
      </w:r>
      <w:r>
        <w:rPr>
          <w:rFonts w:ascii="Times New Roman;Times;serif" w:hAnsi="Times New Roman;Times;serif"/>
          <w:color w:val="231F20"/>
          <w:spacing w:val="-4"/>
          <w:sz w:val="20"/>
        </w:rPr>
        <w:t xml:space="preserve"> </w:t>
      </w:r>
      <w:r>
        <w:rPr>
          <w:rFonts w:ascii="Times New Roman;Times;serif" w:hAnsi="Times New Roman;Times;serif"/>
          <w:color w:val="231F20"/>
          <w:sz w:val="20"/>
        </w:rPr>
        <w:t>As</w:t>
      </w:r>
      <w:r>
        <w:rPr>
          <w:rFonts w:ascii="Times New Roman;Times;serif" w:hAnsi="Times New Roman;Times;serif"/>
          <w:color w:val="231F20"/>
          <w:spacing w:val="-4"/>
          <w:sz w:val="20"/>
        </w:rPr>
        <w:t xml:space="preserve"> </w:t>
      </w:r>
      <w:r>
        <w:rPr>
          <w:rFonts w:ascii="Times New Roman;Times;serif" w:hAnsi="Times New Roman;Times;serif"/>
          <w:color w:val="231F20"/>
          <w:sz w:val="20"/>
        </w:rPr>
        <w:t>a</w:t>
      </w:r>
      <w:r>
        <w:rPr>
          <w:rFonts w:ascii="Times New Roman;Times;serif" w:hAnsi="Times New Roman;Times;serif"/>
          <w:color w:val="231F20"/>
          <w:spacing w:val="-4"/>
          <w:sz w:val="20"/>
        </w:rPr>
        <w:t xml:space="preserve"> </w:t>
      </w:r>
      <w:r>
        <w:rPr>
          <w:rFonts w:ascii="Times New Roman;Times;serif" w:hAnsi="Times New Roman;Times;serif"/>
          <w:color w:val="231F20"/>
          <w:sz w:val="20"/>
        </w:rPr>
        <w:t>result,</w:t>
      </w:r>
      <w:r>
        <w:rPr>
          <w:rFonts w:ascii="Times New Roman;Times;serif" w:hAnsi="Times New Roman;Times;serif"/>
          <w:color w:val="231F20"/>
          <w:spacing w:val="-3"/>
          <w:sz w:val="20"/>
        </w:rPr>
        <w:t xml:space="preserve"> you</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4"/>
          <w:sz w:val="20"/>
        </w:rPr>
        <w:t xml:space="preserve"> </w:t>
      </w:r>
      <w:r>
        <w:rPr>
          <w:rFonts w:ascii="Times New Roman;Times;serif" w:hAnsi="Times New Roman;Times;serif"/>
          <w:color w:val="231F20"/>
          <w:sz w:val="20"/>
        </w:rPr>
        <w:t>suffer</w:t>
      </w:r>
      <w:r>
        <w:rPr>
          <w:rFonts w:ascii="Times New Roman;Times;serif" w:hAnsi="Times New Roman;Times;serif"/>
          <w:color w:val="231F20"/>
          <w:spacing w:val="-4"/>
          <w:sz w:val="20"/>
        </w:rPr>
        <w:t xml:space="preserve"> </w:t>
      </w:r>
      <w:r>
        <w:rPr>
          <w:rFonts w:ascii="Times New Roman;Times;serif" w:hAnsi="Times New Roman;Times;serif"/>
          <w:color w:val="231F20"/>
          <w:sz w:val="20"/>
        </w:rPr>
        <w:t>a</w:t>
      </w:r>
      <w:r>
        <w:rPr>
          <w:rFonts w:ascii="Times New Roman;Times;serif" w:hAnsi="Times New Roman;Times;serif"/>
          <w:color w:val="231F20"/>
          <w:spacing w:val="-4"/>
          <w:sz w:val="20"/>
        </w:rPr>
        <w:t xml:space="preserve"> </w:t>
      </w:r>
      <w:r>
        <w:rPr>
          <w:rFonts w:ascii="Times New Roman;Times;serif" w:hAnsi="Times New Roman;Times;serif"/>
          <w:color w:val="231F20"/>
          <w:sz w:val="20"/>
        </w:rPr>
        <w:t>loss</w:t>
      </w:r>
      <w:r>
        <w:rPr>
          <w:rFonts w:ascii="Times New Roman;Times;serif" w:hAnsi="Times New Roman;Times;serif"/>
          <w:color w:val="231F20"/>
          <w:spacing w:val="-4"/>
          <w:sz w:val="20"/>
        </w:rPr>
        <w:t xml:space="preserve"> </w:t>
      </w:r>
      <w:r>
        <w:rPr>
          <w:rFonts w:ascii="Times New Roman;Times;serif" w:hAnsi="Times New Roman;Times;serif"/>
          <w:color w:val="231F20"/>
          <w:sz w:val="20"/>
        </w:rPr>
        <w:t>on</w:t>
      </w:r>
      <w:r>
        <w:rPr>
          <w:rFonts w:ascii="Times New Roman;Times;serif" w:hAnsi="Times New Roman;Times;serif"/>
          <w:color w:val="231F20"/>
          <w:spacing w:val="-4"/>
          <w:sz w:val="20"/>
        </w:rPr>
        <w:t xml:space="preserve"> </w:t>
      </w:r>
      <w:r>
        <w:rPr>
          <w:rFonts w:ascii="Times New Roman;Times;serif" w:hAnsi="Times New Roman;Times;serif"/>
          <w:color w:val="231F20"/>
          <w:sz w:val="20"/>
        </w:rPr>
        <w:t>your</w:t>
      </w:r>
      <w:r>
        <w:rPr>
          <w:rFonts w:ascii="Times New Roman;Times;serif" w:hAnsi="Times New Roman;Times;serif"/>
          <w:color w:val="231F20"/>
          <w:spacing w:val="-4"/>
          <w:sz w:val="20"/>
        </w:rPr>
        <w:t xml:space="preserve"> </w:t>
      </w:r>
      <w:r>
        <w:rPr>
          <w:rFonts w:ascii="Times New Roman;Times;serif" w:hAnsi="Times New Roman;Times;serif"/>
          <w:color w:val="231F20"/>
          <w:sz w:val="20"/>
        </w:rPr>
        <w:t>investment.</w:t>
      </w:r>
    </w:p>
    <w:p>
      <w:pPr>
        <w:pStyle w:val="TextBody"/>
        <w:spacing w:lineRule="auto" w:line="290" w:before="160"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Securities litigation could have a substantial cost and divert resources and the attention of executive management from our business regardless of the outcome of such litigation.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hanging="0"/>
        <w:jc w:val="both"/>
        <w:rPr>
          <w:rFonts w:ascii="Times New Roman;Times;serif" w:hAnsi="Times New Roman;Times;serif"/>
          <w:b/>
          <w:sz w:val="20"/>
        </w:rPr>
      </w:pPr>
      <w:r>
        <w:rPr>
          <w:rFonts w:ascii="Times New Roman;Times;serif" w:hAnsi="Times New Roman;Times;serif"/>
          <w:b/>
          <w:i/>
          <w:color w:val="231F20"/>
          <w:sz w:val="20"/>
        </w:rPr>
        <w:t>If</w:t>
      </w:r>
      <w:r>
        <w:rPr>
          <w:rFonts w:ascii="Times New Roman;Times;serif" w:hAnsi="Times New Roman;Times;serif"/>
          <w:b/>
          <w:color w:val="231F20"/>
          <w:spacing w:val="5"/>
          <w:sz w:val="20"/>
        </w:rPr>
        <w:t xml:space="preserve"> </w:t>
      </w:r>
      <w:r>
        <w:rPr>
          <w:rFonts w:ascii="Times New Roman;Times;serif" w:hAnsi="Times New Roman;Times;serif"/>
          <w:b/>
          <w:i/>
          <w:color w:val="231F20"/>
          <w:sz w:val="20"/>
        </w:rPr>
        <w:t>securities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analysts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do</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publish</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research</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reports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about</w:t>
      </w:r>
      <w:r>
        <w:rPr>
          <w:rFonts w:ascii="Times New Roman;Times;serif" w:hAnsi="Times New Roman;Times;serif"/>
          <w:b/>
          <w:color w:val="231F20"/>
          <w:spacing w:val="-10"/>
          <w:sz w:val="20"/>
        </w:rPr>
        <w:t xml:space="preserve"> </w:t>
      </w:r>
      <w:r>
        <w:rPr>
          <w:rFonts w:ascii="Times New Roman;Times;serif" w:hAnsi="Times New Roman;Times;serif"/>
          <w:b/>
          <w:i/>
          <w:color w:val="231F20"/>
          <w:spacing w:val="-3"/>
          <w:sz w:val="20"/>
        </w:rPr>
        <w:t>us,</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if</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they</w:t>
      </w:r>
      <w:r>
        <w:rPr>
          <w:rFonts w:ascii="Times New Roman;Times;serif" w:hAnsi="Times New Roman;Times;serif"/>
          <w:b/>
          <w:color w:val="231F20"/>
          <w:spacing w:val="-11"/>
          <w:sz w:val="20"/>
        </w:rPr>
        <w:t xml:space="preserve"> </w:t>
      </w:r>
      <w:r>
        <w:rPr>
          <w:rFonts w:ascii="Times New Roman;Times;serif" w:hAnsi="Times New Roman;Times;serif"/>
          <w:b/>
          <w:i/>
          <w:color w:val="231F20"/>
          <w:sz w:val="20"/>
        </w:rPr>
        <w:t>issue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unfavorable</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commentary</w:t>
      </w:r>
      <w:r>
        <w:rPr>
          <w:rFonts w:ascii="Times New Roman;Times;serif" w:hAnsi="Times New Roman;Times;serif"/>
          <w:b/>
          <w:color w:val="231F20"/>
          <w:spacing w:val="-10"/>
          <w:sz w:val="20"/>
        </w:rPr>
        <w:t xml:space="preserve"> </w:t>
      </w:r>
      <w:r>
        <w:rPr>
          <w:rFonts w:ascii="Times New Roman;Times;serif" w:hAnsi="Times New Roman;Times;serif"/>
          <w:b/>
          <w:i/>
          <w:color w:val="231F20"/>
          <w:sz w:val="20"/>
        </w:rPr>
        <w:t>about us or our industry or downgrade our Common Stock, the price of our Common Stock could</w:t>
      </w:r>
      <w:r>
        <w:rPr>
          <w:rFonts w:ascii="Times New Roman;Times;serif" w:hAnsi="Times New Roman;Times;serif"/>
          <w:b/>
          <w:color w:val="231F20"/>
          <w:spacing w:val="-33"/>
          <w:sz w:val="20"/>
        </w:rPr>
        <w:t xml:space="preserve"> </w:t>
      </w:r>
      <w:r>
        <w:rPr>
          <w:rFonts w:ascii="Times New Roman;Times;serif" w:hAnsi="Times New Roman;Times;serif"/>
          <w:b/>
          <w:i/>
          <w:color w:val="231F20"/>
          <w:sz w:val="20"/>
        </w:rPr>
        <w:t>decline.</w:t>
      </w:r>
    </w:p>
    <w:p>
      <w:pPr>
        <w:pStyle w:val="TextBody"/>
        <w:spacing w:lineRule="auto" w:line="290" w:before="160"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The trading market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our Common Stock will depend in part on the research and reports that third-party</w:t>
      </w:r>
      <w:r>
        <w:rPr>
          <w:rFonts w:ascii="Times New Roman;Times;serif" w:hAnsi="Times New Roman;Times;serif"/>
          <w:color w:val="231F20"/>
          <w:spacing w:val="-24"/>
          <w:sz w:val="20"/>
        </w:rPr>
        <w:t xml:space="preserve"> </w:t>
      </w:r>
      <w:r>
        <w:rPr>
          <w:rFonts w:ascii="Times New Roman;Times;serif" w:hAnsi="Times New Roman;Times;serif"/>
          <w:color w:val="231F20"/>
          <w:sz w:val="20"/>
        </w:rPr>
        <w:t>securities</w:t>
      </w:r>
      <w:r>
        <w:rPr>
          <w:rFonts w:ascii="Times New Roman;Times;serif" w:hAnsi="Times New Roman;Times;serif"/>
          <w:color w:val="231F20"/>
          <w:spacing w:val="-23"/>
          <w:sz w:val="20"/>
        </w:rPr>
        <w:t xml:space="preserve"> </w:t>
      </w:r>
      <w:r>
        <w:rPr>
          <w:rFonts w:ascii="Times New Roman;Times;serif" w:hAnsi="Times New Roman;Times;serif"/>
          <w:color w:val="231F20"/>
          <w:sz w:val="20"/>
        </w:rPr>
        <w:t>analysts</w:t>
      </w:r>
      <w:r>
        <w:rPr>
          <w:rFonts w:ascii="Times New Roman;Times;serif" w:hAnsi="Times New Roman;Times;serif"/>
          <w:color w:val="231F20"/>
          <w:spacing w:val="-24"/>
          <w:sz w:val="20"/>
        </w:rPr>
        <w:t xml:space="preserve"> </w:t>
      </w:r>
      <w:r>
        <w:rPr>
          <w:rFonts w:ascii="Times New Roman;Times;serif" w:hAnsi="Times New Roman;Times;serif"/>
          <w:color w:val="231F20"/>
          <w:sz w:val="20"/>
        </w:rPr>
        <w:t>publish</w:t>
      </w:r>
      <w:r>
        <w:rPr>
          <w:rFonts w:ascii="Times New Roman;Times;serif" w:hAnsi="Times New Roman;Times;serif"/>
          <w:color w:val="231F20"/>
          <w:spacing w:val="-23"/>
          <w:sz w:val="20"/>
        </w:rPr>
        <w:t xml:space="preserve"> </w:t>
      </w:r>
      <w:r>
        <w:rPr>
          <w:rFonts w:ascii="Times New Roman;Times;serif" w:hAnsi="Times New Roman;Times;serif"/>
          <w:color w:val="231F20"/>
          <w:sz w:val="20"/>
        </w:rPr>
        <w:t>about</w:t>
      </w:r>
      <w:r>
        <w:rPr>
          <w:rFonts w:ascii="Times New Roman;Times;serif" w:hAnsi="Times New Roman;Times;serif"/>
          <w:color w:val="231F20"/>
          <w:spacing w:val="-23"/>
          <w:sz w:val="20"/>
        </w:rPr>
        <w:t xml:space="preserve"> </w:t>
      </w:r>
      <w:r>
        <w:rPr>
          <w:rFonts w:ascii="Times New Roman;Times;serif" w:hAnsi="Times New Roman;Times;serif"/>
          <w:color w:val="231F20"/>
          <w:sz w:val="20"/>
        </w:rPr>
        <w:t>us</w:t>
      </w:r>
      <w:r>
        <w:rPr>
          <w:rFonts w:ascii="Times New Roman;Times;serif" w:hAnsi="Times New Roman;Times;serif"/>
          <w:color w:val="231F20"/>
          <w:spacing w:val="-2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23"/>
          <w:sz w:val="20"/>
        </w:rPr>
        <w:t xml:space="preserve"> </w:t>
      </w:r>
      <w:r>
        <w:rPr>
          <w:rFonts w:ascii="Times New Roman;Times;serif" w:hAnsi="Times New Roman;Times;serif"/>
          <w:color w:val="231F20"/>
          <w:sz w:val="20"/>
        </w:rPr>
        <w:t>the</w:t>
      </w:r>
      <w:r>
        <w:rPr>
          <w:rFonts w:ascii="Times New Roman;Times;serif" w:hAnsi="Times New Roman;Times;serif"/>
          <w:color w:val="231F20"/>
          <w:spacing w:val="-24"/>
          <w:sz w:val="20"/>
        </w:rPr>
        <w:t xml:space="preserve"> </w:t>
      </w:r>
      <w:r>
        <w:rPr>
          <w:rFonts w:ascii="Times New Roman;Times;serif" w:hAnsi="Times New Roman;Times;serif"/>
          <w:color w:val="231F20"/>
          <w:sz w:val="20"/>
        </w:rPr>
        <w:t>industries</w:t>
      </w:r>
      <w:r>
        <w:rPr>
          <w:rFonts w:ascii="Times New Roman;Times;serif" w:hAnsi="Times New Roman;Times;serif"/>
          <w:color w:val="231F20"/>
          <w:spacing w:val="-23"/>
          <w:sz w:val="20"/>
        </w:rPr>
        <w:t xml:space="preserve"> </w:t>
      </w:r>
      <w:r>
        <w:rPr>
          <w:rFonts w:ascii="Times New Roman;Times;serif" w:hAnsi="Times New Roman;Times;serif"/>
          <w:color w:val="231F20"/>
          <w:sz w:val="20"/>
        </w:rPr>
        <w:t>in</w:t>
      </w:r>
      <w:r>
        <w:rPr>
          <w:rFonts w:ascii="Times New Roman;Times;serif" w:hAnsi="Times New Roman;Times;serif"/>
          <w:color w:val="231F20"/>
          <w:spacing w:val="-23"/>
          <w:sz w:val="20"/>
        </w:rPr>
        <w:t xml:space="preserve"> </w:t>
      </w:r>
      <w:r>
        <w:rPr>
          <w:rFonts w:ascii="Times New Roman;Times;serif" w:hAnsi="Times New Roman;Times;serif"/>
          <w:color w:val="231F20"/>
          <w:sz w:val="20"/>
        </w:rPr>
        <w:t>which</w:t>
      </w:r>
      <w:r>
        <w:rPr>
          <w:rFonts w:ascii="Times New Roman;Times;serif" w:hAnsi="Times New Roman;Times;serif"/>
          <w:color w:val="231F20"/>
          <w:spacing w:val="-24"/>
          <w:sz w:val="20"/>
        </w:rPr>
        <w:t xml:space="preserve"> </w:t>
      </w:r>
      <w:r>
        <w:rPr>
          <w:rFonts w:ascii="Times New Roman;Times;serif" w:hAnsi="Times New Roman;Times;serif"/>
          <w:color w:val="231F20"/>
          <w:sz w:val="20"/>
        </w:rPr>
        <w:t>we</w:t>
      </w:r>
      <w:r>
        <w:rPr>
          <w:rFonts w:ascii="Times New Roman;Times;serif" w:hAnsi="Times New Roman;Times;serif"/>
          <w:color w:val="231F20"/>
          <w:spacing w:val="-23"/>
          <w:sz w:val="20"/>
        </w:rPr>
        <w:t xml:space="preserve"> </w:t>
      </w:r>
      <w:r>
        <w:rPr>
          <w:rFonts w:ascii="Times New Roman;Times;serif" w:hAnsi="Times New Roman;Times;serif"/>
          <w:color w:val="231F20"/>
          <w:spacing w:val="-3"/>
          <w:sz w:val="20"/>
        </w:rPr>
        <w:t>operate.</w:t>
      </w:r>
      <w:r>
        <w:rPr>
          <w:rFonts w:ascii="Times New Roman;Times;serif" w:hAnsi="Times New Roman;Times;serif"/>
          <w:color w:val="231F20"/>
          <w:spacing w:val="-24"/>
          <w:sz w:val="20"/>
        </w:rPr>
        <w:t xml:space="preserve"> </w:t>
      </w:r>
      <w:r>
        <w:rPr>
          <w:rFonts w:ascii="Times New Roman;Times;serif" w:hAnsi="Times New Roman;Times;serif"/>
          <w:color w:val="231F20"/>
          <w:spacing w:val="-10"/>
          <w:sz w:val="20"/>
        </w:rPr>
        <w:t>We</w:t>
      </w:r>
      <w:r>
        <w:rPr>
          <w:rFonts w:ascii="Times New Roman;Times;serif" w:hAnsi="Times New Roman;Times;serif"/>
          <w:color w:val="231F20"/>
          <w:spacing w:val="-23"/>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23"/>
          <w:sz w:val="20"/>
        </w:rPr>
        <w:t xml:space="preserve"> </w:t>
      </w:r>
      <w:r>
        <w:rPr>
          <w:rFonts w:ascii="Times New Roman;Times;serif" w:hAnsi="Times New Roman;Times;serif"/>
          <w:color w:val="231F20"/>
          <w:sz w:val="20"/>
        </w:rPr>
        <w:t>be</w:t>
      </w:r>
      <w:r>
        <w:rPr>
          <w:rFonts w:ascii="Times New Roman;Times;serif" w:hAnsi="Times New Roman;Times;serif"/>
          <w:color w:val="231F20"/>
          <w:spacing w:val="-24"/>
          <w:sz w:val="20"/>
        </w:rPr>
        <w:t xml:space="preserve"> </w:t>
      </w:r>
      <w:r>
        <w:rPr>
          <w:rFonts w:ascii="Times New Roman;Times;serif" w:hAnsi="Times New Roman;Times;serif"/>
          <w:color w:val="231F20"/>
          <w:sz w:val="20"/>
        </w:rPr>
        <w:t>unable,</w:t>
      </w:r>
      <w:r>
        <w:rPr>
          <w:rFonts w:ascii="Times New Roman;Times;serif" w:hAnsi="Times New Roman;Times;serif"/>
          <w:color w:val="231F20"/>
          <w:spacing w:val="-23"/>
          <w:sz w:val="20"/>
        </w:rPr>
        <w:t xml:space="preserve"> </w:t>
      </w:r>
      <w:r>
        <w:rPr>
          <w:rFonts w:ascii="Times New Roman;Times;serif" w:hAnsi="Times New Roman;Times;serif"/>
          <w:color w:val="231F20"/>
          <w:sz w:val="20"/>
        </w:rPr>
        <w:t xml:space="preserve">or slow, to attract and maintain research </w:t>
      </w:r>
      <w:r>
        <w:rPr>
          <w:rFonts w:ascii="Times New Roman;Times;serif" w:hAnsi="Times New Roman;Times;serif"/>
          <w:color w:val="231F20"/>
          <w:spacing w:val="-3"/>
          <w:sz w:val="20"/>
        </w:rPr>
        <w:t xml:space="preserve">coverage </w:t>
      </w:r>
      <w:r>
        <w:rPr>
          <w:rFonts w:ascii="Times New Roman;Times;serif" w:hAnsi="Times New Roman;Times;serif"/>
          <w:color w:val="231F20"/>
          <w:sz w:val="20"/>
        </w:rPr>
        <w:t xml:space="preserve">and if one or more analysts cease </w:t>
      </w:r>
      <w:r>
        <w:rPr>
          <w:rFonts w:ascii="Times New Roman;Times;serif" w:hAnsi="Times New Roman;Times;serif"/>
          <w:color w:val="231F20"/>
          <w:spacing w:val="-3"/>
          <w:sz w:val="20"/>
        </w:rPr>
        <w:t xml:space="preserve">coverage </w:t>
      </w:r>
      <w:r>
        <w:rPr>
          <w:rFonts w:ascii="Times New Roman;Times;serif" w:hAnsi="Times New Roman;Times;serif"/>
          <w:color w:val="231F20"/>
          <w:sz w:val="20"/>
        </w:rPr>
        <w:t xml:space="preserve">of </w:t>
      </w:r>
      <w:r>
        <w:rPr>
          <w:rFonts w:ascii="Times New Roman;Times;serif" w:hAnsi="Times New Roman;Times;serif"/>
          <w:color w:val="231F20"/>
          <w:spacing w:val="-4"/>
          <w:sz w:val="20"/>
        </w:rPr>
        <w:t xml:space="preserve">us, </w:t>
      </w:r>
      <w:r>
        <w:rPr>
          <w:rFonts w:ascii="Times New Roman;Times;serif" w:hAnsi="Times New Roman;Times;serif"/>
          <w:color w:val="231F20"/>
          <w:sz w:val="20"/>
        </w:rPr>
        <w:t>the price and trading volume</w:t>
      </w:r>
      <w:r>
        <w:rPr>
          <w:rFonts w:ascii="Times New Roman;Times;serif" w:hAnsi="Times New Roman;Times;serif"/>
          <w:color w:val="231F20"/>
          <w:spacing w:val="-30"/>
          <w:sz w:val="20"/>
        </w:rPr>
        <w:t xml:space="preserve"> </w:t>
      </w:r>
      <w:r>
        <w:rPr>
          <w:rFonts w:ascii="Times New Roman;Times;serif" w:hAnsi="Times New Roman;Times;serif"/>
          <w:color w:val="231F20"/>
          <w:sz w:val="20"/>
        </w:rPr>
        <w:t>of</w:t>
      </w:r>
      <w:r>
        <w:rPr>
          <w:rFonts w:ascii="Times New Roman;Times;serif" w:hAnsi="Times New Roman;Times;serif"/>
          <w:color w:val="231F20"/>
          <w:spacing w:val="-20"/>
          <w:sz w:val="20"/>
        </w:rPr>
        <w:t xml:space="preserve"> </w:t>
      </w:r>
      <w:r>
        <w:rPr>
          <w:rFonts w:ascii="Times New Roman;Times;serif" w:hAnsi="Times New Roman;Times;serif"/>
          <w:color w:val="231F20"/>
          <w:sz w:val="20"/>
        </w:rPr>
        <w:t>our</w:t>
      </w:r>
      <w:r>
        <w:rPr>
          <w:rFonts w:ascii="Times New Roman;Times;serif" w:hAnsi="Times New Roman;Times;serif"/>
          <w:color w:val="231F20"/>
          <w:spacing w:val="-30"/>
          <w:sz w:val="20"/>
        </w:rPr>
        <w:t xml:space="preserve"> </w:t>
      </w:r>
      <w:r>
        <w:rPr>
          <w:rFonts w:ascii="Times New Roman;Times;serif" w:hAnsi="Times New Roman;Times;serif"/>
          <w:color w:val="231F20"/>
          <w:sz w:val="20"/>
        </w:rPr>
        <w:t>securities</w:t>
      </w:r>
      <w:r>
        <w:rPr>
          <w:rFonts w:ascii="Times New Roman;Times;serif" w:hAnsi="Times New Roman;Times;serif"/>
          <w:color w:val="231F20"/>
          <w:spacing w:val="-29"/>
          <w:sz w:val="20"/>
        </w:rPr>
        <w:t xml:space="preserve"> </w:t>
      </w:r>
      <w:r>
        <w:rPr>
          <w:rFonts w:ascii="Times New Roman;Times;serif" w:hAnsi="Times New Roman;Times;serif"/>
          <w:color w:val="231F20"/>
          <w:sz w:val="20"/>
        </w:rPr>
        <w:t>would</w:t>
      </w:r>
      <w:r>
        <w:rPr>
          <w:rFonts w:ascii="Times New Roman;Times;serif" w:hAnsi="Times New Roman;Times;serif"/>
          <w:color w:val="231F20"/>
          <w:spacing w:val="-30"/>
          <w:sz w:val="20"/>
        </w:rPr>
        <w:t xml:space="preserve"> </w:t>
      </w:r>
      <w:r>
        <w:rPr>
          <w:rFonts w:ascii="Times New Roman;Times;serif" w:hAnsi="Times New Roman;Times;serif"/>
          <w:color w:val="231F20"/>
          <w:spacing w:val="-3"/>
          <w:sz w:val="20"/>
        </w:rPr>
        <w:t>likely</w:t>
      </w:r>
      <w:r>
        <w:rPr>
          <w:rFonts w:ascii="Times New Roman;Times;serif" w:hAnsi="Times New Roman;Times;serif"/>
          <w:color w:val="231F20"/>
          <w:spacing w:val="-29"/>
          <w:sz w:val="20"/>
        </w:rPr>
        <w:t xml:space="preserve"> </w:t>
      </w:r>
      <w:r>
        <w:rPr>
          <w:rFonts w:ascii="Times New Roman;Times;serif" w:hAnsi="Times New Roman;Times;serif"/>
          <w:color w:val="231F20"/>
          <w:sz w:val="20"/>
        </w:rPr>
        <w:t>be</w:t>
      </w:r>
      <w:r>
        <w:rPr>
          <w:rFonts w:ascii="Times New Roman;Times;serif" w:hAnsi="Times New Roman;Times;serif"/>
          <w:color w:val="231F20"/>
          <w:spacing w:val="-30"/>
          <w:sz w:val="20"/>
        </w:rPr>
        <w:t xml:space="preserve"> </w:t>
      </w:r>
      <w:r>
        <w:rPr>
          <w:rFonts w:ascii="Times New Roman;Times;serif" w:hAnsi="Times New Roman;Times;serif"/>
          <w:color w:val="231F20"/>
          <w:sz w:val="20"/>
        </w:rPr>
        <w:t>negatively</w:t>
      </w:r>
      <w:r>
        <w:rPr>
          <w:rFonts w:ascii="Times New Roman;Times;serif" w:hAnsi="Times New Roman;Times;serif"/>
          <w:color w:val="231F20"/>
          <w:spacing w:val="-29"/>
          <w:sz w:val="20"/>
        </w:rPr>
        <w:t xml:space="preserve"> </w:t>
      </w:r>
      <w:r>
        <w:rPr>
          <w:rFonts w:ascii="Times New Roman;Times;serif" w:hAnsi="Times New Roman;Times;serif"/>
          <w:color w:val="231F20"/>
          <w:sz w:val="20"/>
        </w:rPr>
        <w:t>impacted.</w:t>
      </w:r>
      <w:r>
        <w:rPr>
          <w:rFonts w:ascii="Times New Roman;Times;serif" w:hAnsi="Times New Roman;Times;serif"/>
          <w:color w:val="231F20"/>
          <w:spacing w:val="-30"/>
          <w:sz w:val="20"/>
        </w:rPr>
        <w:t xml:space="preserve"> </w:t>
      </w:r>
      <w:r>
        <w:rPr>
          <w:rFonts w:ascii="Times New Roman;Times;serif" w:hAnsi="Times New Roman;Times;serif"/>
          <w:color w:val="231F20"/>
          <w:sz w:val="20"/>
        </w:rPr>
        <w:t>If</w:t>
      </w:r>
      <w:r>
        <w:rPr>
          <w:rFonts w:ascii="Times New Roman;Times;serif" w:hAnsi="Times New Roman;Times;serif"/>
          <w:color w:val="231F20"/>
          <w:spacing w:val="-20"/>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29"/>
          <w:sz w:val="20"/>
        </w:rPr>
        <w:t xml:space="preserve"> </w:t>
      </w:r>
      <w:r>
        <w:rPr>
          <w:rFonts w:ascii="Times New Roman;Times;serif" w:hAnsi="Times New Roman;Times;serif"/>
          <w:color w:val="231F20"/>
          <w:sz w:val="20"/>
        </w:rPr>
        <w:t>of</w:t>
      </w:r>
      <w:r>
        <w:rPr>
          <w:rFonts w:ascii="Times New Roman;Times;serif" w:hAnsi="Times New Roman;Times;serif"/>
          <w:color w:val="231F20"/>
          <w:spacing w:val="-20"/>
          <w:sz w:val="20"/>
        </w:rPr>
        <w:t xml:space="preserve"> </w:t>
      </w:r>
      <w:r>
        <w:rPr>
          <w:rFonts w:ascii="Times New Roman;Times;serif" w:hAnsi="Times New Roman;Times;serif"/>
          <w:color w:val="231F20"/>
          <w:sz w:val="20"/>
        </w:rPr>
        <w:t>the</w:t>
      </w:r>
      <w:r>
        <w:rPr>
          <w:rFonts w:ascii="Times New Roman;Times;serif" w:hAnsi="Times New Roman;Times;serif"/>
          <w:color w:val="231F20"/>
          <w:spacing w:val="-30"/>
          <w:sz w:val="20"/>
        </w:rPr>
        <w:t xml:space="preserve"> </w:t>
      </w:r>
      <w:r>
        <w:rPr>
          <w:rFonts w:ascii="Times New Roman;Times;serif" w:hAnsi="Times New Roman;Times;serif"/>
          <w:color w:val="231F20"/>
          <w:sz w:val="20"/>
        </w:rPr>
        <w:t>analysts</w:t>
      </w:r>
      <w:r>
        <w:rPr>
          <w:rFonts w:ascii="Times New Roman;Times;serif" w:hAnsi="Times New Roman;Times;serif"/>
          <w:color w:val="231F20"/>
          <w:spacing w:val="-30"/>
          <w:sz w:val="20"/>
        </w:rPr>
        <w:t xml:space="preserve"> </w:t>
      </w:r>
      <w:r>
        <w:rPr>
          <w:rFonts w:ascii="Times New Roman;Times;serif" w:hAnsi="Times New Roman;Times;serif"/>
          <w:color w:val="231F20"/>
          <w:sz w:val="20"/>
        </w:rPr>
        <w:t>that</w:t>
      </w:r>
      <w:r>
        <w:rPr>
          <w:rFonts w:ascii="Times New Roman;Times;serif" w:hAnsi="Times New Roman;Times;serif"/>
          <w:color w:val="231F20"/>
          <w:spacing w:val="-29"/>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30"/>
          <w:sz w:val="20"/>
        </w:rPr>
        <w:t xml:space="preserve"> </w:t>
      </w:r>
      <w:r>
        <w:rPr>
          <w:rFonts w:ascii="Times New Roman;Times;serif" w:hAnsi="Times New Roman;Times;serif"/>
          <w:color w:val="231F20"/>
          <w:sz w:val="20"/>
        </w:rPr>
        <w:t>cover</w:t>
      </w:r>
      <w:r>
        <w:rPr>
          <w:rFonts w:ascii="Times New Roman;Times;serif" w:hAnsi="Times New Roman;Times;serif"/>
          <w:color w:val="231F20"/>
          <w:spacing w:val="-29"/>
          <w:sz w:val="20"/>
        </w:rPr>
        <w:t xml:space="preserve"> </w:t>
      </w:r>
      <w:r>
        <w:rPr>
          <w:rFonts w:ascii="Times New Roman;Times;serif" w:hAnsi="Times New Roman;Times;serif"/>
          <w:color w:val="231F20"/>
          <w:sz w:val="20"/>
        </w:rPr>
        <w:t>us</w:t>
      </w:r>
      <w:r>
        <w:rPr>
          <w:rFonts w:ascii="Times New Roman;Times;serif" w:hAnsi="Times New Roman;Times;serif"/>
          <w:color w:val="231F20"/>
          <w:spacing w:val="-30"/>
          <w:sz w:val="20"/>
        </w:rPr>
        <w:t xml:space="preserve"> </w:t>
      </w:r>
      <w:r>
        <w:rPr>
          <w:rFonts w:ascii="Times New Roman;Times;serif" w:hAnsi="Times New Roman;Times;serif"/>
          <w:color w:val="231F20"/>
          <w:sz w:val="20"/>
        </w:rPr>
        <w:t>change their</w:t>
      </w:r>
      <w:r>
        <w:rPr>
          <w:rFonts w:ascii="Times New Roman;Times;serif" w:hAnsi="Times New Roman;Times;serif"/>
          <w:color w:val="231F20"/>
          <w:spacing w:val="-8"/>
          <w:sz w:val="20"/>
        </w:rPr>
        <w:t xml:space="preserve"> </w:t>
      </w:r>
      <w:r>
        <w:rPr>
          <w:rFonts w:ascii="Times New Roman;Times;serif" w:hAnsi="Times New Roman;Times;serif"/>
          <w:color w:val="231F20"/>
          <w:sz w:val="20"/>
        </w:rPr>
        <w:t>recommendation</w:t>
      </w:r>
      <w:r>
        <w:rPr>
          <w:rFonts w:ascii="Times New Roman;Times;serif" w:hAnsi="Times New Roman;Times;serif"/>
          <w:color w:val="231F20"/>
          <w:spacing w:val="-8"/>
          <w:sz w:val="20"/>
        </w:rPr>
        <w:t xml:space="preserve"> </w:t>
      </w:r>
      <w:r>
        <w:rPr>
          <w:rFonts w:ascii="Times New Roman;Times;serif" w:hAnsi="Times New Roman;Times;serif"/>
          <w:color w:val="231F20"/>
          <w:sz w:val="20"/>
        </w:rPr>
        <w:t>regarding</w:t>
      </w:r>
      <w:r>
        <w:rPr>
          <w:rFonts w:ascii="Times New Roman;Times;serif" w:hAnsi="Times New Roman;Times;serif"/>
          <w:color w:val="231F20"/>
          <w:spacing w:val="-7"/>
          <w:sz w:val="20"/>
        </w:rPr>
        <w:t xml:space="preserve"> </w:t>
      </w:r>
      <w:r>
        <w:rPr>
          <w:rFonts w:ascii="Times New Roman;Times;serif" w:hAnsi="Times New Roman;Times;serif"/>
          <w:color w:val="231F20"/>
          <w:sz w:val="20"/>
        </w:rPr>
        <w:t>our</w:t>
      </w:r>
      <w:r>
        <w:rPr>
          <w:rFonts w:ascii="Times New Roman;Times;serif" w:hAnsi="Times New Roman;Times;serif"/>
          <w:color w:val="231F20"/>
          <w:spacing w:val="-8"/>
          <w:sz w:val="20"/>
        </w:rPr>
        <w:t xml:space="preserve"> </w:t>
      </w:r>
      <w:r>
        <w:rPr>
          <w:rFonts w:ascii="Times New Roman;Times;serif" w:hAnsi="Times New Roman;Times;serif"/>
          <w:color w:val="231F20"/>
          <w:sz w:val="20"/>
        </w:rPr>
        <w:t>securities</w:t>
      </w:r>
      <w:r>
        <w:rPr>
          <w:rFonts w:ascii="Times New Roman;Times;serif" w:hAnsi="Times New Roman;Times;serif"/>
          <w:color w:val="231F20"/>
          <w:spacing w:val="-7"/>
          <w:sz w:val="20"/>
        </w:rPr>
        <w:t xml:space="preserve"> </w:t>
      </w:r>
      <w:r>
        <w:rPr>
          <w:rFonts w:ascii="Times New Roman;Times;serif" w:hAnsi="Times New Roman;Times;serif"/>
          <w:color w:val="231F20"/>
          <w:spacing w:val="-4"/>
          <w:sz w:val="20"/>
        </w:rPr>
        <w:t>adversely,</w:t>
      </w:r>
      <w:r>
        <w:rPr>
          <w:rFonts w:ascii="Times New Roman;Times;serif" w:hAnsi="Times New Roman;Times;serif"/>
          <w:color w:val="231F20"/>
          <w:spacing w:val="-8"/>
          <w:sz w:val="20"/>
        </w:rPr>
        <w:t xml:space="preserve"> </w:t>
      </w:r>
      <w:r>
        <w:rPr>
          <w:rFonts w:ascii="Times New Roman;Times;serif" w:hAnsi="Times New Roman;Times;serif"/>
          <w:color w:val="231F20"/>
          <w:sz w:val="20"/>
        </w:rPr>
        <w:t>or</w:t>
      </w:r>
      <w:r>
        <w:rPr>
          <w:rFonts w:ascii="Times New Roman;Times;serif" w:hAnsi="Times New Roman;Times;serif"/>
          <w:color w:val="231F20"/>
          <w:spacing w:val="-8"/>
          <w:sz w:val="20"/>
        </w:rPr>
        <w:t xml:space="preserve"> </w:t>
      </w:r>
      <w:r>
        <w:rPr>
          <w:rFonts w:ascii="Times New Roman;Times;serif" w:hAnsi="Times New Roman;Times;serif"/>
          <w:color w:val="231F20"/>
          <w:sz w:val="20"/>
        </w:rPr>
        <w:t>provide</w:t>
      </w:r>
      <w:r>
        <w:rPr>
          <w:rFonts w:ascii="Times New Roman;Times;serif" w:hAnsi="Times New Roman;Times;serif"/>
          <w:color w:val="231F20"/>
          <w:spacing w:val="-7"/>
          <w:sz w:val="20"/>
        </w:rPr>
        <w:t xml:space="preserve"> </w:t>
      </w:r>
      <w:r>
        <w:rPr>
          <w:rFonts w:ascii="Times New Roman;Times;serif" w:hAnsi="Times New Roman;Times;serif"/>
          <w:color w:val="231F20"/>
          <w:sz w:val="20"/>
        </w:rPr>
        <w:t>more</w:t>
      </w:r>
      <w:r>
        <w:rPr>
          <w:rFonts w:ascii="Times New Roman;Times;serif" w:hAnsi="Times New Roman;Times;serif"/>
          <w:color w:val="231F20"/>
          <w:spacing w:val="-8"/>
          <w:sz w:val="20"/>
        </w:rPr>
        <w:t xml:space="preserve"> </w:t>
      </w:r>
      <w:r>
        <w:rPr>
          <w:rFonts w:ascii="Times New Roman;Times;serif" w:hAnsi="Times New Roman;Times;serif"/>
          <w:color w:val="231F20"/>
          <w:spacing w:val="-4"/>
          <w:sz w:val="20"/>
        </w:rPr>
        <w:t>favorable</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relative</w:t>
      </w:r>
      <w:r>
        <w:rPr>
          <w:rFonts w:ascii="Times New Roman;Times;serif" w:hAnsi="Times New Roman;Times;serif"/>
          <w:color w:val="231F20"/>
          <w:spacing w:val="-8"/>
          <w:sz w:val="20"/>
        </w:rPr>
        <w:t xml:space="preserve"> </w:t>
      </w:r>
      <w:r>
        <w:rPr>
          <w:rFonts w:ascii="Times New Roman;Times;serif" w:hAnsi="Times New Roman;Times;serif"/>
          <w:color w:val="231F20"/>
          <w:sz w:val="20"/>
        </w:rPr>
        <w:t xml:space="preserve">recommendations about our competitors, the price of our securities would </w:t>
      </w:r>
      <w:r>
        <w:rPr>
          <w:rFonts w:ascii="Times New Roman;Times;serif" w:hAnsi="Times New Roman;Times;serif"/>
          <w:color w:val="231F20"/>
          <w:spacing w:val="-3"/>
          <w:sz w:val="20"/>
        </w:rPr>
        <w:t xml:space="preserve">likely </w:t>
      </w:r>
      <w:r>
        <w:rPr>
          <w:rFonts w:ascii="Times New Roman;Times;serif" w:hAnsi="Times New Roman;Times;serif"/>
          <w:color w:val="231F20"/>
          <w:sz w:val="20"/>
        </w:rPr>
        <w:t xml:space="preserve">decline. If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analyst that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cover us ceases</w:t>
      </w:r>
      <w:r>
        <w:rPr>
          <w:rFonts w:ascii="Times New Roman;Times;serif" w:hAnsi="Times New Roman;Times;serif"/>
          <w:color w:val="231F20"/>
          <w:spacing w:val="-5"/>
          <w:sz w:val="20"/>
        </w:rPr>
        <w:t xml:space="preserve"> </w:t>
      </w:r>
      <w:r>
        <w:rPr>
          <w:rFonts w:ascii="Times New Roman;Times;serif" w:hAnsi="Times New Roman;Times;serif"/>
          <w:color w:val="231F20"/>
          <w:sz w:val="20"/>
        </w:rPr>
        <w:t>covering</w:t>
      </w:r>
      <w:r>
        <w:rPr>
          <w:rFonts w:ascii="Times New Roman;Times;serif" w:hAnsi="Times New Roman;Times;serif"/>
          <w:color w:val="231F20"/>
          <w:spacing w:val="-4"/>
          <w:sz w:val="20"/>
        </w:rPr>
        <w:t xml:space="preserve"> </w:t>
      </w:r>
      <w:r>
        <w:rPr>
          <w:rFonts w:ascii="Times New Roman;Times;serif" w:hAnsi="Times New Roman;Times;serif"/>
          <w:color w:val="231F20"/>
          <w:sz w:val="20"/>
        </w:rPr>
        <w:t>us</w:t>
      </w:r>
      <w:r>
        <w:rPr>
          <w:rFonts w:ascii="Times New Roman;Times;serif" w:hAnsi="Times New Roman;Times;serif"/>
          <w:color w:val="231F20"/>
          <w:spacing w:val="-4"/>
          <w:sz w:val="20"/>
        </w:rPr>
        <w:t xml:space="preserve"> </w:t>
      </w:r>
      <w:r>
        <w:rPr>
          <w:rFonts w:ascii="Times New Roman;Times;serif" w:hAnsi="Times New Roman;Times;serif"/>
          <w:color w:val="231F20"/>
          <w:sz w:val="20"/>
        </w:rPr>
        <w:t>or</w:t>
      </w:r>
      <w:r>
        <w:rPr>
          <w:rFonts w:ascii="Times New Roman;Times;serif" w:hAnsi="Times New Roman;Times;serif"/>
          <w:color w:val="231F20"/>
          <w:spacing w:val="-5"/>
          <w:sz w:val="20"/>
        </w:rPr>
        <w:t xml:space="preserve"> </w:t>
      </w:r>
      <w:r>
        <w:rPr>
          <w:rFonts w:ascii="Times New Roman;Times;serif" w:hAnsi="Times New Roman;Times;serif"/>
          <w:color w:val="231F20"/>
          <w:sz w:val="20"/>
        </w:rPr>
        <w:t>fails</w:t>
      </w:r>
      <w:r>
        <w:rPr>
          <w:rFonts w:ascii="Times New Roman;Times;serif" w:hAnsi="Times New Roman;Times;serif"/>
          <w:color w:val="231F20"/>
          <w:spacing w:val="-4"/>
          <w:sz w:val="20"/>
        </w:rPr>
        <w:t xml:space="preserve"> </w:t>
      </w:r>
      <w:r>
        <w:rPr>
          <w:rFonts w:ascii="Times New Roman;Times;serif" w:hAnsi="Times New Roman;Times;serif"/>
          <w:color w:val="231F20"/>
          <w:sz w:val="20"/>
        </w:rPr>
        <w:t>to</w:t>
      </w:r>
      <w:r>
        <w:rPr>
          <w:rFonts w:ascii="Times New Roman;Times;serif" w:hAnsi="Times New Roman;Times;serif"/>
          <w:color w:val="231F20"/>
          <w:spacing w:val="-4"/>
          <w:sz w:val="20"/>
        </w:rPr>
        <w:t xml:space="preserve"> </w:t>
      </w:r>
      <w:r>
        <w:rPr>
          <w:rFonts w:ascii="Times New Roman;Times;serif" w:hAnsi="Times New Roman;Times;serif"/>
          <w:color w:val="231F20"/>
          <w:sz w:val="20"/>
        </w:rPr>
        <w:t>regularly</w:t>
      </w:r>
      <w:r>
        <w:rPr>
          <w:rFonts w:ascii="Times New Roman;Times;serif" w:hAnsi="Times New Roman;Times;serif"/>
          <w:color w:val="231F20"/>
          <w:spacing w:val="-5"/>
          <w:sz w:val="20"/>
        </w:rPr>
        <w:t xml:space="preserve"> </w:t>
      </w:r>
      <w:r>
        <w:rPr>
          <w:rFonts w:ascii="Times New Roman;Times;serif" w:hAnsi="Times New Roman;Times;serif"/>
          <w:color w:val="231F20"/>
          <w:sz w:val="20"/>
        </w:rPr>
        <w:t>publish</w:t>
      </w:r>
      <w:r>
        <w:rPr>
          <w:rFonts w:ascii="Times New Roman;Times;serif" w:hAnsi="Times New Roman;Times;serif"/>
          <w:color w:val="231F20"/>
          <w:spacing w:val="-4"/>
          <w:sz w:val="20"/>
        </w:rPr>
        <w:t xml:space="preserve"> </w:t>
      </w:r>
      <w:r>
        <w:rPr>
          <w:rFonts w:ascii="Times New Roman;Times;serif" w:hAnsi="Times New Roman;Times;serif"/>
          <w:color w:val="231F20"/>
          <w:sz w:val="20"/>
        </w:rPr>
        <w:t>reports</w:t>
      </w:r>
      <w:r>
        <w:rPr>
          <w:rFonts w:ascii="Times New Roman;Times;serif" w:hAnsi="Times New Roman;Times;serif"/>
          <w:color w:val="231F20"/>
          <w:spacing w:val="-4"/>
          <w:sz w:val="20"/>
        </w:rPr>
        <w:t xml:space="preserve"> </w:t>
      </w:r>
      <w:r>
        <w:rPr>
          <w:rFonts w:ascii="Times New Roman;Times;serif" w:hAnsi="Times New Roman;Times;serif"/>
          <w:color w:val="231F20"/>
          <w:sz w:val="20"/>
        </w:rPr>
        <w:t>on</w:t>
      </w:r>
      <w:r>
        <w:rPr>
          <w:rFonts w:ascii="Times New Roman;Times;serif" w:hAnsi="Times New Roman;Times;serif"/>
          <w:color w:val="231F20"/>
          <w:spacing w:val="-5"/>
          <w:sz w:val="20"/>
        </w:rPr>
        <w:t xml:space="preserve"> </w:t>
      </w:r>
      <w:r>
        <w:rPr>
          <w:rFonts w:ascii="Times New Roman;Times;serif" w:hAnsi="Times New Roman;Times;serif"/>
          <w:color w:val="231F20"/>
          <w:spacing w:val="-4"/>
          <w:sz w:val="20"/>
        </w:rPr>
        <w:t xml:space="preserve">us, </w:t>
      </w:r>
      <w:r>
        <w:rPr>
          <w:rFonts w:ascii="Times New Roman;Times;serif" w:hAnsi="Times New Roman;Times;serif"/>
          <w:color w:val="231F20"/>
          <w:sz w:val="20"/>
        </w:rPr>
        <w:t>we</w:t>
      </w:r>
      <w:r>
        <w:rPr>
          <w:rFonts w:ascii="Times New Roman;Times;serif" w:hAnsi="Times New Roman;Times;serif"/>
          <w:color w:val="231F20"/>
          <w:spacing w:val="-4"/>
          <w:sz w:val="20"/>
        </w:rPr>
        <w:t xml:space="preserve"> </w:t>
      </w:r>
      <w:r>
        <w:rPr>
          <w:rFonts w:ascii="Times New Roman;Times;serif" w:hAnsi="Times New Roman;Times;serif"/>
          <w:color w:val="231F20"/>
          <w:sz w:val="20"/>
        </w:rPr>
        <w:t>could</w:t>
      </w:r>
      <w:r>
        <w:rPr>
          <w:rFonts w:ascii="Times New Roman;Times;serif" w:hAnsi="Times New Roman;Times;serif"/>
          <w:color w:val="231F20"/>
          <w:spacing w:val="-5"/>
          <w:sz w:val="20"/>
        </w:rPr>
        <w:t xml:space="preserve"> </w:t>
      </w:r>
      <w:r>
        <w:rPr>
          <w:rFonts w:ascii="Times New Roman;Times;serif" w:hAnsi="Times New Roman;Times;serif"/>
          <w:color w:val="231F20"/>
          <w:sz w:val="20"/>
        </w:rPr>
        <w:t>lose</w:t>
      </w:r>
      <w:r>
        <w:rPr>
          <w:rFonts w:ascii="Times New Roman;Times;serif" w:hAnsi="Times New Roman;Times;serif"/>
          <w:color w:val="231F20"/>
          <w:spacing w:val="-4"/>
          <w:sz w:val="20"/>
        </w:rPr>
        <w:t xml:space="preserve"> </w:t>
      </w:r>
      <w:r>
        <w:rPr>
          <w:rFonts w:ascii="Times New Roman;Times;serif" w:hAnsi="Times New Roman;Times;serif"/>
          <w:color w:val="231F20"/>
          <w:sz w:val="20"/>
        </w:rPr>
        <w:t>visibility</w:t>
      </w:r>
      <w:r>
        <w:rPr>
          <w:rFonts w:ascii="Times New Roman;Times;serif" w:hAnsi="Times New Roman;Times;serif"/>
          <w:color w:val="231F20"/>
          <w:spacing w:val="-4"/>
          <w:sz w:val="20"/>
        </w:rPr>
        <w:t xml:space="preserve"> </w:t>
      </w:r>
      <w:r>
        <w:rPr>
          <w:rFonts w:ascii="Times New Roman;Times;serif" w:hAnsi="Times New Roman;Times;serif"/>
          <w:color w:val="231F20"/>
          <w:sz w:val="20"/>
        </w:rPr>
        <w:t>in</w:t>
      </w:r>
      <w:r>
        <w:rPr>
          <w:rFonts w:ascii="Times New Roman;Times;serif" w:hAnsi="Times New Roman;Times;serif"/>
          <w:color w:val="231F20"/>
          <w:spacing w:val="-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4"/>
          <w:sz w:val="20"/>
        </w:rPr>
        <w:t xml:space="preserve"> </w:t>
      </w:r>
      <w:r>
        <w:rPr>
          <w:rFonts w:ascii="Times New Roman;Times;serif" w:hAnsi="Times New Roman;Times;serif"/>
          <w:color w:val="231F20"/>
          <w:sz w:val="20"/>
        </w:rPr>
        <w:t>financial</w:t>
      </w:r>
      <w:r>
        <w:rPr>
          <w:rFonts w:ascii="Times New Roman;Times;serif" w:hAnsi="Times New Roman;Times;serif"/>
          <w:color w:val="231F20"/>
          <w:spacing w:val="-4"/>
          <w:sz w:val="20"/>
        </w:rPr>
        <w:t xml:space="preserve"> </w:t>
      </w:r>
      <w:r>
        <w:rPr>
          <w:rFonts w:ascii="Times New Roman;Times;serif" w:hAnsi="Times New Roman;Times;serif"/>
          <w:color w:val="231F20"/>
          <w:spacing w:val="-3"/>
          <w:sz w:val="20"/>
        </w:rPr>
        <w:t xml:space="preserve">markets, </w:t>
      </w:r>
      <w:r>
        <w:rPr>
          <w:rFonts w:ascii="Times New Roman;Times;serif" w:hAnsi="Times New Roman;Times;serif"/>
          <w:color w:val="231F20"/>
          <w:sz w:val="20"/>
        </w:rPr>
        <w:t xml:space="preserve">which could cause the price or trading volume of our securities to decline. </w:t>
      </w:r>
      <w:r>
        <w:rPr>
          <w:rFonts w:ascii="Times New Roman;Times;serif" w:hAnsi="Times New Roman;Times;serif"/>
          <w:color w:val="231F20"/>
          <w:spacing w:val="-4"/>
          <w:sz w:val="20"/>
        </w:rPr>
        <w:t xml:space="preserve">Moreover, </w:t>
      </w:r>
      <w:r>
        <w:rPr>
          <w:rFonts w:ascii="Times New Roman;Times;serif" w:hAnsi="Times New Roman;Times;serif"/>
          <w:color w:val="231F20"/>
          <w:sz w:val="20"/>
        </w:rPr>
        <w:t>if one or more of the analysts who cover us downgrades our Common Stock, or if our reporting results do not meet their expectations, the market price of our Common Stock could</w:t>
      </w:r>
      <w:r>
        <w:rPr>
          <w:rFonts w:ascii="Times New Roman;Times;serif" w:hAnsi="Times New Roman;Times;serif"/>
          <w:color w:val="231F20"/>
          <w:spacing w:val="-9"/>
          <w:sz w:val="20"/>
        </w:rPr>
        <w:t xml:space="preserve"> </w:t>
      </w:r>
      <w:r>
        <w:rPr>
          <w:rFonts w:ascii="Times New Roman;Times;serif" w:hAnsi="Times New Roman;Times;serif"/>
          <w:color w:val="231F20"/>
          <w:sz w:val="20"/>
        </w:rPr>
        <w:t>decline.</w:t>
      </w:r>
    </w:p>
    <w:p>
      <w:pPr>
        <w:pStyle w:val="TextBody"/>
        <w:spacing w:lineRule="auto" w:line="300" w:before="1" w:after="240"/>
        <w:ind w:left="0" w:right="0" w:hanging="0"/>
        <w:jc w:val="both"/>
        <w:rPr>
          <w:rFonts w:ascii="Times New Roman;Times;serif" w:hAnsi="Times New Roman;Times;serif"/>
          <w:b/>
          <w:sz w:val="20"/>
        </w:rPr>
      </w:pPr>
      <w:r>
        <w:rPr>
          <w:rFonts w:ascii="Times New Roman;Times;serif" w:hAnsi="Times New Roman;Times;serif"/>
          <w:b/>
          <w:i/>
          <w:color w:val="231F20"/>
          <w:sz w:val="20"/>
        </w:rPr>
        <w:t>The</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obligations</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associated</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with</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being</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a</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public</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company</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involve</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significant</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expenses</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2"/>
          <w:sz w:val="20"/>
        </w:rPr>
        <w:t xml:space="preserve"> </w:t>
      </w:r>
      <w:r>
        <w:rPr>
          <w:rFonts w:ascii="Times New Roman;Times;serif" w:hAnsi="Times New Roman;Times;serif"/>
          <w:b/>
          <w:i/>
          <w:color w:val="231F20"/>
          <w:sz w:val="20"/>
        </w:rPr>
        <w:t>will</w:t>
      </w:r>
      <w:r>
        <w:rPr>
          <w:rFonts w:ascii="Times New Roman;Times;serif" w:hAnsi="Times New Roman;Times;serif"/>
          <w:b/>
          <w:color w:val="231F20"/>
          <w:spacing w:val="-13"/>
          <w:sz w:val="20"/>
        </w:rPr>
        <w:t xml:space="preserve"> </w:t>
      </w:r>
      <w:r>
        <w:rPr>
          <w:rFonts w:ascii="Times New Roman;Times;serif" w:hAnsi="Times New Roman;Times;serif"/>
          <w:b/>
          <w:i/>
          <w:color w:val="231F20"/>
          <w:sz w:val="20"/>
        </w:rPr>
        <w:t>require significant</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resources</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management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attention,</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which</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divert</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from</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business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operations.</w:t>
      </w:r>
    </w:p>
    <w:p>
      <w:pPr>
        <w:pStyle w:val="TextBody"/>
        <w:spacing w:lineRule="auto" w:line="290" w:before="159" w:after="240"/>
        <w:ind w:left="0" w:right="0" w:firstLine="399"/>
        <w:jc w:val="both"/>
        <w:rPr>
          <w:rFonts w:ascii="Times New Roman;Times;serif" w:hAnsi="Times New Roman;Times;serif"/>
          <w:sz w:val="20"/>
        </w:rPr>
      </w:pPr>
      <w:r>
        <w:rPr>
          <w:rFonts w:ascii="Times New Roman;Times;serif" w:hAnsi="Times New Roman;Times;serif"/>
          <w:color w:val="231F20"/>
          <w:sz w:val="20"/>
        </w:rPr>
        <w:t>As</w:t>
      </w:r>
      <w:r>
        <w:rPr>
          <w:rFonts w:ascii="Times New Roman;Times;serif" w:hAnsi="Times New Roman;Times;serif"/>
          <w:color w:val="231F20"/>
          <w:spacing w:val="-14"/>
          <w:sz w:val="20"/>
        </w:rPr>
        <w:t xml:space="preserve"> </w:t>
      </w:r>
      <w:r>
        <w:rPr>
          <w:rFonts w:ascii="Times New Roman;Times;serif" w:hAnsi="Times New Roman;Times;serif"/>
          <w:color w:val="231F20"/>
          <w:sz w:val="20"/>
        </w:rPr>
        <w:t>a</w:t>
      </w:r>
      <w:r>
        <w:rPr>
          <w:rFonts w:ascii="Times New Roman;Times;serif" w:hAnsi="Times New Roman;Times;serif"/>
          <w:color w:val="231F20"/>
          <w:spacing w:val="-14"/>
          <w:sz w:val="20"/>
        </w:rPr>
        <w:t xml:space="preserve"> </w:t>
      </w:r>
      <w:r>
        <w:rPr>
          <w:rFonts w:ascii="Times New Roman;Times;serif" w:hAnsi="Times New Roman;Times;serif"/>
          <w:color w:val="231F20"/>
          <w:sz w:val="20"/>
        </w:rPr>
        <w:t>public</w:t>
      </w:r>
      <w:r>
        <w:rPr>
          <w:rFonts w:ascii="Times New Roman;Times;serif" w:hAnsi="Times New Roman;Times;serif"/>
          <w:color w:val="231F20"/>
          <w:spacing w:val="-14"/>
          <w:sz w:val="20"/>
        </w:rPr>
        <w:t xml:space="preserve"> </w:t>
      </w:r>
      <w:r>
        <w:rPr>
          <w:rFonts w:ascii="Times New Roman;Times;serif" w:hAnsi="Times New Roman;Times;serif"/>
          <w:color w:val="231F20"/>
          <w:spacing w:val="-4"/>
          <w:sz w:val="20"/>
        </w:rPr>
        <w:t>company,</w:t>
      </w:r>
      <w:r>
        <w:rPr>
          <w:rFonts w:ascii="Times New Roman;Times;serif" w:hAnsi="Times New Roman;Times;serif"/>
          <w:color w:val="231F20"/>
          <w:spacing w:val="-14"/>
          <w:sz w:val="20"/>
        </w:rPr>
        <w:t xml:space="preserve"> </w:t>
      </w:r>
      <w:r>
        <w:rPr>
          <w:rFonts w:ascii="Times New Roman;Times;serif" w:hAnsi="Times New Roman;Times;serif"/>
          <w:color w:val="231F20"/>
          <w:sz w:val="20"/>
        </w:rPr>
        <w:t>we</w:t>
      </w:r>
      <w:r>
        <w:rPr>
          <w:rFonts w:ascii="Times New Roman;Times;serif" w:hAnsi="Times New Roman;Times;serif"/>
          <w:color w:val="231F20"/>
          <w:spacing w:val="-14"/>
          <w:sz w:val="20"/>
        </w:rPr>
        <w:t xml:space="preserve"> </w:t>
      </w:r>
      <w:r>
        <w:rPr>
          <w:rFonts w:ascii="Times New Roman;Times;serif" w:hAnsi="Times New Roman;Times;serif"/>
          <w:color w:val="231F20"/>
          <w:sz w:val="20"/>
        </w:rPr>
        <w:t>are</w:t>
      </w:r>
      <w:r>
        <w:rPr>
          <w:rFonts w:ascii="Times New Roman;Times;serif" w:hAnsi="Times New Roman;Times;serif"/>
          <w:color w:val="231F20"/>
          <w:spacing w:val="-14"/>
          <w:sz w:val="20"/>
        </w:rPr>
        <w:t xml:space="preserve"> </w:t>
      </w:r>
      <w:r>
        <w:rPr>
          <w:rFonts w:ascii="Times New Roman;Times;serif" w:hAnsi="Times New Roman;Times;serif"/>
          <w:color w:val="231F20"/>
          <w:sz w:val="20"/>
        </w:rPr>
        <w:t>subject</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3"/>
          <w:sz w:val="20"/>
        </w:rPr>
        <w:t xml:space="preserve"> </w:t>
      </w:r>
      <w:r>
        <w:rPr>
          <w:rFonts w:ascii="Times New Roman;Times;serif" w:hAnsi="Times New Roman;Times;serif"/>
          <w:color w:val="231F20"/>
          <w:sz w:val="20"/>
        </w:rPr>
        <w:t>reporting</w:t>
      </w:r>
      <w:r>
        <w:rPr>
          <w:rFonts w:ascii="Times New Roman;Times;serif" w:hAnsi="Times New Roman;Times;serif"/>
          <w:color w:val="231F20"/>
          <w:spacing w:val="-14"/>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14"/>
          <w:sz w:val="20"/>
        </w:rPr>
        <w:t xml:space="preserve"> </w:t>
      </w:r>
      <w:r>
        <w:rPr>
          <w:rFonts w:ascii="Times New Roman;Times;serif" w:hAnsi="Times New Roman;Times;serif"/>
          <w:color w:val="231F20"/>
          <w:sz w:val="20"/>
        </w:rPr>
        <w:t>of</w:t>
      </w:r>
      <w:r>
        <w:rPr>
          <w:rFonts w:ascii="Times New Roman;Times;serif" w:hAnsi="Times New Roman;Times;serif"/>
          <w:color w:val="231F20"/>
          <w:spacing w:val="5"/>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4"/>
          <w:sz w:val="20"/>
        </w:rPr>
        <w:t xml:space="preserve"> </w:t>
      </w:r>
      <w:r>
        <w:rPr>
          <w:rFonts w:ascii="Times New Roman;Times;serif" w:hAnsi="Times New Roman;Times;serif"/>
          <w:color w:val="231F20"/>
          <w:sz w:val="20"/>
        </w:rPr>
        <w:t>Exchange</w:t>
      </w:r>
      <w:r>
        <w:rPr>
          <w:rFonts w:ascii="Times New Roman;Times;serif" w:hAnsi="Times New Roman;Times;serif"/>
          <w:color w:val="231F20"/>
          <w:spacing w:val="-14"/>
          <w:sz w:val="20"/>
        </w:rPr>
        <w:t xml:space="preserve"> </w:t>
      </w:r>
      <w:r>
        <w:rPr>
          <w:rFonts w:ascii="Times New Roman;Times;serif" w:hAnsi="Times New Roman;Times;serif"/>
          <w:color w:val="231F20"/>
          <w:sz w:val="20"/>
        </w:rPr>
        <w:t>Act</w:t>
      </w:r>
      <w:r>
        <w:rPr>
          <w:rFonts w:ascii="Times New Roman;Times;serif" w:hAnsi="Times New Roman;Times;serif"/>
          <w:color w:val="231F20"/>
          <w:spacing w:val="-1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4"/>
          <w:sz w:val="20"/>
        </w:rPr>
        <w:t xml:space="preserve"> </w:t>
      </w:r>
      <w:r>
        <w:rPr>
          <w:rFonts w:ascii="Times New Roman;Times;serif" w:hAnsi="Times New Roman;Times;serif"/>
          <w:color w:val="231F20"/>
          <w:sz w:val="20"/>
        </w:rPr>
        <w:t>the</w:t>
      </w:r>
      <w:r>
        <w:rPr>
          <w:rFonts w:ascii="Times New Roman;Times;serif" w:hAnsi="Times New Roman;Times;serif"/>
          <w:color w:val="231F20"/>
          <w:spacing w:val="-14"/>
          <w:sz w:val="20"/>
        </w:rPr>
        <w:t xml:space="preserve"> </w:t>
      </w:r>
      <w:r>
        <w:rPr>
          <w:rFonts w:ascii="Times New Roman;Times;serif" w:hAnsi="Times New Roman;Times;serif"/>
          <w:color w:val="231F20"/>
          <w:sz w:val="20"/>
        </w:rPr>
        <w:t xml:space="preserve">Sarbanes- Oxley Act. The Exchange Act requires that we file </w:t>
      </w:r>
      <w:r>
        <w:rPr>
          <w:rFonts w:ascii="Times New Roman;Times;serif" w:hAnsi="Times New Roman;Times;serif"/>
          <w:color w:val="231F20"/>
          <w:spacing w:val="-3"/>
          <w:sz w:val="20"/>
        </w:rPr>
        <w:t xml:space="preserve">annual, </w:t>
      </w:r>
      <w:r>
        <w:rPr>
          <w:rFonts w:ascii="Times New Roman;Times;serif" w:hAnsi="Times New Roman;Times;serif"/>
          <w:color w:val="231F20"/>
          <w:sz w:val="20"/>
        </w:rPr>
        <w:t xml:space="preserve">quarterly and current reports with respect to our business and financial condition. The Sarbanes-Oxley Act requires, among other things, that we establish and maintain effective internal control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 xml:space="preserve">financial reporting. As a result, we will incur significant legal, accounting and other expenses that we did not previously </w:t>
      </w:r>
      <w:r>
        <w:rPr>
          <w:rFonts w:ascii="Times New Roman;Times;serif" w:hAnsi="Times New Roman;Times;serif"/>
          <w:color w:val="231F20"/>
          <w:spacing w:val="-3"/>
          <w:sz w:val="20"/>
        </w:rPr>
        <w:t xml:space="preserve">incur. </w:t>
      </w:r>
      <w:r>
        <w:rPr>
          <w:rFonts w:ascii="Times New Roman;Times;serif" w:hAnsi="Times New Roman;Times;serif"/>
          <w:color w:val="231F20"/>
          <w:sz w:val="20"/>
        </w:rPr>
        <w:t>Our entire management team and many of our</w:t>
      </w:r>
      <w:r>
        <w:rPr>
          <w:rFonts w:ascii="Times New Roman;Times;serif" w:hAnsi="Times New Roman;Times;serif"/>
          <w:color w:val="231F20"/>
          <w:spacing w:val="-15"/>
          <w:sz w:val="20"/>
        </w:rPr>
        <w:t xml:space="preserve"> </w:t>
      </w:r>
      <w:r>
        <w:rPr>
          <w:rFonts w:ascii="Times New Roman;Times;serif" w:hAnsi="Times New Roman;Times;serif"/>
          <w:color w:val="231F20"/>
          <w:sz w:val="20"/>
        </w:rPr>
        <w:t>other</w:t>
      </w:r>
      <w:r>
        <w:rPr>
          <w:rFonts w:ascii="Times New Roman;Times;serif" w:hAnsi="Times New Roman;Times;serif"/>
          <w:color w:val="231F20"/>
          <w:spacing w:val="-14"/>
          <w:sz w:val="20"/>
        </w:rPr>
        <w:t xml:space="preserve"> </w:t>
      </w:r>
      <w:r>
        <w:rPr>
          <w:rFonts w:ascii="Times New Roman;Times;serif" w:hAnsi="Times New Roman;Times;serif"/>
          <w:color w:val="231F20"/>
          <w:sz w:val="20"/>
        </w:rPr>
        <w:t>employees</w:t>
      </w:r>
      <w:r>
        <w:rPr>
          <w:rFonts w:ascii="Times New Roman;Times;serif" w:hAnsi="Times New Roman;Times;serif"/>
          <w:color w:val="231F20"/>
          <w:spacing w:val="-14"/>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14"/>
          <w:sz w:val="20"/>
        </w:rPr>
        <w:t xml:space="preserve"> </w:t>
      </w:r>
      <w:r>
        <w:rPr>
          <w:rFonts w:ascii="Times New Roman;Times;serif" w:hAnsi="Times New Roman;Times;serif"/>
          <w:color w:val="231F20"/>
          <w:sz w:val="20"/>
        </w:rPr>
        <w:t>need</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4"/>
          <w:sz w:val="20"/>
        </w:rPr>
        <w:t xml:space="preserve"> </w:t>
      </w:r>
      <w:r>
        <w:rPr>
          <w:rFonts w:ascii="Times New Roman;Times;serif" w:hAnsi="Times New Roman;Times;serif"/>
          <w:color w:val="231F20"/>
          <w:sz w:val="20"/>
        </w:rPr>
        <w:t>devote</w:t>
      </w:r>
      <w:r>
        <w:rPr>
          <w:rFonts w:ascii="Times New Roman;Times;serif" w:hAnsi="Times New Roman;Times;serif"/>
          <w:color w:val="231F20"/>
          <w:spacing w:val="-14"/>
          <w:sz w:val="20"/>
        </w:rPr>
        <w:t xml:space="preserve"> </w:t>
      </w:r>
      <w:r>
        <w:rPr>
          <w:rFonts w:ascii="Times New Roman;Times;serif" w:hAnsi="Times New Roman;Times;serif"/>
          <w:color w:val="231F20"/>
          <w:sz w:val="20"/>
        </w:rPr>
        <w:t>substantial</w:t>
      </w:r>
      <w:r>
        <w:rPr>
          <w:rFonts w:ascii="Times New Roman;Times;serif" w:hAnsi="Times New Roman;Times;serif"/>
          <w:color w:val="231F20"/>
          <w:spacing w:val="-14"/>
          <w:sz w:val="20"/>
        </w:rPr>
        <w:t xml:space="preserve"> </w:t>
      </w:r>
      <w:r>
        <w:rPr>
          <w:rFonts w:ascii="Times New Roman;Times;serif" w:hAnsi="Times New Roman;Times;serif"/>
          <w:color w:val="231F20"/>
          <w:sz w:val="20"/>
        </w:rPr>
        <w:t>time</w:t>
      </w:r>
      <w:r>
        <w:rPr>
          <w:rFonts w:ascii="Times New Roman;Times;serif" w:hAnsi="Times New Roman;Times;serif"/>
          <w:color w:val="231F20"/>
          <w:spacing w:val="-14"/>
          <w:sz w:val="20"/>
        </w:rPr>
        <w:t xml:space="preserve"> </w:t>
      </w:r>
      <w:r>
        <w:rPr>
          <w:rFonts w:ascii="Times New Roman;Times;serif" w:hAnsi="Times New Roman;Times;serif"/>
          <w:color w:val="231F20"/>
          <w:sz w:val="20"/>
        </w:rPr>
        <w:t>to</w:t>
      </w:r>
      <w:r>
        <w:rPr>
          <w:rFonts w:ascii="Times New Roman;Times;serif" w:hAnsi="Times New Roman;Times;serif"/>
          <w:color w:val="231F20"/>
          <w:spacing w:val="-14"/>
          <w:sz w:val="20"/>
        </w:rPr>
        <w:t xml:space="preserve"> </w:t>
      </w:r>
      <w:r>
        <w:rPr>
          <w:rFonts w:ascii="Times New Roman;Times;serif" w:hAnsi="Times New Roman;Times;serif"/>
          <w:color w:val="231F20"/>
          <w:sz w:val="20"/>
        </w:rPr>
        <w:t>compliance</w:t>
      </w:r>
      <w:r>
        <w:rPr>
          <w:rFonts w:ascii="Times New Roman;Times;serif" w:hAnsi="Times New Roman;Times;serif"/>
          <w:color w:val="231F20"/>
          <w:spacing w:val="-14"/>
          <w:sz w:val="20"/>
        </w:rPr>
        <w:t xml:space="preserve"> </w:t>
      </w:r>
      <w:r>
        <w:rPr>
          <w:rFonts w:ascii="Times New Roman;Times;serif" w:hAnsi="Times New Roman;Times;serif"/>
          <w:color w:val="231F20"/>
          <w:sz w:val="20"/>
        </w:rPr>
        <w:t>and</w:t>
      </w:r>
      <w:r>
        <w:rPr>
          <w:rFonts w:ascii="Times New Roman;Times;serif" w:hAnsi="Times New Roman;Times;serif"/>
          <w:color w:val="231F20"/>
          <w:spacing w:val="-14"/>
          <w:sz w:val="20"/>
        </w:rPr>
        <w:t xml:space="preserve"> </w:t>
      </w:r>
      <w:r>
        <w:rPr>
          <w:rFonts w:ascii="Times New Roman;Times;serif" w:hAnsi="Times New Roman;Times;serif"/>
          <w:color w:val="231F20"/>
          <w:spacing w:val="-3"/>
          <w:sz w:val="20"/>
        </w:rPr>
        <w:t>may</w:t>
      </w:r>
      <w:r>
        <w:rPr>
          <w:rFonts w:ascii="Times New Roman;Times;serif" w:hAnsi="Times New Roman;Times;serif"/>
          <w:color w:val="231F20"/>
          <w:spacing w:val="-14"/>
          <w:sz w:val="20"/>
        </w:rPr>
        <w:t xml:space="preserve"> </w:t>
      </w:r>
      <w:r>
        <w:rPr>
          <w:rFonts w:ascii="Times New Roman;Times;serif" w:hAnsi="Times New Roman;Times;serif"/>
          <w:color w:val="231F20"/>
          <w:sz w:val="20"/>
        </w:rPr>
        <w:t>not</w:t>
      </w:r>
      <w:r>
        <w:rPr>
          <w:rFonts w:ascii="Times New Roman;Times;serif" w:hAnsi="Times New Roman;Times;serif"/>
          <w:color w:val="231F20"/>
          <w:spacing w:val="-14"/>
          <w:sz w:val="20"/>
        </w:rPr>
        <w:t xml:space="preserve"> </w:t>
      </w:r>
      <w:r>
        <w:rPr>
          <w:rFonts w:ascii="Times New Roman;Times;serif" w:hAnsi="Times New Roman;Times;serif"/>
          <w:color w:val="231F20"/>
          <w:sz w:val="20"/>
        </w:rPr>
        <w:t>effectively</w:t>
      </w:r>
      <w:r>
        <w:rPr>
          <w:rFonts w:ascii="Times New Roman;Times;serif" w:hAnsi="Times New Roman;Times;serif"/>
          <w:color w:val="231F20"/>
          <w:spacing w:val="-14"/>
          <w:sz w:val="20"/>
        </w:rPr>
        <w:t xml:space="preserve"> </w:t>
      </w:r>
      <w:r>
        <w:rPr>
          <w:rFonts w:ascii="Times New Roman;Times;serif" w:hAnsi="Times New Roman;Times;serif"/>
          <w:color w:val="231F20"/>
          <w:sz w:val="20"/>
        </w:rPr>
        <w:t>or</w:t>
      </w:r>
      <w:r>
        <w:rPr>
          <w:rFonts w:ascii="Times New Roman;Times;serif" w:hAnsi="Times New Roman;Times;serif"/>
          <w:color w:val="231F20"/>
          <w:spacing w:val="-14"/>
          <w:sz w:val="20"/>
        </w:rPr>
        <w:t xml:space="preserve"> </w:t>
      </w:r>
      <w:r>
        <w:rPr>
          <w:rFonts w:ascii="Times New Roman;Times;serif" w:hAnsi="Times New Roman;Times;serif"/>
          <w:color w:val="231F20"/>
          <w:sz w:val="20"/>
        </w:rPr>
        <w:t>efficiently manage our transition into a public</w:t>
      </w:r>
      <w:r>
        <w:rPr>
          <w:rFonts w:ascii="Times New Roman;Times;serif" w:hAnsi="Times New Roman;Times;serif"/>
          <w:color w:val="231F20"/>
          <w:spacing w:val="-17"/>
          <w:sz w:val="20"/>
        </w:rPr>
        <w:t xml:space="preserve"> </w:t>
      </w:r>
      <w:r>
        <w:rPr>
          <w:rFonts w:ascii="Times New Roman;Times;serif" w:hAnsi="Times New Roman;Times;serif"/>
          <w:color w:val="231F20"/>
          <w:spacing w:val="-4"/>
          <w:sz w:val="20"/>
        </w:rPr>
        <w:t>company.</w:t>
      </w:r>
    </w:p>
    <w:p>
      <w:pPr>
        <w:pStyle w:val="TextBody"/>
        <w:spacing w:lineRule="auto" w:line="290" w:before="166"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In addition, the need to establish the corporate infrastructure demanded of a public company </w:t>
      </w:r>
      <w:r>
        <w:rPr>
          <w:rFonts w:ascii="Times New Roman;Times;serif" w:hAnsi="Times New Roman;Times;serif"/>
          <w:color w:val="231F20"/>
          <w:spacing w:val="-3"/>
          <w:sz w:val="20"/>
        </w:rPr>
        <w:t xml:space="preserve">may also </w:t>
      </w:r>
      <w:r>
        <w:rPr>
          <w:rFonts w:ascii="Times New Roman;Times;serif" w:hAnsi="Times New Roman;Times;serif"/>
          <w:color w:val="231F20"/>
          <w:sz w:val="20"/>
        </w:rPr>
        <w:t xml:space="preserve">divert management’s attention from implementing our business </w:t>
      </w:r>
      <w:r>
        <w:rPr>
          <w:rFonts w:ascii="Times New Roman;Times;serif" w:hAnsi="Times New Roman;Times;serif"/>
          <w:color w:val="231F20"/>
          <w:spacing w:val="-3"/>
          <w:sz w:val="20"/>
        </w:rPr>
        <w:t xml:space="preserve">strategy, </w:t>
      </w:r>
      <w:r>
        <w:rPr>
          <w:rFonts w:ascii="Times New Roman;Times;serif" w:hAnsi="Times New Roman;Times;serif"/>
          <w:color w:val="231F20"/>
          <w:sz w:val="20"/>
        </w:rPr>
        <w:t xml:space="preserve">which could prevent us from improving our business, results of operations and financial condition. </w:t>
      </w:r>
      <w:r>
        <w:rPr>
          <w:rFonts w:ascii="Times New Roman;Times;serif" w:hAnsi="Times New Roman;Times;serif"/>
          <w:color w:val="231F20"/>
          <w:spacing w:val="-10"/>
          <w:sz w:val="20"/>
        </w:rPr>
        <w:t xml:space="preserve">We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made, and will continue to </w:t>
      </w:r>
      <w:r>
        <w:rPr>
          <w:rFonts w:ascii="Times New Roman;Times;serif" w:hAnsi="Times New Roman;Times;serif"/>
          <w:color w:val="231F20"/>
          <w:spacing w:val="-6"/>
          <w:sz w:val="20"/>
        </w:rPr>
        <w:t xml:space="preserve">make, </w:t>
      </w:r>
      <w:r>
        <w:rPr>
          <w:rFonts w:ascii="Times New Roman;Times;serif" w:hAnsi="Times New Roman;Times;serif"/>
          <w:color w:val="231F20"/>
          <w:sz w:val="20"/>
        </w:rPr>
        <w:t xml:space="preserve">changes to our internal control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 xml:space="preserve">financial reporting, including IT controls, and procedures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financial reporting and accounting systems to meet our reporting obligations as a public </w:t>
      </w:r>
      <w:r>
        <w:rPr>
          <w:rFonts w:ascii="Times New Roman;Times;serif" w:hAnsi="Times New Roman;Times;serif"/>
          <w:color w:val="231F20"/>
          <w:spacing w:val="-4"/>
          <w:sz w:val="20"/>
        </w:rPr>
        <w:t xml:space="preserve">company. </w:t>
      </w:r>
      <w:r>
        <w:rPr>
          <w:rFonts w:ascii="Times New Roman;Times;serif" w:hAnsi="Times New Roman;Times;serif"/>
          <w:color w:val="231F20"/>
          <w:spacing w:val="-5"/>
          <w:sz w:val="20"/>
        </w:rPr>
        <w:t xml:space="preserve">However, </w:t>
      </w:r>
      <w:r>
        <w:rPr>
          <w:rFonts w:ascii="Times New Roman;Times;serif" w:hAnsi="Times New Roman;Times;serif"/>
          <w:color w:val="231F20"/>
          <w:sz w:val="20"/>
        </w:rPr>
        <w:t xml:space="preserve">the measures we </w:t>
      </w:r>
      <w:r>
        <w:rPr>
          <w:rFonts w:ascii="Times New Roman;Times;serif" w:hAnsi="Times New Roman;Times;serif"/>
          <w:color w:val="231F20"/>
          <w:spacing w:val="-4"/>
          <w:sz w:val="20"/>
        </w:rPr>
        <w:t xml:space="preserve">take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not be sufficient to satisfy our obligations as a public </w:t>
      </w:r>
      <w:r>
        <w:rPr>
          <w:rFonts w:ascii="Times New Roman;Times;serif" w:hAnsi="Times New Roman;Times;serif"/>
          <w:color w:val="231F20"/>
          <w:spacing w:val="-4"/>
          <w:sz w:val="20"/>
        </w:rPr>
        <w:t xml:space="preserve">company. </w:t>
      </w:r>
      <w:r>
        <w:rPr>
          <w:rFonts w:ascii="Times New Roman;Times;serif" w:hAnsi="Times New Roman;Times;serif"/>
          <w:color w:val="231F20"/>
          <w:sz w:val="20"/>
        </w:rPr>
        <w:t xml:space="preserve">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incur to comply with these requirements. </w:t>
      </w:r>
      <w:r>
        <w:rPr>
          <w:rFonts w:ascii="Times New Roman;Times;serif" w:hAnsi="Times New Roman;Times;serif"/>
          <w:color w:val="231F20"/>
          <w:spacing w:val="-10"/>
          <w:sz w:val="20"/>
        </w:rPr>
        <w:t xml:space="preserve">We </w:t>
      </w:r>
      <w:r>
        <w:rPr>
          <w:rFonts w:ascii="Times New Roman;Times;serif" w:hAnsi="Times New Roman;Times;serif"/>
          <w:color w:val="231F20"/>
          <w:sz w:val="20"/>
        </w:rPr>
        <w:t>anticipate that these costs will materially increase our general and administrative expenses.</w:t>
      </w:r>
    </w:p>
    <w:p>
      <w:pPr>
        <w:pStyle w:val="TextBody"/>
        <w:spacing w:lineRule="auto" w:line="290" w:before="163"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These rules and regulations result in our incurring legal and financial compliance costs and will </w:t>
      </w:r>
      <w:r>
        <w:rPr>
          <w:rFonts w:ascii="Times New Roman;Times;serif" w:hAnsi="Times New Roman;Times;serif"/>
          <w:color w:val="231F20"/>
          <w:spacing w:val="-4"/>
          <w:sz w:val="20"/>
        </w:rPr>
        <w:t xml:space="preserve">make </w:t>
      </w:r>
      <w:r>
        <w:rPr>
          <w:rFonts w:ascii="Times New Roman;Times;serif" w:hAnsi="Times New Roman;Times;serif"/>
          <w:color w:val="231F20"/>
          <w:sz w:val="20"/>
        </w:rPr>
        <w:t xml:space="preserve">some activities more time-consuming and </w:t>
      </w:r>
      <w:r>
        <w:rPr>
          <w:rFonts w:ascii="Times New Roman;Times;serif" w:hAnsi="Times New Roman;Times;serif"/>
          <w:color w:val="231F20"/>
          <w:spacing w:val="-4"/>
          <w:sz w:val="20"/>
        </w:rPr>
        <w:t xml:space="preserve">costly. </w:t>
      </w:r>
      <w:r>
        <w:rPr>
          <w:rFonts w:ascii="Times New Roman;Times;serif" w:hAnsi="Times New Roman;Times;serif"/>
          <w:color w:val="231F20"/>
          <w:spacing w:val="-6"/>
          <w:sz w:val="20"/>
        </w:rPr>
        <w:t xml:space="preserve">For </w:t>
      </w:r>
      <w:r>
        <w:rPr>
          <w:rFonts w:ascii="Times New Roman;Times;serif" w:hAnsi="Times New Roman;Times;serif"/>
          <w:color w:val="231F20"/>
          <w:sz w:val="20"/>
        </w:rPr>
        <w:t xml:space="preserve">example, we expect these rules and regulations to </w:t>
      </w:r>
      <w:r>
        <w:rPr>
          <w:rFonts w:ascii="Times New Roman;Times;serif" w:hAnsi="Times New Roman;Times;serif"/>
          <w:color w:val="231F20"/>
          <w:spacing w:val="-4"/>
          <w:sz w:val="20"/>
        </w:rPr>
        <w:t xml:space="preserve">make </w:t>
      </w:r>
      <w:r>
        <w:rPr>
          <w:rFonts w:ascii="Times New Roman;Times;serif" w:hAnsi="Times New Roman;Times;serif"/>
          <w:color w:val="231F20"/>
          <w:sz w:val="20"/>
        </w:rPr>
        <w:t xml:space="preserve">it more difficult and more expensive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 xml:space="preserve">us to obtain director and officer liability insurance, and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required to accept reduced policy limits and </w:t>
      </w:r>
      <w:r>
        <w:rPr>
          <w:rFonts w:ascii="Times New Roman;Times;serif" w:hAnsi="Times New Roman;Times;serif"/>
          <w:color w:val="231F20"/>
          <w:spacing w:val="-3"/>
          <w:sz w:val="20"/>
        </w:rPr>
        <w:t xml:space="preserve">coverage </w:t>
      </w:r>
      <w:r>
        <w:rPr>
          <w:rFonts w:ascii="Times New Roman;Times;serif" w:hAnsi="Times New Roman;Times;serif"/>
          <w:color w:val="231F20"/>
          <w:sz w:val="20"/>
        </w:rPr>
        <w:t xml:space="preserve">or incur substantially higher costs to obtain the same or similar </w:t>
      </w:r>
      <w:r>
        <w:rPr>
          <w:rFonts w:ascii="Times New Roman;Times;serif" w:hAnsi="Times New Roman;Times;serif"/>
          <w:color w:val="231F20"/>
          <w:spacing w:val="-4"/>
          <w:sz w:val="20"/>
        </w:rPr>
        <w:t xml:space="preserve">coverage. </w:t>
      </w:r>
      <w:r>
        <w:rPr>
          <w:rFonts w:ascii="Times New Roman;Times;serif" w:hAnsi="Times New Roman;Times;serif"/>
          <w:color w:val="231F20"/>
          <w:sz w:val="20"/>
        </w:rPr>
        <w:t xml:space="preserve">As a result, it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be more difficult </w:t>
      </w:r>
      <w:r>
        <w:rPr>
          <w:rFonts w:ascii="Times New Roman;Times;serif" w:hAnsi="Times New Roman;Times;serif"/>
          <w:color w:val="231F20"/>
          <w:spacing w:val="-3"/>
          <w:sz w:val="20"/>
        </w:rPr>
        <w:t xml:space="preserve">for </w:t>
      </w:r>
      <w:r>
        <w:rPr>
          <w:rFonts w:ascii="Times New Roman;Times;serif" w:hAnsi="Times New Roman;Times;serif"/>
          <w:color w:val="231F20"/>
          <w:sz w:val="20"/>
        </w:rPr>
        <w:t>us to attract and retain qualified people to serve on our Board, our Board committees or as executive officers.</w:t>
      </w:r>
    </w:p>
    <w:p>
      <w:pPr>
        <w:pStyle w:val="TextBody"/>
        <w:spacing w:lineRule="auto" w:line="290" w:before="1" w:after="240"/>
        <w:ind w:left="0" w:right="0" w:hanging="0"/>
        <w:jc w:val="both"/>
        <w:rPr>
          <w:rFonts w:ascii="Times New Roman;Times;serif" w:hAnsi="Times New Roman;Times;serif"/>
          <w:b/>
          <w:sz w:val="20"/>
        </w:rPr>
      </w:pPr>
      <w:r>
        <w:rPr>
          <w:rFonts w:ascii="Times New Roman;Times;serif" w:hAnsi="Times New Roman;Times;serif"/>
          <w:b/>
          <w:i/>
          <w:color w:val="231F20"/>
          <w:sz w:val="20"/>
        </w:rPr>
        <w:t xml:space="preserve">As a public reporting </w:t>
      </w:r>
      <w:r>
        <w:rPr>
          <w:rFonts w:ascii="Times New Roman;Times;serif" w:hAnsi="Times New Roman;Times;serif"/>
          <w:b/>
          <w:i/>
          <w:color w:val="231F20"/>
          <w:spacing w:val="-3"/>
          <w:sz w:val="20"/>
        </w:rPr>
        <w:t xml:space="preserve">company, </w:t>
      </w:r>
      <w:r>
        <w:rPr>
          <w:rFonts w:ascii="Times New Roman;Times;serif" w:hAnsi="Times New Roman;Times;serif"/>
          <w:b/>
          <w:i/>
          <w:color w:val="231F20"/>
          <w:spacing w:val="-4"/>
          <w:sz w:val="20"/>
        </w:rPr>
        <w:t xml:space="preserve">we </w:t>
      </w:r>
      <w:r>
        <w:rPr>
          <w:rFonts w:ascii="Times New Roman;Times;serif" w:hAnsi="Times New Roman;Times;serif"/>
          <w:b/>
          <w:i/>
          <w:color w:val="231F20"/>
          <w:sz w:val="20"/>
        </w:rPr>
        <w:t xml:space="preserve">are subject to rules and regulations established from time to time </w:t>
      </w:r>
      <w:r>
        <w:rPr>
          <w:rFonts w:ascii="Times New Roman;Times;serif" w:hAnsi="Times New Roman;Times;serif"/>
          <w:b/>
          <w:i/>
          <w:color w:val="231F20"/>
          <w:spacing w:val="-3"/>
          <w:sz w:val="20"/>
        </w:rPr>
        <w:t xml:space="preserve">by </w:t>
      </w:r>
      <w:r>
        <w:rPr>
          <w:rFonts w:ascii="Times New Roman;Times;serif" w:hAnsi="Times New Roman;Times;serif"/>
          <w:b/>
          <w:i/>
          <w:color w:val="231F20"/>
          <w:sz w:val="20"/>
        </w:rPr>
        <w:t>the SEC</w:t>
      </w:r>
      <w:r>
        <w:rPr>
          <w:rFonts w:ascii="Times New Roman;Times;serif" w:hAnsi="Times New Roman;Times;serif"/>
          <w:b/>
          <w:color w:val="231F20"/>
          <w:spacing w:val="-16"/>
          <w:sz w:val="20"/>
        </w:rPr>
        <w:t xml:space="preserve"> </w:t>
      </w:r>
      <w:r>
        <w:rPr>
          <w:rFonts w:ascii="Times New Roman;Times;serif" w:hAnsi="Times New Roman;Times;serif"/>
          <w:b/>
          <w:i/>
          <w:color w:val="231F20"/>
          <w:spacing w:val="-3"/>
          <w:sz w:val="20"/>
        </w:rPr>
        <w:t>regarding</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internal</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control</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over</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financial</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reporting.</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If</w:t>
      </w:r>
      <w:r>
        <w:rPr>
          <w:rFonts w:ascii="Times New Roman;Times;serif" w:hAnsi="Times New Roman;Times;serif"/>
          <w:b/>
          <w:color w:val="231F20"/>
          <w:spacing w:val="-1"/>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fail</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establish</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maintain</w:t>
      </w:r>
      <w:r>
        <w:rPr>
          <w:rFonts w:ascii="Times New Roman;Times;serif" w:hAnsi="Times New Roman;Times;serif"/>
          <w:b/>
          <w:color w:val="231F20"/>
          <w:spacing w:val="-16"/>
          <w:sz w:val="20"/>
        </w:rPr>
        <w:t xml:space="preserve"> </w:t>
      </w:r>
      <w:r>
        <w:rPr>
          <w:rFonts w:ascii="Times New Roman;Times;serif" w:hAnsi="Times New Roman;Times;serif"/>
          <w:b/>
          <w:i/>
          <w:color w:val="231F20"/>
          <w:sz w:val="20"/>
        </w:rPr>
        <w:t>effective</w:t>
      </w:r>
      <w:r>
        <w:rPr>
          <w:rFonts w:ascii="Times New Roman;Times;serif" w:hAnsi="Times New Roman;Times;serif"/>
          <w:b/>
          <w:color w:val="231F20"/>
          <w:spacing w:val="-15"/>
          <w:sz w:val="20"/>
        </w:rPr>
        <w:t xml:space="preserve"> </w:t>
      </w:r>
      <w:r>
        <w:rPr>
          <w:rFonts w:ascii="Times New Roman;Times;serif" w:hAnsi="Times New Roman;Times;serif"/>
          <w:b/>
          <w:i/>
          <w:color w:val="231F20"/>
          <w:sz w:val="20"/>
        </w:rPr>
        <w:t>internal control</w:t>
      </w:r>
      <w:r>
        <w:rPr>
          <w:rFonts w:ascii="Times New Roman;Times;serif" w:hAnsi="Times New Roman;Times;serif"/>
          <w:b/>
          <w:color w:val="231F20"/>
          <w:spacing w:val="-7"/>
          <w:sz w:val="20"/>
        </w:rPr>
        <w:t xml:space="preserve"> </w:t>
      </w:r>
      <w:r>
        <w:rPr>
          <w:rFonts w:ascii="Times New Roman;Times;serif" w:hAnsi="Times New Roman;Times;serif"/>
          <w:b/>
          <w:i/>
          <w:color w:val="231F20"/>
          <w:sz w:val="20"/>
        </w:rPr>
        <w:t>over</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financial</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reporting</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disclosure</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controls</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and</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procedures,</w:t>
      </w:r>
      <w:r>
        <w:rPr>
          <w:rFonts w:ascii="Times New Roman;Times;serif" w:hAnsi="Times New Roman;Times;serif"/>
          <w:b/>
          <w:color w:val="231F20"/>
          <w:spacing w:val="-6"/>
          <w:sz w:val="20"/>
        </w:rPr>
        <w:t xml:space="preserve"> </w:t>
      </w:r>
      <w:r>
        <w:rPr>
          <w:rFonts w:ascii="Times New Roman;Times;serif" w:hAnsi="Times New Roman;Times;serif"/>
          <w:b/>
          <w:i/>
          <w:color w:val="231F20"/>
          <w:spacing w:val="-4"/>
          <w:sz w:val="20"/>
        </w:rPr>
        <w:t>we</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may</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not</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be</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able</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to</w:t>
      </w:r>
      <w:r>
        <w:rPr>
          <w:rFonts w:ascii="Times New Roman;Times;serif" w:hAnsi="Times New Roman;Times;serif"/>
          <w:b/>
          <w:color w:val="231F20"/>
          <w:spacing w:val="-6"/>
          <w:sz w:val="20"/>
        </w:rPr>
        <w:t xml:space="preserve"> </w:t>
      </w:r>
      <w:r>
        <w:rPr>
          <w:rFonts w:ascii="Times New Roman;Times;serif" w:hAnsi="Times New Roman;Times;serif"/>
          <w:b/>
          <w:i/>
          <w:color w:val="231F20"/>
          <w:sz w:val="20"/>
        </w:rPr>
        <w:t>accurately report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our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financial</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results</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or</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report</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them</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in</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a</w:t>
      </w:r>
      <w:r>
        <w:rPr>
          <w:rFonts w:ascii="Times New Roman;Times;serif" w:hAnsi="Times New Roman;Times;serif"/>
          <w:b/>
          <w:color w:val="231F20"/>
          <w:spacing w:val="-9"/>
          <w:sz w:val="20"/>
        </w:rPr>
        <w:t xml:space="preserve"> </w:t>
      </w:r>
      <w:r>
        <w:rPr>
          <w:rFonts w:ascii="Times New Roman;Times;serif" w:hAnsi="Times New Roman;Times;serif"/>
          <w:b/>
          <w:i/>
          <w:color w:val="231F20"/>
          <w:sz w:val="20"/>
        </w:rPr>
        <w:t>timely</w:t>
      </w:r>
      <w:r>
        <w:rPr>
          <w:rFonts w:ascii="Times New Roman;Times;serif" w:hAnsi="Times New Roman;Times;serif"/>
          <w:b/>
          <w:color w:val="231F20"/>
          <w:spacing w:val="-8"/>
          <w:sz w:val="20"/>
        </w:rPr>
        <w:t xml:space="preserve"> </w:t>
      </w:r>
      <w:r>
        <w:rPr>
          <w:rFonts w:ascii="Times New Roman;Times;serif" w:hAnsi="Times New Roman;Times;serif"/>
          <w:b/>
          <w:i/>
          <w:color w:val="231F20"/>
          <w:sz w:val="20"/>
        </w:rPr>
        <w:t>manner.</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color w:val="231F20"/>
          <w:sz w:val="20"/>
        </w:rPr>
        <w:t xml:space="preserve">As a public reporting </w:t>
      </w:r>
      <w:r>
        <w:rPr>
          <w:rFonts w:ascii="Times New Roman;Times;serif" w:hAnsi="Times New Roman;Times;serif"/>
          <w:color w:val="231F20"/>
          <w:spacing w:val="-4"/>
          <w:sz w:val="20"/>
        </w:rPr>
        <w:t xml:space="preserve">company, </w:t>
      </w:r>
      <w:r>
        <w:rPr>
          <w:rFonts w:ascii="Times New Roman;Times;serif" w:hAnsi="Times New Roman;Times;serif"/>
          <w:color w:val="231F20"/>
          <w:sz w:val="20"/>
        </w:rPr>
        <w:t xml:space="preserve">we are subject to the rules and regulations established from time to time by the SEC and Nasdaq. These rules and regulations require, among other things that we establish and periodically </w:t>
      </w:r>
      <w:r>
        <w:rPr>
          <w:rFonts w:ascii="Times New Roman;Times;serif" w:hAnsi="Times New Roman;Times;serif"/>
          <w:color w:val="231F20"/>
          <w:spacing w:val="-3"/>
          <w:sz w:val="20"/>
        </w:rPr>
        <w:t xml:space="preserve">evaluate </w:t>
      </w:r>
      <w:r>
        <w:rPr>
          <w:rFonts w:ascii="Times New Roman;Times;serif" w:hAnsi="Times New Roman;Times;serif"/>
          <w:color w:val="231F20"/>
          <w:sz w:val="20"/>
        </w:rPr>
        <w:t xml:space="preserve">procedures with respect to our internal control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 xml:space="preserve">financial reporting. Reporting obligations as a public company are </w:t>
      </w:r>
      <w:r>
        <w:rPr>
          <w:rFonts w:ascii="Times New Roman;Times;serif" w:hAnsi="Times New Roman;Times;serif"/>
          <w:color w:val="231F20"/>
          <w:spacing w:val="-3"/>
          <w:sz w:val="20"/>
        </w:rPr>
        <w:t xml:space="preserve">likely </w:t>
      </w:r>
      <w:r>
        <w:rPr>
          <w:rFonts w:ascii="Times New Roman;Times;serif" w:hAnsi="Times New Roman;Times;serif"/>
          <w:color w:val="231F20"/>
          <w:sz w:val="20"/>
        </w:rPr>
        <w:t>to place a considerable strain on our financial and management systems, processes and controls, as well as on our</w:t>
      </w:r>
      <w:r>
        <w:rPr>
          <w:rFonts w:ascii="Times New Roman;Times;serif" w:hAnsi="Times New Roman;Times;serif"/>
          <w:color w:val="231F20"/>
          <w:spacing w:val="-34"/>
          <w:sz w:val="20"/>
        </w:rPr>
        <w:t xml:space="preserve"> </w:t>
      </w:r>
      <w:r>
        <w:rPr>
          <w:rFonts w:ascii="Times New Roman;Times;serif" w:hAnsi="Times New Roman;Times;serif"/>
          <w:color w:val="231F20"/>
          <w:sz w:val="20"/>
        </w:rPr>
        <w:t>personnel.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0" w:before="0" w:after="240"/>
        <w:ind w:left="0" w:right="0" w:firstLine="403"/>
        <w:jc w:val="both"/>
        <w:rPr>
          <w:rFonts w:ascii="Times New Roman;Times;serif" w:hAnsi="Times New Roman;Times;serif"/>
          <w:sz w:val="20"/>
        </w:rPr>
      </w:pPr>
      <w:r>
        <w:rPr>
          <w:rFonts w:ascii="Times New Roman;Times;serif" w:hAnsi="Times New Roman;Times;serif"/>
          <w:color w:val="231F20"/>
          <w:sz w:val="20"/>
        </w:rPr>
        <w:t xml:space="preserve">In addition, as a public </w:t>
      </w:r>
      <w:r>
        <w:rPr>
          <w:rFonts w:ascii="Times New Roman;Times;serif" w:hAnsi="Times New Roman;Times;serif"/>
          <w:color w:val="231F20"/>
          <w:spacing w:val="-4"/>
          <w:sz w:val="20"/>
        </w:rPr>
        <w:t xml:space="preserve">company, </w:t>
      </w:r>
      <w:r>
        <w:rPr>
          <w:rFonts w:ascii="Times New Roman;Times;serif" w:hAnsi="Times New Roman;Times;serif"/>
          <w:color w:val="231F20"/>
          <w:sz w:val="20"/>
        </w:rPr>
        <w:t xml:space="preserve">we are required to document and test our internal control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 xml:space="preserve">financial reporting pursuant to Section 404 of the Sarbanes-Oxley Act so that our management can certify as to the effectiveness of our internal control </w:t>
      </w:r>
      <w:r>
        <w:rPr>
          <w:rFonts w:ascii="Times New Roman;Times;serif" w:hAnsi="Times New Roman;Times;serif"/>
          <w:color w:val="231F20"/>
          <w:spacing w:val="-3"/>
          <w:sz w:val="20"/>
        </w:rPr>
        <w:t xml:space="preserve">over </w:t>
      </w:r>
      <w:r>
        <w:rPr>
          <w:rFonts w:ascii="Times New Roman;Times;serif" w:hAnsi="Times New Roman;Times;serif"/>
          <w:color w:val="231F20"/>
          <w:sz w:val="20"/>
        </w:rPr>
        <w:t xml:space="preserve">financial reporting. </w:t>
      </w:r>
      <w:r>
        <w:rPr>
          <w:rFonts w:ascii="Times New Roman;Times;serif" w:hAnsi="Times New Roman;Times;serif"/>
          <w:color w:val="231F20"/>
          <w:spacing w:val="-6"/>
          <w:sz w:val="20"/>
        </w:rPr>
        <w:t xml:space="preserve">For </w:t>
      </w:r>
      <w:r>
        <w:rPr>
          <w:rFonts w:ascii="Times New Roman;Times;serif" w:hAnsi="Times New Roman;Times;serif"/>
          <w:color w:val="231F20"/>
          <w:sz w:val="20"/>
        </w:rPr>
        <w:t>additional information related to the risks and uncertainties of our compliance with the Sarbanes-Oxley</w:t>
      </w:r>
      <w:r>
        <w:rPr>
          <w:rFonts w:ascii="Times New Roman;Times;serif" w:hAnsi="Times New Roman;Times;serif"/>
          <w:color w:val="231F20"/>
          <w:spacing w:val="-23"/>
          <w:sz w:val="20"/>
        </w:rPr>
        <w:t xml:space="preserve"> </w:t>
      </w:r>
      <w:r>
        <w:rPr>
          <w:rFonts w:ascii="Times New Roman;Times;serif" w:hAnsi="Times New Roman;Times;serif"/>
          <w:color w:val="231F20"/>
          <w:sz w:val="20"/>
        </w:rPr>
        <w:t>Act,</w:t>
      </w:r>
      <w:r>
        <w:rPr>
          <w:rFonts w:ascii="Times New Roman;Times;serif" w:hAnsi="Times New Roman;Times;serif"/>
          <w:color w:val="231F20"/>
          <w:spacing w:val="-23"/>
          <w:sz w:val="20"/>
        </w:rPr>
        <w:t xml:space="preserve"> </w:t>
      </w:r>
      <w:r>
        <w:rPr>
          <w:rFonts w:ascii="Times New Roman;Times;serif" w:hAnsi="Times New Roman;Times;serif"/>
          <w:color w:val="231F20"/>
          <w:sz w:val="20"/>
        </w:rPr>
        <w:t>see</w:t>
      </w:r>
      <w:r>
        <w:rPr>
          <w:rFonts w:ascii="Times New Roman;Times;serif" w:hAnsi="Times New Roman;Times;serif"/>
          <w:color w:val="231F20"/>
          <w:spacing w:val="-23"/>
          <w:sz w:val="20"/>
        </w:rPr>
        <w:t xml:space="preserve"> </w:t>
      </w:r>
      <w:r>
        <w:rPr>
          <w:rFonts w:ascii="Times New Roman;Times;serif" w:hAnsi="Times New Roman;Times;serif"/>
          <w:color w:val="231F20"/>
          <w:sz w:val="20"/>
        </w:rPr>
        <w:t>“</w:t>
      </w:r>
      <w:r>
        <w:rPr>
          <w:rFonts w:ascii="Times New Roman;Times;serif" w:hAnsi="Times New Roman;Times;serif"/>
          <w:i/>
          <w:color w:val="231F20"/>
          <w:sz w:val="20"/>
        </w:rPr>
        <w:t>Risk</w:t>
      </w:r>
      <w:r>
        <w:rPr>
          <w:rFonts w:ascii="Times New Roman;Times;serif" w:hAnsi="Times New Roman;Times;serif"/>
          <w:color w:val="231F20"/>
          <w:spacing w:val="-23"/>
          <w:sz w:val="20"/>
        </w:rPr>
        <w:t xml:space="preserve"> </w:t>
      </w:r>
      <w:r>
        <w:rPr>
          <w:rFonts w:ascii="Times New Roman;Times;serif" w:hAnsi="Times New Roman;Times;serif"/>
          <w:i/>
          <w:color w:val="231F20"/>
          <w:sz w:val="20"/>
        </w:rPr>
        <w:t>Related</w:t>
      </w:r>
      <w:r>
        <w:rPr>
          <w:rFonts w:ascii="Times New Roman;Times;serif" w:hAnsi="Times New Roman;Times;serif"/>
          <w:color w:val="231F20"/>
          <w:spacing w:val="-22"/>
          <w:sz w:val="20"/>
        </w:rPr>
        <w:t xml:space="preserve"> </w:t>
      </w:r>
      <w:r>
        <w:rPr>
          <w:rFonts w:ascii="Times New Roman;Times;serif" w:hAnsi="Times New Roman;Times;serif"/>
          <w:i/>
          <w:color w:val="231F20"/>
          <w:sz w:val="20"/>
        </w:rPr>
        <w:t>to</w:t>
      </w:r>
      <w:r>
        <w:rPr>
          <w:rFonts w:ascii="Times New Roman;Times;serif" w:hAnsi="Times New Roman;Times;serif"/>
          <w:color w:val="231F20"/>
          <w:spacing w:val="-23"/>
          <w:sz w:val="20"/>
        </w:rPr>
        <w:t xml:space="preserve"> </w:t>
      </w:r>
      <w:r>
        <w:rPr>
          <w:rFonts w:ascii="Times New Roman;Times;serif" w:hAnsi="Times New Roman;Times;serif"/>
          <w:i/>
          <w:color w:val="231F20"/>
          <w:sz w:val="20"/>
        </w:rPr>
        <w:t>an</w:t>
      </w:r>
      <w:r>
        <w:rPr>
          <w:rFonts w:ascii="Times New Roman;Times;serif" w:hAnsi="Times New Roman;Times;serif"/>
          <w:color w:val="231F20"/>
          <w:spacing w:val="-23"/>
          <w:sz w:val="20"/>
        </w:rPr>
        <w:t xml:space="preserve"> </w:t>
      </w:r>
      <w:r>
        <w:rPr>
          <w:rFonts w:ascii="Times New Roman;Times;serif" w:hAnsi="Times New Roman;Times;serif"/>
          <w:i/>
          <w:color w:val="231F20"/>
          <w:sz w:val="20"/>
        </w:rPr>
        <w:t>Early-Stage</w:t>
      </w:r>
      <w:r>
        <w:rPr>
          <w:rFonts w:ascii="Times New Roman;Times;serif" w:hAnsi="Times New Roman;Times;serif"/>
          <w:color w:val="231F20"/>
          <w:spacing w:val="-23"/>
          <w:sz w:val="20"/>
        </w:rPr>
        <w:t xml:space="preserve"> </w:t>
      </w:r>
      <w:r>
        <w:rPr>
          <w:rFonts w:ascii="Times New Roman;Times;serif" w:hAnsi="Times New Roman;Times;serif"/>
          <w:i/>
          <w:color w:val="231F20"/>
          <w:sz w:val="20"/>
        </w:rPr>
        <w:t>Company</w:t>
      </w:r>
      <w:r>
        <w:rPr>
          <w:rFonts w:ascii="Times New Roman;Times;serif" w:hAnsi="Times New Roman;Times;serif"/>
          <w:color w:val="231F20"/>
          <w:spacing w:val="-13"/>
          <w:sz w:val="20"/>
        </w:rPr>
        <w:t xml:space="preserve"> </w:t>
      </w:r>
      <w:r>
        <w:rPr>
          <w:rFonts w:ascii="Times New Roman;Times;serif" w:hAnsi="Times New Roman;Times;serif"/>
          <w:color w:val="231F20"/>
          <w:sz w:val="20"/>
        </w:rPr>
        <w:t>—</w:t>
      </w:r>
      <w:r>
        <w:rPr>
          <w:rFonts w:ascii="Times New Roman;Times;serif" w:hAnsi="Times New Roman;Times;serif"/>
          <w:color w:val="231F20"/>
          <w:spacing w:val="-14"/>
          <w:sz w:val="20"/>
        </w:rPr>
        <w:t xml:space="preserve"> </w:t>
      </w:r>
      <w:r>
        <w:rPr>
          <w:rFonts w:ascii="Times New Roman;Times;serif" w:hAnsi="Times New Roman;Times;serif"/>
          <w:i/>
          <w:color w:val="231F20"/>
          <w:sz w:val="20"/>
        </w:rPr>
        <w:t>Failure</w:t>
      </w:r>
      <w:r>
        <w:rPr>
          <w:rFonts w:ascii="Times New Roman;Times;serif" w:hAnsi="Times New Roman;Times;serif"/>
          <w:color w:val="231F20"/>
          <w:spacing w:val="-22"/>
          <w:sz w:val="20"/>
        </w:rPr>
        <w:t xml:space="preserve"> </w:t>
      </w:r>
      <w:r>
        <w:rPr>
          <w:rFonts w:ascii="Times New Roman;Times;serif" w:hAnsi="Times New Roman;Times;serif"/>
          <w:i/>
          <w:color w:val="231F20"/>
          <w:sz w:val="20"/>
        </w:rPr>
        <w:t>to</w:t>
      </w:r>
      <w:r>
        <w:rPr>
          <w:rFonts w:ascii="Times New Roman;Times;serif" w:hAnsi="Times New Roman;Times;serif"/>
          <w:color w:val="231F20"/>
          <w:spacing w:val="-23"/>
          <w:sz w:val="20"/>
        </w:rPr>
        <w:t xml:space="preserve"> </w:t>
      </w:r>
      <w:r>
        <w:rPr>
          <w:rFonts w:ascii="Times New Roman;Times;serif" w:hAnsi="Times New Roman;Times;serif"/>
          <w:i/>
          <w:color w:val="231F20"/>
          <w:sz w:val="20"/>
        </w:rPr>
        <w:t>achieve</w:t>
      </w:r>
      <w:r>
        <w:rPr>
          <w:rFonts w:ascii="Times New Roman;Times;serif" w:hAnsi="Times New Roman;Times;serif"/>
          <w:color w:val="231F20"/>
          <w:spacing w:val="-23"/>
          <w:sz w:val="20"/>
        </w:rPr>
        <w:t xml:space="preserve"> </w:t>
      </w:r>
      <w:r>
        <w:rPr>
          <w:rFonts w:ascii="Times New Roman;Times;serif" w:hAnsi="Times New Roman;Times;serif"/>
          <w:i/>
          <w:color w:val="231F20"/>
          <w:sz w:val="20"/>
        </w:rPr>
        <w:t>and</w:t>
      </w:r>
      <w:r>
        <w:rPr>
          <w:rFonts w:ascii="Times New Roman;Times;serif" w:hAnsi="Times New Roman;Times;serif"/>
          <w:color w:val="231F20"/>
          <w:spacing w:val="-23"/>
          <w:sz w:val="20"/>
        </w:rPr>
        <w:t xml:space="preserve"> </w:t>
      </w:r>
      <w:r>
        <w:rPr>
          <w:rFonts w:ascii="Times New Roman;Times;serif" w:hAnsi="Times New Roman;Times;serif"/>
          <w:i/>
          <w:color w:val="231F20"/>
          <w:sz w:val="20"/>
        </w:rPr>
        <w:t>maintain</w:t>
      </w:r>
      <w:r>
        <w:rPr>
          <w:rFonts w:ascii="Times New Roman;Times;serif" w:hAnsi="Times New Roman;Times;serif"/>
          <w:color w:val="231F20"/>
          <w:spacing w:val="-23"/>
          <w:sz w:val="20"/>
        </w:rPr>
        <w:t xml:space="preserve"> </w:t>
      </w:r>
      <w:r>
        <w:rPr>
          <w:rFonts w:ascii="Times New Roman;Times;serif" w:hAnsi="Times New Roman;Times;serif"/>
          <w:i/>
          <w:color w:val="231F20"/>
          <w:sz w:val="20"/>
        </w:rPr>
        <w:t xml:space="preserve">effective internal controls </w:t>
      </w:r>
      <w:r>
        <w:rPr>
          <w:rFonts w:ascii="Times New Roman;Times;serif" w:hAnsi="Times New Roman;Times;serif"/>
          <w:i/>
          <w:color w:val="231F20"/>
          <w:spacing w:val="-3"/>
          <w:sz w:val="20"/>
        </w:rPr>
        <w:t xml:space="preserve">over </w:t>
      </w:r>
      <w:r>
        <w:rPr>
          <w:rFonts w:ascii="Times New Roman;Times;serif" w:hAnsi="Times New Roman;Times;serif"/>
          <w:i/>
          <w:color w:val="231F20"/>
          <w:sz w:val="20"/>
        </w:rPr>
        <w:t>financial reporting in accordance with Section 404 of the Sarbanes-Oxley Act could impair</w:t>
      </w:r>
      <w:r>
        <w:rPr>
          <w:rFonts w:ascii="Times New Roman;Times;serif" w:hAnsi="Times New Roman;Times;serif"/>
          <w:color w:val="231F20"/>
          <w:spacing w:val="-20"/>
          <w:sz w:val="20"/>
        </w:rPr>
        <w:t xml:space="preserve"> </w:t>
      </w:r>
      <w:r>
        <w:rPr>
          <w:rFonts w:ascii="Times New Roman;Times;serif" w:hAnsi="Times New Roman;Times;serif"/>
          <w:i/>
          <w:color w:val="231F20"/>
          <w:sz w:val="20"/>
        </w:rPr>
        <w:t>our</w:t>
      </w:r>
      <w:r>
        <w:rPr>
          <w:rFonts w:ascii="Times New Roman;Times;serif" w:hAnsi="Times New Roman;Times;serif"/>
          <w:color w:val="231F20"/>
          <w:spacing w:val="-20"/>
          <w:sz w:val="20"/>
        </w:rPr>
        <w:t xml:space="preserve"> </w:t>
      </w:r>
      <w:r>
        <w:rPr>
          <w:rFonts w:ascii="Times New Roman;Times;serif" w:hAnsi="Times New Roman;Times;serif"/>
          <w:i/>
          <w:color w:val="231F20"/>
          <w:sz w:val="20"/>
        </w:rPr>
        <w:t>ability</w:t>
      </w:r>
      <w:r>
        <w:rPr>
          <w:rFonts w:ascii="Times New Roman;Times;serif" w:hAnsi="Times New Roman;Times;serif"/>
          <w:color w:val="231F20"/>
          <w:spacing w:val="-19"/>
          <w:sz w:val="20"/>
        </w:rPr>
        <w:t xml:space="preserve"> </w:t>
      </w:r>
      <w:r>
        <w:rPr>
          <w:rFonts w:ascii="Times New Roman;Times;serif" w:hAnsi="Times New Roman;Times;serif"/>
          <w:i/>
          <w:color w:val="231F20"/>
          <w:sz w:val="20"/>
        </w:rPr>
        <w:t>to</w:t>
      </w:r>
      <w:r>
        <w:rPr>
          <w:rFonts w:ascii="Times New Roman;Times;serif" w:hAnsi="Times New Roman;Times;serif"/>
          <w:color w:val="231F20"/>
          <w:spacing w:val="-20"/>
          <w:sz w:val="20"/>
        </w:rPr>
        <w:t xml:space="preserve"> </w:t>
      </w:r>
      <w:r>
        <w:rPr>
          <w:rFonts w:ascii="Times New Roman;Times;serif" w:hAnsi="Times New Roman;Times;serif"/>
          <w:i/>
          <w:color w:val="231F20"/>
          <w:sz w:val="20"/>
        </w:rPr>
        <w:t>produce</w:t>
      </w:r>
      <w:r>
        <w:rPr>
          <w:rFonts w:ascii="Times New Roman;Times;serif" w:hAnsi="Times New Roman;Times;serif"/>
          <w:color w:val="231F20"/>
          <w:spacing w:val="-19"/>
          <w:sz w:val="20"/>
        </w:rPr>
        <w:t xml:space="preserve"> </w:t>
      </w:r>
      <w:r>
        <w:rPr>
          <w:rFonts w:ascii="Times New Roman;Times;serif" w:hAnsi="Times New Roman;Times;serif"/>
          <w:i/>
          <w:color w:val="231F20"/>
          <w:sz w:val="20"/>
        </w:rPr>
        <w:t>timely</w:t>
      </w:r>
      <w:r>
        <w:rPr>
          <w:rFonts w:ascii="Times New Roman;Times;serif" w:hAnsi="Times New Roman;Times;serif"/>
          <w:color w:val="231F20"/>
          <w:spacing w:val="-20"/>
          <w:sz w:val="20"/>
        </w:rPr>
        <w:t xml:space="preserve"> </w:t>
      </w:r>
      <w:r>
        <w:rPr>
          <w:rFonts w:ascii="Times New Roman;Times;serif" w:hAnsi="Times New Roman;Times;serif"/>
          <w:i/>
          <w:color w:val="231F20"/>
          <w:sz w:val="20"/>
        </w:rPr>
        <w:t>and</w:t>
      </w:r>
      <w:r>
        <w:rPr>
          <w:rFonts w:ascii="Times New Roman;Times;serif" w:hAnsi="Times New Roman;Times;serif"/>
          <w:color w:val="231F20"/>
          <w:spacing w:val="-19"/>
          <w:sz w:val="20"/>
        </w:rPr>
        <w:t xml:space="preserve"> </w:t>
      </w:r>
      <w:r>
        <w:rPr>
          <w:rFonts w:ascii="Times New Roman;Times;serif" w:hAnsi="Times New Roman;Times;serif"/>
          <w:i/>
          <w:color w:val="231F20"/>
          <w:sz w:val="20"/>
        </w:rPr>
        <w:t>accurate</w:t>
      </w:r>
      <w:r>
        <w:rPr>
          <w:rFonts w:ascii="Times New Roman;Times;serif" w:hAnsi="Times New Roman;Times;serif"/>
          <w:color w:val="231F20"/>
          <w:spacing w:val="-20"/>
          <w:sz w:val="20"/>
        </w:rPr>
        <w:t xml:space="preserve"> </w:t>
      </w:r>
      <w:r>
        <w:rPr>
          <w:rFonts w:ascii="Times New Roman;Times;serif" w:hAnsi="Times New Roman;Times;serif"/>
          <w:i/>
          <w:color w:val="231F20"/>
          <w:sz w:val="20"/>
        </w:rPr>
        <w:t>financial</w:t>
      </w:r>
      <w:r>
        <w:rPr>
          <w:rFonts w:ascii="Times New Roman;Times;serif" w:hAnsi="Times New Roman;Times;serif"/>
          <w:color w:val="231F20"/>
          <w:spacing w:val="-19"/>
          <w:sz w:val="20"/>
        </w:rPr>
        <w:t xml:space="preserve"> </w:t>
      </w:r>
      <w:r>
        <w:rPr>
          <w:rFonts w:ascii="Times New Roman;Times;serif" w:hAnsi="Times New Roman;Times;serif"/>
          <w:i/>
          <w:color w:val="231F20"/>
          <w:sz w:val="20"/>
        </w:rPr>
        <w:t>statements</w:t>
      </w:r>
      <w:r>
        <w:rPr>
          <w:rFonts w:ascii="Times New Roman;Times;serif" w:hAnsi="Times New Roman;Times;serif"/>
          <w:color w:val="231F20"/>
          <w:spacing w:val="-20"/>
          <w:sz w:val="20"/>
        </w:rPr>
        <w:t xml:space="preserve"> </w:t>
      </w:r>
      <w:r>
        <w:rPr>
          <w:rFonts w:ascii="Times New Roman;Times;serif" w:hAnsi="Times New Roman;Times;serif"/>
          <w:i/>
          <w:color w:val="231F20"/>
          <w:sz w:val="20"/>
        </w:rPr>
        <w:t>or</w:t>
      </w:r>
      <w:r>
        <w:rPr>
          <w:rFonts w:ascii="Times New Roman;Times;serif" w:hAnsi="Times New Roman;Times;serif"/>
          <w:color w:val="231F20"/>
          <w:spacing w:val="-20"/>
          <w:sz w:val="20"/>
        </w:rPr>
        <w:t xml:space="preserve"> </w:t>
      </w:r>
      <w:r>
        <w:rPr>
          <w:rFonts w:ascii="Times New Roman;Times;serif" w:hAnsi="Times New Roman;Times;serif"/>
          <w:i/>
          <w:color w:val="231F20"/>
          <w:sz w:val="20"/>
        </w:rPr>
        <w:t>comply</w:t>
      </w:r>
      <w:r>
        <w:rPr>
          <w:rFonts w:ascii="Times New Roman;Times;serif" w:hAnsi="Times New Roman;Times;serif"/>
          <w:color w:val="231F20"/>
          <w:spacing w:val="-19"/>
          <w:sz w:val="20"/>
        </w:rPr>
        <w:t xml:space="preserve"> </w:t>
      </w:r>
      <w:r>
        <w:rPr>
          <w:rFonts w:ascii="Times New Roman;Times;serif" w:hAnsi="Times New Roman;Times;serif"/>
          <w:i/>
          <w:color w:val="231F20"/>
          <w:sz w:val="20"/>
        </w:rPr>
        <w:t>with</w:t>
      </w:r>
      <w:r>
        <w:rPr>
          <w:rFonts w:ascii="Times New Roman;Times;serif" w:hAnsi="Times New Roman;Times;serif"/>
          <w:color w:val="231F20"/>
          <w:spacing w:val="-20"/>
          <w:sz w:val="20"/>
        </w:rPr>
        <w:t xml:space="preserve"> </w:t>
      </w:r>
      <w:r>
        <w:rPr>
          <w:rFonts w:ascii="Times New Roman;Times;serif" w:hAnsi="Times New Roman;Times;serif"/>
          <w:i/>
          <w:color w:val="231F20"/>
          <w:sz w:val="20"/>
        </w:rPr>
        <w:t>applicable</w:t>
      </w:r>
      <w:r>
        <w:rPr>
          <w:rFonts w:ascii="Times New Roman;Times;serif" w:hAnsi="Times New Roman;Times;serif"/>
          <w:color w:val="231F20"/>
          <w:spacing w:val="-19"/>
          <w:sz w:val="20"/>
        </w:rPr>
        <w:t xml:space="preserve"> </w:t>
      </w:r>
      <w:r>
        <w:rPr>
          <w:rFonts w:ascii="Times New Roman;Times;serif" w:hAnsi="Times New Roman;Times;serif"/>
          <w:i/>
          <w:color w:val="231F20"/>
          <w:sz w:val="20"/>
        </w:rPr>
        <w:t>regulations and</w:t>
      </w:r>
      <w:r>
        <w:rPr>
          <w:rFonts w:ascii="Times New Roman;Times;serif" w:hAnsi="Times New Roman;Times;serif"/>
          <w:color w:val="231F20"/>
          <w:spacing w:val="-6"/>
          <w:sz w:val="20"/>
        </w:rPr>
        <w:t xml:space="preserve"> </w:t>
      </w:r>
      <w:r>
        <w:rPr>
          <w:rFonts w:ascii="Times New Roman;Times;serif" w:hAnsi="Times New Roman;Times;serif"/>
          <w:i/>
          <w:color w:val="231F20"/>
          <w:sz w:val="20"/>
        </w:rPr>
        <w:t>have</w:t>
      </w:r>
      <w:r>
        <w:rPr>
          <w:rFonts w:ascii="Times New Roman;Times;serif" w:hAnsi="Times New Roman;Times;serif"/>
          <w:color w:val="231F20"/>
          <w:spacing w:val="-5"/>
          <w:sz w:val="20"/>
        </w:rPr>
        <w:t xml:space="preserve"> </w:t>
      </w:r>
      <w:r>
        <w:rPr>
          <w:rFonts w:ascii="Times New Roman;Times;serif" w:hAnsi="Times New Roman;Times;serif"/>
          <w:i/>
          <w:color w:val="231F20"/>
          <w:sz w:val="20"/>
        </w:rPr>
        <w:t>a</w:t>
      </w:r>
      <w:r>
        <w:rPr>
          <w:rFonts w:ascii="Times New Roman;Times;serif" w:hAnsi="Times New Roman;Times;serif"/>
          <w:color w:val="231F20"/>
          <w:spacing w:val="-5"/>
          <w:sz w:val="20"/>
        </w:rPr>
        <w:t xml:space="preserve"> </w:t>
      </w:r>
      <w:r>
        <w:rPr>
          <w:rFonts w:ascii="Times New Roman;Times;serif" w:hAnsi="Times New Roman;Times;serif"/>
          <w:i/>
          <w:color w:val="231F20"/>
          <w:sz w:val="20"/>
        </w:rPr>
        <w:t>material</w:t>
      </w:r>
      <w:r>
        <w:rPr>
          <w:rFonts w:ascii="Times New Roman;Times;serif" w:hAnsi="Times New Roman;Times;serif"/>
          <w:color w:val="231F20"/>
          <w:spacing w:val="-5"/>
          <w:sz w:val="20"/>
        </w:rPr>
        <w:t xml:space="preserve"> </w:t>
      </w:r>
      <w:r>
        <w:rPr>
          <w:rFonts w:ascii="Times New Roman;Times;serif" w:hAnsi="Times New Roman;Times;serif"/>
          <w:i/>
          <w:color w:val="231F20"/>
          <w:sz w:val="20"/>
        </w:rPr>
        <w:t>adverse</w:t>
      </w:r>
      <w:r>
        <w:rPr>
          <w:rFonts w:ascii="Times New Roman;Times;serif" w:hAnsi="Times New Roman;Times;serif"/>
          <w:color w:val="231F20"/>
          <w:spacing w:val="-6"/>
          <w:sz w:val="20"/>
        </w:rPr>
        <w:t xml:space="preserve"> </w:t>
      </w:r>
      <w:r>
        <w:rPr>
          <w:rFonts w:ascii="Times New Roman;Times;serif" w:hAnsi="Times New Roman;Times;serif"/>
          <w:i/>
          <w:color w:val="231F20"/>
          <w:sz w:val="20"/>
        </w:rPr>
        <w:t>effect</w:t>
      </w:r>
      <w:r>
        <w:rPr>
          <w:rFonts w:ascii="Times New Roman;Times;serif" w:hAnsi="Times New Roman;Times;serif"/>
          <w:color w:val="231F20"/>
          <w:spacing w:val="-5"/>
          <w:sz w:val="20"/>
        </w:rPr>
        <w:t xml:space="preserve"> </w:t>
      </w:r>
      <w:r>
        <w:rPr>
          <w:rFonts w:ascii="Times New Roman;Times;serif" w:hAnsi="Times New Roman;Times;serif"/>
          <w:i/>
          <w:color w:val="231F20"/>
          <w:sz w:val="20"/>
        </w:rPr>
        <w:t>on</w:t>
      </w:r>
      <w:r>
        <w:rPr>
          <w:rFonts w:ascii="Times New Roman;Times;serif" w:hAnsi="Times New Roman;Times;serif"/>
          <w:color w:val="231F20"/>
          <w:spacing w:val="-5"/>
          <w:sz w:val="20"/>
        </w:rPr>
        <w:t xml:space="preserve"> </w:t>
      </w:r>
      <w:r>
        <w:rPr>
          <w:rFonts w:ascii="Times New Roman;Times;serif" w:hAnsi="Times New Roman;Times;serif"/>
          <w:i/>
          <w:color w:val="231F20"/>
          <w:sz w:val="20"/>
        </w:rPr>
        <w:t>our</w:t>
      </w:r>
      <w:r>
        <w:rPr>
          <w:rFonts w:ascii="Times New Roman;Times;serif" w:hAnsi="Times New Roman;Times;serif"/>
          <w:color w:val="231F20"/>
          <w:spacing w:val="-5"/>
          <w:sz w:val="20"/>
        </w:rPr>
        <w:t xml:space="preserve"> </w:t>
      </w:r>
      <w:r>
        <w:rPr>
          <w:rFonts w:ascii="Times New Roman;Times;serif" w:hAnsi="Times New Roman;Times;serif"/>
          <w:i/>
          <w:color w:val="231F20"/>
          <w:spacing w:val="-3"/>
          <w:sz w:val="20"/>
        </w:rPr>
        <w:t>business.”</w:t>
      </w:r>
    </w:p>
    <w:p>
      <w:pPr>
        <w:pStyle w:val="TextBody"/>
        <w:spacing w:lineRule="auto" w:line="290" w:before="169"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If we fail to meet the applicable continued listing requirements of NASDAQ Global Market, NASDAQ may delist our common stock, in which case the liquidity and market price of our common stock could decline. </w:t>
      </w:r>
    </w:p>
    <w:p>
      <w:pPr>
        <w:pStyle w:val="TextBody"/>
        <w:spacing w:lineRule="auto" w:line="290" w:before="169" w:after="240"/>
        <w:ind w:left="0" w:right="0" w:hanging="0"/>
        <w:jc w:val="both"/>
        <w:rPr>
          <w:rFonts w:ascii="Times New Roman;Times;serif" w:hAnsi="Times New Roman;Times;serif"/>
          <w:sz w:val="20"/>
        </w:rPr>
      </w:pPr>
      <w:r>
        <w:rPr>
          <w:rFonts w:ascii="Times New Roman;Times;serif" w:hAnsi="Times New Roman;Times;serif"/>
          <w:sz w:val="20"/>
        </w:rPr>
        <w:t>Our common stock is currently listed on the NASDAQ Global Market. In order to maintain that listing, we must satisfy certain continued listing requirements. including the requirement that our Common Stock maintain an average minimum bid price of $1.00.  Since March 1, 2023, the closing sale price of our Common Stock as reported on Nasdaq has been less than $1.00. In the past, we have received a deficiency letter from Nasdaq for failing to maintain a minimum bid price of $1.00, but we have since regained compliance. If we are deficient in maintaining the necessary listing requirements, our common stock may be delisted. If our stock is delisted, an active trading market for our common stock may not be sustained and the market price of our common stock could decline.</w:t>
      </w:r>
    </w:p>
    <w:p>
      <w:pPr>
        <w:pStyle w:val="TextBody"/>
        <w:spacing w:lineRule="auto" w:line="290" w:before="169" w:after="240"/>
        <w:ind w:left="0" w:right="0" w:hanging="0"/>
        <w:jc w:val="both"/>
        <w:rPr>
          <w:rFonts w:ascii="Times New Roman;Times;serif" w:hAnsi="Times New Roman;Times;serif"/>
          <w:b/>
          <w:i/>
          <w:sz w:val="20"/>
        </w:rPr>
      </w:pPr>
      <w:r>
        <w:rPr>
          <w:rFonts w:ascii="Times New Roman;Times;serif" w:hAnsi="Times New Roman;Times;serif"/>
          <w:b/>
          <w:i/>
          <w:sz w:val="20"/>
        </w:rPr>
        <w:t>Market price of our Common Stock may be volatile, which could subject us to securities class action litigation and result in substantial losses for our stockholders.</w:t>
      </w:r>
    </w:p>
    <w:p>
      <w:pPr>
        <w:pStyle w:val="TextBody"/>
        <w:spacing w:lineRule="auto" w:line="290" w:before="169" w:after="240"/>
        <w:ind w:left="0" w:right="0" w:hanging="0"/>
        <w:jc w:val="both"/>
        <w:rPr>
          <w:rFonts w:ascii="Times New Roman;Times;serif" w:hAnsi="Times New Roman;Times;serif"/>
          <w:sz w:val="20"/>
        </w:rPr>
      </w:pPr>
      <w:r>
        <w:rPr>
          <w:rFonts w:ascii="Times New Roman;Times;serif" w:hAnsi="Times New Roman;Times;serif"/>
          <w:sz w:val="20"/>
        </w:rPr>
        <w:t>The market price of shares of our Common Stock could be subject to wide fluctuations in response to many risk factors listed in this section and the documents incorporated by reference in this prospectus supplement and the accompanying prospectus as well as other factors others beyond our control.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shares of our Common Stock at or above the price at which they purchased their shares of our Common Stock.</w:t>
      </w:r>
    </w:p>
    <w:p>
      <w:pPr>
        <w:pStyle w:val="TextBody"/>
        <w:spacing w:before="87"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We do not intend to pay dividends on our Common Stock for the foreseeable future.</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color w:val="231F20"/>
          <w:spacing w:val="-10"/>
          <w:sz w:val="20"/>
        </w:rPr>
        <w:t xml:space="preserve">We </w:t>
      </w:r>
      <w:r>
        <w:rPr>
          <w:rFonts w:ascii="Times New Roman;Times;serif" w:hAnsi="Times New Roman;Times;serif"/>
          <w:color w:val="231F20"/>
          <w:sz w:val="20"/>
        </w:rPr>
        <w:t xml:space="preserve">currently intend to retain </w:t>
      </w:r>
      <w:r>
        <w:rPr>
          <w:rFonts w:ascii="Times New Roman;Times;serif" w:hAnsi="Times New Roman;Times;serif"/>
          <w:color w:val="231F20"/>
          <w:spacing w:val="-3"/>
          <w:sz w:val="20"/>
        </w:rPr>
        <w:t xml:space="preserve">all </w:t>
      </w:r>
      <w:r>
        <w:rPr>
          <w:rFonts w:ascii="Times New Roman;Times;serif" w:hAnsi="Times New Roman;Times;serif"/>
          <w:color w:val="231F20"/>
          <w:spacing w:val="-4"/>
          <w:sz w:val="20"/>
        </w:rPr>
        <w:t xml:space="preserve">available </w:t>
      </w:r>
      <w:r>
        <w:rPr>
          <w:rFonts w:ascii="Times New Roman;Times;serif" w:hAnsi="Times New Roman;Times;serif"/>
          <w:color w:val="231F20"/>
          <w:sz w:val="20"/>
        </w:rPr>
        <w:t xml:space="preserve">funds and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future earnings to fund the development and </w:t>
      </w:r>
      <w:r>
        <w:rPr>
          <w:rFonts w:ascii="Times New Roman;Times;serif" w:hAnsi="Times New Roman;Times;serif"/>
          <w:color w:val="231F20"/>
          <w:spacing w:val="-3"/>
          <w:sz w:val="20"/>
        </w:rPr>
        <w:t xml:space="preserve">growth </w:t>
      </w:r>
      <w:r>
        <w:rPr>
          <w:rFonts w:ascii="Times New Roman;Times;serif" w:hAnsi="Times New Roman;Times;serif"/>
          <w:color w:val="231F20"/>
          <w:sz w:val="20"/>
        </w:rPr>
        <w:t xml:space="preserve">of our business. As a result, we do not anticipate declaring or paying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cash dividends on our Common</w:t>
      </w:r>
      <w:r>
        <w:rPr>
          <w:rFonts w:ascii="Times New Roman;Times;serif" w:hAnsi="Times New Roman;Times;serif"/>
          <w:color w:val="231F20"/>
          <w:spacing w:val="-8"/>
          <w:sz w:val="20"/>
        </w:rPr>
        <w:t xml:space="preserve"> </w:t>
      </w:r>
      <w:r>
        <w:rPr>
          <w:rFonts w:ascii="Times New Roman;Times;serif" w:hAnsi="Times New Roman;Times;serif"/>
          <w:color w:val="231F20"/>
          <w:sz w:val="20"/>
        </w:rPr>
        <w:t>Stock</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foreseeable</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future.</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Any</w:t>
      </w:r>
      <w:r>
        <w:rPr>
          <w:rFonts w:ascii="Times New Roman;Times;serif" w:hAnsi="Times New Roman;Times;serif"/>
          <w:color w:val="231F20"/>
          <w:spacing w:val="-7"/>
          <w:sz w:val="20"/>
        </w:rPr>
        <w:t xml:space="preserve"> </w:t>
      </w:r>
      <w:r>
        <w:rPr>
          <w:rFonts w:ascii="Times New Roman;Times;serif" w:hAnsi="Times New Roman;Times;serif"/>
          <w:color w:val="231F20"/>
          <w:sz w:val="20"/>
        </w:rPr>
        <w:t>decision</w:t>
      </w:r>
      <w:r>
        <w:rPr>
          <w:rFonts w:ascii="Times New Roman;Times;serif" w:hAnsi="Times New Roman;Times;serif"/>
          <w:color w:val="231F20"/>
          <w:spacing w:val="-7"/>
          <w:sz w:val="20"/>
        </w:rPr>
        <w:t xml:space="preserve"> </w:t>
      </w:r>
      <w:r>
        <w:rPr>
          <w:rFonts w:ascii="Times New Roman;Times;serif" w:hAnsi="Times New Roman;Times;serif"/>
          <w:color w:val="231F20"/>
          <w:sz w:val="20"/>
        </w:rPr>
        <w:t>to</w:t>
      </w:r>
      <w:r>
        <w:rPr>
          <w:rFonts w:ascii="Times New Roman;Times;serif" w:hAnsi="Times New Roman;Times;serif"/>
          <w:color w:val="231F20"/>
          <w:spacing w:val="-7"/>
          <w:sz w:val="20"/>
        </w:rPr>
        <w:t xml:space="preserve"> </w:t>
      </w:r>
      <w:r>
        <w:rPr>
          <w:rFonts w:ascii="Times New Roman;Times;serif" w:hAnsi="Times New Roman;Times;serif"/>
          <w:color w:val="231F20"/>
          <w:sz w:val="20"/>
        </w:rPr>
        <w:t>declare</w:t>
      </w:r>
      <w:r>
        <w:rPr>
          <w:rFonts w:ascii="Times New Roman;Times;serif" w:hAnsi="Times New Roman;Times;serif"/>
          <w:color w:val="231F20"/>
          <w:spacing w:val="-7"/>
          <w:sz w:val="20"/>
        </w:rPr>
        <w:t xml:space="preserve"> </w:t>
      </w:r>
      <w:r>
        <w:rPr>
          <w:rFonts w:ascii="Times New Roman;Times;serif" w:hAnsi="Times New Roman;Times;serif"/>
          <w:color w:val="231F20"/>
          <w:sz w:val="20"/>
        </w:rPr>
        <w:t>and</w:t>
      </w:r>
      <w:r>
        <w:rPr>
          <w:rFonts w:ascii="Times New Roman;Times;serif" w:hAnsi="Times New Roman;Times;serif"/>
          <w:color w:val="231F20"/>
          <w:spacing w:val="-7"/>
          <w:sz w:val="20"/>
        </w:rPr>
        <w:t xml:space="preserve"> </w:t>
      </w:r>
      <w:r>
        <w:rPr>
          <w:rFonts w:ascii="Times New Roman;Times;serif" w:hAnsi="Times New Roman;Times;serif"/>
          <w:color w:val="231F20"/>
          <w:spacing w:val="-3"/>
          <w:sz w:val="20"/>
        </w:rPr>
        <w:t>pay</w:t>
      </w:r>
      <w:r>
        <w:rPr>
          <w:rFonts w:ascii="Times New Roman;Times;serif" w:hAnsi="Times New Roman;Times;serif"/>
          <w:color w:val="231F20"/>
          <w:spacing w:val="-7"/>
          <w:sz w:val="20"/>
        </w:rPr>
        <w:t xml:space="preserve"> </w:t>
      </w:r>
      <w:r>
        <w:rPr>
          <w:rFonts w:ascii="Times New Roman;Times;serif" w:hAnsi="Times New Roman;Times;serif"/>
          <w:color w:val="231F20"/>
          <w:sz w:val="20"/>
        </w:rPr>
        <w:t>dividends</w:t>
      </w:r>
      <w:r>
        <w:rPr>
          <w:rFonts w:ascii="Times New Roman;Times;serif" w:hAnsi="Times New Roman;Times;serif"/>
          <w:color w:val="231F20"/>
          <w:spacing w:val="-7"/>
          <w:sz w:val="20"/>
        </w:rPr>
        <w:t xml:space="preserve"> </w:t>
      </w:r>
      <w:r>
        <w:rPr>
          <w:rFonts w:ascii="Times New Roman;Times;serif" w:hAnsi="Times New Roman;Times;serif"/>
          <w:color w:val="231F20"/>
          <w:sz w:val="20"/>
        </w:rPr>
        <w:t>in</w:t>
      </w:r>
      <w:r>
        <w:rPr>
          <w:rFonts w:ascii="Times New Roman;Times;serif" w:hAnsi="Times New Roman;Times;serif"/>
          <w:color w:val="231F20"/>
          <w:spacing w:val="-7"/>
          <w:sz w:val="20"/>
        </w:rPr>
        <w:t xml:space="preserve"> </w:t>
      </w:r>
      <w:r>
        <w:rPr>
          <w:rFonts w:ascii="Times New Roman;Times;serif" w:hAnsi="Times New Roman;Times;serif"/>
          <w:color w:val="231F20"/>
          <w:sz w:val="20"/>
        </w:rPr>
        <w:t>the</w:t>
      </w:r>
      <w:r>
        <w:rPr>
          <w:rFonts w:ascii="Times New Roman;Times;serif" w:hAnsi="Times New Roman;Times;serif"/>
          <w:color w:val="231F20"/>
          <w:spacing w:val="-7"/>
          <w:sz w:val="20"/>
        </w:rPr>
        <w:t xml:space="preserve"> </w:t>
      </w:r>
      <w:r>
        <w:rPr>
          <w:rFonts w:ascii="Times New Roman;Times;serif" w:hAnsi="Times New Roman;Times;serif"/>
          <w:color w:val="231F20"/>
          <w:sz w:val="20"/>
        </w:rPr>
        <w:t>future</w:t>
      </w:r>
      <w:r>
        <w:rPr>
          <w:rFonts w:ascii="Times New Roman;Times;serif" w:hAnsi="Times New Roman;Times;serif"/>
          <w:color w:val="231F20"/>
          <w:spacing w:val="-7"/>
          <w:sz w:val="20"/>
        </w:rPr>
        <w:t xml:space="preserve"> </w:t>
      </w:r>
      <w:r>
        <w:rPr>
          <w:rFonts w:ascii="Times New Roman;Times;serif" w:hAnsi="Times New Roman;Times;serif"/>
          <w:color w:val="231F20"/>
          <w:sz w:val="20"/>
        </w:rPr>
        <w:t>will</w:t>
      </w:r>
      <w:r>
        <w:rPr>
          <w:rFonts w:ascii="Times New Roman;Times;serif" w:hAnsi="Times New Roman;Times;serif"/>
          <w:color w:val="231F20"/>
          <w:spacing w:val="-7"/>
          <w:sz w:val="20"/>
        </w:rPr>
        <w:t xml:space="preserve"> </w:t>
      </w:r>
      <w:r>
        <w:rPr>
          <w:rFonts w:ascii="Times New Roman;Times;serif" w:hAnsi="Times New Roman;Times;serif"/>
          <w:color w:val="231F20"/>
          <w:sz w:val="20"/>
        </w:rPr>
        <w:t>be</w:t>
      </w:r>
      <w:r>
        <w:rPr>
          <w:rFonts w:ascii="Times New Roman;Times;serif" w:hAnsi="Times New Roman;Times;serif"/>
          <w:color w:val="231F20"/>
          <w:spacing w:val="-7"/>
          <w:sz w:val="20"/>
        </w:rPr>
        <w:t xml:space="preserve"> </w:t>
      </w:r>
      <w:r>
        <w:rPr>
          <w:rFonts w:ascii="Times New Roman;Times;serif" w:hAnsi="Times New Roman;Times;serif"/>
          <w:color w:val="231F20"/>
          <w:sz w:val="20"/>
        </w:rPr>
        <w:t xml:space="preserve">made </w:t>
      </w:r>
      <w:r>
        <w:rPr>
          <w:rFonts w:ascii="Times New Roman;Times;serif" w:hAnsi="Times New Roman;Times;serif"/>
          <w:color w:val="231F20"/>
          <w:spacing w:val="-3"/>
          <w:sz w:val="20"/>
        </w:rPr>
        <w:t xml:space="preserve">at </w:t>
      </w:r>
      <w:r>
        <w:rPr>
          <w:rFonts w:ascii="Times New Roman;Times;serif" w:hAnsi="Times New Roman;Times;serif"/>
          <w:color w:val="231F20"/>
          <w:sz w:val="20"/>
        </w:rPr>
        <w:t xml:space="preserve">the discretion of our Board and will depend on, among other things, our business prospects, results of operations, financial condition, cash requirements and </w:t>
      </w:r>
      <w:r>
        <w:rPr>
          <w:rFonts w:ascii="Times New Roman;Times;serif" w:hAnsi="Times New Roman;Times;serif"/>
          <w:color w:val="231F20"/>
          <w:spacing w:val="-4"/>
          <w:sz w:val="20"/>
        </w:rPr>
        <w:t xml:space="preserve">availability, </w:t>
      </w:r>
      <w:r>
        <w:rPr>
          <w:rFonts w:ascii="Times New Roman;Times;serif" w:hAnsi="Times New Roman;Times;serif"/>
          <w:color w:val="231F20"/>
          <w:sz w:val="20"/>
        </w:rPr>
        <w:t xml:space="preserve">legal requirements, certain restrictions related to our indebtedness, industry trends and other factors that our Board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deem relevant. </w:t>
      </w:r>
      <w:r>
        <w:rPr>
          <w:rFonts w:ascii="Times New Roman;Times;serif" w:hAnsi="Times New Roman;Times;serif"/>
          <w:color w:val="231F20"/>
          <w:spacing w:val="-3"/>
          <w:sz w:val="20"/>
        </w:rPr>
        <w:t xml:space="preserve">Any </w:t>
      </w:r>
      <w:r>
        <w:rPr>
          <w:rFonts w:ascii="Times New Roman;Times;serif" w:hAnsi="Times New Roman;Times;serif"/>
          <w:color w:val="231F20"/>
          <w:sz w:val="20"/>
        </w:rPr>
        <w:t xml:space="preserve">such decision will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 xml:space="preserve">be subject to compliance with contractual restrictions and covenants in the agreements governing our current and future indebtedness. In addition, we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incur additional indebtedness, the terms of which </w:t>
      </w:r>
      <w:r>
        <w:rPr>
          <w:rFonts w:ascii="Times New Roman;Times;serif" w:hAnsi="Times New Roman;Times;serif"/>
          <w:color w:val="231F20"/>
          <w:spacing w:val="-3"/>
          <w:sz w:val="20"/>
        </w:rPr>
        <w:t xml:space="preserve">may </w:t>
      </w:r>
      <w:r>
        <w:rPr>
          <w:rFonts w:ascii="Times New Roman;Times;serif" w:hAnsi="Times New Roman;Times;serif"/>
          <w:color w:val="231F20"/>
          <w:sz w:val="20"/>
        </w:rPr>
        <w:t xml:space="preserve">further restrict or prevent us from paying dividends on our Common Stock. As a </w:t>
      </w:r>
      <w:r>
        <w:rPr>
          <w:rFonts w:ascii="Times New Roman;Times;serif" w:hAnsi="Times New Roman;Times;serif"/>
          <w:color w:val="231F20"/>
          <w:spacing w:val="-3"/>
          <w:sz w:val="20"/>
        </w:rPr>
        <w:t xml:space="preserve">result, you may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to sell some or </w:t>
      </w:r>
      <w:r>
        <w:rPr>
          <w:rFonts w:ascii="Times New Roman;Times;serif" w:hAnsi="Times New Roman;Times;serif"/>
          <w:color w:val="231F20"/>
          <w:spacing w:val="-3"/>
          <w:sz w:val="20"/>
        </w:rPr>
        <w:t xml:space="preserve">all </w:t>
      </w:r>
      <w:r>
        <w:rPr>
          <w:rFonts w:ascii="Times New Roman;Times;serif" w:hAnsi="Times New Roman;Times;serif"/>
          <w:color w:val="231F20"/>
          <w:sz w:val="20"/>
        </w:rPr>
        <w:t xml:space="preserve">of your Common Stock after price appreciation in order to generate cash flow from your investment, which </w:t>
      </w:r>
      <w:r>
        <w:rPr>
          <w:rFonts w:ascii="Times New Roman;Times;serif" w:hAnsi="Times New Roman;Times;serif"/>
          <w:color w:val="231F20"/>
          <w:spacing w:val="-3"/>
          <w:sz w:val="20"/>
        </w:rPr>
        <w:t xml:space="preserve">you may </w:t>
      </w:r>
      <w:r>
        <w:rPr>
          <w:rFonts w:ascii="Times New Roman;Times;serif" w:hAnsi="Times New Roman;Times;serif"/>
          <w:color w:val="231F20"/>
          <w:sz w:val="20"/>
        </w:rPr>
        <w:t xml:space="preserve">not be </w:t>
      </w:r>
      <w:r>
        <w:rPr>
          <w:rFonts w:ascii="Times New Roman;Times;serif" w:hAnsi="Times New Roman;Times;serif"/>
          <w:color w:val="231F20"/>
          <w:spacing w:val="-3"/>
          <w:sz w:val="20"/>
        </w:rPr>
        <w:t xml:space="preserve">able </w:t>
      </w:r>
      <w:r>
        <w:rPr>
          <w:rFonts w:ascii="Times New Roman;Times;serif" w:hAnsi="Times New Roman;Times;serif"/>
          <w:color w:val="231F20"/>
          <w:sz w:val="20"/>
        </w:rPr>
        <w:t xml:space="preserve">to </w:t>
      </w:r>
      <w:r>
        <w:rPr>
          <w:rFonts w:ascii="Times New Roman;Times;serif" w:hAnsi="Times New Roman;Times;serif"/>
          <w:color w:val="231F20"/>
          <w:spacing w:val="-4"/>
          <w:sz w:val="20"/>
        </w:rPr>
        <w:t xml:space="preserve">do. </w:t>
      </w:r>
      <w:r>
        <w:rPr>
          <w:rFonts w:ascii="Times New Roman;Times;serif" w:hAnsi="Times New Roman;Times;serif"/>
          <w:color w:val="231F20"/>
          <w:sz w:val="20"/>
        </w:rPr>
        <w:t xml:space="preserve">Our inability or decision not to </w:t>
      </w:r>
      <w:r>
        <w:rPr>
          <w:rFonts w:ascii="Times New Roman;Times;serif" w:hAnsi="Times New Roman;Times;serif"/>
          <w:color w:val="231F20"/>
          <w:spacing w:val="-3"/>
          <w:sz w:val="20"/>
        </w:rPr>
        <w:t xml:space="preserve">pay </w:t>
      </w:r>
      <w:r>
        <w:rPr>
          <w:rFonts w:ascii="Times New Roman;Times;serif" w:hAnsi="Times New Roman;Times;serif"/>
          <w:color w:val="231F20"/>
          <w:sz w:val="20"/>
        </w:rPr>
        <w:t xml:space="preserve">dividends, particularly when others in our industry </w:t>
      </w:r>
      <w:r>
        <w:rPr>
          <w:rFonts w:ascii="Times New Roman;Times;serif" w:hAnsi="Times New Roman;Times;serif"/>
          <w:color w:val="231F20"/>
          <w:spacing w:val="-5"/>
          <w:sz w:val="20"/>
        </w:rPr>
        <w:t xml:space="preserve">have </w:t>
      </w:r>
      <w:r>
        <w:rPr>
          <w:rFonts w:ascii="Times New Roman;Times;serif" w:hAnsi="Times New Roman;Times;serif"/>
          <w:color w:val="231F20"/>
          <w:sz w:val="20"/>
        </w:rPr>
        <w:t xml:space="preserve">elected to do </w:t>
      </w:r>
      <w:r>
        <w:rPr>
          <w:rFonts w:ascii="Times New Roman;Times;serif" w:hAnsi="Times New Roman;Times;serif"/>
          <w:color w:val="231F20"/>
          <w:spacing w:val="-3"/>
          <w:sz w:val="20"/>
        </w:rPr>
        <w:t xml:space="preserve">so, </w:t>
      </w:r>
      <w:r>
        <w:rPr>
          <w:rFonts w:ascii="Times New Roman;Times;serif" w:hAnsi="Times New Roman;Times;serif"/>
          <w:color w:val="231F20"/>
          <w:sz w:val="20"/>
        </w:rPr>
        <w:t xml:space="preserve">could </w:t>
      </w:r>
      <w:r>
        <w:rPr>
          <w:rFonts w:ascii="Times New Roman;Times;serif" w:hAnsi="Times New Roman;Times;serif"/>
          <w:color w:val="231F20"/>
          <w:spacing w:val="-3"/>
          <w:sz w:val="20"/>
        </w:rPr>
        <w:t xml:space="preserve">also </w:t>
      </w:r>
      <w:r>
        <w:rPr>
          <w:rFonts w:ascii="Times New Roman;Times;serif" w:hAnsi="Times New Roman;Times;serif"/>
          <w:color w:val="231F20"/>
          <w:sz w:val="20"/>
        </w:rPr>
        <w:t>adversely affect the market price of our Common</w:t>
      </w:r>
      <w:r>
        <w:rPr>
          <w:rFonts w:ascii="Times New Roman;Times;serif" w:hAnsi="Times New Roman;Times;serif"/>
          <w:color w:val="231F20"/>
          <w:spacing w:val="9"/>
          <w:sz w:val="20"/>
        </w:rPr>
        <w:t xml:space="preserve"> </w:t>
      </w:r>
      <w:r>
        <w:rPr>
          <w:rFonts w:ascii="Times New Roman;Times;serif" w:hAnsi="Times New Roman;Times;serif"/>
          <w:color w:val="231F20"/>
          <w:sz w:val="20"/>
        </w:rPr>
        <w:t>Stock.</w:t>
      </w:r>
    </w:p>
    <w:p>
      <w:pPr>
        <w:pStyle w:val="TextBody"/>
        <w:spacing w:lineRule="auto" w:line="300" w:before="0" w:after="0"/>
        <w:ind w:left="0" w:right="0" w:hanging="0"/>
        <w:rPr/>
      </w:pPr>
      <w:r>
        <w:rPr/>
        <w:t>​</w:t>
      </w:r>
    </w:p>
    <w:p>
      <w:pPr>
        <w:pStyle w:val="TextBody"/>
        <w:spacing w:before="0" w:after="0"/>
        <w:ind w:left="0" w:right="0" w:hanging="0"/>
        <w:rPr>
          <w:color w:val="231F20"/>
          <w:spacing w:val="-3"/>
        </w:rPr>
      </w:pPr>
      <w:r>
        <w:rPr>
          <w:color w:val="231F20"/>
          <w:spacing w:val="-3"/>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9" w:name="Item1B_UnresolvedStaffComments"/>
      <w:bookmarkStart w:id="40" w:name="_93ea8347_61a8_44da_8f91_565539c3fa93"/>
      <w:bookmarkEnd w:id="39"/>
      <w:bookmarkEnd w:id="40"/>
      <w:r>
        <w:rPr>
          <w:rFonts w:ascii="Times New Roman;Times;serif" w:hAnsi="Times New Roman;Times;serif"/>
          <w:b/>
          <w:sz w:val="20"/>
        </w:rPr>
        <w:t>Item 1B. Unresolved Staff Comments</w:t>
      </w:r>
    </w:p>
    <w:p>
      <w:pPr>
        <w:pStyle w:val="TextBody"/>
        <w:spacing w:lineRule="auto" w:line="292" w:before="169" w:after="0"/>
        <w:ind w:left="0" w:right="0" w:firstLine="399"/>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41" w:name="Item2_Properties"/>
      <w:bookmarkStart w:id="42" w:name="_7cce47c2_f175_403d_995e_6d4326a1deb2"/>
      <w:bookmarkEnd w:id="41"/>
      <w:bookmarkEnd w:id="42"/>
      <w:r>
        <w:rPr>
          <w:rFonts w:ascii="Times New Roman;Times;serif" w:hAnsi="Times New Roman;Times;serif"/>
          <w:b/>
          <w:sz w:val="20"/>
        </w:rPr>
        <w:t>Item 2. Properties</w:t>
      </w:r>
    </w:p>
    <w:p>
      <w:pPr>
        <w:pStyle w:val="TextBody"/>
        <w:spacing w:lineRule="auto" w:line="292" w:before="169" w:after="0"/>
        <w:ind w:left="0" w:right="0" w:firstLine="399"/>
        <w:rPr>
          <w:rFonts w:ascii="Times New Roman;Times;serif" w:hAnsi="Times New Roman;Times;serif"/>
          <w:sz w:val="20"/>
        </w:rPr>
      </w:pPr>
      <w:r>
        <w:rPr>
          <w:rFonts w:ascii="Times New Roman;Times;serif" w:hAnsi="Times New Roman;Times;serif"/>
          <w:sz w:val="20"/>
        </w:rPr>
        <w:t>Our principal executive office is located at 1201 Orange Street, Suite 600 Wilmington, DE 19801.</w:t>
      </w:r>
    </w:p>
    <w:p>
      <w:pPr>
        <w:pStyle w:val="TextBody"/>
        <w:spacing w:before="0" w:after="0"/>
        <w:ind w:left="0" w:right="0" w:hanging="0"/>
        <w:rPr/>
      </w:pPr>
      <w:r>
        <w:rPr/>
        <w:t>​</w:t>
      </w:r>
    </w:p>
    <w:p>
      <w:pPr>
        <w:pStyle w:val="TextBody"/>
        <w:spacing w:before="0" w:after="160"/>
        <w:ind w:left="0" w:right="0" w:hanging="0"/>
        <w:rPr>
          <w:rFonts w:ascii="Times New Roman;Times;serif" w:hAnsi="Times New Roman;Times;serif"/>
          <w:b/>
          <w:sz w:val="20"/>
        </w:rPr>
      </w:pPr>
      <w:bookmarkStart w:id="43" w:name="Item3LegalProceedings_886745"/>
      <w:bookmarkStart w:id="44" w:name="_614cf39d_2a35_45e2_9123_82bdd0e255c5"/>
      <w:bookmarkEnd w:id="43"/>
      <w:bookmarkEnd w:id="44"/>
      <w:r>
        <w:rPr>
          <w:rFonts w:ascii="Times New Roman;Times;serif" w:hAnsi="Times New Roman;Times;serif"/>
          <w:b/>
          <w:sz w:val="20"/>
        </w:rPr>
        <w:t>Item 3. Legal Proceedings.</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sz w:val="20"/>
        </w:rPr>
        <w:t>On August 12, 2022, the Company received a demand for arbitration (the “Demand”) from GEM Yield Bahamas Limited and GEM Global Yield LLC SCS (collectively, “GEM”).  The Demand claims that the Company’s subsidiary, NeuroRx, Inc. (“NeuroRx"), failed to satisfy its obligation to pay GEM a commitment fee in the amount of HK$ 15,000,000 (approximately US$1,914,087 at current exchange rates) pursuant to a Share Subscription Facility Agreement, executed on October 18, 2019, by and among NeuroRx and GEM (the “Agreement”).  NeuroRx expects to vigorously defend its position that payment of the commitment fee is neither due nor owing under the terms of the Agreement. </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sz w:val="20"/>
        </w:rPr>
        <w:t>On November 12, 2022, NRx Pharmaceuticals, Inc. (“NRx” or the “Company”) entered into a Settlement Agreement and Asset Purchase Agreement (“APA”) with Relief Therapeutics Holding AG and Relief Therapeutics International (the “Relief Parties”) to settle the outstanding lawsuit with respect to the Binding Collaboration Agreement dated September 18, 2020 between the Company and the Relief Parties (the “Collaboration Agreement”).  The closing under the APA occurred on December 17, 2022 and the parties dismissed their respective claims against each other.  </w:t>
      </w:r>
    </w:p>
    <w:p>
      <w:pPr>
        <w:pStyle w:val="TextBody"/>
        <w:spacing w:lineRule="auto" w:line="290" w:before="169" w:after="240"/>
        <w:ind w:left="0" w:right="0" w:firstLine="399"/>
        <w:jc w:val="both"/>
        <w:rPr>
          <w:rFonts w:ascii="Times New Roman;Times;serif" w:hAnsi="Times New Roman;Times;serif"/>
          <w:sz w:val="20"/>
        </w:rPr>
      </w:pPr>
      <w:r>
        <w:rPr>
          <w:rFonts w:ascii="Times New Roman;Times;serif" w:hAnsi="Times New Roman;Times;serif"/>
          <w:sz w:val="20"/>
        </w:rPr>
        <w:t>On March 27, 2023, the Company received a copy of a Charge of Discrimination (“Charge”) reportedly filed with the Equal Employment Opportunities Commission and the Texas Workforce Commission Civil Rights Division by Carrier Carretta, the Company’s former Vice President of Clinical Development and Medical Affairs.  The Charge includes claims for unlawful discrimination and harassment because of sex, unlawfully retaliated for opposing unlawful discrimination and breach of her employment contract.</w:t>
      </w:r>
    </w:p>
    <w:p>
      <w:pPr>
        <w:pStyle w:val="TextBody"/>
        <w:spacing w:lineRule="auto" w:line="292" w:before="169" w:after="240"/>
        <w:ind w:left="0" w:right="0" w:firstLine="399"/>
        <w:jc w:val="both"/>
        <w:rPr>
          <w:rFonts w:ascii="Times New Roman;Times;serif" w:hAnsi="Times New Roman;Times;serif"/>
          <w:sz w:val="20"/>
        </w:rPr>
      </w:pPr>
      <w:r>
        <w:rPr>
          <w:rFonts w:ascii="Times New Roman;Times;serif" w:hAnsi="Times New Roman;Times;serif"/>
          <w:sz w:val="20"/>
        </w:rPr>
        <w:t xml:space="preserve">The Company intends to work towards a resolution through Ms. Carretta’s attorney, but if a settlement cannot be reached, the Company intends to vigorously defend itself against the claims made by Ms. Carretta.  At this time, it is too early to determine the probability of an adverse outcome with respect to such claims or make any reasonable estimate of the quantum of any adverse outcome. </w:t>
      </w:r>
    </w:p>
    <w:p>
      <w:pPr>
        <w:pStyle w:val="TextBody"/>
        <w:spacing w:lineRule="auto" w:line="292" w:before="169" w:after="240"/>
        <w:ind w:left="0" w:right="0" w:firstLine="399"/>
        <w:jc w:val="both"/>
        <w:rPr>
          <w:rFonts w:ascii="Times New Roman;Times;serif" w:hAnsi="Times New Roman;Times;serif"/>
          <w:sz w:val="20"/>
        </w:rPr>
      </w:pPr>
      <w:r>
        <w:rPr>
          <w:rFonts w:ascii="Times New Roman;Times;serif" w:hAnsi="Times New Roman;Times;serif"/>
          <w:sz w:val="20"/>
        </w:rPr>
        <w:t>In addition to the matters described above, we may become involved in various legal actions incidental to our business. As of the date of this annual report,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pStyle w:val="TextBody"/>
        <w:spacing w:lineRule="auto" w:line="290" w:before="169" w:after="240"/>
        <w:ind w:left="0" w:right="0" w:firstLine="399"/>
        <w:jc w:val="both"/>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45" w:name="Item4_MineSafetyDisclosures"/>
      <w:bookmarkStart w:id="46" w:name="_43912292_ba06_4247_9feb_971f29ae6aa2"/>
      <w:bookmarkEnd w:id="45"/>
      <w:bookmarkEnd w:id="46"/>
      <w:r>
        <w:rPr>
          <w:rFonts w:ascii="Times New Roman;Times;serif" w:hAnsi="Times New Roman;Times;serif"/>
          <w:b/>
          <w:sz w:val="20"/>
        </w:rPr>
        <w:t>Item 4. Mine Safety Disclosures</w:t>
      </w:r>
    </w:p>
    <w:p>
      <w:pPr>
        <w:pStyle w:val="TextBody"/>
        <w:spacing w:lineRule="auto" w:line="292" w:before="169" w:after="0"/>
        <w:ind w:left="0" w:right="0" w:firstLine="399"/>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color w:val="231F20"/>
        </w:rPr>
      </w:pPr>
      <w:r>
        <w:rPr>
          <w:color w:val="231F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7" w:name="PARTII"/>
      <w:bookmarkStart w:id="48" w:name="_2fc28134_a60b_4633_90a4_70b13ed10866"/>
      <w:bookmarkEnd w:id="47"/>
      <w:bookmarkEnd w:id="48"/>
      <w:r>
        <w:rPr>
          <w:rFonts w:ascii="Times New Roman;Times;serif" w:hAnsi="Times New Roman;Times;serif"/>
          <w:b/>
          <w:sz w:val="20"/>
        </w:rPr>
        <w:t>PART II</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b/>
          <w:sz w:val="20"/>
        </w:rPr>
      </w:pPr>
      <w:bookmarkStart w:id="49" w:name="Item5MarketforRegistrantsCommonEquityRel"/>
      <w:bookmarkStart w:id="50" w:name="_a9835b82_45c8_4545_b40f_f72af125def9"/>
      <w:bookmarkEnd w:id="49"/>
      <w:bookmarkEnd w:id="50"/>
      <w:r>
        <w:rPr>
          <w:rFonts w:ascii="Times New Roman;Times;serif" w:hAnsi="Times New Roman;Times;serif"/>
          <w:b/>
          <w:sz w:val="20"/>
        </w:rPr>
        <w:t>Item 5. Market for Registrant’s Common Equity, Related Stockholder Matters and Issuer Purchases of Equity Securities</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Principal Market or Markets</w:t>
      </w:r>
    </w:p>
    <w:p>
      <w:pPr>
        <w:pStyle w:val="TextBody"/>
        <w:pBdr/>
        <w:spacing w:lineRule="auto" w:line="292" w:before="169" w:after="0"/>
        <w:ind w:left="0" w:right="0" w:firstLine="399"/>
        <w:jc w:val="both"/>
        <w:rPr>
          <w:rFonts w:ascii="Times New Roman;Times;serif" w:hAnsi="Times New Roman;Times;serif"/>
          <w:sz w:val="20"/>
        </w:rPr>
      </w:pPr>
      <w:r>
        <w:rPr>
          <w:rFonts w:ascii="Times New Roman;Times;serif" w:hAnsi="Times New Roman;Times;serif"/>
          <w:sz w:val="20"/>
        </w:rPr>
        <w:t xml:space="preserve">Our shares of common stock are currently quoted on the Nasdaq Capital Market under the symbol “NRXP.” Our common stock commenced trading on the Nasdaq Capital Market on May 25, 2021. Prior to such date, our shares of common stock were traded on the Nasdaq Capital Market under the symbol “BRPA.” </w:t>
      </w:r>
    </w:p>
    <w:p>
      <w:pPr>
        <w:pStyle w:val="TextBody"/>
        <w:shd w:fill="FFFFFF" w:val="clear"/>
        <w:spacing w:before="0" w:after="240"/>
        <w:ind w:left="0" w:right="0" w:hanging="0"/>
        <w:jc w:val="both"/>
        <w:rPr>
          <w:rFonts w:ascii="Times New Roman;Times;serif" w:hAnsi="Times New Roman;Times;serif"/>
          <w:b/>
          <w:sz w:val="20"/>
        </w:rPr>
      </w:pPr>
      <w:r>
        <w:rPr>
          <w:rFonts w:ascii="Times New Roman;Times;serif" w:hAnsi="Times New Roman;Times;serif"/>
          <w:b/>
          <w:sz w:val="20"/>
        </w:rPr>
        <w:t>Approximate Number of Holders of Common Stock</w:t>
      </w:r>
    </w:p>
    <w:p>
      <w:pPr>
        <w:pStyle w:val="TextBody"/>
        <w:pBdr/>
        <w:spacing w:lineRule="auto" w:line="292" w:before="169" w:after="0"/>
        <w:ind w:left="0" w:right="0" w:firstLine="399"/>
        <w:jc w:val="both"/>
        <w:rPr>
          <w:rFonts w:ascii="Times New Roman;Times;serif" w:hAnsi="Times New Roman;Times;serif"/>
          <w:sz w:val="20"/>
        </w:rPr>
      </w:pPr>
      <w:r>
        <w:rPr>
          <w:rFonts w:ascii="Times New Roman;Times;serif" w:hAnsi="Times New Roman;Times;serif"/>
          <w:sz w:val="20"/>
        </w:rPr>
        <w:t>As of December 31, 2022 there were approximately 54 record holders of the Company’s common stock. The actual number of stockholders is greater than the number of record holders because stockholders who are beneficial owners but whose shares are held in street name by brokers or other nominees are not counted as separate record holders.</w:t>
      </w:r>
    </w:p>
    <w:p>
      <w:pPr>
        <w:pStyle w:val="TextBody"/>
        <w:shd w:fill="FFFFFF" w:val="clear"/>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Dividends</w:t>
      </w:r>
    </w:p>
    <w:p>
      <w:pPr>
        <w:pStyle w:val="TextBody"/>
        <w:pBdr/>
        <w:spacing w:lineRule="auto" w:line="292" w:before="169" w:after="0"/>
        <w:ind w:left="0" w:right="0" w:firstLine="399"/>
        <w:jc w:val="both"/>
        <w:rPr>
          <w:rFonts w:ascii="Times New Roman;Times;serif" w:hAnsi="Times New Roman;Times;serif"/>
          <w:sz w:val="20"/>
        </w:rPr>
      </w:pPr>
      <w:r>
        <w:rPr>
          <w:rFonts w:ascii="Times New Roman;Times;serif" w:hAnsi="Times New Roman;Times;serif"/>
          <w:sz w:val="20"/>
        </w:rPr>
        <w:t>Holders of our common stock are entitled to receive such dividends as may be declared by our Board. No dividends have been declared or paid with respect to our common stock and no dividends are anticipated to be paid in the foreseeable future. Any future decisions as to the payment of dividends will be at the discretion of our Board, subject to applicable law.</w:t>
      </w:r>
    </w:p>
    <w:p>
      <w:pPr>
        <w:pStyle w:val="TextBody"/>
        <w:shd w:fill="FFFFFF" w:val="clear"/>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Sales by the Company of Unregistered Securities</w:t>
      </w:r>
    </w:p>
    <w:p>
      <w:pPr>
        <w:pStyle w:val="TextBody"/>
        <w:pBdr/>
        <w:spacing w:lineRule="auto" w:line="292" w:before="169" w:after="0"/>
        <w:ind w:left="0" w:right="0" w:firstLine="399"/>
        <w:jc w:val="both"/>
        <w:rPr>
          <w:rFonts w:ascii="Times New Roman;Times;serif" w:hAnsi="Times New Roman;Times;serif"/>
          <w:sz w:val="20"/>
        </w:rPr>
      </w:pPr>
      <w:r>
        <w:rPr>
          <w:rFonts w:ascii="Times New Roman;Times;serif" w:hAnsi="Times New Roman;Times;serif"/>
          <w:sz w:val="20"/>
        </w:rPr>
        <w:t>On March 8, 2023, NRx Pharmaceuticals entered into a securities purchase agreement (the “Securities Purchase Agreement”) with accredited investors (the “Investors”), providing for the issuance and sale of 3,866,666 shares of the Company’s common stock (“Common Stock”) and warrants to purchase up to 3,866,666 shares of Common Stock (the “Investor Warrants”) in a registered direct offering priced at-the-market under Nasdaq rules for a purchase price of $0.75 per share (the “Offering”). The Investors have agreed not to transfer the Common Stock for six months following the date hereof. The Investor Warrants will have an exercise price of $0.75 per share, will be initially exercisable beginning six months following the date of issuance (the “Initial Exercise Date”) and will expire 5 years from the Initial Exercise Date.  The aggregate gross proceeds to the Company from the Offering are expected to be approximately $2.9 million. The closing of the sale of these securities occurred on March 9, 2023.</w:t>
      </w:r>
    </w:p>
    <w:p>
      <w:pPr>
        <w:pStyle w:val="TextBody"/>
        <w:shd w:fill="FFFFFF" w:val="clear"/>
        <w:spacing w:before="0" w:after="240"/>
        <w:ind w:left="0" w:right="0" w:hanging="0"/>
        <w:rPr>
          <w:rFonts w:ascii="Times New Roman;Times;serif" w:hAnsi="Times New Roman;Times;serif"/>
          <w:b/>
          <w:sz w:val="20"/>
        </w:rPr>
      </w:pPr>
      <w:r>
        <w:rPr>
          <w:rFonts w:ascii="Times New Roman;Times;serif" w:hAnsi="Times New Roman;Times;serif"/>
          <w:b/>
          <w:sz w:val="20"/>
        </w:rPr>
        <w:t>Repurchases of Securities</w:t>
      </w:r>
    </w:p>
    <w:p>
      <w:pPr>
        <w:pStyle w:val="TextBody"/>
        <w:pBdr/>
        <w:spacing w:lineRule="auto" w:line="292" w:before="169" w:after="0"/>
        <w:ind w:left="0" w:right="0" w:firstLine="399"/>
        <w:rPr>
          <w:rFonts w:ascii="Times New Roman;Times;serif" w:hAnsi="Times New Roman;Times;serif"/>
          <w:sz w:val="20"/>
        </w:rPr>
      </w:pPr>
      <w:r>
        <w:rPr>
          <w:rFonts w:ascii="Times New Roman;Times;serif" w:hAnsi="Times New Roman;Times;serif"/>
          <w:sz w:val="20"/>
        </w:rPr>
        <w:t>None.</w:t>
      </w:r>
    </w:p>
    <w:p>
      <w:pPr>
        <w:pStyle w:val="TextBody"/>
        <w:shd w:fill="FFFFFF" w:val="clear"/>
        <w:spacing w:before="0" w:after="240"/>
        <w:ind w:left="0" w:right="0" w:hanging="0"/>
        <w:rPr>
          <w:rFonts w:ascii="Times New Roman;Times;serif" w:hAnsi="Times New Roman;Times;serif"/>
          <w:b/>
          <w:sz w:val="20"/>
        </w:rPr>
      </w:pPr>
      <w:r>
        <w:rPr>
          <w:rFonts w:ascii="Times New Roman;Times;serif" w:hAnsi="Times New Roman;Times;serif"/>
          <w:b/>
          <w:sz w:val="20"/>
        </w:rPr>
        <w:t>Use of Proceeds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intends to use the net proceeds from the March 9, 2023 offering detailed above for working capital and general corporate purposes.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51" w:name="Item6Reserved_585354"/>
      <w:bookmarkStart w:id="52" w:name="_6a99ffa3_ac78_4746_a5f6_0acff0abd8a2"/>
      <w:bookmarkEnd w:id="51"/>
      <w:bookmarkEnd w:id="52"/>
      <w:r>
        <w:rPr>
          <w:rFonts w:ascii="Times New Roman;Times;serif" w:hAnsi="Times New Roman;Times;serif"/>
          <w:b/>
          <w:sz w:val="20"/>
        </w:rPr>
        <w:t>Item 6. [Reserved]</w:t>
      </w:r>
    </w:p>
    <w:p>
      <w:pPr>
        <w:pStyle w:val="TextBody"/>
        <w:spacing w:before="0" w:after="16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53" w:name="Item7ManagementsDiscussionandAnalysisofF"/>
      <w:bookmarkStart w:id="54" w:name="_b1afe11a_0842_49a4_b79a_9432357c4fd1"/>
      <w:bookmarkEnd w:id="53"/>
      <w:bookmarkEnd w:id="54"/>
      <w:r>
        <w:rPr>
          <w:rFonts w:ascii="Times New Roman;Times;serif" w:hAnsi="Times New Roman;Times;serif"/>
          <w:b/>
          <w:sz w:val="20"/>
        </w:rPr>
        <w:t>Item 7. Management’s Discussion and Analysis of Financial Condition and Results of Operations</w:t>
      </w:r>
    </w:p>
    <w:p>
      <w:pPr>
        <w:pStyle w:val="TextBody"/>
        <w:spacing w:before="0" w:after="16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NRx Pharmaceuticals’ financial condition and plan of operations together with NRx Pharmaceuticals'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Overview</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 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NRx Pharmaceuticals is a clinical stage pharmaceutical company that is developing, through its wholly owned operating subsidiary, NeuroRx, NRX-100 and NRX-101, the first oral therapeutic for the treatment of Bipolar Depression in patients with Acute Suicidal Ideation and Behavior (ASIB) and Sub-Acute Suicidal Ideation and Behavior (“SSIB”). NRX-100 and NRX-101 were developed based upon 30 years of basic science and clinical expertise contributed by Dr. Daniel Javitt, MD, PhD, related to the role of the brain’s N-methyl-D-aspartate (“NMDA”) receptor in regulating human thought processes in general and in regulating depression and suicidality. The NRX-100 and NRX-101 investigational therapy begins with a single dose of ketamine (NRX-100), a Food &amp; Drug Administration (“FDA”) approved anesthetic, followed by approximately six weeks of daily oral NRX-101. NRX-101 is being developed as a rapid-onset and sustained treatment for bipolar depression with ASIB and SSIB. NRX-101 combines d-Cycloserine, a NMDA receptor modulator, and lurasidone, a 5-HT2a receptor antagonist.</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in combination with antidepressants.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data from the STABIL-B study (NCT02974010) that demonstrated a statistically significant advantage of NRX-101 vs. lurasidone (the active ingredient used in the market leading branded bipolar depression agent) in maintaining remission from depression and suicidality following a single stabilizing dose of ketamine.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March 2022, NRx Pharmaceuticals announced a primary focus on its psychiatry franchise and the late-stage development of NRX-101 for the treatment of bipolar depression in patients with suicidality. NRX-101 is a fixed dose combination of D-cycloserine, an NMDA antagonist, and lurasidone, a 5-HT</w:t>
      </w:r>
      <w:r>
        <w:rPr>
          <w:rFonts w:ascii="Times New Roman;Times;serif" w:hAnsi="Times New Roman;Times;serif"/>
          <w:sz w:val="15"/>
        </w:rPr>
        <w:t>2A</w:t>
      </w:r>
      <w:r>
        <w:rPr>
          <w:rFonts w:ascii="Times New Roman;Times;serif" w:hAnsi="Times New Roman;Times;serif"/>
          <w:sz w:val="20"/>
        </w:rPr>
        <w:t xml:space="preserve"> atypical antipsychotic and antidepressant, for the maintenance of remission from severe bipolar depression following initial stabilization with ketamine. The previously undiscovered synergy between these two drug classes in the treatment of CNS disorders, combined with the efficacy of D-cycloserine in the treatment of depression and PTSD, is the subject of 47 issued patents and more than 43 pending patents owned by or licensed to NRx Pharmaceuticals.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NRX-101 in Severe Bipolar Depression in Patients with Acute Suicidal Ideation and Behavior (ASIB) After Initial Stabilization with ketamine</w:t>
      </w:r>
    </w:p>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NRX-101 received an investigational new drug (IND) clearance by the U.S. Food and Drug Administration (FDA) and a Phase 2b/3 clinical trial commenced for bipolar depression with ASIB. Later that year, the FDA granted NRX-101 a Fast Track designation for the same indication.</w:t>
            </w:r>
          </w:p>
        </w:tc>
      </w:tr>
    </w:tbl>
    <w:p>
      <w:pPr>
        <w:pStyle w:val="TextBody"/>
        <w:spacing w:lineRule="auto" w:line="302" w:before="0" w:after="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FDA provided a Letter of Support to the Company encouraging the development of Glutamine+Glutamate (Glx) as a pharmacodynamic biomarker for depression. The letter referenced published and unpublished data demonstrating a significant association between clinical symptoms of depression and levels of brain Glx.</w:t>
            </w:r>
          </w:p>
        </w:tc>
      </w:tr>
    </w:tbl>
    <w:p>
      <w:pPr>
        <w:pStyle w:val="TextBody"/>
        <w:spacing w:lineRule="auto" w:line="302" w:before="0" w:after="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STABIL-B Phase 2 trial, the Phase 2 portion of the Phase 2b/3 trial, patients with bipolar depression and ASIB received either NRX-101 or lurasidone after an intravenous infusion of NRX-100 (ketamine). The proof-of-concept data presented at the American Congress of Neuropsychopharmacology in 2018 demonstrated with statistical significance that NRX-101 treated patients experienced lower depression scores and did not relapse.</w:t>
            </w:r>
          </w:p>
        </w:tc>
      </w:tr>
    </w:tbl>
    <w:p>
      <w:pPr>
        <w:pStyle w:val="TextBody"/>
        <w:spacing w:lineRule="auto" w:line="302" w:before="0" w:after="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STABIL-B findings, the FDA granted NRX-101 Breakthrough Therapy Designation and a Special Protocol Agreement (“SPA”) for bipolar depression in patients with ASIB, which affects ~150K-180K patients per year in the U.S. The Breakthrough Therapy Designation allows for an expedited rolling submission of a new drug application (“NDA”) for investigational drugs that have demonstrated substantial improvement over existing approved therapies, and the SPA allows for a single registrational trial of NRX-101 in severe bipolar depression in patients with ASIB after stabilization with ketamine, using a protocol similar to the STABIL-B trial with a patient population of less than 100.</w:t>
            </w:r>
          </w:p>
        </w:tc>
      </w:tr>
    </w:tbl>
    <w:p>
      <w:pPr>
        <w:pStyle w:val="TextBody"/>
        <w:spacing w:lineRule="auto" w:line="302" w:before="0" w:after="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NRx Pharmaceuticals announced that it has transferred Phase 3 commercial drug manufacturing processes to the U.S. and released Phase 3 drug manufactured via the expected commercial-stage processes. NRx Pharmaceuticals has submitted its manufacturing file to the FDA. This investigational drug manufactured according to these new processes will be used in the upcoming Phase 3 trial.</w:t>
            </w:r>
          </w:p>
        </w:tc>
      </w:tr>
    </w:tbl>
    <w:p>
      <w:pPr>
        <w:pStyle w:val="TextBody"/>
        <w:spacing w:before="0" w:after="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initiating a new registrational study of NRX-101 for the treatment of severe bipolar depression with ASIB, a potentially lethal condition that currently takes the lives of thousands of Americans each year, after initial stabilization with NRX-100 (described below). We intend to use newly manufactured material that was manufactured using the expected commercial process. On January 3, 2023, the Company announced that its first clinical trial sites had been contracted for this study, but patient recruiting has not begun.</w:t>
            </w:r>
          </w:p>
        </w:tc>
      </w:tr>
    </w:tbl>
    <w:p>
      <w:pPr>
        <w:pStyle w:val="TextBody"/>
        <w:spacing w:lineRule="auto" w:line="302" w:before="0" w:after="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Company announced its receipt of the written minutes of a Type B meeting held with the FDA on January 11, 2023, to outline the clinical &amp; preclinical requirements for registration of NRX-101.  Overall, the FDA suggested expanding the safety data base of NRX-101 to allow for chronic/intermittent use of NRX-101, as well as a broadening of the addressable population of the indication (under the SPA or otherwise) to patients with severe bipolar depression and recent acute suicidality regardless of how the initial stabilization was accomplished could represent a more straightforward development program. This broader indication would enable the Company to potentially demonstrate the use of NRX-101 to maintain stabilization from suicidality in patients stabilized either with ketamine (NRX-100) or with other standard of care therapeutic approaches.  FDA encouraged the Company to request a Breakthrough Therapy Planning Meeting for NRX-101, which we intent to do in the next few months.</w:t>
            </w:r>
          </w:p>
        </w:tc>
      </w:tr>
    </w:tbl>
    <w:p>
      <w:pPr>
        <w:pStyle w:val="TextBody"/>
        <w:spacing w:lineRule="auto" w:line="302" w:before="0" w:after="0"/>
        <w:ind w:left="72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NRX-101 Indication – Bipolar Depression in Patients with Sub-acute Suicidal Ideation and Behavior (SSIB)</w:t>
      </w:r>
    </w:p>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Phase 2 double-blind study completed in 2018 demonstrated the ability of NRX-101 to improve depression and suicidality over 6 weeks when taken twice daily over lurasidone alone after an initial stabilization with ketamine.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study involving patients with bipolar depression and sub-acute suicidality (not requiring hospitalization) does not include the use of ketamine; all patients are being treated in an outpatient setting.</w:t>
            </w:r>
          </w:p>
        </w:tc>
      </w:tr>
    </w:tbl>
    <w:p>
      <w:pPr>
        <w:pStyle w:val="TextBody"/>
        <w:spacing w:before="0" w:after="0"/>
        <w:ind w:left="72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Consolidated NRX-101 Program in </w:t>
      </w:r>
      <w:r>
        <w:rPr>
          <w:rFonts w:ascii="Times New Roman;Times;serif" w:hAnsi="Times New Roman;Times;serif"/>
          <w:color w:val="231F20"/>
          <w:sz w:val="20"/>
        </w:rPr>
        <w:t>Suicidal Treatment-Resistant Bipolar Depression</w:t>
      </w:r>
    </w:p>
    <w:p>
      <w:pPr>
        <w:pStyle w:val="TextBody"/>
        <w:spacing w:before="147" w:after="240"/>
        <w:ind w:left="720" w:right="0" w:hanging="0"/>
        <w:jc w:val="both"/>
        <w:rPr>
          <w:rFonts w:ascii="Times New Roman;Times;serif" w:hAnsi="Times New Roman;Times;serif"/>
          <w:color w:val="231F20"/>
          <w:sz w:val="20"/>
        </w:rPr>
      </w:pPr>
      <w:r>
        <w:rPr>
          <w:rFonts w:ascii="Times New Roman;Times;serif" w:hAnsi="Times New Roman;Times;serif"/>
          <w:color w:val="231F20"/>
          <w:sz w:val="20"/>
        </w:rPr>
        <w:t>Based on the comments and guidance from the FDA in its recent Type B meeting regarding the registrational Acute Suicidality trial and a potentially broader indication, as well as the guidance it received from the DSMB regarding the ongoing Phase IIb/3 clinical study of NRX-101 for the treatment of severe bipolar depression in patients with SSIB, the Company is evaluating changes to its registrational program for NRX-101 and will seek to consolidate patients originally expected to enroll in the ASIB study into the currently enrolling Phase IIb/3 trial. This would potentially allow registration of NRX-101 for Suicidal Treatment-Resistant Bipolar Depression, regardless of the mechanism of stabilization.  With the FDA’s guidance to enroll patients for the acute (SPA) study in the outpatient setting only after stabilization, the design of this trial has effectively converged with the currently enrolling phase IIb/3 trial; patients within both groups are deemed to have treatment resistant bipolar depression with suicidality.  This broader indication may also offer significant advantages in commercialization, while negating the need for a separate NDA for ketamine in Suicidal stabilization.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US population of patients with Suicidal Treatment Resistant Bipolar Depression is estimated to be between 700,000 and 1,000,000 people. </w:t>
            </w:r>
          </w:p>
        </w:tc>
      </w:tr>
    </w:tbl>
    <w:tbl>
      <w:tblPr>
        <w:tblW w:w="5856" w:type="dxa"/>
        <w:jc w:val="left"/>
        <w:tblInd w:w="0" w:type="dxa"/>
        <w:tblCellMar>
          <w:top w:w="28" w:type="dxa"/>
          <w:left w:w="28" w:type="dxa"/>
          <w:bottom w:w="28" w:type="dxa"/>
          <w:right w:w="28" w:type="dxa"/>
        </w:tblCellMar>
      </w:tblPr>
      <w:tblGrid>
        <w:gridCol w:w="124"/>
        <w:gridCol w:w="25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expect top-line data from this trial in the first quarter of 2024. </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NRX-101 Indication – Post Traumatic Stress Disorder</w:t>
      </w:r>
    </w:p>
    <w:p>
      <w:pPr>
        <w:pStyle w:val="TextBody"/>
        <w:spacing w:before="0" w:after="0"/>
        <w:ind w:left="0" w:right="0" w:hanging="0"/>
        <w:jc w:val="both"/>
        <w:rPr/>
      </w:pPr>
      <w:r>
        <w:rPr/>
        <w:t>​</w:t>
      </w:r>
    </w:p>
    <w:tbl>
      <w:tblPr>
        <w:tblW w:w="8301" w:type="dxa"/>
        <w:jc w:val="left"/>
        <w:tblInd w:w="0" w:type="dxa"/>
        <w:tblCellMar>
          <w:top w:w="28" w:type="dxa"/>
          <w:left w:w="28" w:type="dxa"/>
          <w:bottom w:w="28" w:type="dxa"/>
          <w:right w:w="28" w:type="dxa"/>
        </w:tblCellMar>
      </w:tblPr>
      <w:tblGrid>
        <w:gridCol w:w="124"/>
        <w:gridCol w:w="256"/>
        <w:gridCol w:w="79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NRx plans to commence a Phase 2 clinical trial of NRX-101 in PTSD in the second half of 2023.</w:t>
            </w:r>
          </w:p>
        </w:tc>
      </w:tr>
    </w:tbl>
    <w:p>
      <w:pPr>
        <w:pStyle w:val="TextBody"/>
        <w:spacing w:before="0" w:after="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Depression in PTSD may be driven by pathways that are similar to those that drive depression in other conditions (NMDA and 5-HT2A). Additionally, approximately 10% of patients with PTSD may experience suicidality, especially those with severe PTSD.</w:t>
            </w:r>
          </w:p>
        </w:tc>
      </w:tr>
    </w:tbl>
    <w:p>
      <w:pPr>
        <w:pStyle w:val="TextBody"/>
        <w:spacing w:before="0" w:after="0"/>
        <w:ind w:left="72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preclinical PTSD study, D-cycloserine, a component of NRX-101, demonstrated the ability to extinguish recurring images of traumatic events, also known as fear memory, in a validated WKY model of PTSD.</w:t>
            </w:r>
          </w:p>
        </w:tc>
      </w:tr>
    </w:tbl>
    <w:p>
      <w:pPr>
        <w:pStyle w:val="TextBody"/>
        <w:spacing w:before="0" w:after="240"/>
        <w:ind w:left="0" w:right="0" w:hanging="0"/>
        <w:jc w:val="both"/>
        <w:rPr>
          <w:color w:val="231F20"/>
        </w:rPr>
      </w:pPr>
      <w:r>
        <w:rPr>
          <w:color w:val="231F20"/>
        </w:rPr>
        <w:t>​</w:t>
      </w:r>
    </w:p>
    <w:p>
      <w:pPr>
        <w:pStyle w:val="TextBody"/>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Since inception, NRx Pharmaceuticals has incurred significant operating losses. For the years ended December 31, 2022 and 2021, NRx Pharmaceuticals’ net loss was $39.8 million and $93.1 million, respectively. As of December 31, 2022, NRx Pharmaceuticals had an accumulated deficit of $223.0 million.</w:t>
      </w:r>
    </w:p>
    <w:p>
      <w:pPr>
        <w:pStyle w:val="TextBody"/>
        <w:spacing w:before="0" w:after="240"/>
        <w:ind w:left="360" w:right="0" w:hanging="0"/>
        <w:jc w:val="both"/>
        <w:rPr>
          <w:color w:val="231F20"/>
        </w:rPr>
      </w:pPr>
      <w:r>
        <w:rPr>
          <w:color w:val="231F20"/>
        </w:rPr>
        <w:t>​</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Components of Results of Operations</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Operating expenses</w:t>
      </w:r>
    </w:p>
    <w:p>
      <w:pPr>
        <w:pStyle w:val="TextBody"/>
        <w:spacing w:before="0" w:after="16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spacing w:before="0" w:after="16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primarily of salaries, stock-based compensation, consultant fees, and professional fees for legal and accounting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jc w:val="both"/>
        <w:rPr>
          <w:rFonts w:ascii="Times New Roman;Times;serif" w:hAnsi="Times New Roman;Times;serif"/>
          <w:i/>
          <w:sz w:val="20"/>
        </w:rPr>
      </w:pPr>
      <w:r>
        <w:rPr>
          <w:rFonts w:ascii="Times New Roman;Times;serif" w:hAnsi="Times New Roman;Times;serif"/>
          <w:i/>
          <w:sz w:val="20"/>
        </w:rPr>
        <w:t>Settlement Expense</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Settlement expense consists primarily of settlement expenses related to the GEM Warrant. See Note 8 “Commitments and Contingencies – Share Subscription Facility Agreement – GEM” of the notes to the Company’s consolidated financial statements included elsewhere in this report for further information.</w:t>
      </w:r>
    </w:p>
    <w:p>
      <w:pPr>
        <w:pStyle w:val="TextBody"/>
        <w:spacing w:before="0" w:after="160"/>
        <w:ind w:left="0" w:right="0" w:hanging="0"/>
        <w:jc w:val="both"/>
        <w:rPr>
          <w:rFonts w:ascii="Times New Roman;Times;serif" w:hAnsi="Times New Roman;Times;serif"/>
          <w:i/>
          <w:sz w:val="20"/>
        </w:rPr>
      </w:pPr>
      <w:r>
        <w:rPr>
          <w:rFonts w:ascii="Times New Roman;Times;serif" w:hAnsi="Times New Roman;Times;serif"/>
          <w:i/>
          <w:sz w:val="20"/>
        </w:rPr>
        <w:t>Reimbursement of expenses from Relief Therapeutics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Reimbursement of expenses from Relief Therapeutics consisted of reimbursable expenses as part of the Collaboration Agreement. See Note 8 “Commitments and Contingencies – Relief Therapeutics Collaboration Agreement” of the notes to the Company’s consolidated financial statements included elsewhere in this report for further information.</w:t>
      </w:r>
    </w:p>
    <w:p>
      <w:pPr>
        <w:pStyle w:val="TextBody"/>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 xml:space="preserve">Results of operations for the years ended December 31, 2022 and 2021 </w:t>
      </w:r>
    </w:p>
    <w:p>
      <w:pPr>
        <w:pStyle w:val="TextBody"/>
        <w:spacing w:before="0" w:after="0"/>
        <w:ind w:left="0" w:right="0" w:hanging="0"/>
        <w:jc w:val="both"/>
        <w:rPr>
          <w:color w:val="231F20"/>
        </w:rPr>
      </w:pPr>
      <w:r>
        <w:rPr>
          <w:color w:val="231F20"/>
        </w:rPr>
        <w:t>​</w:t>
      </w:r>
    </w:p>
    <w:p>
      <w:pPr>
        <w:pStyle w:val="TextBody"/>
        <w:spacing w:lineRule="auto" w:line="292" w:before="169" w:after="24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following table sets forth NRx Pharmaceuticals’ selected statements of operations data for the following periods (in thousands):</w:t>
      </w:r>
    </w:p>
    <w:tbl>
      <w:tblPr>
        <w:tblW w:w="8590" w:type="dxa"/>
        <w:jc w:val="left"/>
        <w:tblInd w:w="0" w:type="dxa"/>
        <w:tblCellMar>
          <w:top w:w="0" w:type="dxa"/>
          <w:left w:w="0" w:type="dxa"/>
          <w:bottom w:w="0" w:type="dxa"/>
          <w:right w:w="0" w:type="dxa"/>
        </w:tblCellMar>
      </w:tblPr>
      <w:tblGrid>
        <w:gridCol w:w="4441"/>
        <w:gridCol w:w="326"/>
        <w:gridCol w:w="211"/>
        <w:gridCol w:w="796"/>
        <w:gridCol w:w="326"/>
        <w:gridCol w:w="211"/>
        <w:gridCol w:w="901"/>
        <w:gridCol w:w="326"/>
        <w:gridCol w:w="211"/>
        <w:gridCol w:w="841"/>
      </w:tblGrid>
      <w:tr>
        <w:trPr/>
        <w:tc>
          <w:tcPr>
            <w:tcW w:w="4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820035" cy="175260"/>
                      <wp:effectExtent l="0" t="0" r="0" b="0"/>
                      <wp:wrapNone/>
                      <wp:docPr id="47" name="Frame36"/>
                      <a:graphic xmlns:a="http://schemas.openxmlformats.org/drawingml/2006/main">
                        <a:graphicData uri="http://schemas.microsoft.com/office/word/2010/wordprocessingShape">
                          <wps:wsp>
                            <wps:cNvSpPr txBox="1"/>
                            <wps:spPr>
                              <a:xfrm>
                                <a:off x="0" y="0"/>
                                <a:ext cx="2820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3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50" name="Frame3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2135" cy="175260"/>
                      <wp:effectExtent l="0" t="0" r="0" b="0"/>
                      <wp:wrapNone/>
                      <wp:docPr id="53" name="Frame4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34035" cy="175260"/>
                      <wp:effectExtent l="0" t="0" r="0" b="0"/>
                      <wp:wrapNone/>
                      <wp:docPr id="56" name="Frame4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c>
          <w:tcPr>
            <w:tcW w:w="326" w:type="dxa"/>
            <w:tcBorders/>
            <w:shd w:fill="auto" w:val="clear"/>
            <w:vAlign w:val="center"/>
          </w:tcPr>
          <w:p>
            <w:pPr>
              <w:pStyle w:val="TableContents"/>
              <w:spacing w:before="0" w:after="0"/>
              <w:ind w:left="0" w:right="0" w:hanging="0"/>
              <w:jc w:val="center"/>
              <w:rPr/>
            </w:pPr>
            <w:r>
              <w:rPr/>
              <w:t>​</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4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w:t>
            </w:r>
          </w:p>
        </w:tc>
      </w:tr>
      <w:tr>
        <w:trPr/>
        <w:tc>
          <w:tcPr>
            <w:tcW w:w="859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4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45" w:type="dxa"/>
            <w:gridSpan w:val="5"/>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  </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17,027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(47,636)</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Settlement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21,366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(21,366)</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Reimbursement of expenses from Relief Therapeutics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44,335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115,796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(71,461)</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(44,335)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(115,796)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71,461</w:t>
            </w:r>
          </w:p>
        </w:tc>
      </w:tr>
      <w:tr>
        <w:trPr/>
        <w:tc>
          <w:tcPr>
            <w:tcW w:w="4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extinguishment of debt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 of convertible note 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16,356</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(income)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(22,733)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18,152</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before tax</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(39,754)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(93,063)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53,309</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(39,754)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(93,063)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53,309</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Operating expenses</w:t>
      </w:r>
    </w:p>
    <w:p>
      <w:pPr>
        <w:pStyle w:val="TextBody"/>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Research and development expenses</w:t>
      </w:r>
    </w:p>
    <w:p>
      <w:pPr>
        <w:pStyle w:val="TextBody"/>
        <w:spacing w:lineRule="auto" w:line="292" w:before="169" w:after="240"/>
        <w:ind w:left="0" w:right="0" w:hanging="0"/>
        <w:jc w:val="both"/>
        <w:rPr>
          <w:rFonts w:ascii="Times New Roman;Times;serif" w:hAnsi="Times New Roman;Times;serif"/>
          <w:sz w:val="20"/>
        </w:rPr>
      </w:pPr>
      <w:r>
        <w:rPr>
          <w:rFonts w:ascii="Times New Roman;Times;serif" w:hAnsi="Times New Roman;Times;serif"/>
          <w:color w:val="231F20"/>
          <w:spacing w:val="-6"/>
          <w:sz w:val="20"/>
        </w:rPr>
        <w:t xml:space="preserve">For the year ended December 31, 2022, NRx Pharmaceuticals recorded $17.0 million of research and development expenses compared to $20.3 million for the year ended December 31, 2021. The decrease of $3.2 million is related primarily to a decrease of $2.5 million in clinical trials and development expenses related to ZYESAMI, $0.7 million </w:t>
      </w:r>
      <w:r>
        <w:rPr>
          <w:rFonts w:ascii="Times New Roman;Times;serif" w:hAnsi="Times New Roman;Times;serif"/>
          <w:color w:val="231F20"/>
          <w:spacing w:val="-6"/>
          <w:sz w:val="20"/>
          <w:highlight w:val="white"/>
        </w:rPr>
        <w:t xml:space="preserve">in stock-based compensation expense, $0.8 </w:t>
      </w:r>
      <w:r>
        <w:rPr>
          <w:rFonts w:ascii="Times New Roman;Times;serif" w:hAnsi="Times New Roman;Times;serif"/>
          <w:color w:val="231F20"/>
          <w:spacing w:val="-6"/>
          <w:sz w:val="20"/>
        </w:rPr>
        <w:t xml:space="preserve">million </w:t>
      </w:r>
      <w:r>
        <w:rPr>
          <w:rFonts w:ascii="Times New Roman;Times;serif" w:hAnsi="Times New Roman;Times;serif"/>
          <w:color w:val="231F20"/>
          <w:spacing w:val="-6"/>
          <w:sz w:val="20"/>
          <w:highlight w:val="white"/>
        </w:rPr>
        <w:t xml:space="preserve">related to fees paid to regulatory and process development consultants, </w:t>
      </w:r>
      <w:r>
        <w:rPr>
          <w:rFonts w:ascii="Times New Roman;Times;serif" w:hAnsi="Times New Roman;Times;serif"/>
          <w:color w:val="231F20"/>
          <w:spacing w:val="-6"/>
          <w:sz w:val="20"/>
        </w:rPr>
        <w:t>partially offset by an increase of $0.5 in other regulatory and process development costs and $0.3 million in shipping, freight, and delivery costs. The $17.0 million and $20.3 million of research and development expenses for the years ended December 31, 2022 and 2021, respectively, include $0.6 million and $1.3 million, respectively, of non-cash stock-based compensation.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General and administrative expenses</w:t>
      </w:r>
    </w:p>
    <w:p>
      <w:pPr>
        <w:pStyle w:val="TextBody"/>
        <w:spacing w:lineRule="auto" w:line="292" w:before="169" w:after="240"/>
        <w:ind w:left="0" w:right="0" w:hanging="0"/>
        <w:jc w:val="both"/>
        <w:rPr>
          <w:rFonts w:ascii="Times New Roman;Times;serif" w:hAnsi="Times New Roman;Times;serif"/>
          <w:sz w:val="20"/>
        </w:rPr>
      </w:pPr>
      <w:r>
        <w:rPr>
          <w:rFonts w:ascii="Times New Roman;Times;serif" w:hAnsi="Times New Roman;Times;serif"/>
          <w:color w:val="231F20"/>
          <w:spacing w:val="-6"/>
          <w:sz w:val="20"/>
        </w:rPr>
        <w:t xml:space="preserve">For the year ended December 31, 2022, NRx Pharmaceuticals recorded $27.3 million of general and administrative expenses compared to $74.9 million for the year ended December 31, 2021. The decrease of $47.6 million was primarily, related to a decrease of $53.3 million in consultant fees, </w:t>
      </w:r>
      <w:r>
        <w:rPr>
          <w:rFonts w:ascii="Times New Roman;Times;serif" w:hAnsi="Times New Roman;Times;serif"/>
          <w:color w:val="231F20"/>
          <w:sz w:val="20"/>
          <w:highlight w:val="white"/>
        </w:rPr>
        <w:t>of which $41.0 million related to the fair value of common stock issued in accordance to the Shareholder Agreement described in footnote 9 of the Company’s 2022 Audited Financial Statements under “VaccineCo Agreement and Issuance of Shares” and $4.8 million related to the fair value of the 200,000 shares of Common Stock issued pursuant to the BCMA as further describe in footnote 9 of the Company’s 2022 Audited Financial Statements under “Common Stock,”</w:t>
      </w:r>
      <w:r>
        <w:rPr>
          <w:rFonts w:ascii="Times New Roman;Times;serif" w:hAnsi="Times New Roman;Times;serif"/>
          <w:color w:val="231F20"/>
          <w:spacing w:val="-6"/>
          <w:sz w:val="20"/>
        </w:rPr>
        <w:t xml:space="preserve"> and $3.5 million in stock-based compensation expense, partially offset by an increase of $3.7 million in insurance expenses, $3.4 million in legal, professional and accounting fees, $1.5 million in employee expenses, and $0.6 million in other general and administrative expenses. The $27.3 million and $74.9 million of general and administrative expenses for the years ended December 31, 2022 and 2021, respectively, include $3.0 million and $60.3 million, respectively, of non-cash stock-based compensation.</w:t>
      </w:r>
    </w:p>
    <w:p>
      <w:pPr>
        <w:pStyle w:val="TextBody"/>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Settlement expense</w:t>
      </w:r>
    </w:p>
    <w:p>
      <w:pPr>
        <w:pStyle w:val="TextBody"/>
        <w:spacing w:lineRule="auto" w:line="292" w:before="169" w:after="240"/>
        <w:ind w:left="0" w:right="0" w:hanging="0"/>
        <w:jc w:val="both"/>
        <w:rPr>
          <w:rFonts w:ascii="Times New Roman;Times;serif" w:hAnsi="Times New Roman;Times;serif"/>
          <w:sz w:val="20"/>
        </w:rPr>
      </w:pPr>
      <w:r>
        <w:rPr>
          <w:rFonts w:ascii="Times New Roman;Times;serif" w:hAnsi="Times New Roman;Times;serif"/>
          <w:color w:val="231F20"/>
          <w:sz w:val="20"/>
        </w:rPr>
        <w:t xml:space="preserve">For the year ended December 31, 2022, NRx Pharmaceuticals recorded no settlement expense compared to $21.4 million of settlement expense for the year ended December 31, 2021 related to the GEM Warrant reflecting the incremental value of the warrant from the date of issuance through the date of exercise. </w:t>
      </w:r>
      <w:r>
        <w:rPr>
          <w:rFonts w:ascii="Times New Roman;Times;serif" w:hAnsi="Times New Roman;Times;serif"/>
          <w:color w:val="231F20"/>
          <w:sz w:val="20"/>
          <w:highlight w:val="white"/>
        </w:rPr>
        <w:t>Settlement expense is a non-cash expense related to the GEM Warrant.</w:t>
      </w:r>
    </w:p>
    <w:p>
      <w:pPr>
        <w:pStyle w:val="TextBody"/>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Reimbursement of expenses from Relief Therapeutics</w:t>
      </w:r>
    </w:p>
    <w:p>
      <w:pPr>
        <w:pStyle w:val="TextBody"/>
        <w:spacing w:lineRule="auto" w:line="292" w:before="169" w:after="240"/>
        <w:ind w:left="0" w:right="0" w:hanging="0"/>
        <w:jc w:val="both"/>
        <w:rPr>
          <w:rFonts w:ascii="Times New Roman;Times;serif" w:hAnsi="Times New Roman;Times;serif"/>
          <w:color w:val="231F20"/>
          <w:spacing w:val="-6"/>
          <w:sz w:val="20"/>
        </w:rPr>
      </w:pPr>
      <w:r>
        <w:rPr>
          <w:rFonts w:ascii="Times New Roman;Times;serif" w:hAnsi="Times New Roman;Times;serif"/>
          <w:color w:val="231F20"/>
          <w:spacing w:val="-6"/>
          <w:sz w:val="20"/>
        </w:rPr>
        <w:t>For the year ended December 31, 2022, NRx Pharmaceuticals received no reimbursement of expenses from Relief Therapeutics compared to $0.8 million of reimbursement of expenses from Relief Therapeutics for the year ended December 31, 2021.</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Gain on extinguishment of debt</w:t>
      </w:r>
    </w:p>
    <w:p>
      <w:pPr>
        <w:pStyle w:val="TextBody"/>
        <w:spacing w:lineRule="auto" w:line="292" w:before="169" w:after="240"/>
        <w:ind w:left="0" w:right="0" w:hanging="0"/>
        <w:jc w:val="both"/>
        <w:rPr>
          <w:rFonts w:ascii="Times New Roman;Times;serif" w:hAnsi="Times New Roman;Times;serif"/>
          <w:color w:val="231F20"/>
          <w:spacing w:val="-6"/>
          <w:sz w:val="20"/>
        </w:rPr>
      </w:pPr>
      <w:r>
        <w:rPr>
          <w:rFonts w:ascii="Times New Roman;Times;serif" w:hAnsi="Times New Roman;Times;serif"/>
          <w:color w:val="231F20"/>
          <w:spacing w:val="-6"/>
          <w:sz w:val="20"/>
        </w:rPr>
        <w:t>For the year ended December 31, 2022, NRx Pharmaceuticals recorded no gain on extinguishment of debt compared to $0.1 million for the year ended December 31, 2021 which was related to the decrease of $0.1 million related to the forgiveness of the PPP Loan which resulted in a gain on extinguishment for the outstanding principal and accrued and unpaid interest.</w:t>
      </w:r>
    </w:p>
    <w:p>
      <w:pPr>
        <w:pStyle w:val="TextBody"/>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Interest income</w:t>
      </w:r>
    </w:p>
    <w:p>
      <w:pPr>
        <w:pStyle w:val="TextBody"/>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 xml:space="preserve">For the year ended December 31, 2022, NRx Pharmaceuticals recorded $0.2 million of interest income. </w:t>
      </w:r>
    </w:p>
    <w:p>
      <w:pPr>
        <w:pStyle w:val="TextBody"/>
        <w:spacing w:lineRule="auto" w:line="292" w:before="169"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Change in fair value of convertible note payable</w:t>
      </w:r>
    </w:p>
    <w:p>
      <w:pPr>
        <w:pStyle w:val="TextBody"/>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For the year ended December 31, 2022, NRx Pharmaceuticals recorded $0.5 million related to the change in fair value of the convertible note payable which is accounted for under the fair value option.</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Change in fair value of warrant liabilities </w:t>
      </w:r>
    </w:p>
    <w:p>
      <w:pPr>
        <w:pStyle w:val="TextBody"/>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For the year ended December 31, 2022, NRx Pharmaceuticals recorded a gain of $0.3 million related to the change in fair value of the warrant liabilities compared to a gain of $1.7 million for the year ended December 31, 2021. The decrease of $1.4 million related to the decrease in the fair value of certain Substitute Warrants and the Placement Warrants assumed pursuant to the Merger Agreement.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Change in fair value of Earnout Cash liability </w:t>
      </w:r>
    </w:p>
    <w:p>
      <w:pPr>
        <w:pStyle w:val="TextBody"/>
        <w:spacing w:lineRule="auto" w:line="292" w:before="169" w:after="240"/>
        <w:ind w:left="0" w:right="0" w:hanging="0"/>
        <w:jc w:val="both"/>
        <w:rPr>
          <w:rFonts w:ascii="Times New Roman;Times;serif" w:hAnsi="Times New Roman;Times;serif"/>
          <w:sz w:val="20"/>
        </w:rPr>
      </w:pPr>
      <w:r>
        <w:rPr>
          <w:rFonts w:ascii="Times New Roman;Times;serif" w:hAnsi="Times New Roman;Times;serif"/>
          <w:color w:val="231F20"/>
          <w:sz w:val="20"/>
        </w:rPr>
        <w:t>For the year ended December 31, 2022, NRx Pharmaceuticals recorded a gain of $4.6 million related to the change in fair value of the Earnout Cash liability compared to a gain of $20.9 million for the year ended December 31, 2021. The gains are a result of the decrease in the fair value of the Earnout Cash liability pursuant to the Merger Agreement.</w:t>
      </w:r>
      <w:r>
        <w:rPr>
          <w:rFonts w:ascii="Times New Roman;Times;serif" w:hAnsi="Times New Roman;Times;serif"/>
          <w:color w:val="231F20"/>
          <w:sz w:val="20"/>
          <w:highlight w:val="white"/>
        </w:rPr>
        <w:t xml:space="preserve"> The gains primarily resulted from not achieving the Earnout Cash milestones by December 31, 2022 due to changes to the anticipated re-start date of the NRX-101 Phase III clinical trial, slower enrollment in the NIH’s ZYESAMI clinical trial, and the FDA’s November decision not to approve EUA for ZYESAMI.</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Liquidity and Capital Resources</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NRx Pharmaceuticals has generated no revenues, has incurred operating losses since inception, and expects to continue to incur significant operating losses for the foreseeable future and may never become profitable. 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NRX-101 will commence in the near term or that additional financings will be available to it and, if available, on acceptable terms or at all. This could negatively impact NRx Pharmaceuticals' business and operations and could also lead to the reduction of NRx Pharmaceuticals' operations.</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November 4, 2022, the Company issued an 9% redeemable promissory note (the “Note”) to Streeterville Capital, LLC, a Utah limited liability company, for an aggregate principal amount of $11.0 million. The Company intends to use the proceeds from such issuance for general corporate purposes. The Note matures 18 months from the date of issuance subject to certain acceleration provisions. The Note carries an original issue discount of $1.0 million which was deducted from the principal balance of the Note. The net proceeds from the issuance of the Note was $10.0 million after transaction costs including the original issue discount, legal and other fees are included.</w:t>
      </w:r>
    </w:p>
    <w:p>
      <w:pPr>
        <w:pStyle w:val="TextBody"/>
        <w:shd w:fill="FFFFFF" w:val="clear"/>
        <w:spacing w:before="0" w:after="150"/>
        <w:ind w:left="0" w:right="0" w:hanging="0"/>
        <w:jc w:val="both"/>
        <w:rPr>
          <w:rFonts w:ascii="Times New Roman;Times;serif" w:hAnsi="Times New Roman;Times;serif"/>
          <w:sz w:val="20"/>
        </w:rPr>
      </w:pPr>
      <w:r>
        <w:rPr>
          <w:rFonts w:ascii="Times New Roman;Times;serif" w:hAnsi="Times New Roman;Times;serif"/>
          <w:sz w:val="20"/>
        </w:rPr>
        <w:t>The Company has the option to prepay the Note during the term by paying an amount equal to 110% of the principal, interest, and fees owed as of the prepayment date. The noteholder has the right to redeem up to $1.0 million of the outstanding balance of the Note per month starting six months after the issuance date. Payments may be made by the Company at its option in: (i) in cash with a 10% premium for the amount redeemed,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“Redemption Conversion Price”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lender will be entitled to redeem over the following ten (10) trading days an amount of indebtedness then outstanding under the Note equal to twice (2x) the monthly redemption amount of $1.0 million solely by payment by stock, if permitted under the agreement, subject to maximum percentage (9.99%) and other ownership limitations.  As of the date hereof, the Company did not meet the conditions to repay the Note by the delivery of shares of common stock.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evaluated whether there are any conditions and events, considered in the aggregate, that raise substantial doubt about its ability to continue as a going concern within one year beyond the date of filing of this Annual Report on Form 10-K. We have typically funded our operating costs, acquisition activities, working capital requirements and capital expenditures with proceeds from the issuances of our common stock and other financing arrangements. If the Company is not able to make the required payments for the above Note in common stock and must use its cash for these payments, the Company believes that it does not have sufficient funds to support operations (which are subject to change) through the next year from the date the condensed consolidated financial statements are issued. The Company plans to address this matter by pursuing additional financing opportunities in 2023 to strengthen its balance sheet similar to the successful transaction completed in March 2023. In addition, as we execute our business plan over the next 12 months, we intend to carefully monitor the impact of our continuing operations on our working capital needs and cash balances relative to the availability of cost-effective debt and equity financing.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ongoing clinical activities continue to generate losses and net cash outflows from operations. The Company may raise substantial additional funds, and if it does so, it may do so through one or more of the following: issuance of additional debt or equity and/or the completion of a licensing or other commercial transaction for one of the Company’s product candidates. The Company cannot make any assurances that additional financing will be available to it and, if available, on acceptable terms or at all. This could negatively impact the Company’s business and operations and could also lead to a reduction in the Company’s operations.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Private Placement</w:t>
      </w:r>
    </w:p>
    <w:p>
      <w:pPr>
        <w:pStyle w:val="TextBody"/>
        <w:spacing w:before="0" w:after="0"/>
        <w:ind w:left="0" w:right="0" w:hanging="0"/>
        <w:rPr/>
      </w:pPr>
      <w:r>
        <w:rPr/>
        <w:t>​</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 </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December 31, 2022.</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pStyle w:val="TextBody"/>
        <w:spacing w:lineRule="auto" w:line="292" w:before="169"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following table presents selected financial information and statistics for each of the periods shown below:</w:t>
      </w:r>
    </w:p>
    <w:p>
      <w:pPr>
        <w:pStyle w:val="TextBody"/>
        <w:spacing w:lineRule="auto" w:line="292" w:before="0" w:after="240"/>
        <w:ind w:left="0" w:right="0" w:hanging="0"/>
        <w:jc w:val="both"/>
        <w:rPr>
          <w:color w:val="231F20"/>
        </w:rPr>
      </w:pPr>
      <w:r>
        <w:rPr>
          <w:color w:val="231F20"/>
        </w:rPr>
        <w:t>​</w:t>
      </w:r>
    </w:p>
    <w:tbl>
      <w:tblPr>
        <w:tblW w:w="6177" w:type="dxa"/>
        <w:jc w:val="left"/>
        <w:tblInd w:w="0" w:type="dxa"/>
        <w:tblCellMar>
          <w:top w:w="0" w:type="dxa"/>
          <w:left w:w="0" w:type="dxa"/>
          <w:bottom w:w="0" w:type="dxa"/>
          <w:right w:w="0" w:type="dxa"/>
        </w:tblCellMar>
      </w:tblPr>
      <w:tblGrid>
        <w:gridCol w:w="3466"/>
        <w:gridCol w:w="326"/>
        <w:gridCol w:w="211"/>
        <w:gridCol w:w="796"/>
        <w:gridCol w:w="326"/>
        <w:gridCol w:w="211"/>
        <w:gridCol w:w="841"/>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200910" cy="175260"/>
                      <wp:effectExtent l="0" t="0" r="0" b="0"/>
                      <wp:wrapNone/>
                      <wp:docPr id="57" name="Frame46"/>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5460" cy="175260"/>
                      <wp:effectExtent l="0" t="0" r="0" b="0"/>
                      <wp:wrapNone/>
                      <wp:docPr id="60" name="Frame4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34035" cy="175260"/>
                      <wp:effectExtent l="0" t="0" r="0" b="0"/>
                      <wp:wrapNone/>
                      <wp:docPr id="63" name="Frame52"/>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Sheet Data:</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841" w:type="dxa"/>
            <w:tcBorders/>
            <w:shd w:fill="CCEEFF" w:val="clear"/>
            <w:vAlign w:val="center"/>
          </w:tcPr>
          <w:p>
            <w:pPr>
              <w:pStyle w:val="TableContents"/>
              <w:spacing w:before="0" w:after="0"/>
              <w:ind w:left="0" w:right="0" w:hanging="0"/>
              <w:jc w:val="center"/>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20,054</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27,605</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25,816</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32,729</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Earnout cash liability</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 payable</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18,407</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11,923</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7,409</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20,806</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Statement of Cash Flow Data:</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(37,703)</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63,456</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 increase in cash</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25,746</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Operating activities</w:t>
      </w:r>
    </w:p>
    <w:p>
      <w:pPr>
        <w:pStyle w:val="TextBody"/>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year ended December 31, 2022, operating activities used $39.8 million of cash, primarily resulting from a net loss of $39.8 million, increased by (a) net non-cash gains of $0.7 million, including $4.6 million for the change in fair value of earnout cash liability, (ii) $0.3 million for the change in fair value of warrant liabilities, partially offset by (i) $3.6 million of stock-based compensation expense, (ii) $0.5 million for the change in fair value of convertible promissory note, and (b) changes in operating assets and liabilities of $0.7 million.</w:t>
      </w:r>
    </w:p>
    <w:p>
      <w:pPr>
        <w:pStyle w:val="TextBody"/>
        <w:spacing w:lineRule="auto" w:line="292" w:before="169"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 xml:space="preserve">During the year ended December 31, 2021, operating activities used $37.7 million of cash, primarily resulting from a net loss of $93.1 million, reduced by (a) non-cash charges of $60.3 million, including (i) $53.8 million of non-cash consulting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2"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fees paid in common stock, (ii) $21.4 million of non-cash settlement expense related to the GEM Warrant, (iii) $7.8 million of stock-based compensation expense, (iv) $20.9 million of change in fair value of Earnout Cash liability, partially offset by (i) gains from the change in fair value of warrant liability of $1.7 million, and (ii) $0.1 million in extinguishment of debt related to the PPP loan, and (b) changes in operating assets and liabilities of $4.9 million, including increases of $4.8 million and less than $0.1 million in prepaid expenses and other assets and accounts payable, respectively, partially offset by decreases of $0.9 million and $0.8 million in accrued expenses and other liabilities and accounts receivable, respectively.</w:t>
      </w:r>
    </w:p>
    <w:p>
      <w:pPr>
        <w:pStyle w:val="TextBody"/>
        <w:spacing w:lineRule="auto" w:line="292" w:before="169"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Financing activities</w:t>
      </w:r>
    </w:p>
    <w:p>
      <w:pPr>
        <w:pStyle w:val="TextBody"/>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year ended December 31, 2022, financing activities provided $32.2 million of cash resulting from $22.7 million in proceeds from issuance of common stock and warrants issued in private placement, net of issuance costs, $10.0 million in proceeds from convertible notes payable, net of discount and issuance costs, partially offset by $0.5 million of repayment of Relief Therapeutics loan notes payable.</w:t>
      </w:r>
    </w:p>
    <w:p>
      <w:pPr>
        <w:pStyle w:val="TextBody"/>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year ended December 31, 2021, financing activities provided $63.5 million of cash, primarily resulting from $27.4 million from the issuance of shares of our common stock and warrants in private placement, $16.7 million proceeds from issuance of common stock for exercise of the GEM Warrants, $11.1 million for the effect of the Merger, PIPE financing, net of transaction costs, $9.6 million from proceeds from issuance of shares of NRx Pharmaceuticals’ common stock, partially offset by $1.1 million from repayment of notes payable assumed in the Merger, and a $0.2 million repayment of a note payable plus accrued and unpaid interest with a vendor.</w:t>
      </w:r>
    </w:p>
    <w:p>
      <w:pPr>
        <w:pStyle w:val="TextBody"/>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Contractual Obligations and Commitments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See Note 7, Debt and Note 8, Commitments and Contingencies, of the notes to NRx Pharmaceuticals’ consolidated financial statements as of and for the year ended December 31, 2022 included elsewhere in this report for further discussion of NRx Pharmaceuticals' commitments and contingencies.</w:t>
      </w:r>
    </w:p>
    <w:p>
      <w:pPr>
        <w:pStyle w:val="TextBody"/>
        <w:spacing w:before="0" w:after="160"/>
        <w:ind w:left="0" w:right="0" w:hanging="0"/>
        <w:jc w:val="both"/>
        <w:rPr>
          <w:rFonts w:ascii="Times New Roman;Times;serif" w:hAnsi="Times New Roman;Times;serif"/>
          <w:i/>
          <w:sz w:val="20"/>
        </w:rPr>
      </w:pPr>
      <w:r>
        <w:rPr>
          <w:rFonts w:ascii="Times New Roman;Times;serif" w:hAnsi="Times New Roman;Times;serif"/>
          <w:i/>
          <w:sz w:val="20"/>
        </w:rPr>
        <w:t>Milestone Payments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pStyle w:val="TextBody"/>
        <w:spacing w:before="0" w:after="16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NRx Pharmaceuticals is not party to any off-balance sheet transactions. NRx Pharmaceuticals has no guarantees or obligations other than those which arise out of normal business operations.</w:t>
      </w:r>
    </w:p>
    <w:p>
      <w:pPr>
        <w:pStyle w:val="TextBody"/>
        <w:spacing w:before="0" w:after="16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NRx Pharmaceuticals' management’s discussion and analysis of its financial condition and results of operations is based on its financial statements, which have been prepared in accordance with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the convertible note payable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NRx Pharmaceuticals defines its critical accounting policies as those accounting principles that require it to make subjective estimates and judgments about matters that are uncertain and are likely to have a material impact on its financial condition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Earnout Cash Liability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expired as of December 31, 2022 and was unearned, prior to this the fair value of the Earnout Cash liability was estimated using probability-weighted discounted cash flow models (DCFs) with significant inputs that were not observable in the market and thus represented a Level 3 fair value measurement as defined in ASC 820. The most significant inputs included whether (a) the FDA approved the Company’s NDAs for ZYESAMI and/or NRX-101, (b) if such approval was granted, whether such approval was received on or before December 31, 2022, and (c) if such approval was granted, whether ZYESAMI and/or NRX-101 was listed in the FDA’s Orange Book on or before December 31, 2022. The DCFs incorporated Level 3 inputs including estimated discount rates that we believe market participants would consider relevant in pricing and the projected timing and amount of cash flows, which were estimated and developed in consideration of the uncertainties associated with the obligations. As (i) ZYESAMI NIH Phase III trial was stopped due to futility, and (ii) NRX-101 Phase III trial has not yet started, the Earnout period expired without achieving the milestones and therefore, the Earnout Cash liability has been relieved. Changes in the estimated fair value of the Earnout Cash Liability were recognized as gains or losses in the statements of operations.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of common and preferred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Merger, in order to determine the fair value of shares of its common stock, the Company's board of directors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Stock-based compensation</w:t>
      </w:r>
    </w:p>
    <w:p>
      <w:pPr>
        <w:pStyle w:val="TextBody"/>
        <w:spacing w:lineRule="auto" w:line="288" w:before="0" w:after="240"/>
        <w:ind w:left="0" w:right="0" w:hanging="0"/>
        <w:jc w:val="both"/>
        <w:rPr>
          <w:rFonts w:ascii="Times New Roman;Times;serif" w:hAnsi="Times New Roman;Times;serif"/>
          <w:sz w:val="20"/>
        </w:rPr>
      </w:pPr>
      <w:r>
        <w:rPr>
          <w:rFonts w:ascii="Times New Roman;Times;serif" w:hAnsi="Times New Roman;Times;serif"/>
          <w:sz w:val="20"/>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pStyle w:val="TextBody"/>
        <w:spacing w:lineRule="auto" w:line="288" w:before="0" w:after="240"/>
        <w:ind w:left="0" w:right="0" w:hanging="0"/>
        <w:jc w:val="both"/>
        <w:rPr>
          <w:rFonts w:ascii="Times New Roman;Times;serif" w:hAnsi="Times New Roman;Times;serif"/>
          <w:sz w:val="20"/>
        </w:rPr>
      </w:pPr>
      <w:r>
        <w:rPr>
          <w:rFonts w:ascii="Times New Roman;Times;serif" w:hAnsi="Times New Roman;Times;serif"/>
          <w:sz w:val="20"/>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Warrant liabilities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warrants as either equity-classified or liability-classified instruments based on an assessment of the warrant’s specific terms and applicable authoritative guidance in ASC 480, Distinguishing Liabilities from Equity (“ASC 480”)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Convertible note payable</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 </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rPr>
          <w:rFonts w:ascii="Times New Roman;Times;serif" w:hAnsi="Times New Roman;Times;serif"/>
          <w:b/>
          <w:sz w:val="20"/>
        </w:rPr>
      </w:pPr>
      <w:bookmarkStart w:id="55" w:name="Item7AQuantitativeandQualitativeDisclosu"/>
      <w:bookmarkStart w:id="56" w:name="_f024a6b7_4cf2_4a3d_a6f8_d9947c688a66"/>
      <w:bookmarkEnd w:id="55"/>
      <w:bookmarkEnd w:id="56"/>
      <w:r>
        <w:rPr>
          <w:rFonts w:ascii="Times New Roman;Times;serif" w:hAnsi="Times New Roman;Times;serif"/>
          <w:b/>
          <w:sz w:val="20"/>
        </w:rPr>
        <w:t>Item 7A. Quantitative and Qualitative Disclosures About Market Risk.</w:t>
      </w:r>
    </w:p>
    <w:p>
      <w:pPr>
        <w:pStyle w:val="TextBody"/>
        <w:spacing w:lineRule="auto" w:line="292" w:before="169" w:after="0"/>
        <w:ind w:left="0" w:right="967" w:firstLine="399"/>
        <w:rPr>
          <w:rFonts w:ascii="Times New Roman;Times;serif" w:hAnsi="Times New Roman;Times;serif"/>
          <w:sz w:val="20"/>
        </w:rPr>
      </w:pPr>
      <w:r>
        <w:rPr>
          <w:rFonts w:ascii="Times New Roman;Times;serif" w:hAnsi="Times New Roman;Times;serif"/>
          <w:sz w:val="20"/>
        </w:rPr>
        <w:t xml:space="preserve">Not applicable.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57" w:name="Item8FinancialStatementsandSupplementary"/>
      <w:bookmarkStart w:id="58" w:name="_73e14420_0384_4c9d_b8da_a32b4ecfbd51"/>
      <w:bookmarkEnd w:id="57"/>
      <w:bookmarkEnd w:id="58"/>
      <w:r>
        <w:rPr>
          <w:rFonts w:ascii="Times New Roman;Times;serif" w:hAnsi="Times New Roman;Times;serif"/>
          <w:b/>
          <w:sz w:val="20"/>
        </w:rPr>
        <w:t>Item 8. Financial Statements and Supplementary Data</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9" w:name="_b7288870_b8b6_4025_8380_aab4ce7bc094"/>
      <w:bookmarkEnd w:id="59"/>
      <w:r>
        <w:rPr>
          <w:rFonts w:ascii="Times New Roman;Times;serif" w:hAnsi="Times New Roman;Times;serif"/>
          <w:b/>
          <w:sz w:val="20"/>
        </w:rPr>
        <w:t>Report of Independent Registered Public Accounting Firm</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To the Stockholders and Board of Directors</w:t>
        <w:br/>
        <w:t>NRX Pharmaceuticals, Inc.:</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i/>
          <w:sz w:val="20"/>
        </w:rPr>
        <w:t>Opinion on the</w:t>
      </w:r>
      <w:r>
        <w:rPr>
          <w:rFonts w:ascii="Times New Roman;Times;serif" w:hAnsi="Times New Roman;Times;serif"/>
          <w:b/>
          <w:sz w:val="20"/>
        </w:rPr>
        <w:t xml:space="preserve"> </w:t>
      </w:r>
      <w:r>
        <w:rPr>
          <w:rFonts w:ascii="Times New Roman;Times;serif" w:hAnsi="Times New Roman;Times;serif"/>
          <w:b w:val="false"/>
          <w:i/>
          <w:sz w:val="20"/>
        </w:rPr>
        <w:t>Consolidated Financial Statements</w:t>
      </w:r>
    </w:p>
    <w:p>
      <w:pPr>
        <w:pStyle w:val="TextBody"/>
        <w:spacing w:before="0" w:after="0"/>
        <w:ind w:left="0" w:right="0" w:hanging="0"/>
        <w:jc w:val="both"/>
        <w:rPr>
          <w:rFonts w:ascii="Times New Roman;Times;serif" w:hAnsi="Times New Roman;Times;serif"/>
          <w:sz w:val="20"/>
        </w:rPr>
      </w:pPr>
      <w:bookmarkStart w:id="60" w:name="_2"/>
      <w:bookmarkStart w:id="61" w:name="_1"/>
      <w:bookmarkStart w:id="62" w:name="_0"/>
      <w:bookmarkEnd w:id="60"/>
      <w:bookmarkEnd w:id="61"/>
      <w:bookmarkEnd w:id="62"/>
      <w:r>
        <w:rPr>
          <w:rFonts w:ascii="Times New Roman;Times;serif" w:hAnsi="Times New Roman;Times;serif"/>
          <w:sz w:val="20"/>
        </w:rPr>
        <w:t>We have audited the accompanying consolidated balance sheets of NRX Pharmaceuticals, Inc. and subsidiaries (the Company) as of December 31, 2022 and 2021, the related consolidated statements of operations,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U.S. generally accepted accounting principles.</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Going Concern</w:t>
      </w:r>
    </w:p>
    <w:p>
      <w:pPr>
        <w:pStyle w:val="TextBody"/>
        <w:spacing w:before="0" w:after="0"/>
        <w:ind w:left="0" w:right="0" w:hanging="0"/>
        <w:jc w:val="both"/>
        <w:rPr>
          <w:rFonts w:ascii="Times New Roman;Times;serif" w:hAnsi="Times New Roman;Times;serif"/>
          <w:sz w:val="20"/>
        </w:rPr>
      </w:pPr>
      <w:bookmarkStart w:id="63" w:name="_4"/>
      <w:bookmarkStart w:id="64" w:name="_3"/>
      <w:bookmarkEnd w:id="63"/>
      <w:bookmarkEnd w:id="64"/>
      <w:r>
        <w:rPr>
          <w:rFonts w:ascii="Times New Roman;Times;serif" w:hAnsi="Times New Roman;Times;serif"/>
          <w:sz w:val="20"/>
        </w:rPr>
        <w:t>The accompanying consolidated financial statements have been prepared assuming that the Company will continue as a going concern. As discussed in Note 2 to the consolidated financial statements, the Company has suffered recurring losses and net cash outflows from operations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Basis for Opinion</w:t>
      </w:r>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Audit Matter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Assessment of the fair value of the convertible note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discussed in Notes 7 and 11 to the consolidated financial statements, the Company completed a convertible note offering during the year ended December 31, 2022. The Company received net proceeds of $10.0 million from the offering and elected to account for this convertible note at fair value under the fair value option. The estimated fair value of the convertible note as of December 31, 2022 is $10.5 million. The Company used a Monte Carlo simulation model to estimate the fair value of the convertible note.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identified the assessment of the measurement of fair value of the convertible note as of December 31, 2022 as a critical audit matter. This matter required the involvement of valuation professionals with specialized skills and knowledge to assess the Company’s model used to value the convertible note.</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the primary procedure we performed to address this critical audit matter. We involved valuation professionals with specialized skills and knowledge who assisted by independently developing a range of fair values of the convertible note using a discounted cash flow model and comparing it to the amount recorded by the Company.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 KPMG LLP</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served as the Company’s auditor since 2018.</w:t>
      </w:r>
    </w:p>
    <w:p>
      <w:pPr>
        <w:pStyle w:val="TextBody"/>
        <w:spacing w:before="0" w:after="0"/>
        <w:ind w:left="0" w:right="0" w:hanging="0"/>
        <w:rPr/>
      </w:pPr>
      <w:r>
        <w:rPr/>
        <w:t>​</w:t>
      </w:r>
    </w:p>
    <w:p>
      <w:pPr>
        <w:pStyle w:val="TextBody"/>
        <w:spacing w:before="87" w:after="0"/>
        <w:ind w:left="0" w:right="868" w:hanging="0"/>
        <w:rPr>
          <w:rFonts w:ascii="Times New Roman;Times;serif" w:hAnsi="Times New Roman;Times;serif"/>
          <w:sz w:val="20"/>
        </w:rPr>
      </w:pPr>
      <w:r>
        <w:rPr>
          <w:rFonts w:ascii="Times New Roman;Times;serif" w:hAnsi="Times New Roman;Times;serif"/>
          <w:sz w:val="20"/>
        </w:rPr>
        <w:t>Short Hills, New Jersey</w:t>
        <w:br/>
        <w:t>March 31, 2023</w:t>
      </w:r>
    </w:p>
    <w:p>
      <w:pPr>
        <w:pStyle w:val="TextBody"/>
        <w:spacing w:before="0" w:after="0"/>
        <w:ind w:left="0" w:right="0" w:hanging="0"/>
        <w:rPr/>
      </w:pPr>
      <w:r>
        <w:rPr/>
        <w:t>​</w:t>
      </w:r>
    </w:p>
    <w:p>
      <w:pPr>
        <w:pStyle w:val="TextBody"/>
        <w:spacing w:before="87" w:after="0"/>
        <w:ind w:left="0" w:right="868" w:hanging="0"/>
        <w:rPr>
          <w:color w:val="231F20"/>
          <w:highlight w:val="yellow"/>
        </w:rPr>
      </w:pPr>
      <w:r>
        <w:rPr>
          <w:color w:val="231F20"/>
          <w:highlight w:val="yellow"/>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65" w:name="_2fb00019_0c2b_44a5_bdc2_8cac5acda941"/>
      <w:bookmarkEnd w:id="65"/>
      <w:r>
        <w:rPr>
          <w:rFonts w:ascii="Times New Roman;Times;serif" w:hAnsi="Times New Roman;Times;serif"/>
          <w:b/>
          <w:sz w:val="20"/>
        </w:rPr>
        <w:t>NRX PHARMACEUTICALS, INC.</w:t>
      </w:r>
    </w:p>
    <w:p>
      <w:pPr>
        <w:pStyle w:val="TextBody"/>
        <w:spacing w:before="0" w:after="0"/>
        <w:ind w:left="0" w:right="0" w:hanging="0"/>
        <w:jc w:val="center"/>
        <w:rPr>
          <w:rFonts w:ascii="Times New Roman;Times;serif" w:hAnsi="Times New Roman;Times;serif"/>
          <w:b/>
          <w:sz w:val="20"/>
        </w:rPr>
      </w:pPr>
      <w:bookmarkStart w:id="66" w:name="CONDENSEDCONSOLIDATEDBALANCESHEETS_39844"/>
      <w:bookmarkEnd w:id="66"/>
      <w:r>
        <w:rPr>
          <w:rFonts w:ascii="Times New Roman;Times;serif" w:hAnsi="Times New Roman;Times;serif"/>
          <w:b/>
          <w:sz w:val="20"/>
        </w:rPr>
        <w:t>CONSOLIDATED BALANCE SHEETS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before="0" w:after="240"/>
        <w:ind w:left="0" w:right="0" w:hanging="0"/>
        <w:rPr/>
      </w:pPr>
      <w:r>
        <w:rPr/>
        <w:t>​</w:t>
      </w:r>
    </w:p>
    <w:p>
      <w:pPr>
        <w:pStyle w:val="Normal"/>
        <w:spacing w:before="0" w:after="0"/>
        <w:rPr>
          <w:sz w:val="4"/>
          <w:szCs w:val="4"/>
        </w:rPr>
      </w:pPr>
      <w:r>
        <w:rPr>
          <w:sz w:val="4"/>
          <w:szCs w:val="4"/>
        </w:rPr>
      </w:r>
      <w:bookmarkStart w:id="67" w:name="Tc_Ba0VhM7e_0eSLFrjpUVHyA_29_5"/>
      <w:bookmarkStart w:id="68" w:name="Tc_BoozIypxX0aK1sAFqBM2ww_29_2"/>
      <w:bookmarkStart w:id="69" w:name="Tc_DcEf4OMhfEyUPLpe5qW8bg_29_0"/>
      <w:bookmarkStart w:id="70" w:name="Tc_lLy1BcOa-kSTb2pObtt9Lw_28_0"/>
      <w:bookmarkStart w:id="71" w:name="Tc_kWrPm7bz6kWvr9Pjocz6fA_27_0"/>
      <w:bookmarkStart w:id="72" w:name="Tc_-XwzF9gv2ESFrotmbQMgnQ_26_0"/>
      <w:bookmarkStart w:id="73" w:name="Tc_nS4qiFbWJUyXoO8WoBPz5w_25_0"/>
      <w:bookmarkStart w:id="74" w:name="_364d65d1_4cdc_48b7_a0a2_9efa80ed79ac_3"/>
      <w:bookmarkStart w:id="75" w:name="_364d65d1_4cdc_48b7_a0a2_9efa80ed79ac_2"/>
      <w:bookmarkStart w:id="76" w:name="_364d65d1_4cdc_48b7_a0a2_9efa80ed79ac"/>
      <w:bookmarkStart w:id="77" w:name="Tc_WNarFBv1UkqLsRNX3fgu5Q_24_0"/>
      <w:bookmarkStart w:id="78" w:name="Tc_Tlwr-K8pyUqW3QgWY4M4aQ_22_5"/>
      <w:bookmarkStart w:id="79" w:name="Tc_VDlm7u2lGkCQIDK2-diX-g_22_2"/>
      <w:bookmarkStart w:id="80" w:name="Tc__LB9C1pHNE2tfZnNSdut9w_22_0"/>
      <w:bookmarkStart w:id="81" w:name="Tc_BgUqrhWnE0-tcQ2-6gYVNg_21_6"/>
      <w:bookmarkStart w:id="82" w:name="Tc_8VHdzKs9RUqA7ga-BUsuzA_21_0"/>
      <w:bookmarkStart w:id="83" w:name="Tc_I3NHD0aYA0q1IBjYICH38A_20_0"/>
      <w:bookmarkStart w:id="84" w:name="Tc_ay2kuhEHKESqC02E2YEfrw_19_3"/>
      <w:bookmarkStart w:id="85" w:name="Tc_ykQtU84II0WYxaMdR2lfXw_19_0"/>
      <w:bookmarkStart w:id="86" w:name="Tc_6UDyhqy4akStSH_mxQJpJA_18_0"/>
      <w:bookmarkStart w:id="87" w:name="Tc_01rMN39UwUOhIbeMoynpgQ_17_6"/>
      <w:bookmarkStart w:id="88" w:name="Tc_xtnkf270uE6g_Z_9NfPeQw_17_0"/>
      <w:bookmarkStart w:id="89" w:name="Tc__wNd8Hg1W0GVPVN_tdKEhg_16_3"/>
      <w:bookmarkStart w:id="90" w:name="Tc_YUroaKLXs0ievcnxYEh5eA_16_0"/>
      <w:bookmarkStart w:id="91" w:name="Tc_kCD4oifD_kiiJer97d5V-Q_15_0"/>
      <w:bookmarkStart w:id="92" w:name="Tc_A9nYbcW9GUmTBOPf8FGEXA_14_0"/>
      <w:bookmarkStart w:id="93" w:name="Tc_S9rIHiOW4E2GSPOByaJFIw_13_5"/>
      <w:bookmarkStart w:id="94" w:name="Tc_ozlX4O5CaUKSqvDacoHLcg_13_2"/>
      <w:bookmarkStart w:id="95" w:name="Tc_-1yvmmja8kaQ_8RWDMeTXQ_13_0"/>
      <w:bookmarkStart w:id="96" w:name="Tc_8HJ4F-CwvkagU_nQT_qhYQ_12_0"/>
      <w:bookmarkStart w:id="97" w:name="Tc_3C5_AMzMrE-PloGFZ54XeA_11_0"/>
      <w:bookmarkStart w:id="98" w:name="Tc_cmBMdMVUTUq1ZY57NINZ2Q_10_5"/>
      <w:bookmarkStart w:id="99" w:name="Tc_5uqVHgJWo0S5l-P2AclTKw_10_2"/>
      <w:bookmarkStart w:id="100" w:name="Tc_fdYpyqVWlkuEckMW4ge-rw_10_0"/>
      <w:bookmarkStart w:id="101" w:name="Tc_R8CNkWFpPEy2yeom3gWXLA_9_0"/>
      <w:bookmarkStart w:id="102" w:name="Tc_h4B3kNOHj02l6_g-_HTLCw_8_0"/>
      <w:bookmarkStart w:id="103" w:name="Tc_5NG3QHPTDEi23OIEF9_ObQ_7_0"/>
      <w:bookmarkStart w:id="104" w:name="Tc_TWhpYzkkCkuf0XfOvgry2w_6_5"/>
      <w:bookmarkStart w:id="105" w:name="Tc_Y1KaAb60CEmAhwb7MeM5bQ_6_2"/>
      <w:bookmarkStart w:id="106" w:name="Tc_LFfYPsKBRUGjjR44robiGw_6_0"/>
      <w:bookmarkStart w:id="107" w:name="Tc_8p6VS0IG4EWwvy02-nhjGw_5_0"/>
      <w:bookmarkStart w:id="108" w:name="Tc_iDBmcmeMl0qP-0ryrU-0uQ_4_0"/>
      <w:bookmarkStart w:id="109" w:name="Tc_OEqihYkGjEOdG_hZ2u-ojQ_2_5"/>
      <w:bookmarkStart w:id="110" w:name="Tc_XLnOWP2HDEqu5sche5RLxg_2_2"/>
      <w:bookmarkStart w:id="111" w:name="Tc_GdLBZkaFO0ecFUdCasuD1w_1_2"/>
      <w:bookmarkStart w:id="112" w:name="_b99fb568_34d5_4999_b543_f683d28174b3"/>
      <w:bookmarkStart w:id="113" w:name="Tc_Ba0VhM7e_0eSLFrjpUVHyA_29_5"/>
      <w:bookmarkStart w:id="114" w:name="Tc_BoozIypxX0aK1sAFqBM2ww_29_2"/>
      <w:bookmarkStart w:id="115" w:name="Tc_DcEf4OMhfEyUPLpe5qW8bg_29_0"/>
      <w:bookmarkStart w:id="116" w:name="Tc_lLy1BcOa-kSTb2pObtt9Lw_28_0"/>
      <w:bookmarkStart w:id="117" w:name="Tc_kWrPm7bz6kWvr9Pjocz6fA_27_0"/>
      <w:bookmarkStart w:id="118" w:name="Tc_-XwzF9gv2ESFrotmbQMgnQ_26_0"/>
      <w:bookmarkStart w:id="119" w:name="Tc_nS4qiFbWJUyXoO8WoBPz5w_25_0"/>
      <w:bookmarkStart w:id="120" w:name="_364d65d1_4cdc_48b7_a0a2_9efa80ed79ac_3"/>
      <w:bookmarkStart w:id="121" w:name="_364d65d1_4cdc_48b7_a0a2_9efa80ed79ac_2"/>
      <w:bookmarkStart w:id="122" w:name="_364d65d1_4cdc_48b7_a0a2_9efa80ed79ac"/>
      <w:bookmarkStart w:id="123" w:name="Tc_WNarFBv1UkqLsRNX3fgu5Q_24_0"/>
      <w:bookmarkStart w:id="124" w:name="Tc_Tlwr-K8pyUqW3QgWY4M4aQ_22_5"/>
      <w:bookmarkStart w:id="125" w:name="Tc_VDlm7u2lGkCQIDK2-diX-g_22_2"/>
      <w:bookmarkStart w:id="126" w:name="Tc__LB9C1pHNE2tfZnNSdut9w_22_0"/>
      <w:bookmarkStart w:id="127" w:name="Tc_BgUqrhWnE0-tcQ2-6gYVNg_21_6"/>
      <w:bookmarkStart w:id="128" w:name="Tc_8VHdzKs9RUqA7ga-BUsuzA_21_0"/>
      <w:bookmarkStart w:id="129" w:name="Tc_I3NHD0aYA0q1IBjYICH38A_20_0"/>
      <w:bookmarkStart w:id="130" w:name="Tc_ay2kuhEHKESqC02E2YEfrw_19_3"/>
      <w:bookmarkStart w:id="131" w:name="Tc_ykQtU84II0WYxaMdR2lfXw_19_0"/>
      <w:bookmarkStart w:id="132" w:name="Tc_6UDyhqy4akStSH_mxQJpJA_18_0"/>
      <w:bookmarkStart w:id="133" w:name="Tc_01rMN39UwUOhIbeMoynpgQ_17_6"/>
      <w:bookmarkStart w:id="134" w:name="Tc_xtnkf270uE6g_Z_9NfPeQw_17_0"/>
      <w:bookmarkStart w:id="135" w:name="Tc__wNd8Hg1W0GVPVN_tdKEhg_16_3"/>
      <w:bookmarkStart w:id="136" w:name="Tc_YUroaKLXs0ievcnxYEh5eA_16_0"/>
      <w:bookmarkStart w:id="137" w:name="Tc_kCD4oifD_kiiJer97d5V-Q_15_0"/>
      <w:bookmarkStart w:id="138" w:name="Tc_A9nYbcW9GUmTBOPf8FGEXA_14_0"/>
      <w:bookmarkStart w:id="139" w:name="Tc_S9rIHiOW4E2GSPOByaJFIw_13_5"/>
      <w:bookmarkStart w:id="140" w:name="Tc_ozlX4O5CaUKSqvDacoHLcg_13_2"/>
      <w:bookmarkStart w:id="141" w:name="Tc_-1yvmmja8kaQ_8RWDMeTXQ_13_0"/>
      <w:bookmarkStart w:id="142" w:name="Tc_8HJ4F-CwvkagU_nQT_qhYQ_12_0"/>
      <w:bookmarkStart w:id="143" w:name="Tc_3C5_AMzMrE-PloGFZ54XeA_11_0"/>
      <w:bookmarkStart w:id="144" w:name="Tc_cmBMdMVUTUq1ZY57NINZ2Q_10_5"/>
      <w:bookmarkStart w:id="145" w:name="Tc_5uqVHgJWo0S5l-P2AclTKw_10_2"/>
      <w:bookmarkStart w:id="146" w:name="Tc_fdYpyqVWlkuEckMW4ge-rw_10_0"/>
      <w:bookmarkStart w:id="147" w:name="Tc_R8CNkWFpPEy2yeom3gWXLA_9_0"/>
      <w:bookmarkStart w:id="148" w:name="Tc_h4B3kNOHj02l6_g-_HTLCw_8_0"/>
      <w:bookmarkStart w:id="149" w:name="Tc_5NG3QHPTDEi23OIEF9_ObQ_7_0"/>
      <w:bookmarkStart w:id="150" w:name="Tc_TWhpYzkkCkuf0XfOvgry2w_6_5"/>
      <w:bookmarkStart w:id="151" w:name="Tc_Y1KaAb60CEmAhwb7MeM5bQ_6_2"/>
      <w:bookmarkStart w:id="152" w:name="Tc_LFfYPsKBRUGjjR44robiGw_6_0"/>
      <w:bookmarkStart w:id="153" w:name="Tc_8p6VS0IG4EWwvy02-nhjGw_5_0"/>
      <w:bookmarkStart w:id="154" w:name="Tc_iDBmcmeMl0qP-0ryrU-0uQ_4_0"/>
      <w:bookmarkStart w:id="155" w:name="Tc_OEqihYkGjEOdG_hZ2u-ojQ_2_5"/>
      <w:bookmarkStart w:id="156" w:name="Tc_XLnOWP2HDEqu5sche5RLxg_2_2"/>
      <w:bookmarkStart w:id="157" w:name="Tc_GdLBZkaFO0ecFUdCasuD1w_1_2"/>
      <w:bookmarkStart w:id="158" w:name="_b99fb568_34d5_4999_b543_f683d28174b3"/>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CellMar>
          <w:top w:w="0" w:type="dxa"/>
          <w:left w:w="0" w:type="dxa"/>
          <w:bottom w:w="0" w:type="dxa"/>
          <w:right w:w="0" w:type="dxa"/>
        </w:tblCellMar>
      </w:tblPr>
      <w:tblGrid>
        <w:gridCol w:w="7527"/>
        <w:gridCol w:w="326"/>
        <w:gridCol w:w="211"/>
        <w:gridCol w:w="869"/>
        <w:gridCol w:w="146"/>
        <w:gridCol w:w="211"/>
        <w:gridCol w:w="915"/>
      </w:tblGrid>
      <w:tr>
        <w:trPr/>
        <w:tc>
          <w:tcPr>
            <w:tcW w:w="75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779645" cy="175260"/>
                      <wp:effectExtent l="0" t="0" r="0" b="0"/>
                      <wp:wrapNone/>
                      <wp:docPr id="64" name="Frame53"/>
                      <a:graphic xmlns:a="http://schemas.openxmlformats.org/drawingml/2006/main">
                        <a:graphicData uri="http://schemas.microsoft.com/office/word/2010/wordprocessingShape">
                          <wps:wsp>
                            <wps:cNvSpPr txBox="1"/>
                            <wps:spPr>
                              <a:xfrm>
                                <a:off x="0" y="0"/>
                                <a:ext cx="47796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51815" cy="175260"/>
                      <wp:effectExtent l="0" t="0" r="0" b="0"/>
                      <wp:wrapNone/>
                      <wp:docPr id="67" name="Frame56"/>
                      <a:graphic xmlns:a="http://schemas.openxmlformats.org/drawingml/2006/main">
                        <a:graphicData uri="http://schemas.microsoft.com/office/word/2010/wordprocessingShape">
                          <wps:wsp>
                            <wps:cNvSpPr txBox="1"/>
                            <wps:spPr>
                              <a:xfrm>
                                <a:off x="0" y="0"/>
                                <a:ext cx="5518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92710" cy="175260"/>
                      <wp:effectExtent l="0" t="0" r="0" b="0"/>
                      <wp:wrapNone/>
                      <wp:docPr id="68" name="Frame5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81025" cy="175260"/>
                      <wp:effectExtent l="0" t="0" r="0" b="0"/>
                      <wp:wrapNone/>
                      <wp:docPr id="70" name="Frame59"/>
                      <a:graphic xmlns:a="http://schemas.openxmlformats.org/drawingml/2006/main">
                        <a:graphicData uri="http://schemas.microsoft.com/office/word/2010/wordprocessingShape">
                          <wps:wsp>
                            <wps:cNvSpPr txBox="1"/>
                            <wps:spPr>
                              <a:xfrm>
                                <a:off x="0" y="0"/>
                                <a:ext cx="581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5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35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5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shd w:fill="auto" w:val="clear"/>
            <w:vAlign w:val="center"/>
          </w:tcPr>
          <w:p>
            <w:pPr>
              <w:pStyle w:val="TableContents"/>
              <w:spacing w:before="0" w:after="1"/>
              <w:ind w:left="0" w:right="0" w:hanging="0"/>
              <w:jc w:val="center"/>
              <w:rPr/>
            </w:pPr>
            <w:r>
              <w:rPr/>
              <w:t>​</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5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0" w:type="dxa"/>
            <w:gridSpan w:val="2"/>
            <w:tcBorders/>
            <w:shd w:fill="auto" w:val="clear"/>
            <w:vAlign w:val="center"/>
          </w:tcPr>
          <w:p>
            <w:pPr>
              <w:pStyle w:val="TableContents"/>
              <w:spacing w:before="0" w:after="1"/>
              <w:ind w:left="0" w:right="0" w:hanging="0"/>
              <w:jc w:val="center"/>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915" w:type="dxa"/>
            <w:tcBorders/>
            <w:shd w:fill="auto" w:val="clear"/>
            <w:vAlign w:val="center"/>
          </w:tcPr>
          <w:p>
            <w:pPr>
              <w:pStyle w:val="TableContents"/>
              <w:spacing w:before="0" w:after="1"/>
              <w:ind w:left="0" w:right="0" w:hanging="0"/>
              <w:jc w:val="center"/>
              <w:rPr/>
            </w:pPr>
            <w:r>
              <w:rPr/>
              <w:t>​</w:t>
            </w:r>
          </w:p>
        </w:tc>
      </w:tr>
      <w:tr>
        <w:trPr/>
        <w:tc>
          <w:tcPr>
            <w:tcW w:w="7527" w:type="dxa"/>
            <w:tcBorders/>
            <w:shd w:fill="CCEEFF"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15" w:type="dxa"/>
            <w:tcBorders/>
            <w:shd w:fill="CCEEFF" w:val="clear"/>
            <w:vAlign w:val="center"/>
          </w:tcPr>
          <w:p>
            <w:pPr>
              <w:pStyle w:val="TableContents"/>
              <w:spacing w:before="0" w:after="1"/>
              <w:ind w:left="0" w:right="0" w:hanging="0"/>
              <w:jc w:val="right"/>
              <w:rPr/>
            </w:pPr>
            <w:r>
              <w:rPr/>
              <w:t>  </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915" w:type="dxa"/>
            <w:tcBorders/>
            <w:shd w:fill="auto" w:val="clear"/>
            <w:vAlign w:val="center"/>
          </w:tcPr>
          <w:p>
            <w:pPr>
              <w:pStyle w:val="TableContents"/>
              <w:spacing w:before="0" w:after="1"/>
              <w:ind w:left="0" w:right="0" w:hanging="0"/>
              <w:jc w:val="right"/>
              <w:rPr/>
            </w:pPr>
            <w:r>
              <w:rPr/>
              <w:t>  </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20,054</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27,605</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5,741</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5,109</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25,795</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32,714</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25,816</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32,729</w:t>
            </w:r>
          </w:p>
        </w:tc>
      </w:tr>
      <w:tr>
        <w:trPr/>
        <w:tc>
          <w:tcPr>
            <w:tcW w:w="7527"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69" w:type="dxa"/>
            <w:tcBorders/>
            <w:shd w:fill="auto" w:val="clear"/>
            <w:vAlign w:val="center"/>
          </w:tcPr>
          <w:p>
            <w:pPr>
              <w:pStyle w:val="TableContents"/>
              <w:spacing w:before="0" w:after="1"/>
              <w:ind w:left="0" w:right="0" w:hanging="0"/>
              <w:jc w:val="right"/>
              <w:rPr/>
            </w:pPr>
            <w:r>
              <w:rPr/>
              <w:t>  </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5" w:type="dxa"/>
            <w:tcBorders/>
            <w:shd w:fill="auto" w:val="clear"/>
            <w:vAlign w:val="center"/>
          </w:tcPr>
          <w:p>
            <w:pPr>
              <w:pStyle w:val="TableContents"/>
              <w:spacing w:before="0" w:after="1"/>
              <w:ind w:left="0" w:right="0" w:hanging="0"/>
              <w:jc w:val="right"/>
              <w:rPr/>
            </w:pPr>
            <w:r>
              <w:rPr/>
              <w:t>  </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5" w:type="dxa"/>
            <w:tcBorders/>
            <w:shd w:fill="CCEEFF" w:val="clear"/>
            <w:vAlign w:val="center"/>
          </w:tcPr>
          <w:p>
            <w:pPr>
              <w:pStyle w:val="TableContents"/>
              <w:spacing w:before="0" w:after="1"/>
              <w:ind w:left="0" w:right="0" w:hanging="0"/>
              <w:jc w:val="right"/>
              <w:rPr/>
            </w:pPr>
            <w:r>
              <w:rPr/>
              <w:t>  </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2,076</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3,687</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4,855</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2,375</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clinical site costs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Earnout Cash liability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note payable and accrued interest - short term</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7,703</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15" w:type="dxa"/>
            <w:tcBorders/>
            <w:shd w:fill="auto" w:val="clear"/>
            <w:vAlign w:val="center"/>
          </w:tcPr>
          <w:p>
            <w:pPr>
              <w:pStyle w:val="TableContents"/>
              <w:spacing w:before="0" w:after="1"/>
              <w:ind w:left="0" w:right="0" w:hanging="0"/>
              <w:jc w:val="right"/>
              <w:rPr/>
            </w:pPr>
            <w:r>
              <w:rPr/>
              <w:t>—</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Warrant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Note payable and accrued interest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15,585</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11,923</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note payable and accrued interest - long term</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2,822</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5"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18,407</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11,923</w:t>
            </w:r>
          </w:p>
        </w:tc>
      </w:tr>
      <w:tr>
        <w:trPr/>
        <w:tc>
          <w:tcPr>
            <w:tcW w:w="752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jc w:val="right"/>
              <w:rPr/>
            </w:pPr>
            <w:r>
              <w:rPr/>
              <w:t>​</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15" w:type="dxa"/>
            <w:tcBorders/>
            <w:shd w:fill="auto" w:val="clear"/>
            <w:vAlign w:val="center"/>
          </w:tcPr>
          <w:p>
            <w:pPr>
              <w:pStyle w:val="TableContents"/>
              <w:spacing w:before="0" w:after="1"/>
              <w:ind w:left="0" w:right="0" w:hanging="0"/>
              <w:jc w:val="right"/>
              <w:rPr/>
            </w:pPr>
            <w:r>
              <w:rPr/>
              <w:t>​</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Preferred stock, $0.001 par value, 50,000,000 shares authorized; 0 shares issued and outstanding at December 31, 2022 and December 31, 2021, respectively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69"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15"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Common stock, $0.001 par value, 500,000,000 shares authorized; 66,442,989 and 58,810,550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2022 and 2021, respectively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230,339</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203,990</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(222,997)</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(183,243)</w:t>
            </w:r>
          </w:p>
        </w:tc>
      </w:tr>
      <w:tr>
        <w:trPr/>
        <w:tc>
          <w:tcPr>
            <w:tcW w:w="75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7,409</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20,806</w:t>
            </w:r>
          </w:p>
        </w:tc>
      </w:tr>
      <w:tr>
        <w:trPr/>
        <w:tc>
          <w:tcPr>
            <w:tcW w:w="75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25,816</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32,729</w:t>
            </w:r>
          </w:p>
        </w:tc>
      </w:tr>
    </w:tbl>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59" w:name="_48bd2dad_9a33_4d0c_a1bf_33fc2c360761"/>
      <w:bookmarkEnd w:id="159"/>
      <w:r>
        <w:rPr>
          <w:rFonts w:ascii="Times New Roman;Times;serif" w:hAnsi="Times New Roman;Times;serif"/>
          <w:b/>
          <w:sz w:val="20"/>
        </w:rPr>
        <w:t>NRX PHARMACEUTICALS, INC.</w:t>
      </w:r>
    </w:p>
    <w:p>
      <w:pPr>
        <w:pStyle w:val="TextBody"/>
        <w:spacing w:before="0" w:after="240"/>
        <w:ind w:left="0" w:right="0" w:hanging="0"/>
        <w:jc w:val="center"/>
        <w:rPr>
          <w:rFonts w:ascii="Times New Roman;Times;serif" w:hAnsi="Times New Roman;Times;serif"/>
          <w:b/>
          <w:sz w:val="20"/>
        </w:rPr>
      </w:pPr>
      <w:bookmarkStart w:id="160" w:name="CONDENSEDCONSOLIDATEDSTATEMENTOFOPERATIO"/>
      <w:bookmarkEnd w:id="160"/>
      <w:r>
        <w:rPr>
          <w:rFonts w:ascii="Times New Roman;Times;serif" w:hAnsi="Times New Roman;Times;serif"/>
          <w:b/>
          <w:sz w:val="20"/>
        </w:rPr>
        <w:t>CONSOLIDATED STATEMENTS OF OPERATIONS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before="0" w:after="240"/>
        <w:ind w:left="0" w:right="0" w:hanging="0"/>
        <w:rPr/>
      </w:pPr>
      <w:r>
        <w:rPr/>
        <w:t>​</w:t>
      </w:r>
    </w:p>
    <w:p>
      <w:pPr>
        <w:pStyle w:val="Normal"/>
        <w:spacing w:before="0" w:after="0"/>
        <w:rPr>
          <w:sz w:val="4"/>
          <w:szCs w:val="4"/>
        </w:rPr>
      </w:pPr>
      <w:r>
        <w:rPr>
          <w:sz w:val="4"/>
          <w:szCs w:val="4"/>
        </w:rPr>
      </w:r>
      <w:bookmarkStart w:id="161" w:name="Tc_xhZBitDjM0S2Ohf-5imm9Q_31_0"/>
      <w:bookmarkStart w:id="162" w:name="Tc_rz4mix4CGEuIF4e3Uaxw_A_30_0"/>
      <w:bookmarkStart w:id="163" w:name="Tc_2ixLqOC6TUGmeocp3RgRrA_29_5"/>
      <w:bookmarkStart w:id="164" w:name="Tc_EcUSaXvBVUuHz7ybjbnElA_29_2"/>
      <w:bookmarkStart w:id="165" w:name="Tc_mqYti4BhiUafVnoakRnucg_29_0"/>
      <w:bookmarkStart w:id="166" w:name="Tc_s0BKTaxyK0Gs0EJJXZwcxA_28_5"/>
      <w:bookmarkStart w:id="167" w:name="Tc_DJOswyT85UiX87P8xLaccA_28_2"/>
      <w:bookmarkStart w:id="168" w:name="Tc_754vRK8bnEilg7EUPIfYsQ_28_0"/>
      <w:bookmarkStart w:id="169" w:name="Tc_jy1qgyD5akOecxjMjR83uQ_27_0"/>
      <w:bookmarkStart w:id="170" w:name="Tc_WkXjLBWIFEKEpuUQvrVlog_26_5"/>
      <w:bookmarkStart w:id="171" w:name="Tc_kcP54g6pUEC7wx_DmOi5QA_26_2"/>
      <w:bookmarkStart w:id="172" w:name="Tc_c_0_P3kJ-kibFVMrCacrLw_26_0"/>
      <w:bookmarkStart w:id="173" w:name="Tc_zR97sYs3l0etR6VRr5RvsA_25_5"/>
      <w:bookmarkStart w:id="174" w:name="Tc_etZaimlBuEy3pZMDLJ2CEA_25_2"/>
      <w:bookmarkStart w:id="175" w:name="Tc_4n8fWdK8cE2SrxCqONO51A_25_0"/>
      <w:bookmarkStart w:id="176" w:name="Tc_SuCOenYX6UauaV4CEIGCYQ_24_0"/>
      <w:bookmarkStart w:id="177" w:name="Tc_vEFniFvbe0OeEtl5pz2P_g_23_5"/>
      <w:bookmarkStart w:id="178" w:name="Tc_YddtbopmdE-eR1QaGFx2Hg_23_2"/>
      <w:bookmarkStart w:id="179" w:name="Tc_aauMAu0Nk0eJRZChREEvIw_23_0"/>
      <w:bookmarkStart w:id="180" w:name="Tc_bTj7hUETTUCszrgfeidQGg_22_3"/>
      <w:bookmarkStart w:id="181" w:name="Tc_yh6kdYIfB02g6xM6v37Tng_22_0"/>
      <w:bookmarkStart w:id="182" w:name="Tc_i-LX7K2yUkWJv-gXyuWLJw_21_0"/>
      <w:bookmarkStart w:id="183" w:name="Tc_QrC-VO9jk0WxbC_aGy5rDw_20_6"/>
      <w:bookmarkStart w:id="184" w:name="Tc_xgryzeMoOEi62vzE5daGUw_20_3"/>
      <w:bookmarkStart w:id="185" w:name="Tc_m99n6jss1kCTph9CWTIcww_20_0"/>
      <w:bookmarkStart w:id="186" w:name="Tc_MGfDkprEF0W8iyHBC56X-w_19_0"/>
      <w:bookmarkStart w:id="187" w:name="Tc_fXccKfbaBEC7EZIYfMou0g_18_0"/>
      <w:bookmarkStart w:id="188" w:name="Tc_YTPFoRAPdE2SEwynpYEo8g_17_0"/>
      <w:bookmarkStart w:id="189" w:name="Tc_o1bUTW1Ww0SYTXfdgWnGWg_16_0"/>
      <w:bookmarkStart w:id="190" w:name="Tc_iA3Nn3d4lEK31nj3g7ieaQ_15_6"/>
      <w:bookmarkStart w:id="191" w:name="Tc_oROUwbEI3UKDxT1c_8g1TQ_15_0"/>
      <w:bookmarkStart w:id="192" w:name="Tc_36MCQGFxJUSpPJwoovRuGg_14_3"/>
      <w:bookmarkStart w:id="193" w:name="Tc_5DK2Dkn84EG3UDo9fpxAvw_14_0"/>
      <w:bookmarkStart w:id="194" w:name="Tc_n45JTcsMwUet65iY25Gzsw_13_6"/>
      <w:bookmarkStart w:id="195" w:name="Tc_BiIgFa8e3EiQkZNNbc5gpA_13_0"/>
      <w:bookmarkStart w:id="196" w:name="Tc_WcD8VpxTRUy5r5rclm6q1g_12_3"/>
      <w:bookmarkStart w:id="197" w:name="Tc_L2ikFn4nbUCfI2EC14sz8Q_12_0"/>
      <w:bookmarkStart w:id="198" w:name="Tc_2b-wQ98zW0Wpv0VKUYlMcw_11_0"/>
      <w:bookmarkStart w:id="199" w:name="Tc_ZngF8vZ14k6vKCcUBqgNVw_10_0"/>
      <w:bookmarkStart w:id="200" w:name="Tc_KVWtHTWzQECMYZ94vj9yJg_9_0"/>
      <w:bookmarkStart w:id="201" w:name="Tc_5socp5pbTkSoOQcKyY8XkQ_8_3"/>
      <w:bookmarkStart w:id="202" w:name="Tc_JeSYZd3uj0-ODQ_TnkLhVA_8_0"/>
      <w:bookmarkStart w:id="203" w:name="Tc_PuC_NIHPkEyqD6bDGP-KKQ_7_3"/>
      <w:bookmarkStart w:id="204" w:name="Tc_3fqrVOQt40mBQS01jEj3Dg_7_0"/>
      <w:bookmarkStart w:id="205" w:name="Tc_SoL-spfrm0GUiM9xlvRPyQ_6_0"/>
      <w:bookmarkStart w:id="206" w:name="Tc_BhBBgl0nSkyltwpOvYH5nw_5_5"/>
      <w:bookmarkStart w:id="207" w:name="Tc_bchoYR9gc0abfh2DnrIZng_5_2"/>
      <w:bookmarkStart w:id="208" w:name="Tc_3XrL4oF80E6SQW3D60Csjw_5_0"/>
      <w:bookmarkStart w:id="209" w:name="Tc_Rk1YzCthykyQDlV3_DhrSA_4_0"/>
      <w:bookmarkStart w:id="210" w:name="Tc_aVFBC9OjIkGQk2i2IeOihg_3_5"/>
      <w:bookmarkStart w:id="211" w:name="Tc_6qht91cTxE6uNc_nRVQZMQ_3_2"/>
      <w:bookmarkStart w:id="212" w:name="Tc_nODPr0R9k0az-6gy1gbR8A_2_2"/>
      <w:bookmarkStart w:id="213" w:name="Tc_qHN14pr04UejVAJhdIkm-g_1_2"/>
      <w:bookmarkStart w:id="214" w:name="_2febb93b_8b3c_490d_bd9a_aaed984714a7"/>
      <w:bookmarkStart w:id="215" w:name="Tc_xhZBitDjM0S2Ohf-5imm9Q_31_0"/>
      <w:bookmarkStart w:id="216" w:name="Tc_rz4mix4CGEuIF4e3Uaxw_A_30_0"/>
      <w:bookmarkStart w:id="217" w:name="Tc_2ixLqOC6TUGmeocp3RgRrA_29_5"/>
      <w:bookmarkStart w:id="218" w:name="Tc_EcUSaXvBVUuHz7ybjbnElA_29_2"/>
      <w:bookmarkStart w:id="219" w:name="Tc_mqYti4BhiUafVnoakRnucg_29_0"/>
      <w:bookmarkStart w:id="220" w:name="Tc_s0BKTaxyK0Gs0EJJXZwcxA_28_5"/>
      <w:bookmarkStart w:id="221" w:name="Tc_DJOswyT85UiX87P8xLaccA_28_2"/>
      <w:bookmarkStart w:id="222" w:name="Tc_754vRK8bnEilg7EUPIfYsQ_28_0"/>
      <w:bookmarkStart w:id="223" w:name="Tc_jy1qgyD5akOecxjMjR83uQ_27_0"/>
      <w:bookmarkStart w:id="224" w:name="Tc_WkXjLBWIFEKEpuUQvrVlog_26_5"/>
      <w:bookmarkStart w:id="225" w:name="Tc_kcP54g6pUEC7wx_DmOi5QA_26_2"/>
      <w:bookmarkStart w:id="226" w:name="Tc_c_0_P3kJ-kibFVMrCacrLw_26_0"/>
      <w:bookmarkStart w:id="227" w:name="Tc_zR97sYs3l0etR6VRr5RvsA_25_5"/>
      <w:bookmarkStart w:id="228" w:name="Tc_etZaimlBuEy3pZMDLJ2CEA_25_2"/>
      <w:bookmarkStart w:id="229" w:name="Tc_4n8fWdK8cE2SrxCqONO51A_25_0"/>
      <w:bookmarkStart w:id="230" w:name="Tc_SuCOenYX6UauaV4CEIGCYQ_24_0"/>
      <w:bookmarkStart w:id="231" w:name="Tc_vEFniFvbe0OeEtl5pz2P_g_23_5"/>
      <w:bookmarkStart w:id="232" w:name="Tc_YddtbopmdE-eR1QaGFx2Hg_23_2"/>
      <w:bookmarkStart w:id="233" w:name="Tc_aauMAu0Nk0eJRZChREEvIw_23_0"/>
      <w:bookmarkStart w:id="234" w:name="Tc_bTj7hUETTUCszrgfeidQGg_22_3"/>
      <w:bookmarkStart w:id="235" w:name="Tc_yh6kdYIfB02g6xM6v37Tng_22_0"/>
      <w:bookmarkStart w:id="236" w:name="Tc_i-LX7K2yUkWJv-gXyuWLJw_21_0"/>
      <w:bookmarkStart w:id="237" w:name="Tc_QrC-VO9jk0WxbC_aGy5rDw_20_6"/>
      <w:bookmarkStart w:id="238" w:name="Tc_xgryzeMoOEi62vzE5daGUw_20_3"/>
      <w:bookmarkStart w:id="239" w:name="Tc_m99n6jss1kCTph9CWTIcww_20_0"/>
      <w:bookmarkStart w:id="240" w:name="Tc_MGfDkprEF0W8iyHBC56X-w_19_0"/>
      <w:bookmarkStart w:id="241" w:name="Tc_fXccKfbaBEC7EZIYfMou0g_18_0"/>
      <w:bookmarkStart w:id="242" w:name="Tc_YTPFoRAPdE2SEwynpYEo8g_17_0"/>
      <w:bookmarkStart w:id="243" w:name="Tc_o1bUTW1Ww0SYTXfdgWnGWg_16_0"/>
      <w:bookmarkStart w:id="244" w:name="Tc_iA3Nn3d4lEK31nj3g7ieaQ_15_6"/>
      <w:bookmarkStart w:id="245" w:name="Tc_oROUwbEI3UKDxT1c_8g1TQ_15_0"/>
      <w:bookmarkStart w:id="246" w:name="Tc_36MCQGFxJUSpPJwoovRuGg_14_3"/>
      <w:bookmarkStart w:id="247" w:name="Tc_5DK2Dkn84EG3UDo9fpxAvw_14_0"/>
      <w:bookmarkStart w:id="248" w:name="Tc_n45JTcsMwUet65iY25Gzsw_13_6"/>
      <w:bookmarkStart w:id="249" w:name="Tc_BiIgFa8e3EiQkZNNbc5gpA_13_0"/>
      <w:bookmarkStart w:id="250" w:name="Tc_WcD8VpxTRUy5r5rclm6q1g_12_3"/>
      <w:bookmarkStart w:id="251" w:name="Tc_L2ikFn4nbUCfI2EC14sz8Q_12_0"/>
      <w:bookmarkStart w:id="252" w:name="Tc_2b-wQ98zW0Wpv0VKUYlMcw_11_0"/>
      <w:bookmarkStart w:id="253" w:name="Tc_ZngF8vZ14k6vKCcUBqgNVw_10_0"/>
      <w:bookmarkStart w:id="254" w:name="Tc_KVWtHTWzQECMYZ94vj9yJg_9_0"/>
      <w:bookmarkStart w:id="255" w:name="Tc_5socp5pbTkSoOQcKyY8XkQ_8_3"/>
      <w:bookmarkStart w:id="256" w:name="Tc_JeSYZd3uj0-ODQ_TnkLhVA_8_0"/>
      <w:bookmarkStart w:id="257" w:name="Tc_PuC_NIHPkEyqD6bDGP-KKQ_7_3"/>
      <w:bookmarkStart w:id="258" w:name="Tc_3fqrVOQt40mBQS01jEj3Dg_7_0"/>
      <w:bookmarkStart w:id="259" w:name="Tc_SoL-spfrm0GUiM9xlvRPyQ_6_0"/>
      <w:bookmarkStart w:id="260" w:name="Tc_BhBBgl0nSkyltwpOvYH5nw_5_5"/>
      <w:bookmarkStart w:id="261" w:name="Tc_bchoYR9gc0abfh2DnrIZng_5_2"/>
      <w:bookmarkStart w:id="262" w:name="Tc_3XrL4oF80E6SQW3D60Csjw_5_0"/>
      <w:bookmarkStart w:id="263" w:name="Tc_Rk1YzCthykyQDlV3_DhrSA_4_0"/>
      <w:bookmarkStart w:id="264" w:name="Tc_aVFBC9OjIkGQk2i2IeOihg_3_5"/>
      <w:bookmarkStart w:id="265" w:name="Tc_6qht91cTxE6uNc_nRVQZMQ_3_2"/>
      <w:bookmarkStart w:id="266" w:name="Tc_nODPr0R9k0az-6gy1gbR8A_2_2"/>
      <w:bookmarkStart w:id="267" w:name="Tc_qHN14pr04UejVAJhdIkm-g_1_2"/>
      <w:bookmarkStart w:id="268" w:name="_2febb93b_8b3c_490d_bd9a_aaed984714a7"/>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7882" w:type="dxa"/>
        <w:jc w:val="left"/>
        <w:tblInd w:w="0" w:type="dxa"/>
        <w:tblCellMar>
          <w:top w:w="0" w:type="dxa"/>
          <w:left w:w="0" w:type="dxa"/>
          <w:bottom w:w="0" w:type="dxa"/>
          <w:right w:w="0" w:type="dxa"/>
        </w:tblCellMar>
      </w:tblPr>
      <w:tblGrid>
        <w:gridCol w:w="4621"/>
        <w:gridCol w:w="326"/>
        <w:gridCol w:w="211"/>
        <w:gridCol w:w="1036"/>
        <w:gridCol w:w="326"/>
        <w:gridCol w:w="211"/>
        <w:gridCol w:w="1151"/>
      </w:tblGrid>
      <w:tr>
        <w:trPr/>
        <w:tc>
          <w:tcPr>
            <w:tcW w:w="4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934335" cy="175260"/>
                      <wp:effectExtent l="0" t="0" r="0" b="0"/>
                      <wp:wrapNone/>
                      <wp:docPr id="71" name="Frame60"/>
                      <a:graphic xmlns:a="http://schemas.openxmlformats.org/drawingml/2006/main">
                        <a:graphicData uri="http://schemas.microsoft.com/office/word/2010/wordprocessingShape">
                          <wps:wsp>
                            <wps:cNvSpPr txBox="1"/>
                            <wps:spPr>
                              <a:xfrm>
                                <a:off x="0" y="0"/>
                                <a:ext cx="2934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57860" cy="175260"/>
                      <wp:effectExtent l="0" t="0" r="0" b="0"/>
                      <wp:wrapNone/>
                      <wp:docPr id="74" name="Frame6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30885" cy="175260"/>
                      <wp:effectExtent l="0" t="0" r="0" b="0"/>
                      <wp:wrapNone/>
                      <wp:docPr id="77" name="Frame66"/>
                      <a:graphic xmlns:a="http://schemas.openxmlformats.org/drawingml/2006/main">
                        <a:graphicData uri="http://schemas.microsoft.com/office/word/2010/wordprocessingShape">
                          <wps:wsp>
                            <wps:cNvSpPr txBox="1"/>
                            <wps:spPr>
                              <a:xfrm>
                                <a:off x="0" y="0"/>
                                <a:ext cx="730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93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w:t>
            </w:r>
          </w:p>
        </w:tc>
      </w:tr>
      <w:tr>
        <w:trPr/>
        <w:tc>
          <w:tcPr>
            <w:tcW w:w="4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93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46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3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jc w:val="right"/>
              <w:rPr/>
            </w:pPr>
            <w:r>
              <w:rPr/>
              <w:t>  </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17,027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20,257</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27,308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74,944</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Settlement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21,366</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Reimbursement of expenses from Relief Therapeutics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44,335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115,796</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(44,335)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(115,796)</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(income)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1" w:type="dxa"/>
            <w:tcBorders/>
            <w:shd w:fill="auto" w:val="clear"/>
            <w:vAlign w:val="center"/>
          </w:tcPr>
          <w:p>
            <w:pPr>
              <w:pStyle w:val="TableContents"/>
              <w:spacing w:before="0" w:after="1"/>
              <w:ind w:left="0" w:right="0" w:hanging="0"/>
              <w:jc w:val="right"/>
              <w:rPr/>
            </w:pPr>
            <w:r>
              <w:rPr/>
              <w:t>​</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on extinguishment of debt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1" w:type="dxa"/>
            <w:tcBorders/>
            <w:shd w:fill="auto" w:val="clear"/>
            <w:vAlign w:val="center"/>
          </w:tcPr>
          <w:p>
            <w:pPr>
              <w:pStyle w:val="TableContents"/>
              <w:spacing w:before="0" w:after="1"/>
              <w:ind w:left="0" w:right="0" w:hanging="0"/>
              <w:jc w:val="right"/>
              <w:rPr/>
            </w:pPr>
            <w:r>
              <w:rPr/>
              <w:t>—</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fair value of convertible note payable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pPr>
            <w:r>
              <w:rPr/>
              <w:t>—</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(1,692)</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(20,938)</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(income)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(22,733)</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before tax</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(39,754)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(93,063)</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(39,754)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(93,063)</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Deemed dividend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(255,822)</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attributable to common stockholders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(39,754)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(348,885)</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per share: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rPr/>
            </w:pPr>
            <w:r>
              <w:rPr/>
              <w:t>​</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per share attributable to common stockholders: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0" w:hanging="0"/>
              <w:rPr/>
            </w:pPr>
            <w:r>
              <w:rPr/>
              <w:t>​</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46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common shares outstanding:</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1" w:type="dxa"/>
            <w:tcBorders/>
            <w:shd w:fill="CCEEFF" w:val="clear"/>
            <w:vAlign w:val="center"/>
          </w:tcPr>
          <w:p>
            <w:pPr>
              <w:pStyle w:val="TableContents"/>
              <w:spacing w:before="0" w:after="1"/>
              <w:ind w:left="0" w:right="0" w:hanging="0"/>
              <w:rPr/>
            </w:pPr>
            <w:r>
              <w:rPr/>
              <w:t>​</w:t>
            </w:r>
          </w:p>
        </w:tc>
      </w:tr>
      <w:tr>
        <w:trPr/>
        <w:tc>
          <w:tcPr>
            <w:tcW w:w="46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and diluted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65,766,786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1" w:type="dxa"/>
            <w:tcBorders/>
            <w:shd w:fill="auto"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46,917,701</w:t>
            </w:r>
          </w:p>
        </w:tc>
      </w:tr>
    </w:tbl>
    <w:p>
      <w:pPr>
        <w:pStyle w:val="TextBody"/>
        <w:spacing w:before="0" w:after="24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69" w:name="_Hlk131039955"/>
      <w:bookmarkStart w:id="270" w:name="_da779c9e_7a7a_47c4_bc17_85d911f416ae"/>
      <w:bookmarkEnd w:id="269"/>
      <w:bookmarkEnd w:id="270"/>
      <w:r>
        <w:rPr>
          <w:rFonts w:ascii="Times New Roman;Times;serif" w:hAnsi="Times New Roman;Times;serif"/>
          <w:b/>
          <w:sz w:val="20"/>
        </w:rPr>
        <w:t>NRX PHARMACEUTICALS, INC.</w:t>
      </w:r>
    </w:p>
    <w:p>
      <w:pPr>
        <w:pStyle w:val="TextBody"/>
        <w:spacing w:before="0" w:after="240"/>
        <w:ind w:left="0" w:right="0" w:hanging="0"/>
        <w:jc w:val="center"/>
        <w:rPr>
          <w:rFonts w:ascii="Times New Roman;Times;serif" w:hAnsi="Times New Roman;Times;serif"/>
          <w:b/>
          <w:sz w:val="20"/>
        </w:rPr>
      </w:pPr>
      <w:bookmarkStart w:id="271" w:name="STOCKHOLDERSEQUITYDEFICIT_256664"/>
      <w:bookmarkEnd w:id="271"/>
      <w:r>
        <w:rPr>
          <w:rFonts w:ascii="Times New Roman;Times;serif" w:hAnsi="Times New Roman;Times;serif"/>
          <w:b/>
          <w:sz w:val="20"/>
        </w:rPr>
        <w:t>CONSOLIDATED STATEMENTS OF STOCKHOLDERS’ EQUITY</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spacing w:before="0" w:after="0"/>
        <w:rPr>
          <w:sz w:val="4"/>
          <w:szCs w:val="4"/>
        </w:rPr>
      </w:pPr>
      <w:r>
        <w:rPr>
          <w:sz w:val="4"/>
          <w:szCs w:val="4"/>
        </w:rPr>
      </w:r>
      <w:bookmarkStart w:id="272" w:name="Tc_bi9PfHorsEOE9lfvxAqMRQ_27_12"/>
      <w:bookmarkStart w:id="273" w:name="Tc_Md05HQdrAUSNSdo8Clxxyw_27_9"/>
      <w:bookmarkStart w:id="274" w:name="Tc_DncB8rRVE0WobZ7N_0tFbw_27_6"/>
      <w:bookmarkStart w:id="275" w:name="Tc_CEcs20khF0OEXz61nEPefQ_27_3"/>
      <w:bookmarkStart w:id="276" w:name="Tc_0sdyUtbwMUaJ3Htde_XHiw_27_0"/>
      <w:bookmarkStart w:id="277" w:name="Tc_EFg9lKhUB0ud0eDcoA8e-A_26_7"/>
      <w:bookmarkStart w:id="278" w:name="Tc_dg47s0QQ9kqyAgXUYzws4g_26_4"/>
      <w:bookmarkStart w:id="279" w:name="Tc_v1_jOUaCD0y1XDuGnWNG3Q_26_1"/>
      <w:bookmarkStart w:id="280" w:name="Tc_-ykbdz9nmUOsm1gAp4l3xQ_26_0"/>
      <w:bookmarkStart w:id="281" w:name="Tc_o4WUvHuWcUe6h6K84Zugmw_25_10"/>
      <w:bookmarkStart w:id="282" w:name="Tc_P2ViYdnxFk-wA-gzlgWvcw_25_4"/>
      <w:bookmarkStart w:id="283" w:name="Tc_hX0CAXJ2JUi9cNbUTDRD-w_25_1"/>
      <w:bookmarkStart w:id="284" w:name="Tc_AtwCCf4QkEexsPJ9JrHtHQ_25_0"/>
      <w:bookmarkStart w:id="285" w:name="Tc_EbmoRLZ8LkOyigKG2iEuYw_24_13"/>
      <w:bookmarkStart w:id="286" w:name="Tc_2uetBwXvdEmJ6BU2WNec4g_24_10"/>
      <w:bookmarkStart w:id="287" w:name="Tc_TC7djOGS7UOpqZPIowaMVQ_24_0"/>
      <w:bookmarkStart w:id="288" w:name="Tc_r0WXUa-HoUyMHlbrouY2ZQ_23_13"/>
      <w:bookmarkStart w:id="289" w:name="Tc_odJtp6UpU0Kj9WNy6Nb1PQ_23_10"/>
      <w:bookmarkStart w:id="290" w:name="Tc_xJ8b7CiQDUypyqqJ3buhnA_23_0"/>
      <w:bookmarkStart w:id="291" w:name="Tc_VZahDyvOEk2qP3Pkcz00Vw_22_10"/>
      <w:bookmarkStart w:id="292" w:name="Tc_rmpzlPusBk6vSf-_tUHcsQ_22_4"/>
      <w:bookmarkStart w:id="293" w:name="Tc_GYaHfjVMfEaIW1Yi1gJC3g_22_0"/>
      <w:bookmarkStart w:id="294" w:name="Tc_MF2y6kDHPESv2XHCV1nh4g_21_10"/>
      <w:bookmarkStart w:id="295" w:name="Tc_hKFHEEQycUqPykrOhABhTg_21_4"/>
      <w:bookmarkStart w:id="296" w:name="Tc_bBAe4BfrVE-djdmKMS3udw_21_0"/>
      <w:bookmarkStart w:id="297" w:name="Tc_cMwEW-oRPU-pAD1IU0_oaw_20_10"/>
      <w:bookmarkStart w:id="298" w:name="Tc_Q0LX8h8rJUK_rGItxmfXQg_20_0"/>
      <w:bookmarkStart w:id="299" w:name="Tc_ZszkpCFhlUG5RP_YtJuzGg_19_12"/>
      <w:bookmarkStart w:id="300" w:name="Tc_R5OLO23980aSDCG6vWsv-w_19_9"/>
      <w:bookmarkStart w:id="301" w:name="Tc_6peN1bcX4UmysXLICZNhlg_19_6"/>
      <w:bookmarkStart w:id="302" w:name="Tc_VsSTGAK6HU2LPCz9jXHabw_19_3"/>
      <w:bookmarkStart w:id="303" w:name="Tc_Tw54wCX-5kOuuZjUk3BhXg_19_0"/>
      <w:bookmarkStart w:id="304" w:name="Tc_fciOjeIOiU6HxBXvXRaOTg_18_7"/>
      <w:bookmarkStart w:id="305" w:name="Tc_KuMNHkMPrkm-Eja7WF8rpw_18_4"/>
      <w:bookmarkStart w:id="306" w:name="Tc_-DfjKyNhL0mXJtc-N3vG5g_18_1"/>
      <w:bookmarkStart w:id="307" w:name="Tc_6q-zu5KID0Su10JVnVPfAQ_18_0"/>
      <w:bookmarkStart w:id="308" w:name="Tc_4MyjruD5zkuhbrc3fLLTrA_17_10"/>
      <w:bookmarkStart w:id="309" w:name="Tc_KlGRqDQHV0irJbLx-awovw_17_4"/>
      <w:bookmarkStart w:id="310" w:name="Tc_ABjBeQvIeESv9eZRABMbtw_17_1"/>
      <w:bookmarkStart w:id="311" w:name="Tc_hNpOSlHRo0-aXlyyV3R2QQ_17_0"/>
      <w:bookmarkStart w:id="312" w:name="Tc_2OnaYXVD90OS0yRdz5dKrA_16_10"/>
      <w:bookmarkStart w:id="313" w:name="Tc_BHgCHh-UJkmn1Bq7bFVXzg_16_0"/>
      <w:bookmarkStart w:id="314" w:name="Tc_HrGuN4pmP0GxL2e4903n3g_15_10"/>
      <w:bookmarkStart w:id="315" w:name="Tc_2V8EwUGpykWj_KZpx3cQXw_15_0"/>
      <w:bookmarkStart w:id="316" w:name="Tc_ipu0LcvSX06u0UNoZt9l8A_14_10"/>
      <w:bookmarkStart w:id="317" w:name="Tc_367TKrv1k0Ghx8sislXm-Q_14_0"/>
      <w:bookmarkStart w:id="318" w:name="Tc_b_wGFLNxSE63V4aCJQHaaw_13_10"/>
      <w:bookmarkStart w:id="319" w:name="Tc_Empq18QtEkySSmxNJgeQtg_13_4"/>
      <w:bookmarkStart w:id="320" w:name="Tc_R9nP_zv97EKxQYghxvF1Iw_13_1"/>
      <w:bookmarkStart w:id="321" w:name="Tc_zRnU1VFID0ObqYuWvHXK-Q_13_0"/>
      <w:bookmarkStart w:id="322" w:name="Tc_ClltmuiNb02KhLIsgvPcSQ_12_10"/>
      <w:bookmarkStart w:id="323" w:name="Tc_-4XVQ567Jkqrz2vv_RVqig_12_4"/>
      <w:bookmarkStart w:id="324" w:name="Tc_dNA_MP3cBUurfImsVbbfIg_12_1"/>
      <w:bookmarkStart w:id="325" w:name="Tc_8g4Hdc60_U6zFNBPd_vClw_12_0"/>
      <w:bookmarkStart w:id="326" w:name="Tc_vI4T1ONTR0aBrfD-2icA6g_11_10"/>
      <w:bookmarkStart w:id="327" w:name="Tc_oPiXaCpp_U2QcPu6bNLxrQ_11_4"/>
      <w:bookmarkStart w:id="328" w:name="Tc_tBa5pgCfFkaCbrkXOkVP2Q_11_0"/>
      <w:bookmarkStart w:id="329" w:name="Tc_V8sYGCyR9ESmUSinMM1R9w_10_10"/>
      <w:bookmarkStart w:id="330" w:name="Tc_dDIQdpiTaUGXBN-lWZ_vCQ_10_0"/>
      <w:bookmarkStart w:id="331" w:name="Tc_g1TWM_aKtE2KsYahhpeFCA_9_10"/>
      <w:bookmarkStart w:id="332" w:name="Tc_zPRJthtjWUG25wcXfxL6lg_9_0"/>
      <w:bookmarkStart w:id="333" w:name="Tc_MoW5rtufskqkwEhKgMoUsQ_8_10"/>
      <w:bookmarkStart w:id="334" w:name="Tc_tPOMTGAo6kypCkOJJ_JCRA_8_4"/>
      <w:bookmarkStart w:id="335" w:name="Tc_cz4MntZ2hUyhvh3wkrRlWA_8_1"/>
      <w:bookmarkStart w:id="336" w:name="Tc_zJ3qyX0u9EmsncfpQ6KZnA_8_0"/>
      <w:bookmarkStart w:id="337" w:name="Tc_IiRHhUq3M0GQcuylDOaBkQ_7_10"/>
      <w:bookmarkStart w:id="338" w:name="Tc__4_vhyvY0kChmhGOn-ut8w_7_0"/>
      <w:bookmarkStart w:id="339" w:name="Tc_qgoP_YR2Hk-1WElJc8HShg_6_12"/>
      <w:bookmarkStart w:id="340" w:name="Tc_K3ukjcey1UGiGprQzmC5EA_6_9"/>
      <w:bookmarkStart w:id="341" w:name="Tc_k8l1pXDwPUG0as2E3drBbg_6_6"/>
      <w:bookmarkStart w:id="342" w:name="Tc_3lPX3OQLpkqWrfQjLMC5Kw_6_3"/>
      <w:bookmarkStart w:id="343" w:name="Tc_6YE5ILFwC0a4KC_s9-fSOg_6_0"/>
      <w:bookmarkStart w:id="344" w:name="Tc_RCE5azpTi0iSU-7TQWkYng_5_12"/>
      <w:bookmarkStart w:id="345" w:name="Tc_vRRT5pW0J0e_JvEah04G1A_5_9"/>
      <w:bookmarkStart w:id="346" w:name="Tc_y9J2jtRiDUeF8ngBGwIE8A_5_6"/>
      <w:bookmarkStart w:id="347" w:name="Tc_3gmNJGpypEG9hOZgp8kxqQ_5_3"/>
      <w:bookmarkStart w:id="348" w:name="Tc_96AMrn1Q4EW5T2N765DmPA_5_1"/>
      <w:bookmarkStart w:id="349" w:name="Tc_jgxNxpSYMUWJLz4llhBJVQ_4_12"/>
      <w:bookmarkStart w:id="350" w:name="Tc_x4QFa7-TMUSN34Cf0QPVCQ_4_9"/>
      <w:bookmarkStart w:id="351" w:name="Tc_rLy69JWTOkaAkyWibBnYAA_4_6"/>
      <w:bookmarkStart w:id="352" w:name="Tc_cOvS76Zg_0uYc_Dev6iVnA_4_1"/>
      <w:bookmarkStart w:id="353" w:name="Tc_GbWDZcZg5UGW28EASyXLDg_3_12"/>
      <w:bookmarkStart w:id="354" w:name="Tc_uTZ6bCmt1U-6Feucim3qsg_3_6"/>
      <w:bookmarkStart w:id="355" w:name="_f6bbf4d5_408d_492c_bd12_c7d5230da023"/>
      <w:bookmarkStart w:id="356" w:name="Tc_bi9PfHorsEOE9lfvxAqMRQ_27_12"/>
      <w:bookmarkStart w:id="357" w:name="Tc_Md05HQdrAUSNSdo8Clxxyw_27_9"/>
      <w:bookmarkStart w:id="358" w:name="Tc_DncB8rRVE0WobZ7N_0tFbw_27_6"/>
      <w:bookmarkStart w:id="359" w:name="Tc_CEcs20khF0OEXz61nEPefQ_27_3"/>
      <w:bookmarkStart w:id="360" w:name="Tc_0sdyUtbwMUaJ3Htde_XHiw_27_0"/>
      <w:bookmarkStart w:id="361" w:name="Tc_EFg9lKhUB0ud0eDcoA8e-A_26_7"/>
      <w:bookmarkStart w:id="362" w:name="Tc_dg47s0QQ9kqyAgXUYzws4g_26_4"/>
      <w:bookmarkStart w:id="363" w:name="Tc_v1_jOUaCD0y1XDuGnWNG3Q_26_1"/>
      <w:bookmarkStart w:id="364" w:name="Tc_-ykbdz9nmUOsm1gAp4l3xQ_26_0"/>
      <w:bookmarkStart w:id="365" w:name="Tc_o4WUvHuWcUe6h6K84Zugmw_25_10"/>
      <w:bookmarkStart w:id="366" w:name="Tc_P2ViYdnxFk-wA-gzlgWvcw_25_4"/>
      <w:bookmarkStart w:id="367" w:name="Tc_hX0CAXJ2JUi9cNbUTDRD-w_25_1"/>
      <w:bookmarkStart w:id="368" w:name="Tc_AtwCCf4QkEexsPJ9JrHtHQ_25_0"/>
      <w:bookmarkStart w:id="369" w:name="Tc_EbmoRLZ8LkOyigKG2iEuYw_24_13"/>
      <w:bookmarkStart w:id="370" w:name="Tc_2uetBwXvdEmJ6BU2WNec4g_24_10"/>
      <w:bookmarkStart w:id="371" w:name="Tc_TC7djOGS7UOpqZPIowaMVQ_24_0"/>
      <w:bookmarkStart w:id="372" w:name="Tc_r0WXUa-HoUyMHlbrouY2ZQ_23_13"/>
      <w:bookmarkStart w:id="373" w:name="Tc_odJtp6UpU0Kj9WNy6Nb1PQ_23_10"/>
      <w:bookmarkStart w:id="374" w:name="Tc_xJ8b7CiQDUypyqqJ3buhnA_23_0"/>
      <w:bookmarkStart w:id="375" w:name="Tc_VZahDyvOEk2qP3Pkcz00Vw_22_10"/>
      <w:bookmarkStart w:id="376" w:name="Tc_rmpzlPusBk6vSf-_tUHcsQ_22_4"/>
      <w:bookmarkStart w:id="377" w:name="Tc_GYaHfjVMfEaIW1Yi1gJC3g_22_0"/>
      <w:bookmarkStart w:id="378" w:name="Tc_MF2y6kDHPESv2XHCV1nh4g_21_10"/>
      <w:bookmarkStart w:id="379" w:name="Tc_hKFHEEQycUqPykrOhABhTg_21_4"/>
      <w:bookmarkStart w:id="380" w:name="Tc_bBAe4BfrVE-djdmKMS3udw_21_0"/>
      <w:bookmarkStart w:id="381" w:name="Tc_cMwEW-oRPU-pAD1IU0_oaw_20_10"/>
      <w:bookmarkStart w:id="382" w:name="Tc_Q0LX8h8rJUK_rGItxmfXQg_20_0"/>
      <w:bookmarkStart w:id="383" w:name="Tc_ZszkpCFhlUG5RP_YtJuzGg_19_12"/>
      <w:bookmarkStart w:id="384" w:name="Tc_R5OLO23980aSDCG6vWsv-w_19_9"/>
      <w:bookmarkStart w:id="385" w:name="Tc_6peN1bcX4UmysXLICZNhlg_19_6"/>
      <w:bookmarkStart w:id="386" w:name="Tc_VsSTGAK6HU2LPCz9jXHabw_19_3"/>
      <w:bookmarkStart w:id="387" w:name="Tc_Tw54wCX-5kOuuZjUk3BhXg_19_0"/>
      <w:bookmarkStart w:id="388" w:name="Tc_fciOjeIOiU6HxBXvXRaOTg_18_7"/>
      <w:bookmarkStart w:id="389" w:name="Tc_KuMNHkMPrkm-Eja7WF8rpw_18_4"/>
      <w:bookmarkStart w:id="390" w:name="Tc_-DfjKyNhL0mXJtc-N3vG5g_18_1"/>
      <w:bookmarkStart w:id="391" w:name="Tc_6q-zu5KID0Su10JVnVPfAQ_18_0"/>
      <w:bookmarkStart w:id="392" w:name="Tc_4MyjruD5zkuhbrc3fLLTrA_17_10"/>
      <w:bookmarkStart w:id="393" w:name="Tc_KlGRqDQHV0irJbLx-awovw_17_4"/>
      <w:bookmarkStart w:id="394" w:name="Tc_ABjBeQvIeESv9eZRABMbtw_17_1"/>
      <w:bookmarkStart w:id="395" w:name="Tc_hNpOSlHRo0-aXlyyV3R2QQ_17_0"/>
      <w:bookmarkStart w:id="396" w:name="Tc_2OnaYXVD90OS0yRdz5dKrA_16_10"/>
      <w:bookmarkStart w:id="397" w:name="Tc_BHgCHh-UJkmn1Bq7bFVXzg_16_0"/>
      <w:bookmarkStart w:id="398" w:name="Tc_HrGuN4pmP0GxL2e4903n3g_15_10"/>
      <w:bookmarkStart w:id="399" w:name="Tc_2V8EwUGpykWj_KZpx3cQXw_15_0"/>
      <w:bookmarkStart w:id="400" w:name="Tc_ipu0LcvSX06u0UNoZt9l8A_14_10"/>
      <w:bookmarkStart w:id="401" w:name="Tc_367TKrv1k0Ghx8sislXm-Q_14_0"/>
      <w:bookmarkStart w:id="402" w:name="Tc_b_wGFLNxSE63V4aCJQHaaw_13_10"/>
      <w:bookmarkStart w:id="403" w:name="Tc_Empq18QtEkySSmxNJgeQtg_13_4"/>
      <w:bookmarkStart w:id="404" w:name="Tc_R9nP_zv97EKxQYghxvF1Iw_13_1"/>
      <w:bookmarkStart w:id="405" w:name="Tc_zRnU1VFID0ObqYuWvHXK-Q_13_0"/>
      <w:bookmarkStart w:id="406" w:name="Tc_ClltmuiNb02KhLIsgvPcSQ_12_10"/>
      <w:bookmarkStart w:id="407" w:name="Tc_-4XVQ567Jkqrz2vv_RVqig_12_4"/>
      <w:bookmarkStart w:id="408" w:name="Tc_dNA_MP3cBUurfImsVbbfIg_12_1"/>
      <w:bookmarkStart w:id="409" w:name="Tc_8g4Hdc60_U6zFNBPd_vClw_12_0"/>
      <w:bookmarkStart w:id="410" w:name="Tc_vI4T1ONTR0aBrfD-2icA6g_11_10"/>
      <w:bookmarkStart w:id="411" w:name="Tc_oPiXaCpp_U2QcPu6bNLxrQ_11_4"/>
      <w:bookmarkStart w:id="412" w:name="Tc_tBa5pgCfFkaCbrkXOkVP2Q_11_0"/>
      <w:bookmarkStart w:id="413" w:name="Tc_V8sYGCyR9ESmUSinMM1R9w_10_10"/>
      <w:bookmarkStart w:id="414" w:name="Tc_dDIQdpiTaUGXBN-lWZ_vCQ_10_0"/>
      <w:bookmarkStart w:id="415" w:name="Tc_g1TWM_aKtE2KsYahhpeFCA_9_10"/>
      <w:bookmarkStart w:id="416" w:name="Tc_zPRJthtjWUG25wcXfxL6lg_9_0"/>
      <w:bookmarkStart w:id="417" w:name="Tc_MoW5rtufskqkwEhKgMoUsQ_8_10"/>
      <w:bookmarkStart w:id="418" w:name="Tc_tPOMTGAo6kypCkOJJ_JCRA_8_4"/>
      <w:bookmarkStart w:id="419" w:name="Tc_cz4MntZ2hUyhvh3wkrRlWA_8_1"/>
      <w:bookmarkStart w:id="420" w:name="Tc_zJ3qyX0u9EmsncfpQ6KZnA_8_0"/>
      <w:bookmarkStart w:id="421" w:name="Tc_IiRHhUq3M0GQcuylDOaBkQ_7_10"/>
      <w:bookmarkStart w:id="422" w:name="Tc__4_vhyvY0kChmhGOn-ut8w_7_0"/>
      <w:bookmarkStart w:id="423" w:name="Tc_qgoP_YR2Hk-1WElJc8HShg_6_12"/>
      <w:bookmarkStart w:id="424" w:name="Tc_K3ukjcey1UGiGprQzmC5EA_6_9"/>
      <w:bookmarkStart w:id="425" w:name="Tc_k8l1pXDwPUG0as2E3drBbg_6_6"/>
      <w:bookmarkStart w:id="426" w:name="Tc_3lPX3OQLpkqWrfQjLMC5Kw_6_3"/>
      <w:bookmarkStart w:id="427" w:name="Tc_6YE5ILFwC0a4KC_s9-fSOg_6_0"/>
      <w:bookmarkStart w:id="428" w:name="Tc_RCE5azpTi0iSU-7TQWkYng_5_12"/>
      <w:bookmarkStart w:id="429" w:name="Tc_vRRT5pW0J0e_JvEah04G1A_5_9"/>
      <w:bookmarkStart w:id="430" w:name="Tc_y9J2jtRiDUeF8ngBGwIE8A_5_6"/>
      <w:bookmarkStart w:id="431" w:name="Tc_3gmNJGpypEG9hOZgp8kxqQ_5_3"/>
      <w:bookmarkStart w:id="432" w:name="Tc_96AMrn1Q4EW5T2N765DmPA_5_1"/>
      <w:bookmarkStart w:id="433" w:name="Tc_jgxNxpSYMUWJLz4llhBJVQ_4_12"/>
      <w:bookmarkStart w:id="434" w:name="Tc_x4QFa7-TMUSN34Cf0QPVCQ_4_9"/>
      <w:bookmarkStart w:id="435" w:name="Tc_rLy69JWTOkaAkyWibBnYAA_4_6"/>
      <w:bookmarkStart w:id="436" w:name="Tc_cOvS76Zg_0uYc_Dev6iVnA_4_1"/>
      <w:bookmarkStart w:id="437" w:name="Tc_GbWDZcZg5UGW28EASyXLDg_3_12"/>
      <w:bookmarkStart w:id="438" w:name="Tc_uTZ6bCmt1U-6Feucim3qsg_3_6"/>
      <w:bookmarkStart w:id="439" w:name="_f6bbf4d5_408d_492c_bd12_c7d5230da023"/>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tbl>
      <w:tblPr>
        <w:tblW w:w="10205" w:type="dxa"/>
        <w:jc w:val="left"/>
        <w:tblInd w:w="0" w:type="dxa"/>
        <w:tblCellMar>
          <w:top w:w="0" w:type="dxa"/>
          <w:left w:w="0" w:type="dxa"/>
          <w:bottom w:w="0" w:type="dxa"/>
          <w:right w:w="0" w:type="dxa"/>
        </w:tblCellMar>
      </w:tblPr>
      <w:tblGrid>
        <w:gridCol w:w="5054"/>
        <w:gridCol w:w="938"/>
        <w:gridCol w:w="109"/>
        <w:gridCol w:w="249"/>
        <w:gridCol w:w="442"/>
        <w:gridCol w:w="109"/>
        <w:gridCol w:w="196"/>
        <w:gridCol w:w="713"/>
        <w:gridCol w:w="109"/>
        <w:gridCol w:w="217"/>
        <w:gridCol w:w="834"/>
        <w:gridCol w:w="109"/>
        <w:gridCol w:w="242"/>
        <w:gridCol w:w="884"/>
      </w:tblGrid>
      <w:tr>
        <w:trPr/>
        <w:tc>
          <w:tcPr>
            <w:tcW w:w="5054" w:type="dxa"/>
            <w:tcBorders/>
            <w:shd w:fill="auto" w:val="clear"/>
            <w:vAlign w:val="center"/>
          </w:tcPr>
          <w:p>
            <w:pPr>
              <w:pStyle w:val="TableContents"/>
              <w:spacing w:before="0" w:after="1"/>
              <w:ind w:left="0" w:right="0" w:hanging="0"/>
              <w:rPr/>
            </w:pPr>
            <w:r>
              <w:rPr/>
              <w:t>​</w:t>
            </w:r>
          </w:p>
        </w:tc>
        <w:tc>
          <w:tcPr>
            <w:tcW w:w="9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5630" cy="175260"/>
                      <wp:effectExtent l="0" t="0" r="0" b="0"/>
                      <wp:wrapNone/>
                      <wp:docPr id="78" name="Frame67"/>
                      <a:graphic xmlns:a="http://schemas.openxmlformats.org/drawingml/2006/main">
                        <a:graphicData uri="http://schemas.microsoft.com/office/word/2010/wordprocessingShape">
                          <wps:wsp>
                            <wps:cNvSpPr txBox="1"/>
                            <wps:spPr>
                              <a:xfrm>
                                <a:off x="0" y="0"/>
                                <a:ext cx="595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8115" cy="175260"/>
                      <wp:effectExtent l="0" t="0" r="0" b="0"/>
                      <wp:wrapNone/>
                      <wp:docPr id="80" name="Frame69"/>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80670" cy="175260"/>
                      <wp:effectExtent l="0" t="0" r="0" b="0"/>
                      <wp:wrapNone/>
                      <wp:docPr id="81" name="Frame70"/>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7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7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52755" cy="175260"/>
                      <wp:effectExtent l="0" t="0" r="0" b="0"/>
                      <wp:wrapNone/>
                      <wp:docPr id="84" name="Frame73"/>
                      <a:graphic xmlns:a="http://schemas.openxmlformats.org/drawingml/2006/main">
                        <a:graphicData uri="http://schemas.microsoft.com/office/word/2010/wordprocessingShape">
                          <wps:wsp>
                            <wps:cNvSpPr txBox="1"/>
                            <wps:spPr>
                              <a:xfrm>
                                <a:off x="0" y="0"/>
                                <a:ext cx="452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7795" cy="175260"/>
                      <wp:effectExtent l="0" t="0" r="0" b="0"/>
                      <wp:wrapNone/>
                      <wp:docPr id="86" name="Frame75"/>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29590" cy="175260"/>
                      <wp:effectExtent l="0" t="0" r="0" b="0"/>
                      <wp:wrapNone/>
                      <wp:docPr id="87" name="Frame76"/>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3670" cy="175260"/>
                      <wp:effectExtent l="0" t="0" r="0" b="0"/>
                      <wp:wrapNone/>
                      <wp:docPr id="89" name="Frame78"/>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61340" cy="175260"/>
                      <wp:effectExtent l="0" t="0" r="0" b="0"/>
                      <wp:wrapNone/>
                      <wp:docPr id="90" name="Frame79"/>
                      <a:graphic xmlns:a="http://schemas.openxmlformats.org/drawingml/2006/main">
                        <a:graphicData uri="http://schemas.microsoft.com/office/word/2010/wordprocessingShape">
                          <wps:wsp>
                            <wps:cNvSpPr txBox="1"/>
                            <wps:spPr>
                              <a:xfrm>
                                <a:off x="0" y="0"/>
                                <a:ext cx="5613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54" w:type="dxa"/>
            <w:tcBorders/>
            <w:shd w:fill="auto" w:val="clear"/>
            <w:vAlign w:val="center"/>
          </w:tcPr>
          <w:p>
            <w:pPr>
              <w:pStyle w:val="TableContents"/>
              <w:spacing w:before="0" w:after="1"/>
              <w:ind w:left="0" w:right="0" w:hanging="0"/>
              <w:rPr/>
            </w:pPr>
            <w:r>
              <w:rPr/>
              <w:t>​</w:t>
            </w:r>
          </w:p>
        </w:tc>
        <w:tc>
          <w:tcPr>
            <w:tcW w:w="938"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rPr/>
            </w:pPr>
            <w:r>
              <w:rPr/>
              <w:t>​</w:t>
            </w:r>
          </w:p>
        </w:tc>
      </w:tr>
      <w:tr>
        <w:trPr/>
        <w:tc>
          <w:tcPr>
            <w:tcW w:w="5054" w:type="dxa"/>
            <w:tcBorders/>
            <w:shd w:fill="auto" w:val="clear"/>
            <w:vAlign w:val="center"/>
          </w:tcPr>
          <w:p>
            <w:pPr>
              <w:pStyle w:val="TableContents"/>
              <w:spacing w:before="0" w:after="1"/>
              <w:ind w:left="0" w:right="0" w:hanging="0"/>
              <w:rPr/>
            </w:pPr>
            <w:r>
              <w:rPr/>
              <w:t>​</w:t>
            </w:r>
          </w:p>
        </w:tc>
        <w:tc>
          <w:tcPr>
            <w:tcW w:w="938"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909"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26" w:type="dxa"/>
            <w:gridSpan w:val="2"/>
            <w:tcBorders/>
            <w:shd w:fill="auto" w:val="clear"/>
            <w:vAlign w:val="center"/>
          </w:tcPr>
          <w:p>
            <w:pPr>
              <w:pStyle w:val="TableContents"/>
              <w:spacing w:before="0" w:after="1"/>
              <w:ind w:left="0" w:right="0" w:hanging="0"/>
              <w:jc w:val="center"/>
              <w:rPr/>
            </w:pPr>
            <w:r>
              <w:rPr/>
              <w:t>​</w:t>
            </w:r>
          </w:p>
        </w:tc>
      </w:tr>
      <w:tr>
        <w:trPr/>
        <w:tc>
          <w:tcPr>
            <w:tcW w:w="5054" w:type="dxa"/>
            <w:tcBorders/>
            <w:shd w:fill="auto" w:val="clear"/>
            <w:vAlign w:val="center"/>
          </w:tcPr>
          <w:p>
            <w:pPr>
              <w:pStyle w:val="TableContents"/>
              <w:spacing w:before="0" w:after="1"/>
              <w:ind w:left="0" w:right="0" w:hanging="0"/>
              <w:rPr/>
            </w:pPr>
            <w:r>
              <w:rPr/>
              <w:t>​</w:t>
            </w:r>
          </w:p>
        </w:tc>
        <w:tc>
          <w:tcPr>
            <w:tcW w:w="938"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90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shd w:fill="auto" w:val="clear"/>
            <w:vAlign w:val="center"/>
          </w:tcPr>
          <w:p>
            <w:pPr>
              <w:pStyle w:val="TableContents"/>
              <w:spacing w:before="0" w:after="1"/>
              <w:ind w:left="0" w:right="0" w:hanging="0"/>
              <w:jc w:val="center"/>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054" w:type="dxa"/>
            <w:tcBorders/>
            <w:shd w:fill="auto" w:val="clear"/>
            <w:vAlign w:val="center"/>
          </w:tcPr>
          <w:p>
            <w:pPr>
              <w:pStyle w:val="TableContents"/>
              <w:spacing w:before="0" w:after="1"/>
              <w:ind w:left="0" w:right="0" w:hanging="0"/>
              <w:rPr/>
            </w:pPr>
            <w:r>
              <w:rPr/>
              <w:t>​</w:t>
            </w:r>
          </w:p>
        </w:tc>
        <w:tc>
          <w:tcPr>
            <w:tcW w:w="173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shd w:fill="auto" w:val="clear"/>
            <w:vAlign w:val="center"/>
          </w:tcPr>
          <w:p>
            <w:pPr>
              <w:pStyle w:val="TableContents"/>
              <w:spacing w:before="0" w:after="1"/>
              <w:ind w:left="0" w:right="0" w:hanging="0"/>
              <w:rPr/>
            </w:pPr>
            <w:r>
              <w:rPr/>
              <w:t>​</w:t>
            </w:r>
          </w:p>
        </w:tc>
        <w:tc>
          <w:tcPr>
            <w:tcW w:w="90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1"/>
              <w:ind w:left="0" w:right="0" w:hanging="0"/>
              <w:rPr/>
            </w:pPr>
            <w:r>
              <w:rPr/>
              <w:t>​</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5054" w:type="dxa"/>
            <w:tcBorders/>
            <w:shd w:fill="auto" w:val="clear"/>
            <w:vAlign w:val="center"/>
          </w:tcPr>
          <w:p>
            <w:pPr>
              <w:pStyle w:val="TableContents"/>
              <w:spacing w:before="0" w:after="1"/>
              <w:ind w:left="0" w:right="0" w:hanging="0"/>
              <w:rPr/>
            </w:pPr>
            <w:r>
              <w:rPr/>
              <w:t>​</w:t>
            </w:r>
          </w:p>
        </w:tc>
        <w:tc>
          <w:tcPr>
            <w:tcW w:w="93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shd w:fill="auto" w:val="clear"/>
            <w:vAlign w:val="center"/>
          </w:tcPr>
          <w:p>
            <w:pPr>
              <w:pStyle w:val="TableContents"/>
              <w:spacing w:before="0" w:after="1"/>
              <w:ind w:left="0" w:right="0" w:hanging="0"/>
              <w:rPr/>
            </w:pPr>
            <w:r>
              <w:rPr/>
              <w:t>​</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1"/>
              <w:ind w:left="0" w:right="0" w:hanging="0"/>
              <w:rPr/>
            </w:pPr>
            <w:r>
              <w:rPr/>
              <w:t>​</w:t>
            </w:r>
          </w:p>
        </w:tc>
        <w:tc>
          <w:tcPr>
            <w:tcW w:w="9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shd w:fill="auto" w:val="clear"/>
            <w:vAlign w:val="center"/>
          </w:tcPr>
          <w:p>
            <w:pPr>
              <w:pStyle w:val="TableContents"/>
              <w:spacing w:before="0" w:after="1"/>
              <w:ind w:left="0" w:right="0" w:hanging="0"/>
              <w:rPr/>
            </w:pPr>
            <w:r>
              <w:rPr/>
              <w:t>​</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 December 31, 2020</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42,973,462</w:t>
            </w:r>
          </w:p>
        </w:tc>
        <w:tc>
          <w:tcPr>
            <w:tcW w:w="109"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43</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46,366</w:t>
            </w:r>
          </w:p>
        </w:tc>
        <w:tc>
          <w:tcPr>
            <w:tcW w:w="109" w:type="dxa"/>
            <w:tcBorders/>
            <w:shd w:fill="CCEEFF" w:val="clear"/>
            <w:vAlign w:val="center"/>
          </w:tcPr>
          <w:p>
            <w:pPr>
              <w:pStyle w:val="TableContents"/>
              <w:spacing w:before="0" w:after="1"/>
              <w:ind w:left="0" w:right="0" w:hanging="0"/>
              <w:rPr/>
            </w:pPr>
            <w:r>
              <w:rPr/>
              <w:t>​</w:t>
            </w:r>
          </w:p>
        </w:tc>
        <w:tc>
          <w:tcPr>
            <w:tcW w:w="217"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(90,180)</w:t>
            </w:r>
          </w:p>
        </w:tc>
        <w:tc>
          <w:tcPr>
            <w:tcW w:w="109"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(43,771)</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issued</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915,454</w:t>
            </w:r>
          </w:p>
        </w:tc>
        <w:tc>
          <w:tcPr>
            <w:tcW w:w="109"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right"/>
              <w:rPr/>
            </w:pPr>
            <w:r>
              <w:rPr/>
              <w:t>​</w:t>
            </w:r>
          </w:p>
        </w:tc>
        <w:tc>
          <w:tcPr>
            <w:tcW w:w="4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jc w:val="right"/>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9,623</w:t>
            </w:r>
          </w:p>
        </w:tc>
        <w:tc>
          <w:tcPr>
            <w:tcW w:w="109"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jc w:val="right"/>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2" w:type="dxa"/>
            <w:tcBorders/>
            <w:shd w:fill="auto" w:val="clear"/>
            <w:vAlign w:val="center"/>
          </w:tcPr>
          <w:p>
            <w:pPr>
              <w:pStyle w:val="TableContents"/>
              <w:spacing w:before="0" w:after="1"/>
              <w:ind w:left="0" w:right="0" w:hanging="0"/>
              <w:jc w:val="right"/>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9,624</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Reclassification of settlement liability upon issuance of warrant</w:t>
            </w:r>
          </w:p>
        </w:tc>
        <w:tc>
          <w:tcPr>
            <w:tcW w:w="938"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right"/>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96" w:type="dxa"/>
            <w:tcBorders/>
            <w:shd w:fill="CCEEFF" w:val="clear"/>
            <w:vAlign w:val="center"/>
          </w:tcPr>
          <w:p>
            <w:pPr>
              <w:pStyle w:val="TableContents"/>
              <w:spacing w:before="0" w:after="1"/>
              <w:ind w:left="0" w:right="0" w:hanging="0"/>
              <w:jc w:val="right"/>
              <w:rPr/>
            </w:pPr>
            <w:r>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60,852</w:t>
            </w:r>
          </w:p>
        </w:tc>
        <w:tc>
          <w:tcPr>
            <w:tcW w:w="109"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jc w:val="right"/>
              <w:rPr/>
            </w:pPr>
            <w:r>
              <w:rPr/>
              <w:t>​</w:t>
            </w:r>
          </w:p>
        </w:tc>
        <w:tc>
          <w:tcPr>
            <w:tcW w:w="8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42" w:type="dxa"/>
            <w:tcBorders/>
            <w:shd w:fill="CCEEFF" w:val="clear"/>
            <w:vAlign w:val="center"/>
          </w:tcPr>
          <w:p>
            <w:pPr>
              <w:pStyle w:val="TableContents"/>
              <w:spacing w:before="0" w:after="1"/>
              <w:ind w:left="0" w:right="0" w:hanging="0"/>
              <w:jc w:val="right"/>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60,852</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Effect of Merger and recapitalization, net of redemptions and issuance costs of $1,413</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2,529,730</w:t>
            </w:r>
          </w:p>
        </w:tc>
        <w:tc>
          <w:tcPr>
            <w:tcW w:w="109"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right"/>
              <w:rPr/>
            </w:pPr>
            <w:r>
              <w:rPr/>
              <w:t>​</w:t>
            </w:r>
          </w:p>
        </w:tc>
        <w:tc>
          <w:tcPr>
            <w:tcW w:w="4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jc w:val="right"/>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(26,618)</w:t>
            </w:r>
          </w:p>
        </w:tc>
        <w:tc>
          <w:tcPr>
            <w:tcW w:w="109"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jc w:val="right"/>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2" w:type="dxa"/>
            <w:tcBorders/>
            <w:shd w:fill="auto" w:val="clear"/>
            <w:vAlign w:val="center"/>
          </w:tcPr>
          <w:p>
            <w:pPr>
              <w:pStyle w:val="TableContents"/>
              <w:spacing w:before="0" w:after="1"/>
              <w:ind w:left="0" w:right="0" w:hanging="0"/>
              <w:jc w:val="right"/>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(26,616)</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issued pursuant to PIPE financing, net of issuance costs of $1,900</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09"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right"/>
              <w:rPr/>
            </w:pPr>
            <w:r>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spacing w:before="0" w:after="1"/>
              <w:ind w:left="0" w:right="0" w:hanging="0"/>
              <w:jc w:val="right"/>
              <w:rPr/>
            </w:pPr>
            <w:r>
              <w:rPr/>
              <w:t>​</w:t>
            </w:r>
          </w:p>
        </w:tc>
        <w:tc>
          <w:tcPr>
            <w:tcW w:w="196" w:type="dxa"/>
            <w:tcBorders/>
            <w:shd w:fill="CCEEFF" w:val="clear"/>
            <w:vAlign w:val="center"/>
          </w:tcPr>
          <w:p>
            <w:pPr>
              <w:pStyle w:val="TableContents"/>
              <w:spacing w:before="0" w:after="1"/>
              <w:ind w:left="0" w:right="0" w:hanging="0"/>
              <w:jc w:val="right"/>
              <w:rPr/>
            </w:pPr>
            <w:r>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8,099</w:t>
            </w:r>
          </w:p>
        </w:tc>
        <w:tc>
          <w:tcPr>
            <w:tcW w:w="109"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jc w:val="right"/>
              <w:rPr/>
            </w:pPr>
            <w:r>
              <w:rPr/>
              <w:t>​</w:t>
            </w:r>
          </w:p>
        </w:tc>
        <w:tc>
          <w:tcPr>
            <w:tcW w:w="8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42" w:type="dxa"/>
            <w:tcBorders/>
            <w:shd w:fill="CCEEFF" w:val="clear"/>
            <w:vAlign w:val="center"/>
          </w:tcPr>
          <w:p>
            <w:pPr>
              <w:pStyle w:val="TableContents"/>
              <w:spacing w:before="0" w:after="1"/>
              <w:ind w:left="0" w:right="0" w:hanging="0"/>
              <w:jc w:val="right"/>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8,100</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issued for advisor services</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200,000</w:t>
            </w:r>
          </w:p>
        </w:tc>
        <w:tc>
          <w:tcPr>
            <w:tcW w:w="109"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right"/>
              <w:rPr/>
            </w:pPr>
            <w:r>
              <w:rPr/>
              <w:t>​</w:t>
            </w:r>
          </w:p>
        </w:tc>
        <w:tc>
          <w:tcPr>
            <w:tcW w:w="44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jc w:val="right"/>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4,850</w:t>
            </w:r>
          </w:p>
        </w:tc>
        <w:tc>
          <w:tcPr>
            <w:tcW w:w="109"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jc w:val="right"/>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2" w:type="dxa"/>
            <w:tcBorders/>
            <w:shd w:fill="auto" w:val="clear"/>
            <w:vAlign w:val="center"/>
          </w:tcPr>
          <w:p>
            <w:pPr>
              <w:pStyle w:val="TableContents"/>
              <w:spacing w:before="0" w:after="1"/>
              <w:ind w:left="0" w:right="0" w:hanging="0"/>
              <w:jc w:val="right"/>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4,850</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Modification of option awards pursuant to Merger</w:t>
            </w:r>
          </w:p>
        </w:tc>
        <w:tc>
          <w:tcPr>
            <w:tcW w:w="938"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right"/>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96" w:type="dxa"/>
            <w:tcBorders/>
            <w:shd w:fill="CCEEFF" w:val="clear"/>
            <w:vAlign w:val="center"/>
          </w:tcPr>
          <w:p>
            <w:pPr>
              <w:pStyle w:val="TableContents"/>
              <w:spacing w:before="0" w:after="1"/>
              <w:ind w:left="0" w:right="0" w:hanging="0"/>
              <w:jc w:val="right"/>
              <w:rPr/>
            </w:pPr>
            <w:r>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1,015</w:t>
            </w:r>
          </w:p>
        </w:tc>
        <w:tc>
          <w:tcPr>
            <w:tcW w:w="109"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jc w:val="right"/>
              <w:rPr/>
            </w:pPr>
            <w:r>
              <w:rPr/>
              <w:t>​</w:t>
            </w:r>
          </w:p>
        </w:tc>
        <w:tc>
          <w:tcPr>
            <w:tcW w:w="8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42" w:type="dxa"/>
            <w:tcBorders/>
            <w:shd w:fill="CCEEFF" w:val="clear"/>
            <w:vAlign w:val="center"/>
          </w:tcPr>
          <w:p>
            <w:pPr>
              <w:pStyle w:val="TableContents"/>
              <w:spacing w:before="0" w:after="1"/>
              <w:ind w:left="0" w:right="0" w:hanging="0"/>
              <w:jc w:val="right"/>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1,015</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Modification of warrants pursuant to Merger</w:t>
            </w:r>
          </w:p>
        </w:tc>
        <w:tc>
          <w:tcPr>
            <w:tcW w:w="938"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right"/>
              <w:rPr/>
            </w:pPr>
            <w:r>
              <w:rPr/>
              <w:t>​</w:t>
            </w:r>
          </w:p>
        </w:tc>
        <w:tc>
          <w:tcPr>
            <w:tcW w:w="44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jc w:val="right"/>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2,330</w:t>
            </w:r>
          </w:p>
        </w:tc>
        <w:tc>
          <w:tcPr>
            <w:tcW w:w="109"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jc w:val="right"/>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2" w:type="dxa"/>
            <w:tcBorders/>
            <w:shd w:fill="auto" w:val="clear"/>
            <w:vAlign w:val="center"/>
          </w:tcPr>
          <w:p>
            <w:pPr>
              <w:pStyle w:val="TableContents"/>
              <w:spacing w:before="0" w:after="1"/>
              <w:ind w:left="0" w:right="0" w:hanging="0"/>
              <w:jc w:val="right"/>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2,330</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and warrants issued in private placement, net of issuance costs of $3,669</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2,727,273</w:t>
            </w:r>
          </w:p>
        </w:tc>
        <w:tc>
          <w:tcPr>
            <w:tcW w:w="109"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right"/>
              <w:rPr/>
            </w:pPr>
            <w:r>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spacing w:before="0" w:after="1"/>
              <w:ind w:left="0" w:right="0" w:hanging="0"/>
              <w:jc w:val="right"/>
              <w:rPr/>
            </w:pPr>
            <w:r>
              <w:rPr/>
              <w:t>​</w:t>
            </w:r>
          </w:p>
        </w:tc>
        <w:tc>
          <w:tcPr>
            <w:tcW w:w="196" w:type="dxa"/>
            <w:tcBorders/>
            <w:shd w:fill="CCEEFF" w:val="clear"/>
            <w:vAlign w:val="center"/>
          </w:tcPr>
          <w:p>
            <w:pPr>
              <w:pStyle w:val="TableContents"/>
              <w:spacing w:before="0" w:after="1"/>
              <w:ind w:left="0" w:right="0" w:hanging="0"/>
              <w:jc w:val="right"/>
              <w:rPr/>
            </w:pPr>
            <w:r>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27,356</w:t>
            </w:r>
          </w:p>
        </w:tc>
        <w:tc>
          <w:tcPr>
            <w:tcW w:w="109"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jc w:val="right"/>
              <w:rPr/>
            </w:pPr>
            <w:r>
              <w:rPr/>
              <w:t>​</w:t>
            </w:r>
          </w:p>
        </w:tc>
        <w:tc>
          <w:tcPr>
            <w:tcW w:w="8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42" w:type="dxa"/>
            <w:tcBorders/>
            <w:shd w:fill="CCEEFF" w:val="clear"/>
            <w:vAlign w:val="center"/>
          </w:tcPr>
          <w:p>
            <w:pPr>
              <w:pStyle w:val="TableContents"/>
              <w:spacing w:before="0" w:after="1"/>
              <w:ind w:left="0" w:right="0" w:hanging="0"/>
              <w:jc w:val="right"/>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27,359</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stock for exercise of warrants and Unit Purchase Options</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3,830,586</w:t>
            </w:r>
          </w:p>
        </w:tc>
        <w:tc>
          <w:tcPr>
            <w:tcW w:w="109"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right"/>
              <w:rPr/>
            </w:pPr>
            <w:r>
              <w:rPr/>
              <w:t>​</w:t>
            </w:r>
          </w:p>
        </w:tc>
        <w:tc>
          <w:tcPr>
            <w:tcW w:w="4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jc w:val="right"/>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16,695</w:t>
            </w:r>
          </w:p>
        </w:tc>
        <w:tc>
          <w:tcPr>
            <w:tcW w:w="109"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jc w:val="right"/>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2" w:type="dxa"/>
            <w:tcBorders/>
            <w:shd w:fill="auto" w:val="clear"/>
            <w:vAlign w:val="center"/>
          </w:tcPr>
          <w:p>
            <w:pPr>
              <w:pStyle w:val="TableContents"/>
              <w:spacing w:before="0" w:after="1"/>
              <w:ind w:left="0" w:right="0" w:hanging="0"/>
              <w:jc w:val="right"/>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16,699</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issued for consulting services</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4,634,045</w:t>
            </w:r>
          </w:p>
        </w:tc>
        <w:tc>
          <w:tcPr>
            <w:tcW w:w="109" w:type="dxa"/>
            <w:tcBorders/>
            <w:shd w:fill="CCEEFF" w:val="clear"/>
            <w:vAlign w:val="center"/>
          </w:tcPr>
          <w:p>
            <w:pPr>
              <w:pStyle w:val="TableContents"/>
              <w:spacing w:before="0" w:after="1"/>
              <w:ind w:left="0" w:right="0" w:hanging="0"/>
              <w:jc w:val="right"/>
              <w:rPr/>
            </w:pPr>
            <w:r>
              <w:rPr/>
              <w:t>​</w:t>
            </w:r>
          </w:p>
        </w:tc>
        <w:tc>
          <w:tcPr>
            <w:tcW w:w="249" w:type="dxa"/>
            <w:tcBorders/>
            <w:shd w:fill="CCEEFF" w:val="clear"/>
            <w:vAlign w:val="center"/>
          </w:tcPr>
          <w:p>
            <w:pPr>
              <w:pStyle w:val="TableContents"/>
              <w:spacing w:before="0" w:after="1"/>
              <w:ind w:left="0" w:right="0" w:hanging="0"/>
              <w:jc w:val="right"/>
              <w:rPr/>
            </w:pPr>
            <w:r>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CCEEFF" w:val="clear"/>
            <w:vAlign w:val="center"/>
          </w:tcPr>
          <w:p>
            <w:pPr>
              <w:pStyle w:val="TableContents"/>
              <w:spacing w:before="0" w:after="1"/>
              <w:ind w:left="0" w:right="0" w:hanging="0"/>
              <w:jc w:val="right"/>
              <w:rPr/>
            </w:pPr>
            <w:r>
              <w:rPr/>
              <w:t>​</w:t>
            </w:r>
          </w:p>
        </w:tc>
        <w:tc>
          <w:tcPr>
            <w:tcW w:w="196" w:type="dxa"/>
            <w:tcBorders/>
            <w:shd w:fill="CCEEFF" w:val="clear"/>
            <w:vAlign w:val="center"/>
          </w:tcPr>
          <w:p>
            <w:pPr>
              <w:pStyle w:val="TableContents"/>
              <w:spacing w:before="0" w:after="1"/>
              <w:ind w:left="0" w:right="0" w:hanging="0"/>
              <w:jc w:val="right"/>
              <w:rPr/>
            </w:pPr>
            <w:r>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48,982</w:t>
            </w:r>
          </w:p>
        </w:tc>
        <w:tc>
          <w:tcPr>
            <w:tcW w:w="109"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jc w:val="right"/>
              <w:rPr/>
            </w:pPr>
            <w:r>
              <w:rPr/>
              <w:t>​</w:t>
            </w:r>
          </w:p>
        </w:tc>
        <w:tc>
          <w:tcPr>
            <w:tcW w:w="8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42" w:type="dxa"/>
            <w:tcBorders/>
            <w:shd w:fill="CCEEFF" w:val="clear"/>
            <w:vAlign w:val="center"/>
          </w:tcPr>
          <w:p>
            <w:pPr>
              <w:pStyle w:val="TableContents"/>
              <w:spacing w:before="0" w:after="1"/>
              <w:ind w:left="0" w:right="0" w:hanging="0"/>
              <w:jc w:val="right"/>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48,987</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938"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9" w:type="dxa"/>
            <w:tcBorders/>
            <w:shd w:fill="auto" w:val="clear"/>
            <w:vAlign w:val="center"/>
          </w:tcPr>
          <w:p>
            <w:pPr>
              <w:pStyle w:val="TableContents"/>
              <w:spacing w:before="0" w:after="1"/>
              <w:ind w:left="0" w:right="0" w:hanging="0"/>
              <w:jc w:val="right"/>
              <w:rPr/>
            </w:pPr>
            <w:r>
              <w:rPr/>
              <w:t>​</w:t>
            </w:r>
          </w:p>
        </w:tc>
        <w:tc>
          <w:tcPr>
            <w:tcW w:w="44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96" w:type="dxa"/>
            <w:tcBorders/>
            <w:shd w:fill="auto" w:val="clear"/>
            <w:vAlign w:val="center"/>
          </w:tcPr>
          <w:p>
            <w:pPr>
              <w:pStyle w:val="TableContents"/>
              <w:spacing w:before="0" w:after="1"/>
              <w:ind w:left="0" w:right="0" w:hanging="0"/>
              <w:jc w:val="right"/>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4,440</w:t>
            </w:r>
          </w:p>
        </w:tc>
        <w:tc>
          <w:tcPr>
            <w:tcW w:w="109"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jc w:val="right"/>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42" w:type="dxa"/>
            <w:tcBorders/>
            <w:shd w:fill="auto" w:val="clear"/>
            <w:vAlign w:val="center"/>
          </w:tcPr>
          <w:p>
            <w:pPr>
              <w:pStyle w:val="TableContents"/>
              <w:spacing w:before="0" w:after="1"/>
              <w:ind w:left="0" w:right="0" w:hanging="0"/>
              <w:jc w:val="right"/>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4,440</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93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4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4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71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8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(93,063)</w:t>
            </w:r>
          </w:p>
        </w:tc>
        <w:tc>
          <w:tcPr>
            <w:tcW w:w="109" w:type="dxa"/>
            <w:tcBorders/>
            <w:shd w:fill="CCEEFF" w:val="clear"/>
            <w:vAlign w:val="center"/>
          </w:tcPr>
          <w:p>
            <w:pPr>
              <w:pStyle w:val="TableContents"/>
              <w:spacing w:before="0" w:after="1"/>
              <w:ind w:left="0" w:right="0" w:hanging="0"/>
              <w:jc w:val="right"/>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88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(93,063)</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December 31, 2021</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58,810,550</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442"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59</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203,990</w:t>
            </w:r>
          </w:p>
        </w:tc>
        <w:tc>
          <w:tcPr>
            <w:tcW w:w="109"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834"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(183,243)</w:t>
            </w:r>
          </w:p>
        </w:tc>
        <w:tc>
          <w:tcPr>
            <w:tcW w:w="109"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20,806</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and warrants issued in private placement, net of issuance costs of $2,283</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7,824,727</w:t>
            </w:r>
          </w:p>
        </w:tc>
        <w:tc>
          <w:tcPr>
            <w:tcW w:w="109"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22,694</w:t>
            </w:r>
          </w:p>
        </w:tc>
        <w:tc>
          <w:tcPr>
            <w:tcW w:w="109" w:type="dxa"/>
            <w:tcBorders/>
            <w:shd w:fill="CCEEFF" w:val="clear"/>
            <w:vAlign w:val="center"/>
          </w:tcPr>
          <w:p>
            <w:pPr>
              <w:pStyle w:val="TableContents"/>
              <w:spacing w:before="0" w:after="1"/>
              <w:ind w:left="0" w:right="0" w:hanging="0"/>
              <w:rPr/>
            </w:pPr>
            <w:r>
              <w:rPr/>
              <w:t>​</w:t>
            </w:r>
          </w:p>
        </w:tc>
        <w:tc>
          <w:tcPr>
            <w:tcW w:w="217" w:type="dxa"/>
            <w:tcBorders/>
            <w:shd w:fill="CCEEFF" w:val="clear"/>
            <w:vAlign w:val="center"/>
          </w:tcPr>
          <w:p>
            <w:pPr>
              <w:pStyle w:val="TableContents"/>
              <w:spacing w:before="0" w:after="1"/>
              <w:ind w:left="0" w:right="0" w:hanging="0"/>
              <w:rPr/>
            </w:pPr>
            <w:r>
              <w:rPr/>
              <w:t>​</w:t>
            </w:r>
          </w:p>
        </w:tc>
        <w:tc>
          <w:tcPr>
            <w:tcW w:w="8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22,702</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Common stock issued for consulting services </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6,037</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Common stock issued for exercise of stock options</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49,605</w:t>
            </w:r>
          </w:p>
        </w:tc>
        <w:tc>
          <w:tcPr>
            <w:tcW w:w="109"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spacing w:before="0" w:after="1"/>
              <w:ind w:left="0" w:right="0" w:hanging="0"/>
              <w:rPr/>
            </w:pPr>
            <w:r>
              <w:rPr/>
              <w:t>​</w:t>
            </w:r>
          </w:p>
        </w:tc>
        <w:tc>
          <w:tcPr>
            <w:tcW w:w="217" w:type="dxa"/>
            <w:tcBorders/>
            <w:shd w:fill="CCEEFF" w:val="clear"/>
            <w:vAlign w:val="center"/>
          </w:tcPr>
          <w:p>
            <w:pPr>
              <w:pStyle w:val="TableContents"/>
              <w:spacing w:before="0" w:after="1"/>
              <w:ind w:left="0" w:right="0" w:hanging="0"/>
              <w:rPr/>
            </w:pPr>
            <w:r>
              <w:rPr/>
              <w:t>​</w:t>
            </w:r>
          </w:p>
        </w:tc>
        <w:tc>
          <w:tcPr>
            <w:tcW w:w="8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w:t>
            </w:r>
          </w:p>
        </w:tc>
        <w:tc>
          <w:tcPr>
            <w:tcW w:w="8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Restricted stock awards granted</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jc w:val="right"/>
              <w:rPr/>
            </w:pPr>
            <w:r>
              <w:rPr/>
              <w:t>—</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Retired Earnout Shares</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(1,247,930)</w:t>
            </w:r>
          </w:p>
        </w:tc>
        <w:tc>
          <w:tcPr>
            <w:tcW w:w="109"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3"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spacing w:before="0" w:after="1"/>
              <w:ind w:left="0" w:right="0" w:hanging="0"/>
              <w:rPr/>
            </w:pPr>
            <w:r>
              <w:rPr/>
              <w:t>​</w:t>
            </w:r>
          </w:p>
        </w:tc>
        <w:tc>
          <w:tcPr>
            <w:tcW w:w="217" w:type="dxa"/>
            <w:tcBorders/>
            <w:shd w:fill="CCEEFF" w:val="clear"/>
            <w:vAlign w:val="center"/>
          </w:tcPr>
          <w:p>
            <w:pPr>
              <w:pStyle w:val="TableContents"/>
              <w:spacing w:before="0" w:after="1"/>
              <w:ind w:left="0" w:right="0" w:hanging="0"/>
              <w:rPr/>
            </w:pPr>
            <w:r>
              <w:rPr/>
              <w:t>​</w:t>
            </w:r>
          </w:p>
        </w:tc>
        <w:tc>
          <w:tcPr>
            <w:tcW w:w="834"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w:t>
            </w:r>
          </w:p>
        </w:tc>
        <w:tc>
          <w:tcPr>
            <w:tcW w:w="884" w:type="dxa"/>
            <w:tcBorders/>
            <w:shd w:fill="CCEEFF" w:val="clear"/>
            <w:vAlign w:val="center"/>
          </w:tcPr>
          <w:p>
            <w:pPr>
              <w:pStyle w:val="TableContents"/>
              <w:spacing w:before="0" w:after="1"/>
              <w:ind w:left="0" w:right="0" w:hanging="0"/>
              <w:jc w:val="right"/>
              <w:rPr/>
            </w:pPr>
            <w:r>
              <w:rPr/>
              <w:t>—</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938"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3"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3,628</w:t>
            </w:r>
          </w:p>
        </w:tc>
        <w:tc>
          <w:tcPr>
            <w:tcW w:w="109" w:type="dxa"/>
            <w:tcBorders/>
            <w:shd w:fill="auto" w:val="clear"/>
            <w:vAlign w:val="center"/>
          </w:tcPr>
          <w:p>
            <w:pPr>
              <w:pStyle w:val="TableContents"/>
              <w:spacing w:before="0" w:after="1"/>
              <w:ind w:left="0" w:right="0" w:hanging="0"/>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8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3,628</w:t>
            </w:r>
          </w:p>
        </w:tc>
      </w:tr>
      <w:tr>
        <w:trPr/>
        <w:tc>
          <w:tcPr>
            <w:tcW w:w="505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93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1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(39,754)</w:t>
            </w:r>
          </w:p>
        </w:tc>
        <w:tc>
          <w:tcPr>
            <w:tcW w:w="109"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(39,754)</w:t>
            </w:r>
          </w:p>
        </w:tc>
      </w:tr>
      <w:tr>
        <w:trPr/>
        <w:tc>
          <w:tcPr>
            <w:tcW w:w="5054"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 December 31, 2022</w:t>
            </w:r>
          </w:p>
        </w:tc>
        <w:tc>
          <w:tcPr>
            <w:tcW w:w="93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66,442,989</w:t>
            </w:r>
          </w:p>
        </w:tc>
        <w:tc>
          <w:tcPr>
            <w:tcW w:w="109" w:type="dxa"/>
            <w:tcBorders/>
            <w:shd w:fill="auto" w:val="clear"/>
            <w:vAlign w:val="center"/>
          </w:tcPr>
          <w:p>
            <w:pPr>
              <w:pStyle w:val="TableContents"/>
              <w:spacing w:before="0" w:after="1"/>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67</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71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230,339</w:t>
            </w:r>
          </w:p>
        </w:tc>
        <w:tc>
          <w:tcPr>
            <w:tcW w:w="109" w:type="dxa"/>
            <w:tcBorders/>
            <w:shd w:fill="auto" w:val="clear"/>
            <w:vAlign w:val="center"/>
          </w:tcPr>
          <w:p>
            <w:pPr>
              <w:pStyle w:val="TableContents"/>
              <w:spacing w:before="0" w:after="1"/>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(222,997)</w:t>
            </w:r>
          </w:p>
        </w:tc>
        <w:tc>
          <w:tcPr>
            <w:tcW w:w="109" w:type="dxa"/>
            <w:tcBorders/>
            <w:shd w:fill="auto" w:val="clear"/>
            <w:vAlign w:val="center"/>
          </w:tcPr>
          <w:p>
            <w:pPr>
              <w:pStyle w:val="TableContents"/>
              <w:spacing w:before="0" w:after="1"/>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w:t>
            </w:r>
          </w:p>
        </w:tc>
        <w:tc>
          <w:tcPr>
            <w:tcW w:w="884" w:type="dxa"/>
            <w:tcBorders>
              <w:bottom w:val="double" w:sz="6" w:space="0" w:color="000000"/>
            </w:tcBorders>
            <w:shd w:fill="auto" w:val="clear"/>
            <w:tcMar>
              <w:bottom w:w="28" w:type="dxa"/>
            </w:tcMar>
            <w:vAlign w:val="center"/>
          </w:tcPr>
          <w:p>
            <w:pPr>
              <w:pStyle w:val="TableContents"/>
              <w:spacing w:before="0" w:after="1"/>
              <w:ind w:left="0" w:right="50" w:hanging="0"/>
              <w:jc w:val="right"/>
              <w:rPr>
                <w:rFonts w:ascii="Times New Roman;Times;serif" w:hAnsi="Times New Roman;Times;serif"/>
                <w:b/>
                <w:sz w:val="16"/>
              </w:rPr>
            </w:pPr>
            <w:r>
              <w:rPr>
                <w:rFonts w:ascii="Times New Roman;Times;serif" w:hAnsi="Times New Roman;Times;serif"/>
                <w:b/>
                <w:sz w:val="16"/>
              </w:rPr>
              <w:t>7,409</w:t>
            </w:r>
          </w:p>
        </w:tc>
      </w:tr>
    </w:tbl>
    <w:p>
      <w:pPr>
        <w:pStyle w:val="TextBody"/>
        <w:spacing w:before="0" w:after="240"/>
        <w:ind w:left="0" w:right="0" w:hanging="0"/>
        <w:rPr/>
      </w:pPr>
      <w:r>
        <w:rPr/>
        <w:t>​</w:t>
      </w:r>
    </w:p>
    <w:p>
      <w:pPr>
        <w:pStyle w:val="TextBody"/>
        <w:spacing w:before="12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4"/>
        </w:rPr>
      </w:pPr>
      <w:bookmarkStart w:id="440" w:name="_638fcffb_747e_40dc_85f1_9ba40c24df96"/>
      <w:bookmarkEnd w:id="440"/>
      <w:r>
        <w:rPr>
          <w:rFonts w:ascii="Times New Roman;Times;serif" w:hAnsi="Times New Roman;Times;serif"/>
          <w:b/>
          <w:sz w:val="14"/>
        </w:rPr>
        <w:t>NRX PHARMACEUTICALS, INC.</w:t>
      </w:r>
    </w:p>
    <w:p>
      <w:pPr>
        <w:pStyle w:val="TextBody"/>
        <w:spacing w:before="0" w:after="0"/>
        <w:ind w:left="0" w:right="0" w:hanging="0"/>
        <w:jc w:val="center"/>
        <w:rPr>
          <w:rFonts w:ascii="Times New Roman;Times;serif" w:hAnsi="Times New Roman;Times;serif"/>
          <w:b/>
          <w:sz w:val="14"/>
        </w:rPr>
      </w:pPr>
      <w:bookmarkStart w:id="441" w:name="CASHFLOWS_9910"/>
      <w:bookmarkEnd w:id="441"/>
      <w:r>
        <w:rPr>
          <w:rFonts w:ascii="Times New Roman;Times;serif" w:hAnsi="Times New Roman;Times;serif"/>
          <w:b/>
          <w:sz w:val="14"/>
        </w:rPr>
        <w:t xml:space="preserve">CONSOLIDATED STATEMENTS OF CASH FLOWS </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w:t>
      </w:r>
    </w:p>
    <w:p>
      <w:pPr>
        <w:pStyle w:val="Normal"/>
        <w:spacing w:before="0" w:after="0"/>
        <w:rPr>
          <w:sz w:val="4"/>
          <w:szCs w:val="4"/>
        </w:rPr>
      </w:pPr>
      <w:r>
        <w:rPr>
          <w:sz w:val="4"/>
          <w:szCs w:val="4"/>
        </w:rPr>
      </w:r>
      <w:bookmarkStart w:id="442" w:name="Tc_7GcKnQEpLUCCskIaDvoiGg_44_6"/>
      <w:bookmarkStart w:id="443" w:name="Tc_jsYDgtsTqk23O7V3RqpJBQ_44_5"/>
      <w:bookmarkStart w:id="444" w:name="Tc_Tq70yrz170ayiVe4leAryg_44_2"/>
      <w:bookmarkStart w:id="445" w:name="Tc_1g8DoeXqmESFkStoz2N_lQ_44_0"/>
      <w:bookmarkStart w:id="446" w:name="Tc_GLjRGBrfwUOBDUXqEwzyFw_43_5"/>
      <w:bookmarkStart w:id="447" w:name="Tc_NrGlgblLfk-hLXV5lf-gIA_43_3"/>
      <w:bookmarkStart w:id="448" w:name="Tc_sC5DL6SniUWw5C2V0A0W2w_43_2"/>
      <w:bookmarkStart w:id="449" w:name="Tc_9dgfzx1Z0kaM_2ad0hupZA_43_0"/>
      <w:bookmarkStart w:id="450" w:name="Tc_RmVyad1LzUevayue7oqLWg_42_5"/>
      <w:bookmarkStart w:id="451" w:name="Tc_LSNRngqBuE6GUpY54AvlLg_42_2"/>
      <w:bookmarkStart w:id="452" w:name="Tc_MsY7XdIDu028zdraplt3wQ_42_0"/>
      <w:bookmarkStart w:id="453" w:name="Tc_nviXw2ra_ky2_RIZI9qU2w_41_5"/>
      <w:bookmarkStart w:id="454" w:name="Tc_RDzUiQiQcU6EN7pCa2ZMGg_41_3"/>
      <w:bookmarkStart w:id="455" w:name="Tc_mEzwfBj-lEO6T9MHw0EPgg_41_2"/>
      <w:bookmarkStart w:id="456" w:name="Tc_ayfxrEFFU0CDLKtDT0xAyQ_41_0"/>
      <w:bookmarkStart w:id="457" w:name="Tc_zro6zJCVREuOwBfdimcE5A_40_0"/>
      <w:bookmarkStart w:id="458" w:name="Tc_Ffi6qwcUHU2kI9qHN2ugsA_39_0"/>
      <w:bookmarkStart w:id="459" w:name="Tc_dhlMe_vUGkeBVnhnT7ke3g_38_5"/>
      <w:bookmarkStart w:id="460" w:name="Tc_qEDrZKKvsUyGA1yLShzu8A_38_2"/>
      <w:bookmarkStart w:id="461" w:name="Tc_-x7qaMcITkyenmnBhMYdiQ_38_0"/>
      <w:bookmarkStart w:id="462" w:name="Tc_VGqfv56vfEu2JwW4S73Hkg_37_0"/>
      <w:bookmarkStart w:id="463" w:name="Tc_58bT55YUcUS4d_apJyDDpg_36_0"/>
      <w:bookmarkStart w:id="464" w:name="Tc_k-fQpJXl5kSVDyz-PklUNg_34_0"/>
      <w:bookmarkStart w:id="465" w:name="Tc_NY847vP7aEeT7rpd0__u-g_33_3"/>
      <w:bookmarkStart w:id="466" w:name="Tc_T6ueodIE2kKPln4A-ebhbQ_33_0"/>
      <w:bookmarkStart w:id="467" w:name="Tc_tFyS9UtfUkGfbWS8dnDaKQ_32_3"/>
      <w:bookmarkStart w:id="468" w:name="Tc_5_1cYwOt_0SsXkXeTRgJUA_32_0"/>
      <w:bookmarkStart w:id="469" w:name="Tc_YC58xRzgykqqY5byWC4FIw_31_0"/>
      <w:bookmarkStart w:id="470" w:name="Tc_SAZkbGNN50egl-VFGmflcA_30_6"/>
      <w:bookmarkStart w:id="471" w:name="Tc_-PeCYZTo8EO9msortqYNRw_30_0"/>
      <w:bookmarkStart w:id="472" w:name="Tc_RBYZ1IYLmkaS5Mx9kldSVw_29_3"/>
      <w:bookmarkStart w:id="473" w:name="Tc_-88q3vHlDUqew7SV7gihAA_29_0"/>
      <w:bookmarkStart w:id="474" w:name="Tc_cM7E1xJ8uEGH_xrUWwQU8g_28_3"/>
      <w:bookmarkStart w:id="475" w:name="Tc_v_T7sYypGEi46eXJNIGXKw_28_0"/>
      <w:bookmarkStart w:id="476" w:name="Tc_sB4Z20FzzEGHGCGTkoAuvg_27_3"/>
      <w:bookmarkStart w:id="477" w:name="Tc_8benyEoFVUe8yetO8uD1yQ_27_0"/>
      <w:bookmarkStart w:id="478" w:name="Tc_dV89PwxDKkiczgcyp6izEw_26_0"/>
      <w:bookmarkStart w:id="479" w:name="Tc_RNwZiCxl1E-W1b66vkDFSA_25_6"/>
      <w:bookmarkStart w:id="480" w:name="Tc_9IZNNuQDbEO7KlEUdg45oA_25_0"/>
      <w:bookmarkStart w:id="481" w:name="Tc_sPW65vQqKEyFeAsGPjw_Fg_24_0"/>
      <w:bookmarkStart w:id="482" w:name="Tc_fLoFfMt_bUSt6SgpOPNEiQ_23_0"/>
      <w:bookmarkStart w:id="483" w:name="Tc_Mie_L-wm2UmfquyRXIybIw_22_0"/>
      <w:bookmarkStart w:id="484" w:name="Tc_dLLoZ0t_V0y9DFE326MdkQ_21_0"/>
      <w:bookmarkStart w:id="485" w:name="Tc_frLQh5bHkU2CRLTxKjKj7A_20_0"/>
      <w:bookmarkStart w:id="486" w:name="Tc_o0oQwycuf06JYkGmzvGCVw_19_0"/>
      <w:bookmarkStart w:id="487" w:name="Tc_14-vHci7FEKAKsdc0z8ErQ_18_0"/>
      <w:bookmarkStart w:id="488" w:name="Tc_JHudVf-yK0CVeTkX4zeveQ_17_0"/>
      <w:bookmarkStart w:id="489" w:name="Tc_A74rgI_xj06a0ZxVlI5slg_16_3"/>
      <w:bookmarkStart w:id="490" w:name="Tc_fqJJaMVZJk64CxnFFmlADQ_16_0"/>
      <w:bookmarkStart w:id="491" w:name="Tc_E5SHdExYc0-HQAYbTZVaCg_15_0"/>
      <w:bookmarkStart w:id="492" w:name="Tc_fTUMsexU6UCJvsny_I9o6w_14_3"/>
      <w:bookmarkStart w:id="493" w:name="Tc_UZsMZDnB20qp0ueu2g-tGQ_14_0"/>
      <w:bookmarkStart w:id="494" w:name="Tc_Bs7LIh6tskW9KGfUFXZEeA_13_3"/>
      <w:bookmarkStart w:id="495" w:name="Tc_C8HQ5EoQ1EimM62x6C1BGg_13_0"/>
      <w:bookmarkStart w:id="496" w:name="Tc_aKUtN5UE5kabR58VHRbu8w_12_3"/>
      <w:bookmarkStart w:id="497" w:name="Tc_Gwao2vA9-kuDt2bhHbaSYQ_12_0"/>
      <w:bookmarkStart w:id="498" w:name="Tc_b_umTjhU1kWNXjcUlVvQ4Q_11_6"/>
      <w:bookmarkStart w:id="499" w:name="Tc_b0eUgDLe7UqWt12uZApqfA_11_0"/>
      <w:bookmarkStart w:id="500" w:name="Tc_HPP6TiqWQkqxMGIZkHGtCw_10_0"/>
      <w:bookmarkStart w:id="501" w:name="Tc_xJ9F9D2ZeEew77T3WTp9MQ_9_0"/>
      <w:bookmarkStart w:id="502" w:name="Tc_TE6GmkQxpEGGTjId2_nvWQ_8_3"/>
      <w:bookmarkStart w:id="503" w:name="Tc__Yf8RHyxwUqQepigSPSwfw_8_0"/>
      <w:bookmarkStart w:id="504" w:name="Tc_-c90icD3O0aRCXkRfrFH6g_7_0"/>
      <w:bookmarkStart w:id="505" w:name="Tc_PXFtRYx040KWDmGCqeSZlQ_6_0"/>
      <w:bookmarkStart w:id="506" w:name="Tc_GvT7QZfRREW2OhAWkkcm-w_5_0"/>
      <w:bookmarkStart w:id="507" w:name="Tc_RmqHfhYIz0ymvyDo_W9O8g_4_5"/>
      <w:bookmarkStart w:id="508" w:name="Tc_1EK7PDfpcUuntPnOZXfiLg_4_2"/>
      <w:bookmarkStart w:id="509" w:name="Tc_uwNfex1V3E2fXpUc2gNcwg_4_0"/>
      <w:bookmarkStart w:id="510" w:name="Tc_TilBxBmbPE2JmeU8PY6ykQ_3_0"/>
      <w:bookmarkStart w:id="511" w:name="Tc_ARcwoZYsPkqwCID8k5WjtQ_2_5"/>
      <w:bookmarkStart w:id="512" w:name="Tc_1TGDCQFmIUeM8LFiMF4POA_2_2"/>
      <w:bookmarkStart w:id="513" w:name="Tc_qqdYvEnMUEKC9KQ0USm9uA_1_2"/>
      <w:bookmarkStart w:id="514" w:name="_b366b8a2_df1e_4d62_bb3e_61c139c67ae4"/>
      <w:bookmarkStart w:id="515" w:name="Tc_7GcKnQEpLUCCskIaDvoiGg_44_6"/>
      <w:bookmarkStart w:id="516" w:name="Tc_jsYDgtsTqk23O7V3RqpJBQ_44_5"/>
      <w:bookmarkStart w:id="517" w:name="Tc_Tq70yrz170ayiVe4leAryg_44_2"/>
      <w:bookmarkStart w:id="518" w:name="Tc_1g8DoeXqmESFkStoz2N_lQ_44_0"/>
      <w:bookmarkStart w:id="519" w:name="Tc_GLjRGBrfwUOBDUXqEwzyFw_43_5"/>
      <w:bookmarkStart w:id="520" w:name="Tc_NrGlgblLfk-hLXV5lf-gIA_43_3"/>
      <w:bookmarkStart w:id="521" w:name="Tc_sC5DL6SniUWw5C2V0A0W2w_43_2"/>
      <w:bookmarkStart w:id="522" w:name="Tc_9dgfzx1Z0kaM_2ad0hupZA_43_0"/>
      <w:bookmarkStart w:id="523" w:name="Tc_RmVyad1LzUevayue7oqLWg_42_5"/>
      <w:bookmarkStart w:id="524" w:name="Tc_LSNRngqBuE6GUpY54AvlLg_42_2"/>
      <w:bookmarkStart w:id="525" w:name="Tc_MsY7XdIDu028zdraplt3wQ_42_0"/>
      <w:bookmarkStart w:id="526" w:name="Tc_nviXw2ra_ky2_RIZI9qU2w_41_5"/>
      <w:bookmarkStart w:id="527" w:name="Tc_RDzUiQiQcU6EN7pCa2ZMGg_41_3"/>
      <w:bookmarkStart w:id="528" w:name="Tc_mEzwfBj-lEO6T9MHw0EPgg_41_2"/>
      <w:bookmarkStart w:id="529" w:name="Tc_ayfxrEFFU0CDLKtDT0xAyQ_41_0"/>
      <w:bookmarkStart w:id="530" w:name="Tc_zro6zJCVREuOwBfdimcE5A_40_0"/>
      <w:bookmarkStart w:id="531" w:name="Tc_Ffi6qwcUHU2kI9qHN2ugsA_39_0"/>
      <w:bookmarkStart w:id="532" w:name="Tc_dhlMe_vUGkeBVnhnT7ke3g_38_5"/>
      <w:bookmarkStart w:id="533" w:name="Tc_qEDrZKKvsUyGA1yLShzu8A_38_2"/>
      <w:bookmarkStart w:id="534" w:name="Tc_-x7qaMcITkyenmnBhMYdiQ_38_0"/>
      <w:bookmarkStart w:id="535" w:name="Tc_VGqfv56vfEu2JwW4S73Hkg_37_0"/>
      <w:bookmarkStart w:id="536" w:name="Tc_58bT55YUcUS4d_apJyDDpg_36_0"/>
      <w:bookmarkStart w:id="537" w:name="Tc_k-fQpJXl5kSVDyz-PklUNg_34_0"/>
      <w:bookmarkStart w:id="538" w:name="Tc_NY847vP7aEeT7rpd0__u-g_33_3"/>
      <w:bookmarkStart w:id="539" w:name="Tc_T6ueodIE2kKPln4A-ebhbQ_33_0"/>
      <w:bookmarkStart w:id="540" w:name="Tc_tFyS9UtfUkGfbWS8dnDaKQ_32_3"/>
      <w:bookmarkStart w:id="541" w:name="Tc_5_1cYwOt_0SsXkXeTRgJUA_32_0"/>
      <w:bookmarkStart w:id="542" w:name="Tc_YC58xRzgykqqY5byWC4FIw_31_0"/>
      <w:bookmarkStart w:id="543" w:name="Tc_SAZkbGNN50egl-VFGmflcA_30_6"/>
      <w:bookmarkStart w:id="544" w:name="Tc_-PeCYZTo8EO9msortqYNRw_30_0"/>
      <w:bookmarkStart w:id="545" w:name="Tc_RBYZ1IYLmkaS5Mx9kldSVw_29_3"/>
      <w:bookmarkStart w:id="546" w:name="Tc_-88q3vHlDUqew7SV7gihAA_29_0"/>
      <w:bookmarkStart w:id="547" w:name="Tc_cM7E1xJ8uEGH_xrUWwQU8g_28_3"/>
      <w:bookmarkStart w:id="548" w:name="Tc_v_T7sYypGEi46eXJNIGXKw_28_0"/>
      <w:bookmarkStart w:id="549" w:name="Tc_sB4Z20FzzEGHGCGTkoAuvg_27_3"/>
      <w:bookmarkStart w:id="550" w:name="Tc_8benyEoFVUe8yetO8uD1yQ_27_0"/>
      <w:bookmarkStart w:id="551" w:name="Tc_dV89PwxDKkiczgcyp6izEw_26_0"/>
      <w:bookmarkStart w:id="552" w:name="Tc_RNwZiCxl1E-W1b66vkDFSA_25_6"/>
      <w:bookmarkStart w:id="553" w:name="Tc_9IZNNuQDbEO7KlEUdg45oA_25_0"/>
      <w:bookmarkStart w:id="554" w:name="Tc_sPW65vQqKEyFeAsGPjw_Fg_24_0"/>
      <w:bookmarkStart w:id="555" w:name="Tc_fLoFfMt_bUSt6SgpOPNEiQ_23_0"/>
      <w:bookmarkStart w:id="556" w:name="Tc_Mie_L-wm2UmfquyRXIybIw_22_0"/>
      <w:bookmarkStart w:id="557" w:name="Tc_dLLoZ0t_V0y9DFE326MdkQ_21_0"/>
      <w:bookmarkStart w:id="558" w:name="Tc_frLQh5bHkU2CRLTxKjKj7A_20_0"/>
      <w:bookmarkStart w:id="559" w:name="Tc_o0oQwycuf06JYkGmzvGCVw_19_0"/>
      <w:bookmarkStart w:id="560" w:name="Tc_14-vHci7FEKAKsdc0z8ErQ_18_0"/>
      <w:bookmarkStart w:id="561" w:name="Tc_JHudVf-yK0CVeTkX4zeveQ_17_0"/>
      <w:bookmarkStart w:id="562" w:name="Tc_A74rgI_xj06a0ZxVlI5slg_16_3"/>
      <w:bookmarkStart w:id="563" w:name="Tc_fqJJaMVZJk64CxnFFmlADQ_16_0"/>
      <w:bookmarkStart w:id="564" w:name="Tc_E5SHdExYc0-HQAYbTZVaCg_15_0"/>
      <w:bookmarkStart w:id="565" w:name="Tc_fTUMsexU6UCJvsny_I9o6w_14_3"/>
      <w:bookmarkStart w:id="566" w:name="Tc_UZsMZDnB20qp0ueu2g-tGQ_14_0"/>
      <w:bookmarkStart w:id="567" w:name="Tc_Bs7LIh6tskW9KGfUFXZEeA_13_3"/>
      <w:bookmarkStart w:id="568" w:name="Tc_C8HQ5EoQ1EimM62x6C1BGg_13_0"/>
      <w:bookmarkStart w:id="569" w:name="Tc_aKUtN5UE5kabR58VHRbu8w_12_3"/>
      <w:bookmarkStart w:id="570" w:name="Tc_Gwao2vA9-kuDt2bhHbaSYQ_12_0"/>
      <w:bookmarkStart w:id="571" w:name="Tc_b_umTjhU1kWNXjcUlVvQ4Q_11_6"/>
      <w:bookmarkStart w:id="572" w:name="Tc_b0eUgDLe7UqWt12uZApqfA_11_0"/>
      <w:bookmarkStart w:id="573" w:name="Tc_HPP6TiqWQkqxMGIZkHGtCw_10_0"/>
      <w:bookmarkStart w:id="574" w:name="Tc_xJ9F9D2ZeEew77T3WTp9MQ_9_0"/>
      <w:bookmarkStart w:id="575" w:name="Tc_TE6GmkQxpEGGTjId2_nvWQ_8_3"/>
      <w:bookmarkStart w:id="576" w:name="Tc__Yf8RHyxwUqQepigSPSwfw_8_0"/>
      <w:bookmarkStart w:id="577" w:name="Tc_-c90icD3O0aRCXkRfrFH6g_7_0"/>
      <w:bookmarkStart w:id="578" w:name="Tc_PXFtRYx040KWDmGCqeSZlQ_6_0"/>
      <w:bookmarkStart w:id="579" w:name="Tc_GvT7QZfRREW2OhAWkkcm-w_5_0"/>
      <w:bookmarkStart w:id="580" w:name="Tc_RmqHfhYIz0ymvyDo_W9O8g_4_5"/>
      <w:bookmarkStart w:id="581" w:name="Tc_1EK7PDfpcUuntPnOZXfiLg_4_2"/>
      <w:bookmarkStart w:id="582" w:name="Tc_uwNfex1V3E2fXpUc2gNcwg_4_0"/>
      <w:bookmarkStart w:id="583" w:name="Tc_TilBxBmbPE2JmeU8PY6ykQ_3_0"/>
      <w:bookmarkStart w:id="584" w:name="Tc_ARcwoZYsPkqwCID8k5WjtQ_2_5"/>
      <w:bookmarkStart w:id="585" w:name="Tc_1TGDCQFmIUeM8LFiMF4POA_2_2"/>
      <w:bookmarkStart w:id="586" w:name="Tc_qqdYvEnMUEKC9KQ0USm9uA_1_2"/>
      <w:bookmarkStart w:id="587" w:name="_b366b8a2_df1e_4d62_bb3e_61c139c67ae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tbl>
      <w:tblPr>
        <w:tblW w:w="10205" w:type="dxa"/>
        <w:jc w:val="left"/>
        <w:tblInd w:w="0" w:type="dxa"/>
        <w:tblCellMar>
          <w:top w:w="0" w:type="dxa"/>
          <w:left w:w="0" w:type="dxa"/>
          <w:bottom w:w="0" w:type="dxa"/>
          <w:right w:w="0" w:type="dxa"/>
        </w:tblCellMar>
      </w:tblPr>
      <w:tblGrid>
        <w:gridCol w:w="7511"/>
        <w:gridCol w:w="326"/>
        <w:gridCol w:w="211"/>
        <w:gridCol w:w="787"/>
        <w:gridCol w:w="326"/>
        <w:gridCol w:w="211"/>
        <w:gridCol w:w="833"/>
      </w:tblGrid>
      <w:tr>
        <w:trPr/>
        <w:tc>
          <w:tcPr>
            <w:tcW w:w="7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769485" cy="175260"/>
                      <wp:effectExtent l="0" t="0" r="0" b="0"/>
                      <wp:wrapNone/>
                      <wp:docPr id="91" name="Frame80"/>
                      <a:graphic xmlns:a="http://schemas.openxmlformats.org/drawingml/2006/main">
                        <a:graphicData uri="http://schemas.microsoft.com/office/word/2010/wordprocessingShape">
                          <wps:wsp>
                            <wps:cNvSpPr txBox="1"/>
                            <wps:spPr>
                              <a:xfrm>
                                <a:off x="0" y="0"/>
                                <a:ext cx="4769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9745" cy="175260"/>
                      <wp:effectExtent l="0" t="0" r="0" b="0"/>
                      <wp:wrapNone/>
                      <wp:docPr id="94" name="Frame83"/>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28955" cy="175260"/>
                      <wp:effectExtent l="0" t="0" r="0" b="0"/>
                      <wp:wrapNone/>
                      <wp:docPr id="97" name="Frame86"/>
                      <a:graphic xmlns:a="http://schemas.openxmlformats.org/drawingml/2006/main">
                        <a:graphicData uri="http://schemas.microsoft.com/office/word/2010/wordprocessingShape">
                          <wps:wsp>
                            <wps:cNvSpPr txBox="1"/>
                            <wps:spPr>
                              <a:xfrm>
                                <a:off x="0" y="0"/>
                                <a:ext cx="528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6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7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0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pPr>
            <w:r>
              <w:rPr/>
              <w:t>  </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(39,754)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(93,063)</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33" w:type="dxa"/>
            <w:tcBorders/>
            <w:shd w:fill="CCEEFF" w:val="clear"/>
            <w:vAlign w:val="center"/>
          </w:tcPr>
          <w:p>
            <w:pPr>
              <w:pStyle w:val="TableContents"/>
              <w:spacing w:before="0" w:after="0"/>
              <w:ind w:left="0" w:right="0" w:hanging="0"/>
              <w:jc w:val="right"/>
              <w:rPr/>
            </w:pPr>
            <w:r>
              <w:rPr/>
              <w:t>​</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7,785</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extinguishment of debt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(1,692)</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(20,938)</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 of convertible promissory note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pPr>
            <w:r>
              <w:rPr/>
              <w:t>—</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settlement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21,366</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consulting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53,837</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33" w:type="dxa"/>
            <w:tcBorders/>
            <w:shd w:fill="CCEEFF" w:val="clear"/>
            <w:vAlign w:val="center"/>
          </w:tcPr>
          <w:p>
            <w:pPr>
              <w:pStyle w:val="TableContents"/>
              <w:spacing w:before="0" w:after="0"/>
              <w:ind w:left="0" w:right="0" w:hanging="0"/>
              <w:jc w:val="right"/>
              <w:rPr/>
            </w:pPr>
            <w:r>
              <w:rPr/>
              <w:t>​</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 receivable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(4,809)</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(39,755)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(37,703)</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pPr>
            <w:r>
              <w:rPr/>
              <w:t>​</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 of computer equipment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pPr>
            <w:r>
              <w:rPr/>
              <w:t>​</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Proceeds from convertible notes payable, net of discount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pPr>
            <w:r>
              <w:rPr/>
              <w:t>—</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stock option exercise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pPr>
            <w:r>
              <w:rPr/>
              <w:t>​</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issuance of common stock for exercise of warrant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16,699</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Merger, net of transaction costs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11,050</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issuance of common stock and exercise of stock options, net of transaction costs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9,624</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Repayment of note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pPr>
            <w:r>
              <w:rPr/>
              <w:t>—</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Proceeds from issuance of common stock and warrants issued in private placement, net of issuance costs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27,359</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Repayment of notes payable assumed in Merger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Repayment of notes payable - related party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32,214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63,456</w:t>
            </w:r>
          </w:p>
        </w:tc>
      </w:tr>
      <w:tr>
        <w:trPr/>
        <w:tc>
          <w:tcPr>
            <w:tcW w:w="75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pPr>
            <w:r>
              <w:rPr/>
              <w:t>​</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(decrease) increase in cash and cash equivalents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25,746</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27,605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1,859</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20,054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27,605</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3" w:type="dxa"/>
            <w:tcBorders/>
            <w:shd w:fill="CCEEFF" w:val="clear"/>
            <w:vAlign w:val="center"/>
          </w:tcPr>
          <w:p>
            <w:pPr>
              <w:pStyle w:val="TableContents"/>
              <w:spacing w:before="0" w:after="0"/>
              <w:ind w:left="0" w:right="0" w:hanging="0"/>
              <w:jc w:val="right"/>
              <w:rPr/>
            </w:pPr>
            <w:r>
              <w:rPr/>
              <w:t>  </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Non-cash investing and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pPr>
            <w:r>
              <w:rPr/>
              <w:t>  </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Reclassification of settlement liability upon issuance of warrant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60,852</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common stock warrants as offering costs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r>
      <w:tr>
        <w:trPr/>
        <w:tc>
          <w:tcPr>
            <w:tcW w:w="7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Extinguishment of Paycheck Protection Program Loan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7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common stock for consulting services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auto" w:val="clear"/>
            <w:vAlign w:val="center"/>
          </w:tcPr>
          <w:p>
            <w:pPr>
              <w:pStyle w:val="TableContents"/>
              <w:spacing w:before="0" w:after="0"/>
              <w:ind w:left="0" w:right="70" w:hanging="0"/>
              <w:jc w:val="right"/>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88" w:name="a1Organization_922140"/>
      <w:bookmarkEnd w:id="588"/>
      <w:r>
        <w:rPr>
          <w:rFonts w:ascii="Times New Roman;Times;serif" w:hAnsi="Times New Roman;Times;serif"/>
          <w:b/>
          <w:sz w:val="20"/>
        </w:rPr>
        <w:t>1. Organization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Inc. Unless the context suggests otherwise, references to “NRx Pharmaceuticals,” “NeuroRx”, “NRXP,” “we,” or the “Company” refer to NRX Pharmaceuticals, Inc. and, where appropriate, its subsidiaries.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a clinical-stage pharmaceutical company which applies innovative science to known molecules to develop life-saving medicines through its wholly-owned operating subsidiary, NeuroRx. The Company's foundation product, NRX-101 (D-cylcoserine/Lurasidone), for the treatment of bipolar depression in patients with suicidality,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 </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589" w:name="_Hlk130999933"/>
      <w:bookmarkEnd w:id="589"/>
      <w:r>
        <w:rPr>
          <w:rFonts w:ascii="Times New Roman;Times;serif" w:hAnsi="Times New Roman;Times;serif"/>
          <w:b/>
          <w:sz w:val="20"/>
        </w:rPr>
        <w:t>2. Liquidity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the Company had $20.1 million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2, 2022, the Company completed a private placement and issued 7,824,727 shares of common stock and preferred investment options to purchase up to an aggregate of 7,824,727 shares of common stock. The purchase price for one share of common stock and one preferred investment option was $3.195. The preferred investment options have an exercise price of $3.07 per share. The aggregate gross proceeds to the Company were approximately $25.0 million, before deducting placement agent fees and other offering expenses.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4, 2022, the Company entered into a Securities Purchase Agreement (“SPA”) with Streeterville Capital, LLC, a Utah limited liability company (“Lender”), and, pursuant to the SPA, issued to the Lender an unsecured promissory note with a face amount of approximately $11.0 million (the “Note”) before an original issue discount of $1.0 million, which was deducted from the proceeds of the Note.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Note carries a 9% interest rate, has a term of 18 months from the issuance date (the “Maturity Date”) and is redeemable as described below. Any time after the issuance date, the Company has the right to prepay all or any portion of the outstanding balance of the Note. If the Company exercises its right to prepay the Note, the Company will make payment to the Lender of an amount in cash equal to 110% multiplied by the portion of the outstanding balance the Company elects to pay. Beginning on the date that is six (6) months after the issuance date of the applicable Note, the Lender has the right to redeem up to $1.0 million (“Maximum Monthly Redemption Amount”) of the outstanding balance of such Note per month. Payments may be made by the Company, at the Company’s option, (a) in cash with a 10% premium for the amount redeemed, (b) by paying the redemption amount in the form of shares of Common Stock with the number of redemption shares being equal to the portion of the applicable redemption amount divided by the Redemption Conversion Price or (c) a combination of cash and shares of Common Stock. The “Redemption Conversion Price” shall equal 85% multiplied by the average of the two lowest daily volume weighted average prices per share of the Common Stock during the 15 trading days immediately preceding the date that the Lender delivers notice electing to redeem a portion of the Note. The Company’s right to satisfy the redemption amount in shares of Common Stock is subject to certain limitations, including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 there not being any Equity Conditions Failure (as defined in the Note) and (ii) the Lender not owning more than 9.99% of the outstanding shares of Common Stock. If the Company elects to prepay the Note prior to the Maturity Date or elects to pay a portion or all of the Maximum Monthly Redemption Amount in cash, it must pay a premium of 10%, subject to certain exceptions. As of the date hereof, the Company did not meet the conditions to repay the Note by the delivery of shares of common stock.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the right to make the required payments for the above Note in common stock subject to certain conditions including ownership and trading volume limitations. If the Company is not able to make the required payments for the above Note in common stock and must use cash for these payments, management believes that the Company does not have sufficient liquidity to support operations, which are subject to change.</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On March 8, 2023, NRx Pharmaceuticals entered into a securities purchase agreement (the “Securities Purchase Agreement”) with accredited investors (the “Investors”), providing for the issuance and sale of 3,866,666 shares of the Company’s common stock (“Common Stock”) and warrants to purchase up to 3,866,666 shares of Common Stock (the “Investor Warrants”) in a registered direct offering priced at-the-market under Nasdaq rules for a purchase price of $0.75 per share (the “Offering”). The Investors have agreed not to transfer the Common Stock for six months following the date hereof. The Investor Warrants will have an exercise price of $0.75 per share, will be initially exercisable beginning six months following the date of issuance (the “Initial Exercise Date”) and will expire 5 years from the Initial Exercise Date.  The aggregate gross proceeds to the Company from the Offering are expected to be approximately $2.9 million. The Company intends to use the net proceeds from such offering for working capital and general corporate purposes. The closing of the sale of these securities occurred on March 9, 2023.</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Company plans to pursue additional financing opportunities in 2023 to strengthen its balance sheet similar to the transaction completed in March 2023. In addition, as we execute our business plan over the next 12 months, we will continue to carefully monitor the impact of our continuing operations on our working capital needs and cash balances relative to the availability of cost-effective debt and equity financing.</w:t>
      </w:r>
    </w:p>
    <w:p>
      <w:pPr>
        <w:pStyle w:val="TextBody"/>
        <w:shd w:fill="FFFFFF" w:val="clear"/>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ongoing clinical activities continue to generate losses and net cash outflows from operations. The Company may raise substantial additional funds, and if it does so, it may do so through one or more of the following: issuance of additional debt or equity and/or the completion of a licensing or other commercial transaction for one of the Company’s product candidates. The Company cannot make any assurances that additional financing will be available to it and, if available, on acceptable terms or at all which could negatively impact the Company’s business and operations and could also lead to a reduction in the Company’s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such, t</w:t>
      </w:r>
      <w:r>
        <w:rPr>
          <w:rFonts w:ascii="Times New Roman;Times;serif" w:hAnsi="Times New Roman;Times;serif"/>
          <w:sz w:val="20"/>
          <w:highlight w:val="white"/>
        </w:rPr>
        <w:t>he Company has concluded that substantial doubt exists about the Company’s ability to continue as a going concern for a period of at least twelve months from the date of issuance of these consolidated financial statements.</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may be necessary if the Company is unable to continue as a going concern.</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Company’s financial statements have been prepared in conformity with generally accepted accounting principles in the United States of America (“GAAP”) as determined by Financial Accounting Standards Board (“FASB”) Accounting Standards Codification (“ASC”).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Merger was accounted for as a reverse recapitalization in accordance with GAAP (the “Reverse Recapitalization”). Under this method of accounting, BRPA is treated as the “acquired” company and NeuroRx is treated as the acquirer for financial reporting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NeuroRx was determined to be the accounting acquirer based on the following predominant factors:</w:t>
      </w:r>
    </w:p>
    <w:tbl>
      <w:tblPr>
        <w:tblW w:w="7146" w:type="dxa"/>
        <w:jc w:val="left"/>
        <w:tblInd w:w="0" w:type="dxa"/>
        <w:tblCellMar>
          <w:top w:w="28" w:type="dxa"/>
          <w:left w:w="28" w:type="dxa"/>
          <w:bottom w:w="28" w:type="dxa"/>
          <w:right w:w="28" w:type="dxa"/>
        </w:tblCellMar>
      </w:tblPr>
      <w:tblGrid>
        <w:gridCol w:w="124"/>
        <w:gridCol w:w="256"/>
        <w:gridCol w:w="6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NeuroRx’s shareholders have the largest portion of voting rights in the Company;</w:t>
            </w:r>
          </w:p>
        </w:tc>
      </w:tr>
    </w:tbl>
    <w:tbl>
      <w:tblPr>
        <w:tblW w:w="8391" w:type="dxa"/>
        <w:jc w:val="left"/>
        <w:tblInd w:w="0" w:type="dxa"/>
        <w:tblCellMar>
          <w:top w:w="28" w:type="dxa"/>
          <w:left w:w="28" w:type="dxa"/>
          <w:bottom w:w="28" w:type="dxa"/>
          <w:right w:w="28" w:type="dxa"/>
        </w:tblCellMar>
      </w:tblPr>
      <w:tblGrid>
        <w:gridCol w:w="124"/>
        <w:gridCol w:w="256"/>
        <w:gridCol w:w="80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are primarily composed of individuals associated with NeuroRx;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NeuroRx was the larger entity based on historical operating activity and NeuroRx had the larger employee base at the time of the Merger.</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convertible note payable, Earnout Cash liability, valuation of common and preferred stock, stock options, warrants,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Certain Risks and Uncertainties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ASC 820, </w:t>
      </w:r>
      <w:r>
        <w:rPr>
          <w:rFonts w:ascii="Times New Roman;Times;serif" w:hAnsi="Times New Roman;Times;serif"/>
          <w:i/>
          <w:sz w:val="20"/>
        </w:rPr>
        <w:t>Fair Value Measurements</w:t>
      </w:r>
      <w:r>
        <w:rPr>
          <w:rFonts w:ascii="Times New Roman;Times;serif" w:hAnsi="Times New Roman;Times;serif"/>
          <w:sz w:val="20"/>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guidance classifies fair value measurements in one of the following three categories for disclosure purposes: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Level 1: Quoted prices in active markets for identical assets or liabilities.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Level 2: Inputs other than Level 1 prices for similar assets or liabilities that are directly or indirectly observable in the marketplace.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Concentration of Credit Risk and Off-Balance Sheet Risk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The Company maintains a portion of its cash and cash equivalent balances in the form of a money market account with a financial institution that management believes to be creditworthy.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Research and Development Costs</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Convertible Note Payable </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Stock-Based Compensation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590" w:name="_Hlk110498126"/>
      <w:bookmarkEnd w:id="590"/>
      <w:r>
        <w:rPr>
          <w:rFonts w:ascii="Times New Roman;Times;serif" w:hAnsi="Times New Roman;Times;serif"/>
          <w:sz w:val="20"/>
        </w:rPr>
        <w:t>Scholes option pricing model, and the assumptions used in calculating the fair value of stock-based awards represent management’s best estimates and involve inherent uncertainties and the application of management’s judgment. All stock-based compensation costs are recorded in general and administrative or research and development costs in the consolidated statements of operations based upon the underlying individual’s role at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Modification of stock options and 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change in any of the terms or conditions of stock options and warrants is accounted for as a modification. For a Type 1 (probable-to-probable) modification, incremental stock-based compensation cost is measured as the excess, if any, of the fair value of the modified option/warrant over the fair value of the original option/warrant immediately before its terms are modified, measured based on the fair value of the shares and other pertinent factors at the modification date. For vested stock options and warrants to board members, we recognize incremental compensation cost in the period the modification occurs. For unvested stock options, we recognize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we recognize is the cost of the original award.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warrants as either equity-classified or liability-classified instruments based on an assessment of the warrant’s specific terms and applicable authoritative guidance in ASC 480, </w:t>
      </w:r>
      <w:r>
        <w:rPr>
          <w:rFonts w:ascii="Times New Roman;Times;serif" w:hAnsi="Times New Roman;Times;serif"/>
          <w:i/>
          <w:sz w:val="20"/>
        </w:rPr>
        <w:t>Distinguishing Liabilities from Equity</w:t>
      </w:r>
      <w:r>
        <w:rPr>
          <w:rFonts w:ascii="Times New Roman;Times;serif" w:hAnsi="Times New Roman;Times;serif"/>
          <w:sz w:val="20"/>
        </w:rPr>
        <w:t xml:space="preserve"> (“ASC 480”) and ASC 815, </w:t>
      </w:r>
      <w:r>
        <w:rPr>
          <w:rFonts w:ascii="Times New Roman;Times;serif" w:hAnsi="Times New Roman;Times;serif"/>
          <w:i/>
          <w:sz w:val="20"/>
        </w:rPr>
        <w:t>Derivatives and Hedging</w:t>
      </w:r>
      <w:r>
        <w:rPr>
          <w:rFonts w:ascii="Times New Roman;Times;serif" w:hAnsi="Times New Roman;Times;serif"/>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probabilities of achieving Earnout Cash Milestone and/or Earnout Shares Milestone at each reporting period (see Notes 9 and 11).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taxes are recorded in accordance with ASC 740, </w:t>
      </w:r>
      <w:r>
        <w:rPr>
          <w:rFonts w:ascii="Times New Roman;Times;serif" w:hAnsi="Times New Roman;Times;serif"/>
          <w:i/>
          <w:sz w:val="20"/>
        </w:rPr>
        <w:t>Income Taxes</w:t>
      </w:r>
      <w:r>
        <w:rPr>
          <w:rFonts w:ascii="Times New Roman;Times;serif" w:hAnsi="Times New Roman;Times;serif"/>
          <w:sz w:val="20"/>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591" w:name="Tc_oZGur05N7UueQ-PKq4i8Ng_7_2"/>
      <w:bookmarkStart w:id="592" w:name="Tc_S2zbcK6-KkGbmaP6axyiIg_7_0"/>
      <w:bookmarkStart w:id="593" w:name="Tc_10ZyA7BoSkC6TVWgTGL_MA_6_2"/>
      <w:bookmarkStart w:id="594" w:name="Tc_9Rxe8ZILMUWkwp74RxQXNw_6_0"/>
      <w:bookmarkStart w:id="595" w:name="Tc_06d_2EtLBUyuGCnhTiBoYw_5_0"/>
      <w:bookmarkStart w:id="596" w:name="Tc_xsginsn3NkW1R-kveHeceQ_4_4"/>
      <w:bookmarkStart w:id="597" w:name="Tc_Amv_lS_08UWnrrcM43nOww_4_0"/>
      <w:bookmarkStart w:id="598" w:name="Tc_8POjglbankqPtXxsHeGRww_3_0"/>
      <w:bookmarkStart w:id="599" w:name="Tc_mJgMVY__xESWq5PxfuOJEg_2_4"/>
      <w:bookmarkStart w:id="600" w:name="Tc_ZjHxL5y5Mk-XgExWpVjH4w_2_2"/>
      <w:bookmarkStart w:id="601" w:name="Tc_k1jVWfwbf0O_7fsoRlXhRw_1_2"/>
      <w:bookmarkEnd w:id="591"/>
      <w:bookmarkEnd w:id="592"/>
      <w:bookmarkEnd w:id="593"/>
      <w:bookmarkEnd w:id="594"/>
      <w:bookmarkEnd w:id="595"/>
      <w:bookmarkEnd w:id="596"/>
      <w:bookmarkEnd w:id="597"/>
      <w:bookmarkEnd w:id="598"/>
      <w:bookmarkEnd w:id="599"/>
      <w:bookmarkEnd w:id="600"/>
      <w:bookmarkEnd w:id="601"/>
      <w:r>
        <w:rPr>
          <w:rFonts w:ascii="Times New Roman;Times;serif" w:hAnsi="Times New Roman;Times;serif"/>
          <w:sz w:val="20"/>
        </w:rPr>
        <w:t>as consideration of the available facts and circumstances. The Company recognizes any interest and penalties accrued related to unrecognized tax benefits as income tax expense.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Per Share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pStyle w:val="TextBody"/>
        <w:spacing w:before="0" w:after="0"/>
        <w:ind w:left="0" w:right="0" w:hanging="0"/>
        <w:rPr/>
      </w:pPr>
      <w:r>
        <w:rPr/>
        <w:t>​</w:t>
      </w:r>
    </w:p>
    <w:tbl>
      <w:tblPr>
        <w:tblW w:w="8658" w:type="dxa"/>
        <w:jc w:val="left"/>
        <w:tblInd w:w="0" w:type="dxa"/>
        <w:tblCellMar>
          <w:top w:w="0" w:type="dxa"/>
          <w:left w:w="0" w:type="dxa"/>
          <w:bottom w:w="0" w:type="dxa"/>
          <w:right w:w="0" w:type="dxa"/>
        </w:tblCellMar>
      </w:tblPr>
      <w:tblGrid>
        <w:gridCol w:w="6106"/>
        <w:gridCol w:w="109"/>
        <w:gridCol w:w="1036"/>
        <w:gridCol w:w="326"/>
        <w:gridCol w:w="1081"/>
      </w:tblGrid>
      <w:tr>
        <w:trPr/>
        <w:tc>
          <w:tcPr>
            <w:tcW w:w="6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877310" cy="175260"/>
                      <wp:effectExtent l="0" t="0" r="0" b="0"/>
                      <wp:wrapNone/>
                      <wp:docPr id="98" name="Frame87"/>
                      <a:graphic xmlns:a="http://schemas.openxmlformats.org/drawingml/2006/main">
                        <a:graphicData uri="http://schemas.microsoft.com/office/word/2010/wordprocessingShape">
                          <wps:wsp>
                            <wps:cNvSpPr txBox="1"/>
                            <wps:spPr>
                              <a:xfrm>
                                <a:off x="0" y="0"/>
                                <a:ext cx="3877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57860" cy="175260"/>
                      <wp:effectExtent l="0" t="0" r="0" b="0"/>
                      <wp:wrapNone/>
                      <wp:docPr id="100" name="Frame8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86435" cy="175260"/>
                      <wp:effectExtent l="0" t="0" r="0" b="0"/>
                      <wp:wrapNone/>
                      <wp:docPr id="102" name="Frame91"/>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1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44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1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1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2,400,315</w:t>
            </w:r>
          </w:p>
        </w:tc>
      </w:tr>
      <w:tr>
        <w:trPr/>
        <w:tc>
          <w:tcPr>
            <w:tcW w:w="61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awards</w:t>
            </w:r>
          </w:p>
        </w:tc>
        <w:tc>
          <w:tcPr>
            <w:tcW w:w="109"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pPr>
            <w:r>
              <w:rPr/>
              <w:t>—</w:t>
            </w:r>
          </w:p>
        </w:tc>
      </w:tr>
      <w:tr>
        <w:trPr/>
        <w:tc>
          <w:tcPr>
            <w:tcW w:w="61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Common stock warrants</w:t>
            </w:r>
          </w:p>
        </w:tc>
        <w:tc>
          <w:tcPr>
            <w:tcW w:w="109"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16,484,923</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9,305,790</w:t>
            </w:r>
          </w:p>
        </w:tc>
      </w:tr>
      <w:tr>
        <w:trPr/>
        <w:tc>
          <w:tcPr>
            <w:tcW w:w="61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Earnout Shares</w:t>
            </w:r>
          </w:p>
        </w:tc>
        <w:tc>
          <w:tcPr>
            <w:tcW w:w="109"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22,209,280</w:t>
            </w:r>
          </w:p>
        </w:tc>
      </w:tr>
      <w:tr>
        <w:trPr/>
        <w:tc>
          <w:tcPr>
            <w:tcW w:w="61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Earnout Shares from exercised Substitute Options and Substitute Warrants</w:t>
            </w:r>
          </w:p>
        </w:tc>
        <w:tc>
          <w:tcPr>
            <w:tcW w:w="109"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1,247,930</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and are adopted by the Company as of the specified effective date. For the year ended December 31, 2022, there were no new accounting pronouncements that management believes materially affect the Company’s present or future results of operations, overall financial condition, liquidity or disclosures.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bookmarkStart w:id="602" w:name="_Hlk78989218"/>
      <w:bookmarkEnd w:id="602"/>
      <w:r>
        <w:rPr>
          <w:rFonts w:ascii="Times New Roman;Times;serif" w:hAnsi="Times New Roman;Times;serif"/>
          <w:b/>
          <w:sz w:val="20"/>
        </w:rPr>
        <w:t>4.</w:t>
      </w:r>
      <w:r>
        <w:rPr>
          <w:rFonts w:ascii="Times New Roman;Times;serif" w:hAnsi="Times New Roman;Times;serif"/>
          <w:sz w:val="20"/>
        </w:rPr>
        <w:t xml:space="preserve"> </w:t>
      </w:r>
      <w:r>
        <w:rPr>
          <w:rFonts w:ascii="Times New Roman;Times;serif" w:hAnsi="Times New Roman;Times;serif"/>
          <w:b/>
          <w:sz w:val="20"/>
        </w:rPr>
        <w:t>Reverse Recapitalization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 1, on May 24, 2021 (the “Closing Date”), BRPA closed the Merger with NeuroRx, as a result of which NeuroRx became a wholly-owned subsidiary of BRPA. While BRPA was the legal acquirer of NeuroRx in the Merger,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is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Merger Agreement, the aggregate consideration payable to stockholders of NeuroRx at the Closing Date consists of 50,000,000 shares (“Closing Consideration”) of BRPA common stock, par value $0.001 per share (“Common Stock”). At the effective time of the Merger (the “Effective Time”), and subject to the terms and conditions of the Merger Agreement, each share of NeuroRx common stock, par value $0.001 per share, and each share of the NeuroRx convertible preferred stock that was convertible into a share of NeuroRx common stock at a one-to-one ratio pursuant to the NeuroRx certificate of incorporation, was converted into Common Stock equal to 3.16 (the “Exchange Ratio”).</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the stockholders of NeuroRx who owned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was converted into the right to receive a pro rata portion of the contingent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603" w:name="Tc_Sv1viJ8Es06CeSHygeLpkg_5_2"/>
      <w:bookmarkStart w:id="604" w:name="Tc_OFQC8VWtIEWIQj15RxwfYQ_5_0"/>
      <w:bookmarkStart w:id="605" w:name="Tc_K9aDEVuu7kqiUkQR46iMnw_4_0"/>
      <w:bookmarkStart w:id="606" w:name="Tc_5GtqPzLvgkWIdjLJ8XMdIg_3_0"/>
      <w:bookmarkStart w:id="607" w:name="Tc_XH3E9pYTWkuB86E01d-RWA_2_2"/>
      <w:bookmarkStart w:id="608" w:name="Tc_kpteK-SmPkuezBB_-Te_Vw_2_0"/>
      <w:bookmarkStart w:id="609" w:name="Tc_6Ks9qGWymU2EjOrO1Fy-HA_1_2"/>
      <w:bookmarkStart w:id="610" w:name="_7697c8c4_a127_4825_8d3e_c943baf2faf0"/>
      <w:bookmarkEnd w:id="603"/>
      <w:bookmarkEnd w:id="604"/>
      <w:bookmarkEnd w:id="605"/>
      <w:bookmarkEnd w:id="606"/>
      <w:bookmarkEnd w:id="607"/>
      <w:bookmarkEnd w:id="608"/>
      <w:bookmarkEnd w:id="609"/>
      <w:bookmarkEnd w:id="610"/>
      <w:r>
        <w:rPr>
          <w:rFonts w:ascii="Times New Roman;Times;serif" w:hAnsi="Times New Roman;Times;serif"/>
          <w:sz w:val="20"/>
        </w:rPr>
        <w:t>right to receive a pro rata portion of the Earnout Shares and Earnout Cash after consideration of the Substitute Options and Substitute Warrants (as further discussed below).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Merger Agreement, NeuroRx’s stockholders who owned NeuroRx securities immediately prior to the Effective Time had the contingent right to receive their pro rata portion of (i) an aggregate of 25,000,000 shares of Common Stock (“Earnout Shares”), less 935,608 and 1,920,492, respectively, which are subject to the terms and conditions of the Substitute Options and Substitute Warrants, (each defined below) if, prior to December 31, 2022, the NRX COVID-19 Drug (as defined in the Merger Agreement) receives emergency use authorization by the FDA and NeuroRx submits and the FDA files for review a new drug application for the NRX COVID-19 Drug (the occurrence of the foregoing, the “Earnout Shares Milestone”), and (ii) an aggregate of $100.0 million in cash (“Earnout Cash”) upon the earlier to occur of (x) FDA approval of the NRX COVID-19 Drug and the listing of the NRX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The Earnout Cash Milestone was recognized as a deemed dividend at the Closing Date and a contingent liability measured at its estimated fair value at the Closing Date and was remeasured at fair value each period end thereafter until December 31, 2022 (see Note 11). The Earnout Shares Milestone was recognized as a deemed dividend at the Closing Date and was classified within equity (see Note 11). The benefit of the contingent right to receive Earnout Shares and Earnout Cash for option and warrant holders occurs through the Option Exchange Ratio (as defined below) and therefore the amount of Earnout Shares and Earnout Cash for common stockholders is approximately 22,209,280 shares and $88.8 million, respectively. As of December 31, 2022, the Earnout Shares Milestone and Earnout Cash Milestone were not achieved, and the Earnout Cash liability was relieved and the Earnout Shares issued under stock options, warrants, and restricted common stock for stock option exercises were cancelled.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would continue to be governed by substantially the same terms and conditions, including vesting, as were applicable to the original instruments.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neither the Earnout Shares Milestone nor the Earnout Cash Milestone occurred, each Substitute Option and Substitute Warrant was adjusted based on the Exchange Ratio. For the Substitute Options and Substitute Warrants that were exercised prior to December 31, 2022, NRx Pharmaceuticals retained any shares forfeited by the option or warrant holders in connection with the adjustment.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Merger, a number of subscribers (each, a “Subscriber”) purchased from the Company an aggregate of 1,000,000 shares of Common Stock (the “PIPE”), for a purchase price of $10.00 per share and an aggregate purchase price of $10.0 million (the “PIPE Shares”), pursuant to separate subscription agreements (each, a “Subscription Agreement”) entered into prior to the Closing Date.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reconciles the elements of the Merger to the Consolidated Statement of Cash Flows for the year ended December 31, 2021 (in thousands):</w:t>
      </w:r>
    </w:p>
    <w:tbl>
      <w:tblPr>
        <w:tblW w:w="7183" w:type="dxa"/>
        <w:jc w:val="left"/>
        <w:tblInd w:w="0" w:type="dxa"/>
        <w:tblCellMar>
          <w:top w:w="0" w:type="dxa"/>
          <w:left w:w="0" w:type="dxa"/>
          <w:bottom w:w="0" w:type="dxa"/>
          <w:right w:w="0" w:type="dxa"/>
        </w:tblCellMar>
      </w:tblPr>
      <w:tblGrid>
        <w:gridCol w:w="5521"/>
        <w:gridCol w:w="326"/>
        <w:gridCol w:w="281"/>
        <w:gridCol w:w="1055"/>
      </w:tblGrid>
      <w:tr>
        <w:trPr/>
        <w:tc>
          <w:tcPr>
            <w:tcW w:w="5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505835" cy="175260"/>
                      <wp:effectExtent l="0" t="0" r="0" b="0"/>
                      <wp:wrapNone/>
                      <wp:docPr id="103" name="Frame92"/>
                      <a:graphic xmlns:a="http://schemas.openxmlformats.org/drawingml/2006/main">
                        <a:graphicData uri="http://schemas.microsoft.com/office/word/2010/wordprocessingShape">
                          <wps:wsp>
                            <wps:cNvSpPr txBox="1"/>
                            <wps:spPr>
                              <a:xfrm>
                                <a:off x="0" y="0"/>
                                <a:ext cx="3505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8435" cy="175260"/>
                      <wp:effectExtent l="0" t="0" r="0" b="0"/>
                      <wp:wrapNone/>
                      <wp:docPr id="105" name="Frame94"/>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9925" cy="175260"/>
                      <wp:effectExtent l="0" t="0" r="0" b="0"/>
                      <wp:wrapNone/>
                      <wp:docPr id="106" name="Frame95"/>
                      <a:graphic xmlns:a="http://schemas.openxmlformats.org/drawingml/2006/main">
                        <a:graphicData uri="http://schemas.microsoft.com/office/word/2010/wordprocessingShape">
                          <wps:wsp>
                            <wps:cNvSpPr txBox="1"/>
                            <wps:spPr>
                              <a:xfrm>
                                <a:off x="0" y="0"/>
                                <a:ext cx="669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5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3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Recapitalization</w:t>
            </w:r>
          </w:p>
        </w:tc>
      </w:tr>
      <w:tr>
        <w:trPr/>
        <w:tc>
          <w:tcPr>
            <w:tcW w:w="55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 BRPA trust and cash, net of redemptions</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4,363</w:t>
            </w:r>
          </w:p>
        </w:tc>
      </w:tr>
      <w:tr>
        <w:trPr/>
        <w:tc>
          <w:tcPr>
            <w:tcW w:w="55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 PIPE financing, net of transaction costs</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105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8,100</w:t>
            </w:r>
          </w:p>
        </w:tc>
      </w:tr>
      <w:tr>
        <w:trPr/>
        <w:tc>
          <w:tcPr>
            <w:tcW w:w="55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transaction costs and advisory fees allocated to NRXP equity</w:t>
            </w:r>
          </w:p>
        </w:tc>
        <w:tc>
          <w:tcPr>
            <w:tcW w:w="326" w:type="dxa"/>
            <w:tcBorders/>
            <w:shd w:fill="CCEEFF" w:val="clear"/>
            <w:vAlign w:val="center"/>
          </w:tcPr>
          <w:p>
            <w:pPr>
              <w:pStyle w:val="TableContents"/>
              <w:spacing w:before="0" w:after="1"/>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5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(1,413)</w:t>
            </w:r>
          </w:p>
        </w:tc>
      </w:tr>
      <w:tr>
        <w:trPr/>
        <w:tc>
          <w:tcPr>
            <w:tcW w:w="55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Merger, net of redemptions and transaction costs</w:t>
            </w:r>
          </w:p>
        </w:tc>
        <w:tc>
          <w:tcPr>
            <w:tcW w:w="326" w:type="dxa"/>
            <w:tcBorders/>
            <w:shd w:fill="auto" w:val="clear"/>
            <w:vAlign w:val="center"/>
          </w:tcPr>
          <w:p>
            <w:pPr>
              <w:pStyle w:val="TableContents"/>
              <w:spacing w:before="0" w:after="1"/>
              <w:ind w:left="0" w:right="0" w:hanging="0"/>
              <w:rPr/>
            </w:pPr>
            <w:r>
              <w:rPr/>
              <w:t>​</w:t>
            </w:r>
          </w:p>
        </w:tc>
        <w:tc>
          <w:tcPr>
            <w:tcW w:w="2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11,050</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611" w:name="Tc_KMZXoE7avkmGm8zv73noPg_11_0"/>
      <w:bookmarkStart w:id="612" w:name="Tc_D4m7VVRIc0WMqrM0bPEQhQ_10_0"/>
      <w:bookmarkStart w:id="613" w:name="Tc_hdTTXFyxOkOgQ2K8B77Oig_9_0"/>
      <w:bookmarkStart w:id="614" w:name="Tc_B-6neE-OKUGe9hLDMzAGMA_8_0"/>
      <w:bookmarkStart w:id="615" w:name="Tc_AO444L6YDEikPZRmz2DX-g_7_0"/>
      <w:bookmarkStart w:id="616" w:name="Tc_DKJxM3TLH0u0DlwDl4W6QA_6_0"/>
      <w:bookmarkStart w:id="617" w:name="Tc_qLRhEH3nvU-uupeB03oowg_5_0"/>
      <w:bookmarkStart w:id="618" w:name="Tc_lfLjDiGks0aQzmJr2u957Q_4_0"/>
      <w:bookmarkStart w:id="619" w:name="Tc_CMp0nTwIzE25qzPDCzf04A_3_0"/>
      <w:bookmarkStart w:id="620" w:name="Tc_ioP6Yu3xekGyigrh-9mYJQ_2_0"/>
      <w:bookmarkStart w:id="621" w:name="Tc_6Wm68lPcB0aERZVN-yqHbw_1_2"/>
      <w:bookmarkStart w:id="622" w:name="_f810b86f_db04_473b_bf89_1e7f7773dd1a"/>
      <w:bookmarkStart w:id="623" w:name="Tc_XsnpIG2CfUC4fZOvS-yL0Q_8_2"/>
      <w:bookmarkStart w:id="624" w:name="Tc_PUAC66QXrk68ctg15rdepw_8_0"/>
      <w:bookmarkStart w:id="625" w:name="Tc_PxNWfAkWOUGN6gd_r5_F7w_7_0"/>
      <w:bookmarkStart w:id="626" w:name="Tc_Tn5B_sU0o0audH10H8Kksg_6_0"/>
      <w:bookmarkStart w:id="627" w:name="Tc__rSFbxlh7UCzxswcDcbuGQ_5_0"/>
      <w:bookmarkStart w:id="628" w:name="Tc_162wkWJbM06mBEKagsehJQ_4_0"/>
      <w:bookmarkStart w:id="629" w:name="Tc_n5FBkJGJ1kmrdRJ18VrEJw_3_0"/>
      <w:bookmarkStart w:id="630" w:name="Tc_W8cEKox-gU-WHbxGUNd23A_2_2"/>
      <w:bookmarkStart w:id="631" w:name="Tc_bs4N8OJ3lU25dD9fvC8hdg_2_0"/>
      <w:bookmarkStart w:id="632" w:name="Tc_aMtyLMUos0Gn-jgFbu36cg_1_2"/>
      <w:bookmarkStart w:id="633" w:name="_d23f3d24_d292_47eb_bea8_08dbd043a69c"/>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rFonts w:ascii="Times New Roman;Times;serif" w:hAnsi="Times New Roman;Times;serif"/>
          <w:sz w:val="20"/>
        </w:rPr>
        <w:t>The following table reconciles the elements of the Merger to the Consolidated Statements of Changes in Stockholders' Equity (Deficit) for the year ended December 31, 2021 (in thousands):</w:t>
      </w:r>
    </w:p>
    <w:tbl>
      <w:tblPr>
        <w:tblW w:w="7183" w:type="dxa"/>
        <w:jc w:val="left"/>
        <w:tblInd w:w="0" w:type="dxa"/>
        <w:tblCellMar>
          <w:top w:w="0" w:type="dxa"/>
          <w:left w:w="0" w:type="dxa"/>
          <w:bottom w:w="0" w:type="dxa"/>
          <w:right w:w="0" w:type="dxa"/>
        </w:tblCellMar>
      </w:tblPr>
      <w:tblGrid>
        <w:gridCol w:w="5521"/>
        <w:gridCol w:w="326"/>
        <w:gridCol w:w="284"/>
        <w:gridCol w:w="1052"/>
      </w:tblGrid>
      <w:tr>
        <w:trPr/>
        <w:tc>
          <w:tcPr>
            <w:tcW w:w="5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505835" cy="175260"/>
                      <wp:effectExtent l="0" t="0" r="0" b="0"/>
                      <wp:wrapNone/>
                      <wp:docPr id="107" name="Frame96"/>
                      <a:graphic xmlns:a="http://schemas.openxmlformats.org/drawingml/2006/main">
                        <a:graphicData uri="http://schemas.microsoft.com/office/word/2010/wordprocessingShape">
                          <wps:wsp>
                            <wps:cNvSpPr txBox="1"/>
                            <wps:spPr>
                              <a:xfrm>
                                <a:off x="0" y="0"/>
                                <a:ext cx="3505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80340" cy="175260"/>
                      <wp:effectExtent l="0" t="0" r="0" b="0"/>
                      <wp:wrapNone/>
                      <wp:docPr id="109" name="Frame98"/>
                      <a:graphic xmlns:a="http://schemas.openxmlformats.org/drawingml/2006/main">
                        <a:graphicData uri="http://schemas.microsoft.com/office/word/2010/wordprocessingShape">
                          <wps:wsp>
                            <wps:cNvSpPr txBox="1"/>
                            <wps:spPr>
                              <a:xfrm>
                                <a:off x="0" y="0"/>
                                <a:ext cx="180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68020" cy="175260"/>
                      <wp:effectExtent l="0" t="0" r="0" b="0"/>
                      <wp:wrapNone/>
                      <wp:docPr id="110" name="Frame99"/>
                      <a:graphic xmlns:a="http://schemas.openxmlformats.org/drawingml/2006/main">
                        <a:graphicData uri="http://schemas.microsoft.com/office/word/2010/wordprocessingShape">
                          <wps:wsp>
                            <wps:cNvSpPr txBox="1"/>
                            <wps:spPr>
                              <a:xfrm>
                                <a:off x="0" y="0"/>
                                <a:ext cx="668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Recapitalization</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 BRPA trust and cash, net of redemptions</w:t>
            </w:r>
          </w:p>
        </w:tc>
        <w:tc>
          <w:tcPr>
            <w:tcW w:w="326"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4,363</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net working capital assumed from BRPA</w:t>
            </w:r>
          </w:p>
        </w:tc>
        <w:tc>
          <w:tcPr>
            <w:tcW w:w="32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notes payable assumed from BRPA</w:t>
            </w:r>
          </w:p>
        </w:tc>
        <w:tc>
          <w:tcPr>
            <w:tcW w:w="326"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fair value of assumed Placement Warrants</w:t>
            </w:r>
          </w:p>
        </w:tc>
        <w:tc>
          <w:tcPr>
            <w:tcW w:w="326" w:type="dxa"/>
            <w:tcBorders/>
            <w:shd w:fill="auto" w:val="clear"/>
            <w:vAlign w:val="center"/>
          </w:tcPr>
          <w:p>
            <w:pPr>
              <w:pStyle w:val="TableContents"/>
              <w:spacing w:before="0" w:after="0"/>
              <w:ind w:left="0" w:right="0" w:hanging="0"/>
              <w:rPr/>
            </w:pPr>
            <w:r>
              <w:rPr/>
              <w:t>​</w:t>
            </w:r>
          </w:p>
        </w:tc>
        <w:tc>
          <w:tcPr>
            <w:tcW w:w="284"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fair value of Earnout Cash</w:t>
            </w:r>
          </w:p>
        </w:tc>
        <w:tc>
          <w:tcPr>
            <w:tcW w:w="326"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(25,520)</w:t>
            </w:r>
          </w:p>
        </w:tc>
      </w:tr>
      <w:tr>
        <w:trPr/>
        <w:tc>
          <w:tcPr>
            <w:tcW w:w="5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transaction costs and advisory fees allocated to NRXP equity</w:t>
            </w:r>
          </w:p>
        </w:tc>
        <w:tc>
          <w:tcPr>
            <w:tcW w:w="326" w:type="dxa"/>
            <w:tcBorders/>
            <w:shd w:fill="auto" w:val="clear"/>
            <w:vAlign w:val="center"/>
          </w:tcPr>
          <w:p>
            <w:pPr>
              <w:pStyle w:val="TableContents"/>
              <w:spacing w:before="0" w:after="0"/>
              <w:ind w:left="0" w:right="0" w:hanging="0"/>
              <w:rPr/>
            </w:pPr>
            <w:r>
              <w:rPr/>
              <w:t>​</w:t>
            </w:r>
          </w:p>
        </w:tc>
        <w:tc>
          <w:tcPr>
            <w:tcW w:w="28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(1,413)</w:t>
            </w:r>
          </w:p>
        </w:tc>
      </w:tr>
      <w:tr>
        <w:trPr/>
        <w:tc>
          <w:tcPr>
            <w:tcW w:w="5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Merger, net of redemptions and transaction costs</w:t>
            </w:r>
          </w:p>
        </w:tc>
        <w:tc>
          <w:tcPr>
            <w:tcW w:w="326" w:type="dxa"/>
            <w:tcBorders/>
            <w:shd w:fill="CCEEFF" w:val="clear"/>
            <w:vAlign w:val="center"/>
          </w:tcPr>
          <w:p>
            <w:pPr>
              <w:pStyle w:val="TableContents"/>
              <w:spacing w:before="0" w:after="0"/>
              <w:ind w:left="0" w:right="0" w:hanging="0"/>
              <w:rPr/>
            </w:pPr>
            <w:r>
              <w:rPr/>
              <w:t>​</w:t>
            </w:r>
          </w:p>
        </w:tc>
        <w:tc>
          <w:tcPr>
            <w:tcW w:w="28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(26,616)</w:t>
            </w:r>
          </w:p>
        </w:tc>
      </w:tr>
    </w:tbl>
    <w:p>
      <w:pPr>
        <w:pStyle w:val="TextBody"/>
        <w:spacing w:lineRule="auto" w:line="357" w:before="0" w:after="0"/>
        <w:ind w:left="0" w:right="0" w:hanging="0"/>
        <w:jc w:val="both"/>
        <w:rPr>
          <w:highlight w:val="magenta"/>
        </w:rPr>
      </w:pPr>
      <w:r>
        <w:rPr>
          <w:highlight w:val="magenta"/>
        </w:rPr>
        <w:t>​</w:t>
      </w:r>
    </w:p>
    <w:p>
      <w:pPr>
        <w:pStyle w:val="TextBody"/>
        <w:spacing w:lineRule="auto" w:line="357" w:before="160" w:after="160"/>
        <w:ind w:left="0" w:right="0" w:hanging="0"/>
        <w:jc w:val="both"/>
        <w:rPr>
          <w:rFonts w:ascii="Times New Roman;Times;serif" w:hAnsi="Times New Roman;Times;serif"/>
          <w:sz w:val="20"/>
        </w:rPr>
      </w:pPr>
      <w:r>
        <w:rPr>
          <w:rFonts w:ascii="Times New Roman;Times;serif" w:hAnsi="Times New Roman;Times;serif"/>
          <w:sz w:val="20"/>
        </w:rPr>
        <w:t>The following table details the number of shares of common stock issued immediately following the consummation of the Merger:</w:t>
      </w:r>
    </w:p>
    <w:tbl>
      <w:tblPr>
        <w:tblW w:w="7393" w:type="dxa"/>
        <w:jc w:val="left"/>
        <w:tblInd w:w="0" w:type="dxa"/>
        <w:tblCellMar>
          <w:top w:w="0" w:type="dxa"/>
          <w:left w:w="0" w:type="dxa"/>
          <w:bottom w:w="0" w:type="dxa"/>
          <w:right w:w="0" w:type="dxa"/>
        </w:tblCellMar>
      </w:tblPr>
      <w:tblGrid>
        <w:gridCol w:w="5611"/>
        <w:gridCol w:w="326"/>
        <w:gridCol w:w="1456"/>
      </w:tblGrid>
      <w:tr>
        <w:trPr/>
        <w:tc>
          <w:tcPr>
            <w:tcW w:w="5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562985" cy="175260"/>
                      <wp:effectExtent l="0" t="0" r="0" b="0"/>
                      <wp:wrapNone/>
                      <wp:docPr id="111" name="Frame100"/>
                      <a:graphic xmlns:a="http://schemas.openxmlformats.org/drawingml/2006/main">
                        <a:graphicData uri="http://schemas.microsoft.com/office/word/2010/wordprocessingShape">
                          <wps:wsp>
                            <wps:cNvSpPr txBox="1"/>
                            <wps:spPr>
                              <a:xfrm>
                                <a:off x="0" y="0"/>
                                <a:ext cx="3562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924560" cy="175260"/>
                      <wp:effectExtent l="0" t="0" r="0" b="0"/>
                      <wp:wrapNone/>
                      <wp:docPr id="113" name="Frame102"/>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5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outstanding prior to Merger</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552,412</w:t>
            </w:r>
          </w:p>
        </w:tc>
      </w:tr>
      <w:tr>
        <w:trPr/>
        <w:tc>
          <w:tcPr>
            <w:tcW w:w="56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redemption of BRPA shares</w:t>
            </w:r>
          </w:p>
        </w:tc>
        <w:tc>
          <w:tcPr>
            <w:tcW w:w="326" w:type="dxa"/>
            <w:tcBorders/>
            <w:shd w:fill="auto" w:val="clear"/>
            <w:vAlign w:val="center"/>
          </w:tcPr>
          <w:p>
            <w:pPr>
              <w:pStyle w:val="TableContents"/>
              <w:spacing w:before="0" w:after="0"/>
              <w:ind w:left="0" w:right="0" w:hanging="0"/>
              <w:rPr/>
            </w:pPr>
            <w:r>
              <w:rPr/>
              <w:t> </w:t>
            </w:r>
          </w:p>
        </w:tc>
        <w:tc>
          <w:tcPr>
            <w:tcW w:w="14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5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of BRPA</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552,196</w:t>
            </w:r>
          </w:p>
        </w:tc>
      </w:tr>
      <w:tr>
        <w:trPr/>
        <w:tc>
          <w:tcPr>
            <w:tcW w:w="56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BRPA Founder and private shares, net of forfeited shares of 875,216</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1,260,284</w:t>
            </w:r>
          </w:p>
        </w:tc>
      </w:tr>
      <w:tr>
        <w:trPr/>
        <w:tc>
          <w:tcPr>
            <w:tcW w:w="5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Shares issued in PIPE Financing</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56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Shares issued for services</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r>
      <w:tr>
        <w:trPr/>
        <w:tc>
          <w:tcPr>
            <w:tcW w:w="5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Shares issued pursuant to conversion of Public and Private Rights</w:t>
            </w:r>
          </w:p>
        </w:tc>
        <w:tc>
          <w:tcPr>
            <w:tcW w:w="326" w:type="dxa"/>
            <w:tcBorders/>
            <w:shd w:fill="CCEEFF" w:val="clear"/>
            <w:vAlign w:val="center"/>
          </w:tcPr>
          <w:p>
            <w:pPr>
              <w:pStyle w:val="TableContents"/>
              <w:spacing w:before="0" w:after="0"/>
              <w:ind w:left="0" w:right="0" w:hanging="0"/>
              <w:rPr/>
            </w:pPr>
            <w:r>
              <w:rPr/>
              <w:t> </w:t>
            </w:r>
          </w:p>
        </w:tc>
        <w:tc>
          <w:tcPr>
            <w:tcW w:w="14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717,250</w:t>
            </w:r>
          </w:p>
        </w:tc>
      </w:tr>
      <w:tr>
        <w:trPr/>
        <w:tc>
          <w:tcPr>
            <w:tcW w:w="56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Merger and PIPE financing shares - common stock</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3,729,730</w:t>
            </w:r>
          </w:p>
        </w:tc>
      </w:tr>
      <w:tr>
        <w:trPr/>
        <w:tc>
          <w:tcPr>
            <w:tcW w:w="5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NeuroRx shares - common stock (1)</w:t>
            </w:r>
          </w:p>
        </w:tc>
        <w:tc>
          <w:tcPr>
            <w:tcW w:w="326" w:type="dxa"/>
            <w:tcBorders/>
            <w:shd w:fill="CCEEFF" w:val="clear"/>
            <w:vAlign w:val="center"/>
          </w:tcPr>
          <w:p>
            <w:pPr>
              <w:pStyle w:val="TableContents"/>
              <w:spacing w:before="0" w:after="0"/>
              <w:ind w:left="0" w:right="0" w:hanging="0"/>
              <w:rPr/>
            </w:pPr>
            <w:r>
              <w:rPr/>
              <w:t> </w:t>
            </w:r>
          </w:p>
        </w:tc>
        <w:tc>
          <w:tcPr>
            <w:tcW w:w="14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44,873,855</w:t>
            </w:r>
          </w:p>
        </w:tc>
      </w:tr>
      <w:tr>
        <w:trPr/>
        <w:tc>
          <w:tcPr>
            <w:tcW w:w="56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shares of common stock immediately after Merger</w:t>
            </w:r>
          </w:p>
        </w:tc>
        <w:tc>
          <w:tcPr>
            <w:tcW w:w="326" w:type="dxa"/>
            <w:tcBorders/>
            <w:shd w:fill="auto" w:val="clear"/>
            <w:vAlign w:val="center"/>
          </w:tcPr>
          <w:p>
            <w:pPr>
              <w:pStyle w:val="TableContents"/>
              <w:spacing w:before="0" w:after="0"/>
              <w:ind w:left="0" w:right="0" w:hanging="0"/>
              <w:rPr/>
            </w:pPr>
            <w:r>
              <w:rPr/>
              <w:t> </w:t>
            </w:r>
          </w:p>
        </w:tc>
        <w:tc>
          <w:tcPr>
            <w:tcW w:w="1456"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48,603,585</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number of NeuroRx common stock was determined from the 14,200,586</w:t>
            </w:r>
            <w:r>
              <w:rPr>
                <w:caps w:val="false"/>
                <w:smallCaps w:val="false"/>
              </w:rPr>
              <w:t xml:space="preserve"> </w:t>
            </w:r>
            <w:r>
              <w:rPr>
                <w:rFonts w:ascii="Times New Roman;Times;serif" w:hAnsi="Times New Roman;Times;serif"/>
                <w:b w:val="false"/>
                <w:i w:val="false"/>
                <w:caps w:val="false"/>
                <w:smallCaps w:val="false"/>
                <w:sz w:val="20"/>
              </w:rPr>
              <w:t>shares of NeuroRx common stock outstanding immediately prior to the closing of the Merger converted at the Exchange Ratio. All fractional shares were rounded down.</w:t>
            </w:r>
          </w:p>
        </w:tc>
      </w:tr>
    </w:tbl>
    <w:p>
      <w:pPr>
        <w:pStyle w:val="TextBody"/>
        <w:spacing w:before="0" w:after="0"/>
        <w:ind w:left="360" w:right="0" w:hanging="0"/>
        <w:jc w:val="both"/>
        <w:rPr/>
      </w:pPr>
      <w:r>
        <w:rPr/>
        <w:t>​</w:t>
      </w:r>
    </w:p>
    <w:p>
      <w:pPr>
        <w:pStyle w:val="TextBody"/>
        <w:spacing w:lineRule="auto" w:line="357" w:before="0" w:after="240"/>
        <w:ind w:left="0" w:right="0" w:hanging="0"/>
        <w:jc w:val="both"/>
        <w:rPr>
          <w:rFonts w:ascii="Times New Roman;Times;serif" w:hAnsi="Times New Roman;Times;serif"/>
          <w:sz w:val="20"/>
        </w:rPr>
      </w:pPr>
      <w:bookmarkStart w:id="634" w:name="Tc_7CV5uPAv4kGgWp8srTVrDQ_10_5"/>
      <w:bookmarkStart w:id="635" w:name="Tc_1i8unr_o0Uu3-lDzj4yzaw_10_2"/>
      <w:bookmarkStart w:id="636" w:name="Tc_AvURrlHUfE-LWWPSDPyOGg_10_0"/>
      <w:bookmarkStart w:id="637" w:name="Tc_focmelQ3l0CdHp0hGEakqg_9_3"/>
      <w:bookmarkStart w:id="638" w:name="Tc_nSaG4Cn9wku24B5iVaxeqA_9_0"/>
      <w:bookmarkStart w:id="639" w:name="Tc_smbC7ZU8eUarbAwPSMOShg_8_6"/>
      <w:bookmarkStart w:id="640" w:name="Tc_JLwSLvw8Nkuo1bIypSHBJw_8_0"/>
      <w:bookmarkStart w:id="641" w:name="Tc_H0s2-SRF9EOfKcE-jkBvNA_7_6"/>
      <w:bookmarkStart w:id="642" w:name="Tc_yzUPmqtLx0K4AUgpBy8nKA_7_0"/>
      <w:bookmarkStart w:id="643" w:name="Tc_jDJvuXx_aEGE2f9S7GOFDw_6_0"/>
      <w:bookmarkStart w:id="644" w:name="Tc_3TPlCuoy7kif1Yh8_JZcOQ_5_0"/>
      <w:bookmarkStart w:id="645" w:name="Tc_57raf69ECU6-gWNCo0UWDg_4_5"/>
      <w:bookmarkStart w:id="646" w:name="Tc_HmfvqAGEdEuH1YGn1n1YDg_4_2"/>
      <w:bookmarkStart w:id="647" w:name="Tc_tQuXpoaarUmc26bll2oVaA_4_0"/>
      <w:bookmarkStart w:id="648" w:name="Tc_-jIHvEZqnU-MXNlAXfWUtg_3_0"/>
      <w:bookmarkStart w:id="649" w:name="Tc_gJZGOOOlmkC4okfygP3EqA_2_6"/>
      <w:bookmarkStart w:id="650" w:name="Tc_yBUjm_FFr0Kxl9pegZi4vQ_2_3"/>
      <w:bookmarkStart w:id="651" w:name="Tc_jUpSNc3KLk6p7igafJaI2Q_1_2"/>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Pr>
          <w:rFonts w:ascii="Times New Roman;Times;serif" w:hAnsi="Times New Roman;Times;serif"/>
          <w:b/>
          <w:sz w:val="20"/>
        </w:rPr>
        <w:t>5.</w:t>
      </w:r>
      <w:r>
        <w:rPr>
          <w:rFonts w:ascii="Times New Roman;Times;serif" w:hAnsi="Times New Roman;Times;serif"/>
          <w:sz w:val="20"/>
        </w:rPr>
        <w:t xml:space="preserve"> </w:t>
      </w:r>
      <w:r>
        <w:rPr>
          <w:rFonts w:ascii="Times New Roman;Times;serif" w:hAnsi="Times New Roman;Times;serif"/>
          <w:b/>
          <w:sz w:val="20"/>
        </w:rPr>
        <w:t>Prepaid Expenses and Other Current Assets</w:t>
      </w:r>
    </w:p>
    <w:p>
      <w:pPr>
        <w:pStyle w:val="TextBody"/>
        <w:spacing w:lineRule="auto" w:line="357" w:before="0" w:after="24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 consisted of the following at the dates indicated (in thousands):</w:t>
      </w:r>
    </w:p>
    <w:p>
      <w:pPr>
        <w:pStyle w:val="TextBody"/>
        <w:spacing w:before="0" w:after="0"/>
        <w:ind w:left="0" w:right="0" w:hanging="0"/>
        <w:rPr/>
      </w:pPr>
      <w:r>
        <w:rPr/>
        <w:t>​</w:t>
      </w:r>
    </w:p>
    <w:tbl>
      <w:tblPr>
        <w:tblW w:w="6082" w:type="dxa"/>
        <w:jc w:val="left"/>
        <w:tblInd w:w="0" w:type="dxa"/>
        <w:tblCellMar>
          <w:top w:w="0" w:type="dxa"/>
          <w:left w:w="0" w:type="dxa"/>
          <w:bottom w:w="0" w:type="dxa"/>
          <w:right w:w="0" w:type="dxa"/>
        </w:tblCellMar>
      </w:tblPr>
      <w:tblGrid>
        <w:gridCol w:w="3931"/>
        <w:gridCol w:w="326"/>
        <w:gridCol w:w="211"/>
        <w:gridCol w:w="571"/>
        <w:gridCol w:w="146"/>
        <w:gridCol w:w="211"/>
        <w:gridCol w:w="686"/>
      </w:tblGrid>
      <w:tr>
        <w:trPr/>
        <w:tc>
          <w:tcPr>
            <w:tcW w:w="3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96185" cy="175260"/>
                      <wp:effectExtent l="0" t="0" r="0" b="0"/>
                      <wp:wrapNone/>
                      <wp:docPr id="114" name="Frame103"/>
                      <a:graphic xmlns:a="http://schemas.openxmlformats.org/drawingml/2006/main">
                        <a:graphicData uri="http://schemas.microsoft.com/office/word/2010/wordprocessingShape">
                          <wps:wsp>
                            <wps:cNvSpPr txBox="1"/>
                            <wps:spPr>
                              <a:xfrm>
                                <a:off x="0" y="0"/>
                                <a:ext cx="2496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62585" cy="175260"/>
                      <wp:effectExtent l="0" t="0" r="0" b="0"/>
                      <wp:wrapNone/>
                      <wp:docPr id="117" name="Frame10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2710" cy="175260"/>
                      <wp:effectExtent l="0" t="0" r="0" b="0"/>
                      <wp:wrapNone/>
                      <wp:docPr id="118" name="Frame10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35610" cy="175260"/>
                      <wp:effectExtent l="0" t="0" r="0" b="0"/>
                      <wp:wrapNone/>
                      <wp:docPr id="120" name="Frame109"/>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2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1"/>
              <w:ind w:left="0" w:right="0" w:hanging="0"/>
              <w:rPr/>
            </w:pPr>
            <w:r>
              <w:rPr/>
              <w:t> </w:t>
            </w:r>
          </w:p>
        </w:tc>
        <w:tc>
          <w:tcPr>
            <w:tcW w:w="782" w:type="dxa"/>
            <w:gridSpan w:val="2"/>
            <w:tcBorders/>
            <w:shd w:fill="CCEEFF" w:val="clear"/>
            <w:vAlign w:val="center"/>
          </w:tcPr>
          <w:p>
            <w:pPr>
              <w:pStyle w:val="TableContents"/>
              <w:spacing w:before="0" w:after="1"/>
              <w:ind w:left="0" w:right="0" w:hanging="0"/>
              <w:jc w:val="center"/>
              <w:rPr/>
            </w:pPr>
            <w:r>
              <w:rPr/>
              <w:t>​</w:t>
            </w:r>
          </w:p>
        </w:tc>
        <w:tc>
          <w:tcPr>
            <w:tcW w:w="14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86" w:type="dxa"/>
            <w:tcBorders/>
            <w:shd w:fill="CCEEFF" w:val="clear"/>
            <w:vAlign w:val="center"/>
          </w:tcPr>
          <w:p>
            <w:pPr>
              <w:pStyle w:val="TableContents"/>
              <w:spacing w:before="0" w:after="1"/>
              <w:ind w:left="0" w:right="0" w:hanging="0"/>
              <w:jc w:val="right"/>
              <w:rPr/>
            </w:pPr>
            <w:r>
              <w:rPr/>
              <w:t>  </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insurance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3,167</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3,224</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Prepaid clinical development expenses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1,966</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prepaid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legal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86" w:type="dxa"/>
            <w:tcBorders/>
            <w:shd w:fill="CCEEFF" w:val="clear"/>
            <w:vAlign w:val="center"/>
          </w:tcPr>
          <w:p>
            <w:pPr>
              <w:pStyle w:val="TableContents"/>
              <w:spacing w:before="0" w:after="1"/>
              <w:ind w:left="0" w:right="0" w:hanging="0"/>
              <w:jc w:val="right"/>
              <w:rPr/>
            </w:pPr>
            <w:r>
              <w:rPr/>
              <w:t>—</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receivables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jc w:val="right"/>
              <w:rPr/>
            </w:pPr>
            <w:r>
              <w:rPr/>
              <w:t>—</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manufacturing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5,741</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5,109</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52" w:name="Tc_8KtokpMIJUemtuGhByFdGA_8_5"/>
      <w:bookmarkStart w:id="653" w:name="Tc_OXwpU-7gT0ux9ItChM7CIw_8_2"/>
      <w:bookmarkStart w:id="654" w:name="Tc_cufoPURY30C5dGA_kSQJ1Q_8_0"/>
      <w:bookmarkStart w:id="655" w:name="Tc_pDnBPTPjrkWIwHJ6QBT_Uw_7_0"/>
      <w:bookmarkStart w:id="656" w:name="Tc_ue49zyTNuUmcBgt3PwrKEw_6_5"/>
      <w:bookmarkStart w:id="657" w:name="Tc_XwmH4n9gn0Ks2y_HodRnsQ_6_0"/>
      <w:bookmarkStart w:id="658" w:name="Tc_r_sk_Qs-8kaSVWaPhiuc9A_5_0"/>
      <w:bookmarkStart w:id="659" w:name="Tc_vy2njLOtfE-kh320zeOd5Q_4_5"/>
      <w:bookmarkStart w:id="660" w:name="Tc_9-bI3GWnFU-gMxkok7u0lw_4_2"/>
      <w:bookmarkStart w:id="661" w:name="Tc_4un00lMgaUarTvjbCJwN_w_4_0"/>
      <w:bookmarkStart w:id="662" w:name="Tc_u_0--alVTECr7oS-WXBUWA_3_0"/>
      <w:bookmarkStart w:id="663" w:name="Tc_ol1k8masfUeCUDw9ShJ3lw_2_6"/>
      <w:bookmarkStart w:id="664" w:name="Tc_e5R6z7Ql8kutJytclSHubw_2_3"/>
      <w:bookmarkStart w:id="665" w:name="Tc_ZKaNwvYnDEqIN6LkDy03OA_1_3"/>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Times New Roman;Times;serif" w:hAnsi="Times New Roman;Times;serif"/>
          <w:b/>
          <w:sz w:val="20"/>
        </w:rPr>
        <w:t>6. Accrued and Other Current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Accrued and other current liabilities consisted of the following at the dates indicated (in thousands):</w:t>
      </w:r>
    </w:p>
    <w:p>
      <w:pPr>
        <w:pStyle w:val="TextBody"/>
        <w:spacing w:before="0" w:after="0"/>
        <w:ind w:left="0" w:right="0" w:hanging="0"/>
        <w:rPr/>
      </w:pPr>
      <w:r>
        <w:rPr/>
        <w:t>​</w:t>
      </w:r>
    </w:p>
    <w:tbl>
      <w:tblPr>
        <w:tblW w:w="5850" w:type="dxa"/>
        <w:jc w:val="left"/>
        <w:tblInd w:w="0" w:type="dxa"/>
        <w:tblCellMar>
          <w:top w:w="0" w:type="dxa"/>
          <w:left w:w="0" w:type="dxa"/>
          <w:bottom w:w="0" w:type="dxa"/>
          <w:right w:w="0" w:type="dxa"/>
        </w:tblCellMar>
      </w:tblPr>
      <w:tblGrid>
        <w:gridCol w:w="3736"/>
        <w:gridCol w:w="326"/>
        <w:gridCol w:w="211"/>
        <w:gridCol w:w="571"/>
        <w:gridCol w:w="109"/>
        <w:gridCol w:w="211"/>
        <w:gridCol w:w="686"/>
      </w:tblGrid>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1"/>
              <w:ind w:left="0" w:right="0" w:hanging="0"/>
              <w:rPr/>
            </w:pPr>
            <w:r>
              <w:rPr/>
              <w:t>​</w: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1577"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57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86" w:type="dxa"/>
            <w:tcBorders/>
            <w:shd w:fill="CCEEFF" w:val="clear"/>
            <w:vAlign w:val="center"/>
          </w:tcPr>
          <w:p>
            <w:pPr>
              <w:pStyle w:val="TableContents"/>
              <w:spacing w:before="0" w:after="1"/>
              <w:ind w:left="0" w:right="0" w:hanging="0"/>
              <w:rPr/>
            </w:pPr>
            <w:r>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2,616</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research and development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employee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Professional services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accrued and other 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4,855</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2,375</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66" w:name="_Hlk130992838"/>
      <w:bookmarkEnd w:id="666"/>
      <w:r>
        <w:rPr>
          <w:rFonts w:ascii="Times New Roman;Times;serif" w:hAnsi="Times New Roman;Times;serif"/>
          <w:b/>
          <w:sz w:val="20"/>
        </w:rPr>
        <w:t>7. Debt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Relief Therapeutics Loan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6, 2020, the Company entered into a loan agreement (the “Relief Therapeutics Loan”) with Relief Therapeutics Holding S.A. (“Relief Therapeutics”) in the amount of $0.5 million. The Relief Therapeutics Loan matured on April 6, 2022 and was bearing interest at 2% per annum payable in arrears. The Relief Therapeutics Loan principal and accrued interest were paid in full on April 6, 2022 in the amount of $0.5 million and less than $0.1 million, respectively.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Convertible Note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November 4, 2022, the Company entered into a Securities Purchase Agreement (“SPA”) with Streeterville Capital, LLC, a Utah limited liability company (“Lender”), and, pursuant to the SPA, issued to the Lender an unsecured promissory note with a face amount of approximately $11.0 million (the “Note”) before an original issue discount of $1.0 million, which was deducted from the proceeds of the Note.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Note carries a 9% interest rate, has a term of 18 months from the issuance date (the “Maturity Date”) and is redeemable as described below. Any time after the issuance date, the Company has the right to prepay all or any portion of the outstanding balance of the Note. If the Company exercises its right to prepay the Note, the Company will make payment to the Lender of an amount in cash equal to 110% multiplied by the portion of the outstanding balance the Company elects to pay. Beginning on the date that is six (6) months after the issuance date of the applicable Note, the Lender has the right to redeem up to $1.0 million (“Maximum Monthly Redemption Amount”) of the outstanding balance of such Note per month. Payments may be made by the Company, at the Company’s option, (a) in cash with a 10% premium for the amount redeemed, (b) by paying the redemption amount in the form of shares of Common Stock with the number of redemption shares being equal to the portion of the applicable redemption amount divided by the Redemption Conversion Price or (c) a combination of cash and shares of Common Stock. The “Redemption Conversion Price” shall equal 85% multiplied by the average of the two lowest daily volume weighted average prices per share of the Common Stock during the 15 trading days immediately preceding the date that the Lender delivers notice electing to redeem a portion of the Note. The Company’s right to satisfy the redemption amount in shares of Common Stock is subject to certain limitations, including (i) there not being any Equity Conditions Failure (as defined in the Note) and (ii) the Lender not owning more than 4.99% of the outstanding shares of Common Stock. At any time, if market capitalization is less than $25.0 million, the 4.99% ownership limitation shall be increased to 9.99%. On March 30, 2023, the Company amended the Note to increase the ownership limitation to 9.99%. If the Company elects to prepay the Note prior to the Maturity Date or elects to pay a portion or all of the Maximum Monthly Redemption Amount in cash, it must pay a premium of 10%, subject to certain exceptions.</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The Company has the right to make the required payments for the above Note in common stock subject to certain conditions including ownership and trading volume limitations. If the Company is not able to make the required payments for the above Note in common stock and must use cash for these payments, management believes that the Company does not have sufficient liquidity to support operations, which are subject to change.</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jc w:val="both"/>
        <w:rPr/>
      </w:pPr>
      <w:bookmarkStart w:id="667" w:name="Tc_AS8Q3WBVD0ucUtPYzku0HQ_9_2"/>
      <w:bookmarkStart w:id="668" w:name="Tc_1SCCTpQfeUuCMeMw32mUjA_9_0"/>
      <w:bookmarkStart w:id="669" w:name="Tc_CmFhLzjZdkmiVaBNYaxPrw_8_2"/>
      <w:bookmarkStart w:id="670" w:name="Tc__k8eIloDLkaYVk-qVUMMEA_8_0"/>
      <w:bookmarkStart w:id="671" w:name="Tc_C3GCivd8PEyTuNj4vMPXxg_6_2"/>
      <w:bookmarkStart w:id="672" w:name="Tc_Pq3xRmQldkqEBZT-bJUAAw_6_0"/>
      <w:bookmarkStart w:id="673" w:name="Tc_NfcvCCOqq0-pI9q0aNRbQg_5_0"/>
      <w:bookmarkStart w:id="674" w:name="Tc_MLPbtjJSXkWEI8VGVonMBQ_4_0"/>
      <w:bookmarkStart w:id="675" w:name="Tc_YHY7P5Lq60W4-dH-dppwWA_3_0"/>
      <w:bookmarkStart w:id="676" w:name="Tc_XQWydcsYoEyxz9cIOCG7uw_2_2"/>
      <w:bookmarkStart w:id="677" w:name="Tc_C60lqgm8XEu8bsaz-7cDRg_2_0"/>
      <w:bookmarkStart w:id="678" w:name="Tc_9fMkIeLYfUuVI_GuDY4EPQ_1_2"/>
      <w:bookmarkEnd w:id="667"/>
      <w:bookmarkEnd w:id="668"/>
      <w:bookmarkEnd w:id="669"/>
      <w:bookmarkEnd w:id="670"/>
      <w:bookmarkEnd w:id="671"/>
      <w:bookmarkEnd w:id="672"/>
      <w:bookmarkEnd w:id="673"/>
      <w:bookmarkEnd w:id="674"/>
      <w:bookmarkEnd w:id="675"/>
      <w:bookmarkEnd w:id="676"/>
      <w:bookmarkEnd w:id="677"/>
      <w:bookmarkEnd w:id="678"/>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(as defined in the Note), then the Lender will be entitled to redeem over the following ten (10) trading days an amount of indebtedness then outstanding under the Note equal to twice (2x) the monthly redemption amount of $1.0 million solely by payment by Common Stock, subject to maximum percentage (4.99%) and other ownership limitations under the SPA and the Note.</w:t>
      </w:r>
    </w:p>
    <w:p>
      <w:pPr>
        <w:pStyle w:val="TextBody"/>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Note contains certain Trigger Events (as defined in the Note) that generally, if uncured within five (5) trading days, may result in an event of default in accordance with the terms of the Notes (such event, an “Event of Default”). Upon an Event of a Default, the Lender may consider the Note immediately due and payable. Upon an Event of Default, the interest rate may also be increased to the lesser of 18% per annum or the maximum rate permitted under applicable law.</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Due to these embedded features within the Note, the Company elected to account for the Note at fair value at inception. Subsequent changes in fair value are recorded as a component of other income (loss) in the Consolidated Statements of Operations.  </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discount to the principal amount is included in the carrying value of the Note. During 2022, the Company recorded a debt discount of approximately $1.0 million upon issuance of the Note for the original issue discount of $1.0 million. As a result of electing the fair value option, any direct costs and fees related to the Note was expensed as incurred. For the year ended December 31, 2022, the Company recorded a change in fair value of approximately $0.5 million related to the change in fair value of the Note which was recognized in other income (expense) on the Consolidated Statement of Operations as a result of the Company’s election of the fair value option.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Note as of December 31, 2022:</w:t>
      </w:r>
    </w:p>
    <w:p>
      <w:pPr>
        <w:pStyle w:val="TextBody"/>
        <w:spacing w:before="0" w:after="0"/>
        <w:ind w:left="0" w:right="0" w:hanging="0"/>
        <w:rPr/>
      </w:pPr>
      <w:r>
        <w:rPr/>
        <w:t>​</w:t>
      </w:r>
    </w:p>
    <w:tbl>
      <w:tblPr>
        <w:tblW w:w="5660" w:type="dxa"/>
        <w:jc w:val="left"/>
        <w:tblInd w:w="0" w:type="dxa"/>
        <w:tblCellMar>
          <w:top w:w="0" w:type="dxa"/>
          <w:left w:w="0" w:type="dxa"/>
          <w:bottom w:w="0" w:type="dxa"/>
          <w:right w:w="0" w:type="dxa"/>
        </w:tblCellMar>
      </w:tblPr>
      <w:tblGrid>
        <w:gridCol w:w="4006"/>
        <w:gridCol w:w="109"/>
        <w:gridCol w:w="344"/>
        <w:gridCol w:w="1201"/>
      </w:tblGrid>
      <w:tr>
        <w:trPr/>
        <w:tc>
          <w:tcPr>
            <w:tcW w:w="4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543810" cy="175260"/>
                      <wp:effectExtent l="0" t="0" r="0" b="0"/>
                      <wp:wrapNone/>
                      <wp:docPr id="124" name="Frame113"/>
                      <a:graphic xmlns:a="http://schemas.openxmlformats.org/drawingml/2006/main">
                        <a:graphicData uri="http://schemas.microsoft.com/office/word/2010/wordprocessingShape">
                          <wps:wsp>
                            <wps:cNvSpPr txBox="1"/>
                            <wps:spPr>
                              <a:xfrm>
                                <a:off x="0" y="0"/>
                                <a:ext cx="2543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8440" cy="175260"/>
                      <wp:effectExtent l="0" t="0" r="0" b="0"/>
                      <wp:wrapNone/>
                      <wp:docPr id="126" name="Frame115"/>
                      <a:graphic xmlns:a="http://schemas.openxmlformats.org/drawingml/2006/main">
                        <a:graphicData uri="http://schemas.microsoft.com/office/word/2010/wordprocessingShape">
                          <wps:wsp>
                            <wps:cNvSpPr txBox="1"/>
                            <wps:spPr>
                              <a:xfrm>
                                <a:off x="0" y="0"/>
                                <a:ext cx="218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62635" cy="175260"/>
                      <wp:effectExtent l="0" t="0" r="0" b="0"/>
                      <wp:wrapNone/>
                      <wp:docPr id="127" name="Frame116"/>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Par value of the Note</w:t>
            </w:r>
          </w:p>
        </w:tc>
        <w:tc>
          <w:tcPr>
            <w:tcW w:w="109"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11,020</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Debt discount, net</w:t>
            </w:r>
          </w:p>
        </w:tc>
        <w:tc>
          <w:tcPr>
            <w:tcW w:w="109"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Carrying value of the Note</w:t>
            </w:r>
          </w:p>
        </w:tc>
        <w:tc>
          <w:tcPr>
            <w:tcW w:w="109"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10,020</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 of Note</w:t>
            </w:r>
          </w:p>
        </w:tc>
        <w:tc>
          <w:tcPr>
            <w:tcW w:w="109"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carrying value of Note</w:t>
            </w:r>
          </w:p>
        </w:tc>
        <w:tc>
          <w:tcPr>
            <w:tcW w:w="109"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40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jc w:val="center"/>
              <w:rPr/>
            </w:pPr>
            <w:r>
              <w:rPr/>
              <w:t>​</w:t>
            </w:r>
          </w:p>
        </w:tc>
        <w:tc>
          <w:tcPr>
            <w:tcW w:w="1201" w:type="dxa"/>
            <w:tcBorders/>
            <w:shd w:fill="auto" w:val="clear"/>
            <w:vAlign w:val="center"/>
          </w:tcPr>
          <w:p>
            <w:pPr>
              <w:pStyle w:val="TableContents"/>
              <w:spacing w:before="0" w:after="0"/>
              <w:ind w:left="0" w:right="0" w:hanging="0"/>
              <w:jc w:val="right"/>
              <w:rPr/>
            </w:pPr>
            <w:r>
              <w:rPr/>
              <w:t>​</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 payable - current portion</w:t>
            </w:r>
          </w:p>
        </w:tc>
        <w:tc>
          <w:tcPr>
            <w:tcW w:w="109"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7,703</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 payable, net of current portion</w:t>
            </w:r>
          </w:p>
        </w:tc>
        <w:tc>
          <w:tcPr>
            <w:tcW w:w="109"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auto"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2,822</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8. Commitments and Contingencies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Operating Lease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leases office space on a month-to-month basis. The rent expense for the years December 31, 2022 and 2021 was $0.1 million and $0.1 million,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Sponsored Research Agreement with National Jewish Health</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8, 2021, the Company entered into a Sponsored Research Agreement (“Research Agreement”) with National Jewish Health (“NJ Health”), a Colorado not-for-profit institution. Under the terms of the Research Agreement, the Company agreed to sponsor a research study at NJ Health relating to the impact of the Company’s' Aviptadil on propagation of SARS-CoV-2 in alveolar type II cells in vitro (the “Study”). In return for performance of the Study under the Research Agreement, the Company has committed to pay NJ Health approximately $0.4 million upon finalization of the work. As of December 31, 2022, the Company has paid NJ Health the total committed amount.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Relief Therapeutics Collaboration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18, 2020, the Company entered into a collaboration agreement (the “Collaboration Agreement”)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On October 6, 2021, Relief Therapeutics filed a lawsuit against the Company and its former CEO claiming that the Company failed to honor its obligations under the Collaboration Agreement, which was followed by a counter claim from the Company for breach and repudiation of the Collaboration Agreement by Relief Therapeutics.  </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On November 12, 2022, NRx Pharmaceuticals, Inc. (“NRx” or the “Company”) entered into a Settlement Agreement and Asset Purchase Agreement (“APA”) with Relief Therapeutics Holding AG and Relief Therapeutics International (the “Relief Parties”) to settle the outstanding lawsuit with respect to the Collaboration Agreement.  </w:t>
      </w:r>
    </w:p>
    <w:p>
      <w:pPr>
        <w:pStyle w:val="TextBody"/>
        <w:spacing w:before="280" w:after="240"/>
        <w:ind w:left="0" w:right="0" w:hanging="0"/>
        <w:jc w:val="both"/>
        <w:rPr>
          <w:rFonts w:ascii="Times New Roman;Times;serif" w:hAnsi="Times New Roman;Times;serif"/>
          <w:sz w:val="20"/>
        </w:rPr>
      </w:pPr>
      <w:r>
        <w:rPr>
          <w:rFonts w:ascii="Times New Roman;Times;serif" w:hAnsi="Times New Roman;Times;serif"/>
          <w:sz w:val="20"/>
        </w:rPr>
        <w:t>Under the APA, the Company transferred to the Relief Parties all of the Company’s interest in ZYESAMI (or the “Product” as such term is defined in the Collaboration Agreement), including intellectual property, FDA applications, clinical trial data, drug and API inventory and certain contractual rights. The Company has agreed to refrain from developing any product for any indication that uses or otherwise exploits the Product without the Relief Parties’ consent.</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The Relief Parties have agreed to use commercially reasonable efforts to develop, market, and commercialize the Product, but has sole discretion to select the indications for which it will seek to develop the Product. Although the Company intends to monitor the progress of the Relief Parties under the APA and enforce the Company’s rights thereunder, there can be no assurances that the Relief Parties will be successful at commercializing the Product.</w:t>
      </w:r>
    </w:p>
    <w:p>
      <w:pPr>
        <w:pStyle w:val="TextBody"/>
        <w:spacing w:before="280" w:after="240"/>
        <w:ind w:left="0" w:right="0" w:hanging="0"/>
        <w:jc w:val="both"/>
        <w:rPr>
          <w:rFonts w:ascii="Times New Roman;Times;serif" w:hAnsi="Times New Roman;Times;serif"/>
          <w:sz w:val="20"/>
        </w:rPr>
      </w:pPr>
      <w:r>
        <w:rPr>
          <w:rFonts w:ascii="Times New Roman;Times;serif" w:hAnsi="Times New Roman;Times;serif"/>
          <w:sz w:val="20"/>
        </w:rPr>
        <w:t xml:space="preserve">Upon commercial launch of the Product by the Relief Parties or any of their affiliates, licensees or sublicensees (or upon authorization of use for any indication of the Product other than COVID-19), the Company is entitled to receive milestone payments in stages up to an aggregate amount of $13.0 million. The Relief Parties have also agreed to pay royalties to NRx on aggregate net sales of all Products, subject to a cap on royalty payments of $30.0 million in the aggregate.  In addition, Relief is obligated to use commercially reasonable efforts to continue NRx’s existing Right to Try Program for at least two (2) years after the closing of the APA.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Mutual indemnity provisions in the APA will protect each party from any breaches of the settlement arrangements by the other party, provided, that the Company’s indemnity obligations will not start until the Relief Parties have begun making royalty or milestone payments to NRx, subject to certain exceptions. With respect to the Company, there is an indemnity threshold such that the Company will not be liable for any indemnity claims until such claims are in excess of $0.5 million (and then only for the amount above $0.5 million).  The Company’s indemnity obligation is capped at $2.0 million with respect to breaches of representations and warranties and $3.0 million with respects to breaches of covenants or other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agreements.  Additionally, subject to certain exceptions, the Company’s indemnity obligations cannot exceed the amount that the Relief Parties actually pay to the Company for milestone and royalty payments. The parties have 30 days to implement the agreed actions and achieve closing under the APA, at which time all claims and counterclaims between the Company and the Relief Parties will be dismissed with prejudice.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Legal Proceedings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 Subscription Facility Agreement - GEM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NeuroRx entered into a share subscription facility agreement (“GEM Agreement”) with GEM Global Yield LLC SCS and GEM Yield Bahamas Limited (collectively, referred to as “GEM”) with a three-year term which expired in October 2022. Subject to the successful listing of the shares of NeuroRx on an Exchange (any nationally recognized stock exchange or exchange platform in the world on which the Company will list its shares), GEM grants NeuroRx an option to require GEM to subscribe for shares from the Company for up to an aggregate value of approximately $95.6 million. The agreement also included certain provisions which would not meet the U.S. requirements to issue registered shares thus preventing its usage. If NeuroRx was listed or completes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reverse merger contemplated by the Merger Agreement would not have resulted in a listing of NeuroRx shares or a change in control.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was not conditional upon any further events or completion of the merger.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 million. The GEM Warrant will be valid for a period of three years from the date NeuroRx’s stock is listed for trading on a national securities exchange or consummation of a reverse merger transaction of the type contemplated by the Merger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the Company recognized a contingent liability for its obligation to issue to GEM certain equity instruments at a discounted per share price. Specifically, as the amount was deemed probable and estimable at December 31, 2020, NeuroRx recorded a liability and settlement expense of $39.5 million to reflect the fair value of the expected GEM Warrant to be issued. On March 28, 2021, when the GEM Warrant was issued, the Company recorded an additional charge of $21.4 million to reflect the increased fair value of the GEM Warrant on its grant date.  Upon issuance, the GEM Warrant was equity classified and was determined to be within the scope of ASC 718, Share-Based Payments (“ASC 718”).</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GEM Warrants that were not exercised as of the Merger were modified and became Substitute Warrants 1,833,596 shares, adjusted for the Merger as discussed in Note 11). These Substitute Warrants were liability classified (see Note 9).   The changes in fair value of these Substitute Warrants were recognized as a gain or loss in the statement of operations until these Substitute Warrants were exercised in July 2021, at which time they were reclassified to additional paid-in capital.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August 12, 2022, the Company received a demand for arbitration (the “Demand”) from GEM.  The Demand claims that the Company’s subsidiary, NeuroRx, failed to satisfy its obligation to pay GEM a commitment fee in the amount of HK$15.0 million (approximately US$1.9 million at current exchange rates) pursuant to the GEM Agreement.  </w:t>
      </w:r>
      <w:r>
        <w:rPr>
          <w:rFonts w:ascii="Times New Roman;Times;serif" w:hAnsi="Times New Roman;Times;serif"/>
          <w:sz w:val="20"/>
          <w:highlight w:val="white"/>
        </w:rPr>
        <w:t>NeuroRx</w:t>
      </w:r>
      <w:r>
        <w:rPr>
          <w:rFonts w:ascii="Times New Roman;Times;serif" w:hAnsi="Times New Roman;Times;serif"/>
          <w:sz w:val="20"/>
        </w:rPr>
        <w:t> expects to vigorously defend its position that payment of the commitment fee is neither due nor owing under the terms of the Agreement.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9. Equity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500,000,000 shares of common stock with a par value $0.001. As discussed in Note 4, we have retroactively adjusted the shares issued and outstanding prior to May 24, 2021 to give effect to the Exchange Ratio established in the Merger Agreement to determine the number of shares of common stock into which they were converted.</w:t>
      </w:r>
    </w:p>
    <w:p>
      <w:pPr>
        <w:pStyle w:val="TextBody"/>
        <w:spacing w:lineRule="auto" w:line="300"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sold 7,824,727 shares of common stock during the year ended December 31, 2022, generating gross proceeds of $22.7 million. The Company issued 49,605 shares of common stock resulting from options that were exercised which generated proceeds of less than $0.1 million. </w:t>
      </w:r>
    </w:p>
    <w:p>
      <w:pPr>
        <w:pStyle w:val="TextBody"/>
        <w:spacing w:lineRule="auto" w:line="300" w:before="0" w:after="240"/>
        <w:ind w:left="0" w:right="0" w:hanging="0"/>
        <w:jc w:val="both"/>
        <w:rPr>
          <w:rFonts w:ascii="Times New Roman;Times;serif" w:hAnsi="Times New Roman;Times;serif"/>
          <w:sz w:val="20"/>
        </w:rPr>
      </w:pPr>
      <w:r>
        <w:rPr>
          <w:rFonts w:ascii="Times New Roman;Times;serif" w:hAnsi="Times New Roman;Times;serif"/>
          <w:sz w:val="20"/>
        </w:rPr>
        <w:t>The Company issued 3,830,586 shares of common stock pursuant to warrants and Unit Purchase Options exercised during the year ended December 31, 2021, and received gross proceeds from the warrant exercise of $16.7 million. The Company issued 4,834,045 shares of common stock for consulting services during the year ended December 31, 2021, and recognized non-cash consulting expense in general and administrative expenses of $53.8 million.</w:t>
      </w:r>
    </w:p>
    <w:p>
      <w:pPr>
        <w:pStyle w:val="TextBody"/>
        <w:spacing w:lineRule="auto" w:line="300" w:before="0" w:after="240"/>
        <w:ind w:left="0" w:right="0" w:hanging="0"/>
        <w:jc w:val="both"/>
        <w:rPr>
          <w:rFonts w:ascii="Times New Roman;Times;serif" w:hAnsi="Times New Roman;Times;serif"/>
          <w:sz w:val="20"/>
        </w:rPr>
      </w:pPr>
      <w:r>
        <w:rPr>
          <w:rFonts w:ascii="Times New Roman;Times;serif" w:hAnsi="Times New Roman;Times;serif"/>
          <w:sz w:val="20"/>
        </w:rPr>
        <w:t>The Company sold 3,642,727 shares of common stock during the year ended December 30, 2021, generating gross proceeds of $37.0 million. Of the 565,630 shares of common stock issued for the exercise of stock options, 203,477 shares of common stock were contingently issuable Earnout Shares and are excluded from the weighted average shares outstanding for computing EPS until the contingent conditions are satisfied. There are 1,044,453 shares of common stock issued pursuant to the GEM warrants which were contingently issuable Earnout Shares and are excluded from the weighted average shares outstanding for computing EPS until the contingent conditions are satisfied. As of December 31, 2022, these shares were cancelled as the earnout milestones were not achieved.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Merger Agreement, BRPA and EarlyBirdCapital, Inc., the representative of the underwriters of BRPA’s initial public offering (“EBC”), entered into an amendment (“BCMA Amendment Agreement”) to the Business Combination Marketing Agreement, dated as of November 20, 2017 (“BCMA”), by and between BRPA and EBC. The BCMA Amendment Agreement provided that, in lieu of the cash fee payable to EBC pursuant to the BCMA, BRPA will issue to EBC at the Effective Time an aggregate of 200,000 shares of Common Stock and the BCMA (as amended by the BCMA Amendment Agreement) will terminate immediately following the Effective Time. The Company recognized the fair value of the 200,000 shares of Common Stock issued pursuant to the BCMA of $4.8 million within general and administrative in the Consolidated Statements of Operations for the year ended December 31, 2021. Refer to Note 12 for discussion of fair value measurement of the warrant liabilities.</w:t>
      </w:r>
    </w:p>
    <w:p>
      <w:pPr>
        <w:pStyle w:val="TextBody"/>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BriLife Vaccine, VaccineCo Agreement and Issuance of Shares</w:t>
      </w:r>
    </w:p>
    <w:p>
      <w:pPr>
        <w:pStyle w:val="TextBody"/>
        <w:spacing w:lineRule="auto" w:line="240" w:before="0" w:after="240"/>
        <w:ind w:left="0" w:right="0" w:hanging="0"/>
        <w:jc w:val="both"/>
        <w:rPr>
          <w:rFonts w:ascii="Times New Roman;Times;serif" w:hAnsi="Times New Roman;Times;serif"/>
          <w:sz w:val="14"/>
        </w:rPr>
      </w:pPr>
      <w:r>
        <w:rPr>
          <w:rFonts w:ascii="Times New Roman;Times;serif" w:hAnsi="Times New Roman;Times;serif"/>
          <w:color w:val="231F20"/>
          <w:sz w:val="20"/>
        </w:rPr>
        <w:t>On July 11, 2021, the Company entered into a Memorandum of Understanding (the “MOU”) with the Ministry of Defense of the State of Israel that granted NRx the right to negotiate an exclusive worldwide license to develop and market the BriLife</w:t>
      </w:r>
      <w:r>
        <w:rPr>
          <w:rFonts w:ascii="Times New Roman;Times;serif" w:hAnsi="Times New Roman;Times;serif"/>
          <w:color w:val="231F20"/>
          <w:sz w:val="11"/>
        </w:rPr>
        <w:t>TM</w:t>
      </w:r>
      <w:r>
        <w:rPr>
          <w:rFonts w:ascii="Times New Roman;Times;serif" w:hAnsi="Times New Roman;Times;serif"/>
          <w:color w:val="231F20"/>
          <w:sz w:val="14"/>
        </w:rPr>
        <w:t> </w:t>
      </w:r>
      <w:r>
        <w:rPr>
          <w:rFonts w:ascii="Times New Roman;Times;serif" w:hAnsi="Times New Roman;Times;serif"/>
          <w:color w:val="231F20"/>
          <w:sz w:val="20"/>
        </w:rPr>
        <w:t>vaccine, which has been developed by the Israel Institute for Biological Research (“IIBR”). However, after investigating the manufacturing requirements of the vaccine, the expected regulatory path for approval in Israel and the EU, the commercial opportunity, and the financial commitment required for development of the vaccine, the Company decided not to continue with the project. This decision was communicated to the IIBR in a letter dated March 20, 2022.</w:t>
      </w:r>
    </w:p>
    <w:p>
      <w:pPr>
        <w:pStyle w:val="TextBody"/>
        <w:spacing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As part of the Company’s consideration of the vaccine project, the Company entered into a Shareholder Agreement, dated October 15, 2021 (the “Agreement”), with Shimshon Hen and David Sepiashvili, each an Israeli citizen (the “Consultants”), under which the Consultants agreed to provide certain consulting services, and which set out a framework for establishing a potential joint venture between the Consultants and the Company that would have been responsible for the development and commercialization of the BriLife vaccine. Pursuant to the terms of the Agreement, the Company issued an aggregate of 4,000,000 shares of the Company’s Common Stock to the Consultants on October 20, 2021 under the Company’s 2021 Omnibus Incentive Plan. The Company is evaluating its options with respect to the Consultants.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Preferred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Upon closing of the Merger, pursuant to the terms of the Second Amended and Restated Certificate of Incorporation, the Company authorized 50,000,000 shares of preferred stock with a par value $0.001. The Company has no shares of preferred stock outstanding. </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Series A, B-1, and B-1A Preferred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Merger, the Company had authorized and issued 1,000,000 shares of Series A convertible preferred stock, 1,050,695 shares of Series B-1 convertible preferred stock, and 316,848 shares of Series B-1A convertible preferred stock, par value of $0.001 per share, which was convertible into one share of common stock for each preferred share (collectively, the “Preferred Stock”) at any time, at the option of the holder. The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$1.00 per share for the Series A convertible preferred stock, $7.58 per share for the Series B-1 convertible preferred stock, and $6.82 per share for the Series B-1A convertible preferred stock, plus any declared but unpaid dividends. Upon an initial public offering or merger under certain conditions the Preferred Stock automatically converted into common stock.</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May 24, 2021, pursuant to the Merger (as described in Note 4), 2,367,543 outstanding shares of Preferred Stock were automatically converted into 7,480,836 shares of common stock pursuant to the Exchange Ratio.</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Series B-2 Preferred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2020, the Company authorized the issuance of 100,000 shares of Series B-2 Convertible Preferred Stock (the “B-2 Preferred Stock”), par value of $0.001 per share, convertible into one share of common stock for each share of B-2 Preferred Stock held. In March 2020, 4,167 shares of B-2 Preferred Stock were issued. The B-2 Preferred stock were not redeemable and the related stockholders were entitled to a subordinated liquidation preference should NeuroRx liquidate or wind-up operations. The preferences also included voting rights on an as-converted basis, ride-along rights, and an anti-dilution provision. The liquidation preference was $12.00 per share plus any declared but unpaid dividends. The B-2 Preferred Stock could be converted into one share of common stock (subject to adjustments for stock splits, recapitalization) at any time, at the option of the holder. Upon an initial public offering or merger under certain conditions the B-2 Preferred Stock automatically converted into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24, 2021, pursuant to the Merger (as described in Note 4), 4,167 outstanding shares of B-2 Preferred stock were automatically converted into 13,168 shares of common stock pursuant to the Exchange Ratio.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Common Stock Warrants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Substitute 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 4, 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 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were held back pending the outcome of the contingencies and were not released as the contingencies were not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neither the Earnout Shares Milestone nor the Earnout Cash Milestone occurred prior to December 31, 2022, each Substitute Warrant was adjusted based on the Exchange Ratio (3.16:1) and the portion of the Substitute Warrants related to the Earnout Shares were cancelled. For the Substitute Warrants that were exercised prior to December 31, 2022, NRx Pharmaceuticals retained and retired the outstanding shares forfeited by the warrant holders in connection with the adjustment.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Upon the closing of the Merger, all outstanding and unexercised NeuroRx warrants became warrants to purchase an aggregate 4,909,066 shares of the Company’s common stock with an average exercise price of $2.45 per share.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 respect to warrants held by certain members of our Board of Directors, the Substitute Warrants were determined to be within the scope of ASC 718. For the portion of the warrants subject to the base Exchange Ratio (3.16:1), the warrants were fully vested and therefore the incremental fair value of these Substitute Warrants at the date of the modification date was immediately recognized as compensation expense. For the incremental portion of the warrants with a performance-based vesting conditions (i.e., the achievement of the Earnout Cash Milestone and/or Earnout Shares Milestone), the Company determined it was not probable that the Earnout Cash Milestone or Earnout Shares Milestone would be met on the Effective Date and was not met on December 31, 2022. Therefore no expense has been recognized for this portion. Accordingly, the Company will only recognize incremental compensation cost related to the portion of the Substitute Warrants subject to service-based vesting conditions only. As of December 31, 2022, the earnout milestones were not achieved, therefore the Company will not recognize any unamortized incremental compensation cost during the period. The Company recognized incremental compensation on the modification date totaling $2.3 million which was recognized in general and administrative in the Consolidated Statements of Operations for the year ended December 31, 2021.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any remaining outstanding warrants, as the warrant holders were no longer providing services at the date of the modification, in accordance with ASC 815, the Company concluded that the provisions in the Merger Agreement related to the Earnout Shares Milestone and the Earnout Cash Milestone and the contingent right to receive additional shares for these provisions precluded these Substitute Warrants from being accounted for as components of equity. As these Substitute Warrants meet the definition of a derivative as contemplated in ASC 815, the Substitute Warrants were recorded as derivative liabilities on the balance sheet and measured at fair value at inception (on the date of the Merger) and at each reporting date in accordance with ASC 820, Fair Value Measurement, with changes in fair value recognized in the Statements of Operations in the period of change. On May 24, 2021, the Company recorded a warrant liability of $53.3 million for the Substitute Warrants, reclassified out of additional-paid in capital $38.2 million representing the fair value of these NeuroRx warrants immediately before the modification as a result of the Merger, and recognized a loss of $15.1 million for the incremental fair value of these Substitute Warrants which is recorded in the Change in fair value of warrant liabilities on the Condensed Consolidated Statement of Operations.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a loss on the change in fair value of the Substitute Warrants for the years ended December 31, 2022 and 2021 of less than $0.1 million and $0.4 million, respectively. Refer to Note 11 for further discussion of fair value measurement of the warrant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above the GEM Substitute Warrants were exercised in July 2021, and changes in the fair value of the warrant liability through the date of exercise were recognized in the statement of operations and upon exercise any remaining instruments were reclassified to additional paid-in capital and includes associated escrow shares for the contingent earnouts.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679" w:name="Tc_cQqqLlipcUitB7o0NfxXJQ_6_6"/>
      <w:bookmarkStart w:id="680" w:name="Tc_YhU-O28abEyt-RB7WBYusw_6_3"/>
      <w:bookmarkStart w:id="681" w:name="Tc_c7-oTfY4XUWm0KHn1q0NAw_6_0"/>
      <w:bookmarkStart w:id="682" w:name="Tc_O81cdhCYBUmsp30AiiM6iw_5_6"/>
      <w:bookmarkStart w:id="683" w:name="Tc_EC-iZDKcZUGayrMZSSciyA_5_3"/>
      <w:bookmarkStart w:id="684" w:name="Tc_3zZoD_1k9EaK8nkcMPOUgw_5_0"/>
      <w:bookmarkStart w:id="685" w:name="Tc_5USYZDEiTk6dKm-0MAkN4w_4_6"/>
      <w:bookmarkStart w:id="686" w:name="Tc_RLm3KasIdUqOEZ1obw7QrQ_4_3"/>
      <w:bookmarkStart w:id="687" w:name="Tc_Mnmc2X2dIEe-uVahmKWPdA_4_0"/>
      <w:bookmarkStart w:id="688" w:name="Tc_BeNNEXfQv0OE_jWpEnyY3Q_3_0"/>
      <w:bookmarkStart w:id="689" w:name="Tc_XG1K90JB7UCoQ-XnjBIGZQ_2_6"/>
      <w:bookmarkStart w:id="690" w:name="Tc_9aCZUBOVLEWdmvBh05uvWQ_2_3"/>
      <w:bookmarkStart w:id="691" w:name="Tc_jXG9Oq5HgEeuLQeHd7c9tQ_2_0"/>
      <w:bookmarkStart w:id="692" w:name="Tc_a-iBM3qNx0qHmUo5k4riMA_1_5"/>
      <w:bookmarkStart w:id="693" w:name="Tc_39t52ITmN0Cgq2aRHWJwqg_1_2"/>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Pr>
          <w:rFonts w:ascii="Times New Roman;Times;serif" w:hAnsi="Times New Roman;Times;serif"/>
          <w:sz w:val="20"/>
        </w:rPr>
        <w:t>The fair value of the original NeuroRx warrants and Substitute Warrants as of the Merger Date was determined using the Black-Scholes option-pricing model with the following assumptions for each:</w:t>
      </w:r>
    </w:p>
    <w:p>
      <w:pPr>
        <w:pStyle w:val="TextBody"/>
        <w:spacing w:before="0" w:after="0"/>
        <w:ind w:left="0" w:right="0" w:hanging="0"/>
        <w:rPr/>
      </w:pPr>
      <w:r>
        <w:rPr/>
        <w:t>​</w:t>
      </w:r>
    </w:p>
    <w:tbl>
      <w:tblPr>
        <w:tblW w:w="5239" w:type="dxa"/>
        <w:jc w:val="left"/>
        <w:tblInd w:w="0" w:type="dxa"/>
        <w:tblCellMar>
          <w:top w:w="0" w:type="dxa"/>
          <w:left w:w="0" w:type="dxa"/>
          <w:bottom w:w="0" w:type="dxa"/>
          <w:right w:w="0" w:type="dxa"/>
        </w:tblCellMar>
      </w:tblPr>
      <w:tblGrid>
        <w:gridCol w:w="1351"/>
        <w:gridCol w:w="326"/>
        <w:gridCol w:w="157"/>
        <w:gridCol w:w="1313"/>
        <w:gridCol w:w="326"/>
        <w:gridCol w:w="168"/>
        <w:gridCol w:w="1407"/>
        <w:gridCol w:w="191"/>
      </w:tblGrid>
      <w:tr>
        <w:trPr/>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57885" cy="175260"/>
                      <wp:effectExtent l="0" t="0" r="0" b="0"/>
                      <wp:wrapNone/>
                      <wp:docPr id="128" name="Frame117"/>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9695" cy="175260"/>
                      <wp:effectExtent l="0" t="0" r="0" b="0"/>
                      <wp:wrapNone/>
                      <wp:docPr id="130" name="Frame119"/>
                      <a:graphic xmlns:a="http://schemas.openxmlformats.org/drawingml/2006/main">
                        <a:graphicData uri="http://schemas.microsoft.com/office/word/2010/wordprocessingShape">
                          <wps:wsp>
                            <wps:cNvSpPr txBox="1"/>
                            <wps:spPr>
                              <a:xfrm>
                                <a:off x="0" y="0"/>
                                <a:ext cx="99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33755" cy="175260"/>
                      <wp:effectExtent l="0" t="0" r="0" b="0"/>
                      <wp:wrapNone/>
                      <wp:docPr id="131" name="Frame120"/>
                      <a:graphic xmlns:a="http://schemas.openxmlformats.org/drawingml/2006/main">
                        <a:graphicData uri="http://schemas.microsoft.com/office/word/2010/wordprocessingShape">
                          <wps:wsp>
                            <wps:cNvSpPr txBox="1"/>
                            <wps:spPr>
                              <a:xfrm>
                                <a:off x="0" y="0"/>
                                <a:ext cx="833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06680" cy="175260"/>
                      <wp:effectExtent l="0" t="0" r="0" b="0"/>
                      <wp:wrapNone/>
                      <wp:docPr id="133" name="Frame122"/>
                      <a:graphic xmlns:a="http://schemas.openxmlformats.org/drawingml/2006/main">
                        <a:graphicData uri="http://schemas.microsoft.com/office/word/2010/wordprocessingShape">
                          <wps:wsp>
                            <wps:cNvSpPr txBox="1"/>
                            <wps:spPr>
                              <a:xfrm>
                                <a:off x="0" y="0"/>
                                <a:ext cx="106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893445" cy="175260"/>
                      <wp:effectExtent l="0" t="0" r="0" b="0"/>
                      <wp:wrapNone/>
                      <wp:docPr id="134" name="Frame123"/>
                      <a:graphic xmlns:a="http://schemas.openxmlformats.org/drawingml/2006/main">
                        <a:graphicData uri="http://schemas.microsoft.com/office/word/2010/wordprocessingShape">
                          <wps:wsp>
                            <wps:cNvSpPr txBox="1"/>
                            <wps:spPr>
                              <a:xfrm>
                                <a:off x="0" y="0"/>
                                <a:ext cx="893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1285" cy="175260"/>
                      <wp:effectExtent l="0" t="0" r="0" b="0"/>
                      <wp:wrapNone/>
                      <wp:docPr id="135" name="Frame124"/>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Original Warrants</w:t>
            </w:r>
          </w:p>
        </w:tc>
        <w:tc>
          <w:tcPr>
            <w:tcW w:w="326" w:type="dxa"/>
            <w:tcBorders/>
            <w:shd w:fill="auto" w:val="clear"/>
            <w:vAlign w:val="center"/>
          </w:tcPr>
          <w:p>
            <w:pPr>
              <w:pStyle w:val="TableContents"/>
              <w:spacing w:before="0" w:after="0"/>
              <w:ind w:left="0" w:right="0" w:hanging="0"/>
              <w:rPr/>
            </w:pPr>
            <w:r>
              <w:rPr/>
              <w:t>    </w:t>
            </w:r>
          </w:p>
        </w:tc>
        <w:tc>
          <w:tcPr>
            <w:tcW w:w="15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Substitute Warrants</w:t>
            </w:r>
          </w:p>
        </w:tc>
        <w:tc>
          <w:tcPr>
            <w:tcW w:w="191" w:type="dxa"/>
            <w:tcBorders/>
            <w:shd w:fill="auto" w:val="clear"/>
            <w:vAlign w:val="center"/>
          </w:tcPr>
          <w:p>
            <w:pPr>
              <w:pStyle w:val="TableContents"/>
              <w:spacing w:before="0" w:after="0"/>
              <w:ind w:left="0" w:right="0" w:hanging="0"/>
              <w:jc w:val="center"/>
              <w:rPr/>
            </w:pPr>
            <w:r>
              <w:rPr/>
              <w:t> </w:t>
            </w:r>
          </w:p>
        </w:tc>
      </w:tr>
      <w:tr>
        <w:trPr/>
        <w:tc>
          <w:tcPr>
            <w:tcW w:w="1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Strike price</w:t>
            </w:r>
          </w:p>
        </w:tc>
        <w:tc>
          <w:tcPr>
            <w:tcW w:w="326" w:type="dxa"/>
            <w:tcBorders/>
            <w:shd w:fill="CCEEFF" w:val="clear"/>
            <w:vAlign w:val="center"/>
          </w:tcPr>
          <w:p>
            <w:pPr>
              <w:pStyle w:val="TableContents"/>
              <w:spacing w:before="0" w:after="0"/>
              <w:ind w:left="0" w:right="0" w:hanging="0"/>
              <w:rPr/>
            </w:pPr>
            <w:r>
              <w:rPr/>
              <w:t>​</w:t>
            </w:r>
          </w:p>
        </w:tc>
        <w:tc>
          <w:tcPr>
            <w:tcW w:w="157" w:type="dxa"/>
            <w:tcBorders/>
            <w:shd w:fill="CCEEFF" w:val="clear"/>
            <w:vAlign w:val="center"/>
          </w:tcPr>
          <w:p>
            <w:pPr>
              <w:pStyle w:val="TableContents"/>
              <w:spacing w:before="0" w:after="0"/>
              <w:ind w:left="0" w:right="0" w:hanging="0"/>
              <w:rPr/>
            </w:pPr>
            <w:r>
              <w:rPr/>
              <w:t>​</w:t>
            </w:r>
          </w:p>
        </w:tc>
        <w:tc>
          <w:tcPr>
            <w:tcW w:w="131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$7.58-$15.84</w:t>
            </w:r>
          </w:p>
        </w:tc>
        <w:tc>
          <w:tcPr>
            <w:tcW w:w="326" w:type="dxa"/>
            <w:tcBorders/>
            <w:shd w:fill="CCEEFF" w:val="clear"/>
            <w:vAlign w:val="center"/>
          </w:tcPr>
          <w:p>
            <w:pPr>
              <w:pStyle w:val="TableContents"/>
              <w:spacing w:before="0" w:after="0"/>
              <w:ind w:left="0" w:right="0" w:hanging="0"/>
              <w:rPr/>
            </w:pPr>
            <w:r>
              <w:rPr/>
              <w:t>​</w:t>
            </w:r>
          </w:p>
        </w:tc>
        <w:tc>
          <w:tcPr>
            <w:tcW w:w="168" w:type="dxa"/>
            <w:tcBorders/>
            <w:shd w:fill="CCEEFF" w:val="clear"/>
            <w:vAlign w:val="center"/>
          </w:tcPr>
          <w:p>
            <w:pPr>
              <w:pStyle w:val="TableContents"/>
              <w:spacing w:before="0" w:after="0"/>
              <w:ind w:left="0" w:right="0" w:hanging="0"/>
              <w:rPr/>
            </w:pPr>
            <w:r>
              <w:rPr/>
              <w:t>​</w:t>
            </w:r>
          </w:p>
        </w:tc>
        <w:tc>
          <w:tcPr>
            <w:tcW w:w="1407"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$1.53-$3.19</w:t>
            </w:r>
          </w:p>
        </w:tc>
        <w:tc>
          <w:tcPr>
            <w:tcW w:w="191" w:type="dxa"/>
            <w:tcBorders/>
            <w:shd w:fill="CCEEFF" w:val="clear"/>
            <w:vAlign w:val="center"/>
          </w:tcPr>
          <w:p>
            <w:pPr>
              <w:pStyle w:val="TableContents"/>
              <w:spacing w:before="0" w:after="0"/>
              <w:ind w:left="0" w:right="0" w:hanging="0"/>
              <w:rPr/>
            </w:pPr>
            <w:r>
              <w:rPr/>
              <w:t>​</w:t>
            </w:r>
          </w:p>
        </w:tc>
      </w:tr>
      <w:tr>
        <w:trPr/>
        <w:tc>
          <w:tcPr>
            <w:tcW w:w="1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Volatility rate</w:t>
            </w:r>
          </w:p>
        </w:tc>
        <w:tc>
          <w:tcPr>
            <w:tcW w:w="326" w:type="dxa"/>
            <w:tcBorders/>
            <w:shd w:fill="auto" w:val="clear"/>
            <w:vAlign w:val="center"/>
          </w:tcPr>
          <w:p>
            <w:pPr>
              <w:pStyle w:val="TableContents"/>
              <w:spacing w:before="0" w:after="0"/>
              <w:ind w:left="0" w:right="0" w:hanging="0"/>
              <w:rPr/>
            </w:pPr>
            <w:r>
              <w:rPr/>
              <w:t>​</w:t>
            </w:r>
          </w:p>
        </w:tc>
        <w:tc>
          <w:tcPr>
            <w:tcW w:w="157" w:type="dxa"/>
            <w:tcBorders/>
            <w:shd w:fill="auto" w:val="clear"/>
            <w:vAlign w:val="center"/>
          </w:tcPr>
          <w:p>
            <w:pPr>
              <w:pStyle w:val="TableContents"/>
              <w:spacing w:before="0" w:after="0"/>
              <w:ind w:left="0" w:right="0" w:hanging="0"/>
              <w:rPr/>
            </w:pPr>
            <w:r>
              <w:rPr/>
              <w:t> </w:t>
            </w:r>
          </w:p>
        </w:tc>
        <w:tc>
          <w:tcPr>
            <w:tcW w:w="131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80.0%</w:t>
            </w:r>
          </w:p>
        </w:tc>
        <w:tc>
          <w:tcPr>
            <w:tcW w:w="326" w:type="dxa"/>
            <w:tcBorders/>
            <w:shd w:fill="auto" w:val="clear"/>
            <w:vAlign w:val="center"/>
          </w:tcPr>
          <w:p>
            <w:pPr>
              <w:pStyle w:val="TableContents"/>
              <w:spacing w:before="0" w:after="0"/>
              <w:ind w:left="0" w:right="0" w:hanging="0"/>
              <w:rPr/>
            </w:pPr>
            <w:r>
              <w:rPr/>
              <w:t>​</w:t>
            </w:r>
          </w:p>
        </w:tc>
        <w:tc>
          <w:tcPr>
            <w:tcW w:w="168" w:type="dxa"/>
            <w:tcBorders/>
            <w:shd w:fill="auto" w:val="clear"/>
            <w:vAlign w:val="center"/>
          </w:tcPr>
          <w:p>
            <w:pPr>
              <w:pStyle w:val="TableContents"/>
              <w:spacing w:before="0" w:after="0"/>
              <w:ind w:left="0" w:right="0" w:hanging="0"/>
              <w:rPr/>
            </w:pPr>
            <w:r>
              <w:rPr/>
              <w:t> </w:t>
            </w:r>
          </w:p>
        </w:tc>
        <w:tc>
          <w:tcPr>
            <w:tcW w:w="140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80.0%</w:t>
            </w:r>
          </w:p>
        </w:tc>
        <w:tc>
          <w:tcPr>
            <w:tcW w:w="191" w:type="dxa"/>
            <w:tcBorders/>
            <w:shd w:fill="auto" w:val="clear"/>
            <w:vAlign w:val="center"/>
          </w:tcPr>
          <w:p>
            <w:pPr>
              <w:pStyle w:val="TableContents"/>
              <w:spacing w:before="0" w:after="0"/>
              <w:ind w:left="0" w:right="0" w:hanging="0"/>
              <w:rPr/>
            </w:pPr>
            <w:r>
              <w:rPr/>
              <w:t>​</w:t>
            </w:r>
          </w:p>
        </w:tc>
      </w:tr>
      <w:tr>
        <w:trPr/>
        <w:tc>
          <w:tcPr>
            <w:tcW w:w="1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spacing w:before="0" w:after="0"/>
              <w:ind w:left="0" w:right="0" w:hanging="0"/>
              <w:rPr/>
            </w:pPr>
            <w:r>
              <w:rPr/>
              <w:t>​</w:t>
            </w:r>
          </w:p>
        </w:tc>
        <w:tc>
          <w:tcPr>
            <w:tcW w:w="157" w:type="dxa"/>
            <w:tcBorders/>
            <w:shd w:fill="CCEEFF" w:val="clear"/>
            <w:vAlign w:val="center"/>
          </w:tcPr>
          <w:p>
            <w:pPr>
              <w:pStyle w:val="TableContents"/>
              <w:spacing w:before="0" w:after="0"/>
              <w:ind w:left="0" w:right="0" w:hanging="0"/>
              <w:rPr/>
            </w:pPr>
            <w:r>
              <w:rPr/>
              <w:t> </w:t>
            </w:r>
          </w:p>
        </w:tc>
        <w:tc>
          <w:tcPr>
            <w:tcW w:w="131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0.03%-0.32%</w:t>
            </w:r>
          </w:p>
        </w:tc>
        <w:tc>
          <w:tcPr>
            <w:tcW w:w="326" w:type="dxa"/>
            <w:tcBorders/>
            <w:shd w:fill="CCEEFF" w:val="clear"/>
            <w:vAlign w:val="center"/>
          </w:tcPr>
          <w:p>
            <w:pPr>
              <w:pStyle w:val="TableContents"/>
              <w:spacing w:before="0" w:after="0"/>
              <w:ind w:left="0" w:right="0" w:hanging="0"/>
              <w:rPr/>
            </w:pPr>
            <w:r>
              <w:rPr/>
              <w:t>​</w:t>
            </w:r>
          </w:p>
        </w:tc>
        <w:tc>
          <w:tcPr>
            <w:tcW w:w="168" w:type="dxa"/>
            <w:tcBorders/>
            <w:shd w:fill="CCEEFF" w:val="clear"/>
            <w:vAlign w:val="center"/>
          </w:tcPr>
          <w:p>
            <w:pPr>
              <w:pStyle w:val="TableContents"/>
              <w:spacing w:before="0" w:after="0"/>
              <w:ind w:left="0" w:right="0" w:hanging="0"/>
              <w:rPr/>
            </w:pPr>
            <w:r>
              <w:rPr/>
              <w:t> </w:t>
            </w:r>
          </w:p>
        </w:tc>
        <w:tc>
          <w:tcPr>
            <w:tcW w:w="1407"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0.03%-0.32%</w:t>
            </w:r>
          </w:p>
        </w:tc>
        <w:tc>
          <w:tcPr>
            <w:tcW w:w="191" w:type="dxa"/>
            <w:tcBorders/>
            <w:shd w:fill="CCEEFF" w:val="clear"/>
            <w:vAlign w:val="center"/>
          </w:tcPr>
          <w:p>
            <w:pPr>
              <w:pStyle w:val="TableContents"/>
              <w:spacing w:before="0" w:after="0"/>
              <w:ind w:left="0" w:right="0" w:hanging="0"/>
              <w:rPr/>
            </w:pPr>
            <w:r>
              <w:rPr/>
              <w:t>​</w:t>
            </w:r>
          </w:p>
        </w:tc>
      </w:tr>
      <w:tr>
        <w:trPr/>
        <w:tc>
          <w:tcPr>
            <w:tcW w:w="1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w:t>
            </w:r>
          </w:p>
        </w:tc>
        <w:tc>
          <w:tcPr>
            <w:tcW w:w="326" w:type="dxa"/>
            <w:tcBorders/>
            <w:shd w:fill="auto" w:val="clear"/>
            <w:vAlign w:val="center"/>
          </w:tcPr>
          <w:p>
            <w:pPr>
              <w:pStyle w:val="TableContents"/>
              <w:spacing w:before="0" w:after="0"/>
              <w:ind w:left="0" w:right="0" w:hanging="0"/>
              <w:rPr/>
            </w:pPr>
            <w:r>
              <w:rPr/>
              <w:t>​</w:t>
            </w:r>
          </w:p>
        </w:tc>
        <w:tc>
          <w:tcPr>
            <w:tcW w:w="157" w:type="dxa"/>
            <w:tcBorders/>
            <w:shd w:fill="auto" w:val="clear"/>
            <w:vAlign w:val="center"/>
          </w:tcPr>
          <w:p>
            <w:pPr>
              <w:pStyle w:val="TableContents"/>
              <w:spacing w:before="0" w:after="0"/>
              <w:ind w:left="0" w:right="0" w:hanging="0"/>
              <w:rPr/>
            </w:pPr>
            <w:r>
              <w:rPr/>
              <w:t> </w:t>
            </w:r>
          </w:p>
        </w:tc>
        <w:tc>
          <w:tcPr>
            <w:tcW w:w="131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0.57-3.69</w:t>
            </w:r>
          </w:p>
        </w:tc>
        <w:tc>
          <w:tcPr>
            <w:tcW w:w="326" w:type="dxa"/>
            <w:tcBorders/>
            <w:shd w:fill="auto" w:val="clear"/>
            <w:vAlign w:val="center"/>
          </w:tcPr>
          <w:p>
            <w:pPr>
              <w:pStyle w:val="TableContents"/>
              <w:spacing w:before="0" w:after="0"/>
              <w:ind w:left="0" w:right="0" w:hanging="0"/>
              <w:rPr/>
            </w:pPr>
            <w:r>
              <w:rPr/>
              <w:t>​</w:t>
            </w:r>
          </w:p>
        </w:tc>
        <w:tc>
          <w:tcPr>
            <w:tcW w:w="168" w:type="dxa"/>
            <w:tcBorders/>
            <w:shd w:fill="auto" w:val="clear"/>
            <w:vAlign w:val="center"/>
          </w:tcPr>
          <w:p>
            <w:pPr>
              <w:pStyle w:val="TableContents"/>
              <w:spacing w:before="0" w:after="0"/>
              <w:ind w:left="0" w:right="0" w:hanging="0"/>
              <w:rPr/>
            </w:pPr>
            <w:r>
              <w:rPr/>
              <w:t> </w:t>
            </w:r>
          </w:p>
        </w:tc>
        <w:tc>
          <w:tcPr>
            <w:tcW w:w="140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0.57-3.69</w:t>
            </w:r>
          </w:p>
        </w:tc>
        <w:tc>
          <w:tcPr>
            <w:tcW w:w="191" w:type="dxa"/>
            <w:tcBorders/>
            <w:shd w:fill="auto" w:val="clear"/>
            <w:vAlign w:val="center"/>
          </w:tcPr>
          <w:p>
            <w:pPr>
              <w:pStyle w:val="TableContents"/>
              <w:spacing w:before="0" w:after="0"/>
              <w:ind w:left="0" w:right="0" w:hanging="0"/>
              <w:rPr/>
            </w:pPr>
            <w:r>
              <w:rPr/>
              <w:t>​</w:t>
            </w:r>
          </w:p>
        </w:tc>
      </w:tr>
      <w:tr>
        <w:trPr/>
        <w:tc>
          <w:tcPr>
            <w:tcW w:w="1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spacing w:before="0" w:after="0"/>
              <w:ind w:left="0" w:right="0" w:hanging="0"/>
              <w:rPr/>
            </w:pPr>
            <w:r>
              <w:rPr/>
              <w:t>​</w:t>
            </w:r>
          </w:p>
        </w:tc>
        <w:tc>
          <w:tcPr>
            <w:tcW w:w="157" w:type="dxa"/>
            <w:tcBorders/>
            <w:shd w:fill="CCEEFF" w:val="clear"/>
            <w:vAlign w:val="center"/>
          </w:tcPr>
          <w:p>
            <w:pPr>
              <w:pStyle w:val="TableContents"/>
              <w:spacing w:before="0" w:after="0"/>
              <w:ind w:left="0" w:right="0" w:hanging="0"/>
              <w:rPr/>
            </w:pPr>
            <w:r>
              <w:rPr/>
              <w:t> </w:t>
            </w:r>
          </w:p>
        </w:tc>
        <w:tc>
          <w:tcPr>
            <w:tcW w:w="1313"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68" w:type="dxa"/>
            <w:tcBorders/>
            <w:shd w:fill="CCEEFF" w:val="clear"/>
            <w:vAlign w:val="center"/>
          </w:tcPr>
          <w:p>
            <w:pPr>
              <w:pStyle w:val="TableContents"/>
              <w:spacing w:before="0" w:after="0"/>
              <w:ind w:left="0" w:right="0" w:hanging="0"/>
              <w:rPr/>
            </w:pPr>
            <w:r>
              <w:rPr/>
              <w:t> </w:t>
            </w:r>
          </w:p>
        </w:tc>
        <w:tc>
          <w:tcPr>
            <w:tcW w:w="1407" w:type="dxa"/>
            <w:tcBorders/>
            <w:shd w:fill="CCEEFF" w:val="clear"/>
            <w:vAlign w:val="center"/>
          </w:tcPr>
          <w:p>
            <w:pPr>
              <w:pStyle w:val="TableContents"/>
              <w:spacing w:before="0" w:after="0"/>
              <w:ind w:left="0" w:right="0" w:hanging="0"/>
              <w:jc w:val="center"/>
              <w:rPr/>
            </w:pPr>
            <w:r>
              <w:rPr/>
              <w:t>—</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Assumed Public 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Merger, the Company had 3,450,000 Public Warrants outstanding. Each Public Warrant entitles the holder to purchase one share of Common Stock at an exercise price of $11.50 per share. The Public Warrants became exercisable at the Effective Time and expire five years after the Effective Time or earlier upon their redemption or liquidation of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redeem the Public Warrants:</w:t>
      </w:r>
    </w:p>
    <w:tbl>
      <w:tblPr>
        <w:tblW w:w="2526" w:type="dxa"/>
        <w:jc w:val="left"/>
        <w:tblInd w:w="0" w:type="dxa"/>
        <w:tblCellMar>
          <w:top w:w="28" w:type="dxa"/>
          <w:left w:w="28" w:type="dxa"/>
          <w:bottom w:w="28" w:type="dxa"/>
          <w:right w:w="28" w:type="dxa"/>
        </w:tblCellMar>
      </w:tblPr>
      <w:tblGrid>
        <w:gridCol w:w="124"/>
        <w:gridCol w:w="256"/>
        <w:gridCol w:w="2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006" w:type="dxa"/>
        <w:jc w:val="left"/>
        <w:tblInd w:w="0" w:type="dxa"/>
        <w:tblCellMar>
          <w:top w:w="28" w:type="dxa"/>
          <w:left w:w="28" w:type="dxa"/>
          <w:bottom w:w="28" w:type="dxa"/>
          <w:right w:w="28" w:type="dxa"/>
        </w:tblCellMar>
      </w:tblPr>
      <w:tblGrid>
        <w:gridCol w:w="124"/>
        <w:gridCol w:w="256"/>
        <w:gridCol w:w="2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2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at a price of $0.01</w:t>
            </w:r>
            <w:r>
              <w:rPr>
                <w:caps w:val="false"/>
                <w:smallCaps w:val="false"/>
              </w:rPr>
              <w:t xml:space="preserve"> </w:t>
            </w:r>
            <w:r>
              <w:rPr>
                <w:rFonts w:ascii="Times New Roman;Times;serif" w:hAnsi="Times New Roman;Times;serif"/>
                <w:b w:val="false"/>
                <w:i w:val="false"/>
                <w:caps w:val="false"/>
                <w:smallCaps w:val="false"/>
                <w:sz w:val="20"/>
              </w:rPr>
              <w:t>per warrant;</w:t>
            </w:r>
          </w:p>
        </w:tc>
      </w:tr>
    </w:tbl>
    <w:tbl>
      <w:tblPr>
        <w:tblW w:w="3651" w:type="dxa"/>
        <w:jc w:val="left"/>
        <w:tblInd w:w="0" w:type="dxa"/>
        <w:tblCellMar>
          <w:top w:w="28" w:type="dxa"/>
          <w:left w:w="28" w:type="dxa"/>
          <w:bottom w:w="28" w:type="dxa"/>
          <w:right w:w="28" w:type="dxa"/>
        </w:tblCellMar>
      </w:tblPr>
      <w:tblGrid>
        <w:gridCol w:w="124"/>
        <w:gridCol w:w="256"/>
        <w:gridCol w:w="3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exercise period;</w:t>
            </w:r>
          </w:p>
        </w:tc>
      </w:tr>
    </w:tbl>
    <w:tbl>
      <w:tblPr>
        <w:tblW w:w="5736" w:type="dxa"/>
        <w:jc w:val="left"/>
        <w:tblInd w:w="0" w:type="dxa"/>
        <w:tblCellMar>
          <w:top w:w="28" w:type="dxa"/>
          <w:left w:w="28" w:type="dxa"/>
          <w:bottom w:w="28" w:type="dxa"/>
          <w:right w:w="28" w:type="dxa"/>
        </w:tblCellMar>
      </w:tblPr>
      <w:tblGrid>
        <w:gridCol w:w="124"/>
        <w:gridCol w:w="256"/>
        <w:gridCol w:w="53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5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upon a minimum of 30 days</w:t>
            </w:r>
            <w:r>
              <w:rPr>
                <w:caps w:val="false"/>
                <w:smallCaps w:val="false"/>
              </w:rPr>
              <w:t xml:space="preserve">’ </w:t>
            </w:r>
            <w:r>
              <w:rPr>
                <w:rFonts w:ascii="Times New Roman;Times;serif" w:hAnsi="Times New Roman;Times;serif"/>
                <w:b w:val="false"/>
                <w:i w:val="false"/>
                <w:caps w:val="false"/>
                <w:smallCaps w:val="false"/>
                <w:sz w:val="20"/>
              </w:rPr>
              <w:t>prior written notice of redemption;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if, and only if, the last sale price of the Company’s common stock equals or exceeds $21.00</w:t>
            </w:r>
            <w:r>
              <w:rPr>
                <w:caps w:val="false"/>
                <w:smallCaps w:val="false"/>
              </w:rPr>
              <w:t xml:space="preserve"> </w:t>
            </w:r>
            <w:r>
              <w:rPr>
                <w:rFonts w:ascii="Times New Roman;Times;serif" w:hAnsi="Times New Roman;Times;serif"/>
                <w:b w:val="false"/>
                <w:i w:val="false"/>
                <w:caps w:val="false"/>
                <w:smallCaps w:val="false"/>
                <w:sz w:val="20"/>
              </w:rPr>
              <w:t>per share for any 20</w:t>
            </w:r>
            <w:r>
              <w:rPr>
                <w:caps w:val="false"/>
                <w:smallCaps w:val="false"/>
              </w:rPr>
              <w:t xml:space="preserve"> </w:t>
            </w:r>
            <w:r>
              <w:rPr>
                <w:rFonts w:ascii="Times New Roman;Times;serif" w:hAnsi="Times New Roman;Times;serif"/>
                <w:b w:val="false"/>
                <w:i w:val="false"/>
                <w:caps w:val="false"/>
                <w:smallCaps w:val="false"/>
                <w:sz w:val="20"/>
              </w:rPr>
              <w:t>trading days within a 30-trading day period ending on the third business day prior to the date on which the Company sends the notice of redemption to the warrant holders;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common stock underlying such warrants.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2022 no Public Warrants were exercised. During the year ended December 31, 2021, 1,144 Public Warrants were exercised for gross proceeds of less than $0.1 million.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Assumed Placement 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694" w:name="Tc_pVp9W26B0Eujboe9MHMNtw_15_9"/>
      <w:bookmarkStart w:id="695" w:name="Tc_dTfxKNnxIUWT26lXzLgIow_15_8"/>
      <w:bookmarkStart w:id="696" w:name="Tc_8V3jTlVzlk-cv1t5onw_mg_15_5"/>
      <w:bookmarkStart w:id="697" w:name="Tc_R_Q-PYSZBE-jHV63MG8a9g_15_0"/>
      <w:bookmarkStart w:id="698" w:name="Tc_bsIVv8ueB0uidU6rwX8EbA_14_9"/>
      <w:bookmarkStart w:id="699" w:name="Tc_S1jz1YOhM0q6J_VywD6PtA_14_0"/>
      <w:bookmarkStart w:id="700" w:name="Tc_6W5STX-gK0qsvP9iQY4jgw_13_9"/>
      <w:bookmarkStart w:id="701" w:name="Tc_fLeutV5bjUyiWaKUVXbCrg_13_0"/>
      <w:bookmarkStart w:id="702" w:name="Tc_Hs2Rmve5q0ukg0ov6JFknQ_12_0"/>
      <w:bookmarkStart w:id="703" w:name="Tc_XNQYAk8_Vk6Y0L6uQAobaQ_11_3"/>
      <w:bookmarkStart w:id="704" w:name="Tc_nSi5tfZ4skupLVdwV6BHow_11_0"/>
      <w:bookmarkStart w:id="705" w:name="Tc_R6lQuuyKaUKRd4OYncgg8w_10_3"/>
      <w:bookmarkStart w:id="706" w:name="Tc_3msRr6FJMkeVvS9GLGkKXw_10_0"/>
      <w:bookmarkStart w:id="707" w:name="Tc_ERwNzOmMIkmniVt6QuKFiA_9_0"/>
      <w:bookmarkStart w:id="708" w:name="Tc_Yd9K929YuUGVEIZ1UAIyaA_8_0"/>
      <w:bookmarkStart w:id="709" w:name="Tc_VEXTyKMjgU-k1w6hu0iE4A_7_0"/>
      <w:bookmarkStart w:id="710" w:name="Tc_e1st-jwNQEiqys_VKTzNEQ_6_9"/>
      <w:bookmarkStart w:id="711" w:name="Tc_Nu1Eix-uRUC_0fN_cSfxXQ_6_3"/>
      <w:bookmarkStart w:id="712" w:name="Tc_HcgREsnDs02YjW9ocTIeTg_6_0"/>
      <w:bookmarkStart w:id="713" w:name="Tc_BRsE6hWSfE2EfbONFTgYUA_5_8"/>
      <w:bookmarkStart w:id="714" w:name="Tc_JtsTCXcPk0qrokoPboHQQg_5_5"/>
      <w:bookmarkStart w:id="715" w:name="Tc_bmurhCeafEiKuKisZ5rm9Q_5_0"/>
      <w:bookmarkStart w:id="716" w:name="Tc_3Ns9zDqszk-BcSnDePua5w_4_8"/>
      <w:bookmarkStart w:id="717" w:name="Tc_gn5tZYBKdEaHhEEoTe2YTQ_4_5"/>
      <w:bookmarkStart w:id="718" w:name="Tc_FxXSPoUNNEu2bcvp-owBwA_4_3"/>
      <w:bookmarkStart w:id="719" w:name="Tc_ndCezJyKLUK23tEoGHw33g_4_1"/>
      <w:bookmarkStart w:id="720" w:name="Tc_aWpFCTk4f0yNSTNBmDyk4g_3_8"/>
      <w:bookmarkStart w:id="721" w:name="Tc_kVj1zwPSuUW6JSb0RL8nsg_3_5"/>
      <w:bookmarkStart w:id="722" w:name="Tc_O7iUf2w57Uy1a0pKGCyg4A_3_3"/>
      <w:bookmarkStart w:id="723" w:name="Tc_t9Ku8zMw6ESadXUe98Agdg_2_8"/>
      <w:bookmarkStart w:id="724" w:name="Tc_5K7TWB87AE-vxZypnDu0fg_2_5"/>
      <w:bookmarkStart w:id="725" w:name="Tc_QCwq-mAj-0G8Rl7x57b6KA_2_3"/>
      <w:bookmarkStart w:id="726" w:name="Tc_NflMXG7yMkOW99-EY1VEDQ_1_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Pr>
          <w:rFonts w:ascii="Times New Roman;Times;serif" w:hAnsi="Times New Roman;Times;serif"/>
          <w:sz w:val="20"/>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Consolidated Balance Sheet as of December 31, 2022. The Company measures the fair value of the warrants at the end of each reporting period and recognizes changes in the fair value from the prior period in the Company’s operating results for the current period.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a gain on the change in fair value of the Placement Warrants for the years ended December 31, 2022 and 2021 of $0.3 million and $1.7 million, respectively. Refer to Note 11 for discussion of fair value measurement of the warrant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the activity for all warrants for the respective periods.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833"/>
        <w:gridCol w:w="1221"/>
        <w:gridCol w:w="326"/>
        <w:gridCol w:w="886"/>
        <w:gridCol w:w="326"/>
        <w:gridCol w:w="256"/>
        <w:gridCol w:w="834"/>
        <w:gridCol w:w="326"/>
        <w:gridCol w:w="239"/>
        <w:gridCol w:w="958"/>
      </w:tblGrid>
      <w:tr>
        <w:trPr/>
        <w:tc>
          <w:tcPr>
            <w:tcW w:w="48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068955" cy="175260"/>
                      <wp:effectExtent l="0" t="0" r="0" b="0"/>
                      <wp:wrapNone/>
                      <wp:docPr id="136" name="Frame125"/>
                      <a:graphic xmlns:a="http://schemas.openxmlformats.org/drawingml/2006/main">
                        <a:graphicData uri="http://schemas.microsoft.com/office/word/2010/wordprocessingShape">
                          <wps:wsp>
                            <wps:cNvSpPr txBox="1"/>
                            <wps:spPr>
                              <a:xfrm>
                                <a:off x="0" y="0"/>
                                <a:ext cx="3068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75335" cy="175260"/>
                      <wp:effectExtent l="0" t="0" r="0" b="0"/>
                      <wp:wrapNone/>
                      <wp:docPr id="137" name="Frame126"/>
                      <a:graphic xmlns:a="http://schemas.openxmlformats.org/drawingml/2006/main">
                        <a:graphicData uri="http://schemas.microsoft.com/office/word/2010/wordprocessingShape">
                          <wps:wsp>
                            <wps:cNvSpPr txBox="1"/>
                            <wps:spPr>
                              <a:xfrm>
                                <a:off x="0" y="0"/>
                                <a:ext cx="775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62610" cy="175260"/>
                      <wp:effectExtent l="0" t="0" r="0" b="0"/>
                      <wp:wrapNone/>
                      <wp:docPr id="139" name="Frame12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2560" cy="175260"/>
                      <wp:effectExtent l="0" t="0" r="0" b="0"/>
                      <wp:wrapNone/>
                      <wp:docPr id="141" name="Frame130"/>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29590" cy="175260"/>
                      <wp:effectExtent l="0" t="0" r="0" b="0"/>
                      <wp:wrapNone/>
                      <wp:docPr id="142" name="Frame131"/>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1765" cy="175260"/>
                      <wp:effectExtent l="0" t="0" r="0" b="0"/>
                      <wp:wrapNone/>
                      <wp:docPr id="144" name="Frame133"/>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08330" cy="175260"/>
                      <wp:effectExtent l="0" t="0" r="0" b="0"/>
                      <wp:wrapNone/>
                      <wp:docPr id="145" name="Frame134"/>
                      <a:graphic xmlns:a="http://schemas.openxmlformats.org/drawingml/2006/main">
                        <a:graphicData uri="http://schemas.microsoft.com/office/word/2010/wordprocessingShape">
                          <wps:wsp>
                            <wps:cNvSpPr txBox="1"/>
                            <wps:spPr>
                              <a:xfrm>
                                <a:off x="0" y="0"/>
                                <a:ext cx="608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33"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center"/>
              <w:rPr/>
            </w:pPr>
            <w:r>
              <w:rPr/>
              <w:t>​</w:t>
            </w:r>
          </w:p>
        </w:tc>
        <w:tc>
          <w:tcPr>
            <w:tcW w:w="83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rPr/>
            </w:pPr>
            <w:r>
              <w:rPr/>
              <w:t>​</w:t>
            </w:r>
          </w:p>
        </w:tc>
        <w:tc>
          <w:tcPr>
            <w:tcW w:w="958" w:type="dxa"/>
            <w:tcBorders/>
            <w:shd w:fill="auto" w:val="clear"/>
            <w:vAlign w:val="center"/>
          </w:tcPr>
          <w:p>
            <w:pPr>
              <w:pStyle w:val="TableContents"/>
              <w:spacing w:before="0" w:after="0"/>
              <w:ind w:left="0" w:right="0" w:hanging="0"/>
              <w:rPr/>
            </w:pPr>
            <w:r>
              <w:rPr/>
              <w:t>​</w:t>
            </w:r>
          </w:p>
        </w:tc>
      </w:tr>
      <w:tr>
        <w:trPr/>
        <w:tc>
          <w:tcPr>
            <w:tcW w:w="4833"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109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11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833"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0"/>
              <w:ind w:left="0" w:right="0" w:hanging="0"/>
              <w:jc w:val="center"/>
              <w:rPr/>
            </w:pPr>
            <w:r>
              <w:rPr/>
              <w:t>​</w:t>
            </w:r>
          </w:p>
        </w:tc>
        <w:tc>
          <w:tcPr>
            <w:tcW w:w="109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11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4833" w:type="dxa"/>
            <w:tcBorders/>
            <w:shd w:fill="auto" w:val="clear"/>
            <w:vAlign w:val="center"/>
          </w:tcPr>
          <w:p>
            <w:pPr>
              <w:pStyle w:val="TableContents"/>
              <w:spacing w:before="0" w:after="0"/>
              <w:ind w:left="0" w:right="0" w:hanging="0"/>
              <w:rPr/>
            </w:pPr>
            <w:r>
              <w:rPr/>
              <w:t>​</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Warrants</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shd w:fill="auto" w:val="clear"/>
            <w:vAlign w:val="center"/>
          </w:tcPr>
          <w:p>
            <w:pPr>
              <w:pStyle w:val="TableContents"/>
              <w:spacing w:before="0" w:after="0"/>
              <w:ind w:left="0" w:right="0" w:hanging="0"/>
              <w:jc w:val="center"/>
              <w:rPr/>
            </w:pPr>
            <w:r>
              <w:rPr/>
              <w:t>​</w:t>
            </w:r>
          </w:p>
        </w:tc>
        <w:tc>
          <w:tcPr>
            <w:tcW w:w="10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0"/>
              <w:ind w:left="0" w:right="0" w:hanging="0"/>
              <w:jc w:val="center"/>
              <w:rPr/>
            </w:pPr>
            <w:r>
              <w:rPr/>
              <w:t>​</w:t>
            </w:r>
          </w:p>
        </w:tc>
        <w:tc>
          <w:tcPr>
            <w:tcW w:w="11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2020 (as previously reported)</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620,055</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22,128</w:t>
            </w:r>
          </w:p>
        </w:tc>
      </w:tr>
      <w:tr>
        <w:trPr/>
        <w:tc>
          <w:tcPr>
            <w:tcW w:w="48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Retroactive application of reverse recapitalization (Note 4)</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2,455,415</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5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8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2020, effect of Merger (Note 4)</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3,075,470</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150,956</w:t>
            </w:r>
          </w:p>
        </w:tc>
      </w:tr>
      <w:tr>
        <w:trPr/>
        <w:tc>
          <w:tcPr>
            <w:tcW w:w="48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Issued</w:t>
            </w:r>
          </w:p>
        </w:tc>
        <w:tc>
          <w:tcPr>
            <w:tcW w:w="12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6,193,449</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9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115,941</w:t>
            </w:r>
          </w:p>
        </w:tc>
      </w:tr>
      <w:tr>
        <w:trPr/>
        <w:tc>
          <w:tcPr>
            <w:tcW w:w="48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Assumed</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3,586,250</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45,725</w:t>
            </w:r>
          </w:p>
        </w:tc>
      </w:tr>
      <w:tr>
        <w:trPr/>
        <w:tc>
          <w:tcPr>
            <w:tcW w:w="48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12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(3,330,956)</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9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(67,412)</w:t>
            </w:r>
          </w:p>
        </w:tc>
      </w:tr>
      <w:tr>
        <w:trPr/>
        <w:tc>
          <w:tcPr>
            <w:tcW w:w="48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Forfeited </w:t>
            </w:r>
          </w:p>
        </w:tc>
        <w:tc>
          <w:tcPr>
            <w:tcW w:w="12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(218,423)</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(1,501)</w:t>
            </w:r>
          </w:p>
        </w:tc>
      </w:tr>
      <w:tr>
        <w:trPr/>
        <w:tc>
          <w:tcPr>
            <w:tcW w:w="48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2021</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9,305,790</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r>
      <w:tr>
        <w:trPr/>
        <w:tc>
          <w:tcPr>
            <w:tcW w:w="48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Issued</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8,215,963</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958" w:type="dxa"/>
            <w:tcBorders/>
            <w:shd w:fill="CCEEFF" w:val="clear"/>
            <w:vAlign w:val="center"/>
          </w:tcPr>
          <w:p>
            <w:pPr>
              <w:pStyle w:val="TableContents"/>
              <w:spacing w:before="0" w:after="0"/>
              <w:ind w:left="0" w:right="0" w:hanging="0"/>
              <w:jc w:val="right"/>
              <w:rPr/>
            </w:pPr>
            <w:r>
              <w:rPr/>
              <w:t>—</w:t>
            </w:r>
          </w:p>
        </w:tc>
      </w:tr>
      <w:tr>
        <w:trPr/>
        <w:tc>
          <w:tcPr>
            <w:tcW w:w="48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Expired</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(1,036,830)</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5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8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16,484,923</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spacing w:before="0" w:after="0"/>
              <w:ind w:left="0" w:right="70" w:hanging="0"/>
              <w:jc w:val="right"/>
              <w:rPr/>
            </w:pPr>
            <w:r>
              <w:rPr/>
              <w:t>—</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Preferred Investment Options (included in above warrants table)</w:t>
      </w:r>
    </w:p>
    <w:p>
      <w:pPr>
        <w:pStyle w:val="TextBody"/>
        <w:spacing w:before="0" w:after="0"/>
        <w:ind w:left="0" w:right="0" w:hanging="0"/>
        <w:jc w:val="both"/>
        <w:rPr/>
      </w:pPr>
      <w:r>
        <w:rPr/>
        <w:t>​</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 </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June 30, 2022.</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27" w:name="Tc_EhSZyaWMK0GW1h5SEivFqA_6_6"/>
      <w:bookmarkStart w:id="728" w:name="Tc_UnZobDgmwEy35-E_ZpuV8A_6_3"/>
      <w:bookmarkStart w:id="729" w:name="Tc_jvrtKzE49ki0vbGd28e_JA_6_0"/>
      <w:bookmarkStart w:id="730" w:name="Tc_QqiCFX4ZsUeGdZcr0ZWRMQ_5_6"/>
      <w:bookmarkStart w:id="731" w:name="Tc_gcTGgulzFU2mRRcoH1VdeQ_5_3"/>
      <w:bookmarkStart w:id="732" w:name="Tc_366dMweNXk6bS3sItyRCWA_5_0"/>
      <w:bookmarkStart w:id="733" w:name="Tc_4jaqEionGkqNO7Kj4FpsNA_4_6"/>
      <w:bookmarkStart w:id="734" w:name="Tc_6DyW7QDz4USPeIRJ4VMM4A_4_3"/>
      <w:bookmarkStart w:id="735" w:name="Tc_GLM4Z0GpLUWOecyRigLSBA_4_0"/>
      <w:bookmarkStart w:id="736" w:name="Tc__kFXQAb_A0iKe9-g6iM6Sg_3_0"/>
      <w:bookmarkStart w:id="737" w:name="Tc_5gxtOomG8UWEO4SVSy62mA_2_6"/>
      <w:bookmarkStart w:id="738" w:name="Tc_x55lcYIDBEKD2zI4XRDV8A_2_3"/>
      <w:bookmarkStart w:id="739" w:name="Tc_fTWD2cer1UGx7G34mFKs2A_2_0"/>
      <w:bookmarkStart w:id="740" w:name="Tc_R_vDokQ2A0SlKE4xNoGuKg_1_5"/>
      <w:bookmarkStart w:id="741" w:name="Tc_QfhkcmV_sUa9EJYAq3A4cg_1_2"/>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rPr>
          <w:rFonts w:ascii="Times New Roman;Times;serif" w:hAnsi="Times New Roman;Times;serif"/>
          <w:b/>
          <w:sz w:val="20"/>
        </w:rPr>
        <w:t>10. Stock-Based Compensation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2016 Omnibus Incentive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were held back pending the outcome of the contingencies and were not released as such contingencies were not achieved. The percentage of total shares of Common Stock subject to each Substitute Option that is vested immediately following the Effective Time will equal the percentage of total shares of NeuroRx common stock subject to each NeuroRx option that is vested immediately prior to the Effective Time.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neither the Earnout Shares Milestone nor the Earnout Cash Milestone were achieved prior to December 31, 2022, each Substitute Option was adjusted based on the Exchange Ratio and the portion of the Substitute Options related to Earnout Shares were cancelled. For the Substitute Options that were exercised prior to December 31, 2022, NRx Pharmaceuticals retained and retired the outstanding shares forfeited by the option holders in connection with the adjustment.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stated in the Merger Agreement, for the Substitute Options which were exercised prior to December 31, 2022, NRx Pharmaceuticals retained the shares forfeited by the option holders in connection with the adjustment.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Upon the closing of the Merger, the outstanding and unexercised NeuroRx stock options became options to purchase an aggregate 2,895,423 shares of the Company’s Common Stock at an average exercise price of $5.10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pStyle w:val="TextBody"/>
        <w:spacing w:before="0" w:after="0"/>
        <w:ind w:left="0" w:right="0" w:hanging="0"/>
        <w:rPr/>
      </w:pPr>
      <w:r>
        <w:rPr/>
        <w:t>​</w:t>
      </w:r>
    </w:p>
    <w:tbl>
      <w:tblPr>
        <w:tblW w:w="4990" w:type="dxa"/>
        <w:jc w:val="left"/>
        <w:tblInd w:w="0" w:type="dxa"/>
        <w:tblCellMar>
          <w:top w:w="0" w:type="dxa"/>
          <w:left w:w="0" w:type="dxa"/>
          <w:bottom w:w="0" w:type="dxa"/>
          <w:right w:w="0" w:type="dxa"/>
        </w:tblCellMar>
      </w:tblPr>
      <w:tblGrid>
        <w:gridCol w:w="1351"/>
        <w:gridCol w:w="326"/>
        <w:gridCol w:w="146"/>
        <w:gridCol w:w="1216"/>
        <w:gridCol w:w="326"/>
        <w:gridCol w:w="255"/>
        <w:gridCol w:w="1216"/>
        <w:gridCol w:w="154"/>
      </w:tblGrid>
      <w:tr>
        <w:trPr/>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57885" cy="175260"/>
                      <wp:effectExtent l="0" t="0" r="0" b="0"/>
                      <wp:wrapNone/>
                      <wp:docPr id="146" name="Frame135"/>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2710" cy="175260"/>
                      <wp:effectExtent l="0" t="0" r="0" b="0"/>
                      <wp:wrapNone/>
                      <wp:docPr id="148" name="Frame13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72160" cy="175260"/>
                      <wp:effectExtent l="0" t="0" r="0" b="0"/>
                      <wp:wrapNone/>
                      <wp:docPr id="149" name="Frame138"/>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1925" cy="175260"/>
                      <wp:effectExtent l="0" t="0" r="0" b="0"/>
                      <wp:wrapNone/>
                      <wp:docPr id="151" name="Frame140"/>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72160" cy="175260"/>
                      <wp:effectExtent l="0" t="0" r="0" b="0"/>
                      <wp:wrapNone/>
                      <wp:docPr id="152" name="Frame141"/>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7790" cy="175260"/>
                      <wp:effectExtent l="0" t="0" r="0" b="0"/>
                      <wp:wrapNone/>
                      <wp:docPr id="153" name="Frame14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Original Options</w:t>
            </w:r>
          </w:p>
        </w:tc>
        <w:tc>
          <w:tcPr>
            <w:tcW w:w="326" w:type="dxa"/>
            <w:tcBorders/>
            <w:shd w:fill="auto" w:val="clear"/>
            <w:vAlign w:val="center"/>
          </w:tcPr>
          <w:p>
            <w:pPr>
              <w:pStyle w:val="TableContents"/>
              <w:spacing w:before="0" w:after="1"/>
              <w:ind w:left="0" w:right="0" w:hanging="0"/>
              <w:rPr/>
            </w:pPr>
            <w:r>
              <w:rPr/>
              <w:t>    </w:t>
            </w:r>
          </w:p>
        </w:tc>
        <w:tc>
          <w:tcPr>
            <w:tcW w:w="14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Substitute Options</w:t>
            </w:r>
          </w:p>
        </w:tc>
        <w:tc>
          <w:tcPr>
            <w:tcW w:w="154" w:type="dxa"/>
            <w:tcBorders/>
            <w:shd w:fill="auto" w:val="clear"/>
            <w:vAlign w:val="center"/>
          </w:tcPr>
          <w:p>
            <w:pPr>
              <w:pStyle w:val="TableContents"/>
              <w:spacing w:before="0" w:after="1"/>
              <w:ind w:left="0" w:right="0" w:hanging="0"/>
              <w:rPr/>
            </w:pPr>
            <w:r>
              <w:rPr/>
              <w:t>​</w:t>
            </w:r>
          </w:p>
        </w:tc>
      </w:tr>
      <w:tr>
        <w:trPr/>
        <w:tc>
          <w:tcPr>
            <w:tcW w:w="1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Strike price</w:t>
            </w:r>
          </w:p>
        </w:tc>
        <w:tc>
          <w:tcPr>
            <w:tcW w:w="326" w:type="dxa"/>
            <w:tcBorders/>
            <w:shd w:fill="CCEEFF" w:val="clear"/>
            <w:vAlign w:val="center"/>
          </w:tcPr>
          <w:p>
            <w:pPr>
              <w:pStyle w:val="TableContents"/>
              <w:spacing w:before="0" w:after="1"/>
              <w:ind w:left="0" w:right="0" w:hanging="0"/>
              <w:rPr/>
            </w:pPr>
            <w:r>
              <w:rPr/>
              <w:t>​</w:t>
            </w:r>
          </w:p>
        </w:tc>
        <w:tc>
          <w:tcPr>
            <w:tcW w:w="14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$1.00-$72.30</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$0.20-$14.58</w:t>
            </w:r>
          </w:p>
        </w:tc>
        <w:tc>
          <w:tcPr>
            <w:tcW w:w="154" w:type="dxa"/>
            <w:tcBorders/>
            <w:shd w:fill="CCEEFF" w:val="clear"/>
            <w:vAlign w:val="center"/>
          </w:tcPr>
          <w:p>
            <w:pPr>
              <w:pStyle w:val="TableContents"/>
              <w:spacing w:before="0" w:after="1"/>
              <w:ind w:left="0" w:right="0" w:hanging="0"/>
              <w:rPr/>
            </w:pPr>
            <w:r>
              <w:rPr/>
              <w:t>​</w:t>
            </w:r>
          </w:p>
        </w:tc>
      </w:tr>
      <w:tr>
        <w:trPr/>
        <w:tc>
          <w:tcPr>
            <w:tcW w:w="1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Volatility rate</w:t>
            </w:r>
          </w:p>
        </w:tc>
        <w:tc>
          <w:tcPr>
            <w:tcW w:w="3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80.0%</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80.0%</w:t>
            </w:r>
          </w:p>
        </w:tc>
        <w:tc>
          <w:tcPr>
            <w:tcW w:w="154" w:type="dxa"/>
            <w:tcBorders/>
            <w:shd w:fill="auto" w:val="clear"/>
            <w:vAlign w:val="center"/>
          </w:tcPr>
          <w:p>
            <w:pPr>
              <w:pStyle w:val="TableContents"/>
              <w:spacing w:before="0" w:after="1"/>
              <w:ind w:left="0" w:right="0" w:hanging="0"/>
              <w:rPr/>
            </w:pPr>
            <w:r>
              <w:rPr/>
              <w:t>​</w:t>
            </w:r>
          </w:p>
        </w:tc>
      </w:tr>
      <w:tr>
        <w:trPr/>
        <w:tc>
          <w:tcPr>
            <w:tcW w:w="1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spacing w:before="0" w:after="1"/>
              <w:ind w:left="0" w:right="0" w:hanging="0"/>
              <w:rPr/>
            </w:pPr>
            <w:r>
              <w:rPr/>
              <w:t>​</w:t>
            </w:r>
          </w:p>
        </w:tc>
        <w:tc>
          <w:tcPr>
            <w:tcW w:w="14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0.07%-0.79%</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0.07%-0.79%</w:t>
            </w:r>
          </w:p>
        </w:tc>
        <w:tc>
          <w:tcPr>
            <w:tcW w:w="154" w:type="dxa"/>
            <w:tcBorders/>
            <w:shd w:fill="CCEEFF" w:val="clear"/>
            <w:vAlign w:val="center"/>
          </w:tcPr>
          <w:p>
            <w:pPr>
              <w:pStyle w:val="TableContents"/>
              <w:spacing w:before="0" w:after="1"/>
              <w:ind w:left="0" w:right="0" w:hanging="0"/>
              <w:rPr/>
            </w:pPr>
            <w:r>
              <w:rPr/>
              <w:t>​</w:t>
            </w:r>
          </w:p>
        </w:tc>
      </w:tr>
      <w:tr>
        <w:trPr/>
        <w:tc>
          <w:tcPr>
            <w:tcW w:w="13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w:t>
            </w:r>
          </w:p>
        </w:tc>
        <w:tc>
          <w:tcPr>
            <w:tcW w:w="3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0.18-5.99</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0.18-5.99</w:t>
            </w:r>
          </w:p>
        </w:tc>
        <w:tc>
          <w:tcPr>
            <w:tcW w:w="154" w:type="dxa"/>
            <w:tcBorders/>
            <w:shd w:fill="auto" w:val="clear"/>
            <w:vAlign w:val="center"/>
          </w:tcPr>
          <w:p>
            <w:pPr>
              <w:pStyle w:val="TableContents"/>
              <w:spacing w:before="0" w:after="1"/>
              <w:ind w:left="0" w:right="0" w:hanging="0"/>
              <w:rPr/>
            </w:pPr>
            <w:r>
              <w:rPr/>
              <w:t>​</w:t>
            </w:r>
          </w:p>
        </w:tc>
      </w:tr>
      <w:tr>
        <w:trPr/>
        <w:tc>
          <w:tcPr>
            <w:tcW w:w="13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spacing w:before="0" w:after="1"/>
              <w:ind w:left="0" w:right="0" w:hanging="0"/>
              <w:rPr/>
            </w:pPr>
            <w:r>
              <w:rPr/>
              <w:t>​</w:t>
            </w:r>
          </w:p>
        </w:tc>
        <w:tc>
          <w:tcPr>
            <w:tcW w:w="14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center"/>
              <w:rPr/>
            </w:pPr>
            <w:r>
              <w:rPr/>
              <w:t>—</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Substitute Options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was not achieved at December 31, 2022. Accordingly, the Company only recognized incremental compensation cost related to the portion of the Substitute Options subject to service-based vesting conditions only.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742" w:name="Tc_SuM6VUs40kKMRwQCqsqKNQ_5_8"/>
      <w:bookmarkStart w:id="743" w:name="Tc_WXluujXJf0WdyxpxBjRmlQ_5_5"/>
      <w:bookmarkStart w:id="744" w:name="Tc_UEZ3rYegmUKHBd9TO7RbzQ_5_3"/>
      <w:bookmarkStart w:id="745" w:name="Tc_a4OXoHThaUu__vSN4V1gEw_5_0"/>
      <w:bookmarkStart w:id="746" w:name="Tc_nLBKspCHw0OArh5SOJ9EnQ_4_8"/>
      <w:bookmarkStart w:id="747" w:name="Tc_vadew6R-dUW3wR-khPvPrg_4_6"/>
      <w:bookmarkStart w:id="748" w:name="Tc_TA6Ggq2vxk6xbajbk_82bA_4_3"/>
      <w:bookmarkStart w:id="749" w:name="Tc_XmZiZ541xUijAPfwuE0tjw_4_1"/>
      <w:bookmarkStart w:id="750" w:name="Tc_oENtpeQHr0aW0rJvIquJqQ_3_8"/>
      <w:bookmarkStart w:id="751" w:name="Tc_-KoVMVlSqEmo-RbFCk1pBA_3_6"/>
      <w:bookmarkStart w:id="752" w:name="Tc_pztTlmKi6kqZB1ygcu_Oag_3_3"/>
      <w:bookmarkStart w:id="753" w:name="Tc_YJUO_CdSBUKb-56qbTiBxA_3_1"/>
      <w:bookmarkStart w:id="754" w:name="Tc_1ZOgSSmEDEaHf2F-uPFaAQ_2_8"/>
      <w:bookmarkStart w:id="755" w:name="Tc_ONs9tT0_Fke3e0CZ4J5lLA_2_6"/>
      <w:bookmarkStart w:id="756" w:name="Tc_Tj_szWvZ00KX1v11yE66rg_2_3"/>
      <w:bookmarkStart w:id="757" w:name="Tc_tf8VF8Lqj02-T97kxYhFmw_1_8"/>
      <w:bookmarkStart w:id="758" w:name="Tc_RiemS5RBiEG1oU6pGwUWlA_1_6"/>
      <w:bookmarkStart w:id="759" w:name="Tc_zpVOGxVWpkCvpLkmjufFOg_7_0"/>
      <w:bookmarkStart w:id="760" w:name="Tc_ZbPXAC-YXkqi1anlHzONfQ_6_6"/>
      <w:bookmarkStart w:id="761" w:name="Tc_EEhpzdSikUm5dGuI5hb2_w_6_3"/>
      <w:bookmarkStart w:id="762" w:name="Tc_lVKIDhqAJUe1IZ-owQuQaw_6_0"/>
      <w:bookmarkStart w:id="763" w:name="Tc_0zieLzw82U2nAbyQM9sGlw_5_6"/>
      <w:bookmarkStart w:id="764" w:name="Tc_0T2mtUagR0awCWresVLDkQ_5_3"/>
      <w:bookmarkStart w:id="765" w:name="Tc_BuGW_AaD3UOBCNcSwUlUwg_5_0"/>
      <w:bookmarkStart w:id="766" w:name="Tc_OLFnYHFDHEy8qnShHewvug_4_6"/>
      <w:bookmarkStart w:id="767" w:name="Tc_SCWR8KcjIEmdFi0oB6JHag_4_3"/>
      <w:bookmarkStart w:id="768" w:name="Tc_unYdzeCpMUCiiv0q1ELx9Q_4_0"/>
      <w:bookmarkStart w:id="769" w:name="Tc_hZun4kT6QUOiHAESCZc_nQ_3_6"/>
      <w:bookmarkStart w:id="770" w:name="Tc_rjbnadxA_EmgkctWGSRk6Q_3_3"/>
      <w:bookmarkStart w:id="771" w:name="Tc_wwQ443GG3UaupytpxtpgAA_3_0"/>
      <w:bookmarkStart w:id="772" w:name="Tc_xTE5O06qd06VEjGV9Eu92w_2_5"/>
      <w:bookmarkStart w:id="773" w:name="Tc_NsDr5xfj606dSHwYXZ7Axw_2_2"/>
      <w:bookmarkStart w:id="774" w:name="Tc_rRWKKykwj0SiA8Nws2eoMg_1_2"/>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Pr>
          <w:rFonts w:ascii="Times New Roman;Times;serif" w:hAnsi="Times New Roman;Times;serif"/>
          <w:sz w:val="20"/>
          <w:highlight w:val="white"/>
        </w:rPr>
        <w:t>For vested Substitute Options, the Company recognized incremental compensation on the modification date totaling $1.0 million of which $1.0 million and less than $0.1 million was recognized in general and administrative and research and development, respectively, in the Consolidated Statements of Operations for the year ended December 31, 2021.</w:t>
      </w:r>
      <w:r>
        <w:rPr>
          <w:rFonts w:ascii="Times New Roman;Times;serif" w:hAnsi="Times New Roman;Times;serif"/>
          <w:sz w:val="20"/>
        </w:rPr>
        <w:t xml:space="preserve"> For unvested Substitute Options, the Company will recognize incremental compensation over the remaining requisite service period, the sum of the incremental compensation cost and the remaining unrecognized compensation cost for the original award on the modification date.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2021 Omnibus Incentive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the Effective Time, the Company adopted the 2021 Omnibus Incentive Plan (the “2021 Plan”). As of December 31, 2022, 6,049,178 shares of Common Stock are authorized for issuance pursuant to awards under the 2021 Plan. As of January 1, 2022, 676,129 shares were added to the 2021 Plan under </w:t>
      </w:r>
      <w:r>
        <w:rPr>
          <w:rFonts w:ascii="Times New Roman;Times;serif" w:hAnsi="Times New Roman;Times;serif"/>
          <w:color w:val="231F20"/>
          <w:sz w:val="20"/>
        </w:rPr>
        <w:t xml:space="preserve">an evergreen feature that automatically increases the reserve with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w:t>
      </w:r>
      <w:r>
        <w:rPr>
          <w:rFonts w:ascii="Times New Roman;Times;serif" w:hAnsi="Times New Roman;Times;serif"/>
          <w:sz w:val="20"/>
        </w:rPr>
        <w:t>The Substitute Options do not reduce the number of shares authorized for grant under the 2021 Plan. As of December 31, 2022, 5,749,394 shares have been awarded and 299,784 shares remain available for issuance under the 2021 Plan. The 2021 Plan permits the granting of incentive stock options, restricted stock awards, other stock-based award or other cash-based awards to employees, directors, and non-employee consultants.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Option Awards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grant date fair value of employee and non-employee stock option awards is determined using the Black Scholes option-pricing model. The following assumptions were used during the following periods:</w:t>
      </w:r>
    </w:p>
    <w:p>
      <w:pPr>
        <w:pStyle w:val="TextBody"/>
        <w:spacing w:before="0" w:after="0"/>
        <w:ind w:left="0" w:right="0" w:hanging="0"/>
        <w:rPr/>
      </w:pPr>
      <w:r>
        <w:rPr/>
        <w:t>​</w:t>
      </w:r>
    </w:p>
    <w:tbl>
      <w:tblPr>
        <w:tblW w:w="5898" w:type="dxa"/>
        <w:jc w:val="left"/>
        <w:tblInd w:w="0" w:type="dxa"/>
        <w:tblCellMar>
          <w:top w:w="0" w:type="dxa"/>
          <w:left w:w="0" w:type="dxa"/>
          <w:bottom w:w="0" w:type="dxa"/>
          <w:right w:w="0" w:type="dxa"/>
        </w:tblCellMar>
      </w:tblPr>
      <w:tblGrid>
        <w:gridCol w:w="2626"/>
        <w:gridCol w:w="326"/>
        <w:gridCol w:w="109"/>
        <w:gridCol w:w="1321"/>
        <w:gridCol w:w="109"/>
        <w:gridCol w:w="146"/>
        <w:gridCol w:w="1261"/>
      </w:tblGrid>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838835" cy="175260"/>
                      <wp:effectExtent l="0" t="0" r="0" b="0"/>
                      <wp:wrapNone/>
                      <wp:docPr id="156" name="Frame145"/>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710" cy="175260"/>
                      <wp:effectExtent l="0" t="0" r="0" b="0"/>
                      <wp:wrapNone/>
                      <wp:docPr id="158" name="Frame14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800735" cy="175260"/>
                      <wp:effectExtent l="0" t="0" r="0" b="0"/>
                      <wp:wrapNone/>
                      <wp:docPr id="159" name="Frame148"/>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4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4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jc w:val="center"/>
              <w:rPr/>
            </w:pPr>
            <w:r>
              <w:rPr/>
              <w:t>​</w:t>
            </w:r>
          </w:p>
        </w:tc>
        <w:tc>
          <w:tcPr>
            <w:tcW w:w="13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$0.51-$3.10</w:t>
            </w:r>
          </w:p>
        </w:tc>
        <w:tc>
          <w:tcPr>
            <w:tcW w:w="109" w:type="dxa"/>
            <w:tcBorders/>
            <w:shd w:fill="CCEEFF" w:val="clear"/>
            <w:vAlign w:val="center"/>
          </w:tcPr>
          <w:p>
            <w:pPr>
              <w:pStyle w:val="TableContents"/>
              <w:spacing w:before="0" w:after="0"/>
              <w:ind w:left="0" w:right="0" w:hanging="0"/>
              <w:jc w:val="center"/>
              <w:rPr/>
            </w:pPr>
            <w:r>
              <w:rPr/>
              <w:t>​</w:t>
            </w:r>
          </w:p>
        </w:tc>
        <w:tc>
          <w:tcPr>
            <w:tcW w:w="146" w:type="dxa"/>
            <w:tcBorders/>
            <w:shd w:fill="CCEEFF" w:val="clear"/>
            <w:vAlign w:val="center"/>
          </w:tcPr>
          <w:p>
            <w:pPr>
              <w:pStyle w:val="TableContents"/>
              <w:spacing w:before="0" w:after="0"/>
              <w:ind w:left="0" w:right="0" w:hanging="0"/>
              <w:jc w:val="center"/>
              <w:rPr/>
            </w:pPr>
            <w:r>
              <w:rPr/>
              <w:t>​</w:t>
            </w:r>
          </w:p>
        </w:tc>
        <w:tc>
          <w:tcPr>
            <w:tcW w:w="12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$6.44-$23.41</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rate of interest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1.80%-4.36%</w:t>
            </w:r>
          </w:p>
        </w:tc>
        <w:tc>
          <w:tcPr>
            <w:tcW w:w="109"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0.69%-1.45%</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jc w:val="center"/>
              <w:rPr/>
            </w:pPr>
            <w:r>
              <w:rPr/>
              <w:t>​</w:t>
            </w:r>
          </w:p>
        </w:tc>
        <w:tc>
          <w:tcPr>
            <w:tcW w:w="13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5.3-6.5</w:t>
            </w:r>
          </w:p>
        </w:tc>
        <w:tc>
          <w:tcPr>
            <w:tcW w:w="109" w:type="dxa"/>
            <w:tcBorders/>
            <w:shd w:fill="CCEEFF" w:val="clear"/>
            <w:vAlign w:val="center"/>
          </w:tcPr>
          <w:p>
            <w:pPr>
              <w:pStyle w:val="TableContents"/>
              <w:spacing w:before="0" w:after="0"/>
              <w:ind w:left="0" w:right="0" w:hanging="0"/>
              <w:jc w:val="center"/>
              <w:rPr/>
            </w:pPr>
            <w:r>
              <w:rPr/>
              <w:t>​</w:t>
            </w:r>
          </w:p>
        </w:tc>
        <w:tc>
          <w:tcPr>
            <w:tcW w:w="146" w:type="dxa"/>
            <w:tcBorders/>
            <w:shd w:fill="CCEEFF" w:val="clear"/>
            <w:vAlign w:val="center"/>
          </w:tcPr>
          <w:p>
            <w:pPr>
              <w:pStyle w:val="TableContents"/>
              <w:spacing w:before="0" w:after="0"/>
              <w:ind w:left="0" w:right="0" w:hanging="0"/>
              <w:jc w:val="center"/>
              <w:rPr/>
            </w:pPr>
            <w:r>
              <w:rPr/>
              <w:t> </w:t>
            </w:r>
          </w:p>
        </w:tc>
        <w:tc>
          <w:tcPr>
            <w:tcW w:w="12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5.25-6.5</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94.9%-147.8%</w:t>
            </w:r>
          </w:p>
        </w:tc>
        <w:tc>
          <w:tcPr>
            <w:tcW w:w="109"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80.0%-85.9%</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jc w:val="center"/>
              <w:rPr/>
            </w:pPr>
            <w:r>
              <w:rPr/>
              <w:t>​</w:t>
            </w:r>
          </w:p>
        </w:tc>
        <w:tc>
          <w:tcPr>
            <w:tcW w:w="132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146" w:type="dxa"/>
            <w:tcBorders/>
            <w:shd w:fill="CCEEFF" w:val="clear"/>
            <w:vAlign w:val="center"/>
          </w:tcPr>
          <w:p>
            <w:pPr>
              <w:pStyle w:val="TableContents"/>
              <w:spacing w:before="0" w:after="0"/>
              <w:ind w:left="0" w:right="0" w:hanging="0"/>
              <w:jc w:val="center"/>
              <w:rPr/>
            </w:pPr>
            <w:r>
              <w:rPr/>
              <w:t> </w:t>
            </w:r>
          </w:p>
        </w:tc>
        <w:tc>
          <w:tcPr>
            <w:tcW w:w="1261" w:type="dxa"/>
            <w:tcBorders/>
            <w:shd w:fill="CCEEFF"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employee and non-employee stock option activity under the Plan for the following periods: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087"/>
        <w:gridCol w:w="886"/>
        <w:gridCol w:w="326"/>
        <w:gridCol w:w="290"/>
        <w:gridCol w:w="791"/>
        <w:gridCol w:w="326"/>
        <w:gridCol w:w="1004"/>
        <w:gridCol w:w="326"/>
        <w:gridCol w:w="231"/>
        <w:gridCol w:w="938"/>
      </w:tblGrid>
      <w:tr>
        <w:trPr/>
        <w:tc>
          <w:tcPr>
            <w:tcW w:w="50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230245" cy="175260"/>
                      <wp:effectExtent l="0" t="0" r="0" b="0"/>
                      <wp:wrapNone/>
                      <wp:docPr id="160" name="Frame149"/>
                      <a:graphic xmlns:a="http://schemas.openxmlformats.org/drawingml/2006/main">
                        <a:graphicData uri="http://schemas.microsoft.com/office/word/2010/wordprocessingShape">
                          <wps:wsp>
                            <wps:cNvSpPr txBox="1"/>
                            <wps:spPr>
                              <a:xfrm>
                                <a:off x="0" y="0"/>
                                <a:ext cx="3230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62610" cy="175260"/>
                      <wp:effectExtent l="0" t="0" r="0" b="0"/>
                      <wp:wrapNone/>
                      <wp:docPr id="161" name="Frame15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4150" cy="175260"/>
                      <wp:effectExtent l="0" t="0" r="0" b="0"/>
                      <wp:wrapNone/>
                      <wp:docPr id="163" name="Frame152"/>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2285" cy="175260"/>
                      <wp:effectExtent l="0" t="0" r="0" b="0"/>
                      <wp:wrapNone/>
                      <wp:docPr id="164" name="Frame153"/>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37540" cy="175260"/>
                      <wp:effectExtent l="0" t="0" r="0" b="0"/>
                      <wp:wrapNone/>
                      <wp:docPr id="166" name="Frame155"/>
                      <a:graphic xmlns:a="http://schemas.openxmlformats.org/drawingml/2006/main">
                        <a:graphicData uri="http://schemas.microsoft.com/office/word/2010/wordprocessingShape">
                          <wps:wsp>
                            <wps:cNvSpPr txBox="1"/>
                            <wps:spPr>
                              <a:xfrm>
                                <a:off x="0" y="0"/>
                                <a:ext cx="637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6685" cy="175260"/>
                      <wp:effectExtent l="0" t="0" r="0" b="0"/>
                      <wp:wrapNone/>
                      <wp:docPr id="168" name="Frame157"/>
                      <a:graphic xmlns:a="http://schemas.openxmlformats.org/drawingml/2006/main">
                        <a:graphicData uri="http://schemas.microsoft.com/office/word/2010/wordprocessingShape">
                          <wps:wsp>
                            <wps:cNvSpPr txBox="1"/>
                            <wps:spPr>
                              <a:xfrm>
                                <a:off x="0" y="0"/>
                                <a:ext cx="146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5630" cy="175260"/>
                      <wp:effectExtent l="0" t="0" r="0" b="0"/>
                      <wp:wrapNone/>
                      <wp:docPr id="169" name="Frame158"/>
                      <a:graphic xmlns:a="http://schemas.openxmlformats.org/drawingml/2006/main">
                        <a:graphicData uri="http://schemas.microsoft.com/office/word/2010/wordprocessingShape">
                          <wps:wsp>
                            <wps:cNvSpPr txBox="1"/>
                            <wps:spPr>
                              <a:xfrm>
                                <a:off x="0" y="0"/>
                                <a:ext cx="595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87"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90" w:type="dxa"/>
            <w:tcBorders/>
            <w:shd w:fill="auto" w:val="clear"/>
            <w:vAlign w:val="center"/>
          </w:tcPr>
          <w:p>
            <w:pPr>
              <w:pStyle w:val="TableContents"/>
              <w:spacing w:before="0" w:after="1"/>
              <w:ind w:left="0" w:right="0" w:hanging="0"/>
              <w:jc w:val="center"/>
              <w:rPr/>
            </w:pPr>
            <w:r>
              <w:rPr/>
              <w:t>​</w:t>
            </w:r>
          </w:p>
        </w:tc>
        <w:tc>
          <w:tcPr>
            <w:tcW w:w="7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116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5087"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100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116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5087"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jc w:val="center"/>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100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1"/>
              <w:ind w:left="0" w:right="0" w:hanging="0"/>
              <w:jc w:val="center"/>
              <w:rPr/>
            </w:pPr>
            <w:r>
              <w:rPr/>
              <w:t>​</w:t>
            </w:r>
          </w:p>
        </w:tc>
        <w:tc>
          <w:tcPr>
            <w:tcW w:w="116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087"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center"/>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1"/>
              <w:ind w:left="0" w:right="0" w:hanging="0"/>
              <w:jc w:val="center"/>
              <w:rPr/>
            </w:pPr>
            <w:r>
              <w:rPr/>
              <w:t>    </w:t>
            </w:r>
          </w:p>
        </w:tc>
        <w:tc>
          <w:tcPr>
            <w:tcW w:w="100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26" w:type="dxa"/>
            <w:tcBorders/>
            <w:shd w:fill="auto" w:val="clear"/>
            <w:vAlign w:val="center"/>
          </w:tcPr>
          <w:p>
            <w:pPr>
              <w:pStyle w:val="TableContents"/>
              <w:spacing w:before="0" w:after="1"/>
              <w:ind w:left="0" w:right="0" w:hanging="0"/>
              <w:jc w:val="center"/>
              <w:rPr/>
            </w:pPr>
            <w:r>
              <w:rPr/>
              <w:t>    </w:t>
            </w:r>
          </w:p>
        </w:tc>
        <w:tc>
          <w:tcPr>
            <w:tcW w:w="116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08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2020 (as previously reported)</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486,755</w:t>
            </w:r>
          </w:p>
        </w:tc>
        <w:tc>
          <w:tcPr>
            <w:tcW w:w="326" w:type="dxa"/>
            <w:tcBorders/>
            <w:shd w:fill="CCEEFF" w:val="clear"/>
            <w:vAlign w:val="center"/>
          </w:tcPr>
          <w:p>
            <w:pPr>
              <w:pStyle w:val="TableContents"/>
              <w:spacing w:before="0" w:after="1"/>
              <w:ind w:left="0" w:right="0" w:hanging="0"/>
              <w:jc w:val="center"/>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10.79</w:t>
            </w:r>
          </w:p>
        </w:tc>
        <w:tc>
          <w:tcPr>
            <w:tcW w:w="32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004" w:type="dxa"/>
            <w:tcBorders/>
            <w:shd w:fill="CCEEFF" w:val="clear"/>
            <w:vAlign w:val="center"/>
          </w:tcPr>
          <w:p>
            <w:pPr>
              <w:pStyle w:val="TableContents"/>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326" w:type="dxa"/>
            <w:tcBorders/>
            <w:shd w:fill="CCEEFF" w:val="clear"/>
            <w:vAlign w:val="center"/>
          </w:tcPr>
          <w:p>
            <w:pPr>
              <w:pStyle w:val="TableContents"/>
              <w:spacing w:before="0" w:after="1"/>
              <w:ind w:left="0" w:right="0" w:hanging="0"/>
              <w:jc w:val="center"/>
              <w:rPr/>
            </w:pPr>
            <w:r>
              <w:rPr/>
              <w:t>​</w:t>
            </w:r>
          </w:p>
        </w:tc>
        <w:tc>
          <w:tcPr>
            <w:tcW w:w="23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38"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19,572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775" w:name="Tc_tTZDXNz4gUapTNyX_TRQGw_4_0"/>
      <w:bookmarkStart w:id="776" w:name="Tc_8I-DZenzKUqUPPymAcb04g_3_0"/>
      <w:bookmarkStart w:id="777" w:name="Tc_k3jvoStELEa7s1Up0Py_JA_2_4"/>
      <w:bookmarkStart w:id="778" w:name="Tc_KjWV_nLDAkShyPsIbq6i6w_2_2"/>
      <w:bookmarkStart w:id="779" w:name="Tc_V3p87Y6uvEmLMoX2m2KdGw_2_0"/>
      <w:bookmarkStart w:id="780" w:name="Tc_j3o_REI6q02uhlVY6_IZog_1_4"/>
      <w:bookmarkStart w:id="781" w:name="Tc_XmyFD1UBrUizxP88-v-kDw_1_2"/>
      <w:bookmarkStart w:id="782" w:name="Tc_rl7h1moQpkyIstZRm6cBAQ_6_4"/>
      <w:bookmarkStart w:id="783" w:name="Tc_C7rK5pFkgk--Qzolwd0EBw_6_1"/>
      <w:bookmarkStart w:id="784" w:name="Tc_IkhY8rmMSkqKFn0jiqqWTA_6_0"/>
      <w:bookmarkStart w:id="785" w:name="Tc_4H7wQRYb-kqEJOh3lMsaDw_5_0"/>
      <w:bookmarkStart w:id="786" w:name="Tc_N6CMZh4e_kSI8f7aVlQk5Q_4_4"/>
      <w:bookmarkStart w:id="787" w:name="Tc_UN_qN1w-R0aZ6X3Rqtai7Q_4_1"/>
      <w:bookmarkStart w:id="788" w:name="Tc_3GaxEOHjU0-0XHeMeisKxg_4_0"/>
      <w:bookmarkStart w:id="789" w:name="Tc_WdFL52_j8kScHHcoTJOVLg_3_0"/>
      <w:bookmarkStart w:id="790" w:name="Tc_S_9MvxEUNkS1vFh-CM3tPQ_2_4"/>
      <w:bookmarkStart w:id="791" w:name="Tc_XoCFyK_E_0WN0LxIK8wjeg_2_1"/>
      <w:bookmarkStart w:id="792" w:name="Tc_FuPpjz-4s0Kn7mnngXMDDQ_1_1"/>
      <w:bookmarkStart w:id="793" w:name="_77a4b2e9_bbd3_4af1_9ee2_a9eb4ae4a891"/>
      <w:bookmarkStart w:id="794" w:name="Tc_9dG7pHY32U-WHVcW4mC9qw_17_8"/>
      <w:bookmarkStart w:id="795" w:name="Tc_0P-jqXNO30mUGLLsFV8R5A_17_3"/>
      <w:bookmarkStart w:id="796" w:name="Tc_glL0uvNfEUSm92i5P3pjkg_17_0"/>
      <w:bookmarkStart w:id="797" w:name="Tc_VnJPISa4jUKv0wG-i4eTzQ_16_8"/>
      <w:bookmarkStart w:id="798" w:name="Tc_gVcXA1lQLkWRZfpAZunIMA_16_6"/>
      <w:bookmarkStart w:id="799" w:name="Tc_6lL4cSuL_EmfjxleaivF3Q_16_3"/>
      <w:bookmarkStart w:id="800" w:name="Tc__1Z07oYhhUqBG-t_PXIWmg_16_0"/>
      <w:bookmarkStart w:id="801" w:name="Tc_tAwe3zp7J0WBKXLDu-tMUA_15_9"/>
      <w:bookmarkStart w:id="802" w:name="Tc_b2Yl-CyvZE-c4f9pwudXXQ_15_6"/>
      <w:bookmarkStart w:id="803" w:name="Tc_RZ3UI_D1gEKPNQO7aA_Ffw_15_0"/>
      <w:bookmarkStart w:id="804" w:name="Tc_B0L82ccvcESMB-P6l5VtgA_14_9"/>
      <w:bookmarkStart w:id="805" w:name="Tc_qM3_8ViIuEqf_Zjx-VT-ug_14_0"/>
      <w:bookmarkStart w:id="806" w:name="Tc_Bkkp7-8JuU2ngnA_eO9s2g_13_9"/>
      <w:bookmarkStart w:id="807" w:name="Tc_C1jLL2Tb3EGhRZI5QmuGag_13_6"/>
      <w:bookmarkStart w:id="808" w:name="Tc_BjPUzyCS9ECPvCDpCAuRaQ_13_0"/>
      <w:bookmarkStart w:id="809" w:name="Tc_J2eNen9iRkqt9eIqaZY6sw_12_9"/>
      <w:bookmarkStart w:id="810" w:name="Tc_6VtOKroaIEOqM5wO7pOCQg_12_0"/>
      <w:bookmarkStart w:id="811" w:name="Tc_Nw87kL1QWUOhD-XtuUPyYw_11_8"/>
      <w:bookmarkStart w:id="812" w:name="Tc_-wb0dkwq6EiSAz3sfSeqdw_11_3"/>
      <w:bookmarkStart w:id="813" w:name="Tc_uarx4dBebkixUsYJqzeSrQ_11_0"/>
      <w:bookmarkStart w:id="814" w:name="Tc_-F_uPo92Z0ykdRslVLIhqQ_10_0"/>
      <w:bookmarkStart w:id="815" w:name="Tc_Dz7lXFs9lEyf16HZuTjS7w_9_0"/>
      <w:bookmarkStart w:id="816" w:name="Tc_KPc_nqMKMki_nwQkN16WJQ_8_0"/>
      <w:bookmarkStart w:id="817" w:name="Tc_eFAPEOmcBkqJa_3WjUW_8w_7_8"/>
      <w:bookmarkStart w:id="818" w:name="Tc_Tc_Kps5oHkWhMGuUGg0IyQ_7_3"/>
      <w:bookmarkStart w:id="819" w:name="Tc_gRyNEek-X0-AqrJgBV8GgA_7_0"/>
      <w:bookmarkStart w:id="820" w:name="Tc_0BrOClvI7UCCL_kmfECRuA_6_9"/>
      <w:bookmarkStart w:id="821" w:name="Tc_xzHeqg9-206ji5fSb-Gjhw_6_6"/>
      <w:bookmarkStart w:id="822" w:name="Tc_7t_3F6nltkKF3QG2C3-wcQ_6_0"/>
      <w:bookmarkStart w:id="823" w:name="Tc_tTZDXNz4gUapTNyX_TRQGw_4_0"/>
      <w:bookmarkStart w:id="824" w:name="Tc_8I-DZenzKUqUPPymAcb04g_3_0"/>
      <w:bookmarkStart w:id="825" w:name="Tc_k3jvoStELEa7s1Up0Py_JA_2_4"/>
      <w:bookmarkStart w:id="826" w:name="Tc_KjWV_nLDAkShyPsIbq6i6w_2_2"/>
      <w:bookmarkStart w:id="827" w:name="Tc_V3p87Y6uvEmLMoX2m2KdGw_2_0"/>
      <w:bookmarkStart w:id="828" w:name="Tc_j3o_REI6q02uhlVY6_IZog_1_4"/>
      <w:bookmarkStart w:id="829" w:name="Tc_XmyFD1UBrUizxP88-v-kDw_1_2"/>
      <w:bookmarkStart w:id="830" w:name="Tc_rl7h1moQpkyIstZRm6cBAQ_6_4"/>
      <w:bookmarkStart w:id="831" w:name="Tc_C7rK5pFkgk--Qzolwd0EBw_6_1"/>
      <w:bookmarkStart w:id="832" w:name="Tc_IkhY8rmMSkqKFn0jiqqWTA_6_0"/>
      <w:bookmarkStart w:id="833" w:name="Tc_4H7wQRYb-kqEJOh3lMsaDw_5_0"/>
      <w:bookmarkStart w:id="834" w:name="Tc_N6CMZh4e_kSI8f7aVlQk5Q_4_4"/>
      <w:bookmarkStart w:id="835" w:name="Tc_UN_qN1w-R0aZ6X3Rqtai7Q_4_1"/>
      <w:bookmarkStart w:id="836" w:name="Tc_3GaxEOHjU0-0XHeMeisKxg_4_0"/>
      <w:bookmarkStart w:id="837" w:name="Tc_WdFL52_j8kScHHcoTJOVLg_3_0"/>
      <w:bookmarkStart w:id="838" w:name="Tc_S_9MvxEUNkS1vFh-CM3tPQ_2_4"/>
      <w:bookmarkStart w:id="839" w:name="Tc_XoCFyK_E_0WN0LxIK8wjeg_2_1"/>
      <w:bookmarkStart w:id="840" w:name="Tc_FuPpjz-4s0Kn7mnngXMDDQ_1_1"/>
      <w:bookmarkStart w:id="841" w:name="_77a4b2e9_bbd3_4af1_9ee2_a9eb4ae4a891"/>
      <w:bookmarkStart w:id="842" w:name="Tc_9dG7pHY32U-WHVcW4mC9qw_17_8"/>
      <w:bookmarkStart w:id="843" w:name="Tc_0P-jqXNO30mUGLLsFV8R5A_17_3"/>
      <w:bookmarkStart w:id="844" w:name="Tc_glL0uvNfEUSm92i5P3pjkg_17_0"/>
      <w:bookmarkStart w:id="845" w:name="Tc_VnJPISa4jUKv0wG-i4eTzQ_16_8"/>
      <w:bookmarkStart w:id="846" w:name="Tc_gVcXA1lQLkWRZfpAZunIMA_16_6"/>
      <w:bookmarkStart w:id="847" w:name="Tc_6lL4cSuL_EmfjxleaivF3Q_16_3"/>
      <w:bookmarkStart w:id="848" w:name="Tc__1Z07oYhhUqBG-t_PXIWmg_16_0"/>
      <w:bookmarkStart w:id="849" w:name="Tc_tAwe3zp7J0WBKXLDu-tMUA_15_9"/>
      <w:bookmarkStart w:id="850" w:name="Tc_b2Yl-CyvZE-c4f9pwudXXQ_15_6"/>
      <w:bookmarkStart w:id="851" w:name="Tc_RZ3UI_D1gEKPNQO7aA_Ffw_15_0"/>
      <w:bookmarkStart w:id="852" w:name="Tc_B0L82ccvcESMB-P6l5VtgA_14_9"/>
      <w:bookmarkStart w:id="853" w:name="Tc_qM3_8ViIuEqf_Zjx-VT-ug_14_0"/>
      <w:bookmarkStart w:id="854" w:name="Tc_Bkkp7-8JuU2ngnA_eO9s2g_13_9"/>
      <w:bookmarkStart w:id="855" w:name="Tc_C1jLL2Tb3EGhRZI5QmuGag_13_6"/>
      <w:bookmarkStart w:id="856" w:name="Tc_BjPUzyCS9ECPvCDpCAuRaQ_13_0"/>
      <w:bookmarkStart w:id="857" w:name="Tc_J2eNen9iRkqt9eIqaZY6sw_12_9"/>
      <w:bookmarkStart w:id="858" w:name="Tc_6VtOKroaIEOqM5wO7pOCQg_12_0"/>
      <w:bookmarkStart w:id="859" w:name="Tc_Nw87kL1QWUOhD-XtuUPyYw_11_8"/>
      <w:bookmarkStart w:id="860" w:name="Tc_-wb0dkwq6EiSAz3sfSeqdw_11_3"/>
      <w:bookmarkStart w:id="861" w:name="Tc_uarx4dBebkixUsYJqzeSrQ_11_0"/>
      <w:bookmarkStart w:id="862" w:name="Tc_-F_uPo92Z0ykdRslVLIhqQ_10_0"/>
      <w:bookmarkStart w:id="863" w:name="Tc_Dz7lXFs9lEyf16HZuTjS7w_9_0"/>
      <w:bookmarkStart w:id="864" w:name="Tc_KPc_nqMKMki_nwQkN16WJQ_8_0"/>
      <w:bookmarkStart w:id="865" w:name="Tc_eFAPEOmcBkqJa_3WjUW_8w_7_8"/>
      <w:bookmarkStart w:id="866" w:name="Tc_Tc_Kps5oHkWhMGuUGg0IyQ_7_3"/>
      <w:bookmarkStart w:id="867" w:name="Tc_gRyNEek-X0-AqrJgBV8GgA_7_0"/>
      <w:bookmarkStart w:id="868" w:name="Tc_0BrOClvI7UCCL_kmfECRuA_6_9"/>
      <w:bookmarkStart w:id="869" w:name="Tc_xzHeqg9-206ji5fSb-Gjhw_6_6"/>
      <w:bookmarkStart w:id="870" w:name="Tc_7t_3F6nltkKF3QG2C3-wcQ_6_0"/>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tbl>
      <w:tblPr>
        <w:tblW w:w="8734" w:type="dxa"/>
        <w:jc w:val="left"/>
        <w:tblInd w:w="0" w:type="dxa"/>
        <w:tblCellMar>
          <w:top w:w="0" w:type="dxa"/>
          <w:left w:w="0" w:type="dxa"/>
          <w:bottom w:w="0" w:type="dxa"/>
          <w:right w:w="0" w:type="dxa"/>
        </w:tblCellMar>
      </w:tblPr>
      <w:tblGrid>
        <w:gridCol w:w="5251"/>
        <w:gridCol w:w="931"/>
        <w:gridCol w:w="109"/>
        <w:gridCol w:w="211"/>
        <w:gridCol w:w="586"/>
        <w:gridCol w:w="109"/>
        <w:gridCol w:w="481"/>
        <w:gridCol w:w="109"/>
        <w:gridCol w:w="211"/>
        <w:gridCol w:w="736"/>
      </w:tblGrid>
      <w:tr>
        <w:trPr/>
        <w:tc>
          <w:tcPr>
            <w:tcW w:w="52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Retroactive application of reverse recapitalization (Note 4)</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1,927,548</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109" w:type="dxa"/>
            <w:tcBorders/>
            <w:shd w:fill="auto" w:val="clear"/>
            <w:vAlign w:val="center"/>
          </w:tcPr>
          <w:p>
            <w:pPr>
              <w:pStyle w:val="TableContents"/>
              <w:spacing w:before="0" w:after="1"/>
              <w:ind w:left="0" w:right="0" w:hanging="0"/>
              <w:jc w:val="center"/>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2020, effect of Merger (Note 4)</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2,414,303</w:t>
            </w:r>
          </w:p>
        </w:tc>
        <w:tc>
          <w:tcPr>
            <w:tcW w:w="109"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shd w:fill="CCEEFF" w:val="clear"/>
            <w:vAlign w:val="center"/>
          </w:tcPr>
          <w:p>
            <w:pPr>
              <w:pStyle w:val="TableContents"/>
              <w:spacing w:before="0" w:after="1"/>
              <w:ind w:left="0" w:right="0" w:hanging="0"/>
              <w:jc w:val="center"/>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53,660</w:t>
            </w:r>
          </w:p>
        </w:tc>
      </w:tr>
      <w:tr>
        <w:trPr/>
        <w:tc>
          <w:tcPr>
            <w:tcW w:w="52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Options granted</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892,224</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c>
          <w:tcPr>
            <w:tcW w:w="109" w:type="dxa"/>
            <w:tcBorders/>
            <w:shd w:fill="auto" w:val="clear"/>
            <w:vAlign w:val="center"/>
          </w:tcPr>
          <w:p>
            <w:pPr>
              <w:pStyle w:val="TableContents"/>
              <w:spacing w:before="0" w:after="1"/>
              <w:ind w:left="0" w:right="0" w:hanging="0"/>
              <w:jc w:val="center"/>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3,825</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(390,187)</w:t>
            </w:r>
          </w:p>
        </w:tc>
        <w:tc>
          <w:tcPr>
            <w:tcW w:w="109"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109" w:type="dxa"/>
            <w:tcBorders/>
            <w:shd w:fill="CCEEFF" w:val="clear"/>
            <w:vAlign w:val="center"/>
          </w:tcPr>
          <w:p>
            <w:pPr>
              <w:pStyle w:val="TableContents"/>
              <w:spacing w:before="0" w:after="1"/>
              <w:ind w:left="0" w:right="0" w:hanging="0"/>
              <w:jc w:val="center"/>
              <w:rPr/>
            </w:pPr>
            <w:r>
              <w:rPr/>
              <w:t>​</w:t>
            </w:r>
          </w:p>
        </w:tc>
        <w:tc>
          <w:tcPr>
            <w:tcW w:w="481"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(7,562)</w:t>
            </w:r>
          </w:p>
        </w:tc>
      </w:tr>
      <w:tr>
        <w:trPr/>
        <w:tc>
          <w:tcPr>
            <w:tcW w:w="52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(516,025)</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109" w:type="dxa"/>
            <w:tcBorders/>
            <w:shd w:fill="auto" w:val="clear"/>
            <w:vAlign w:val="center"/>
          </w:tcPr>
          <w:p>
            <w:pPr>
              <w:pStyle w:val="TableContents"/>
              <w:spacing w:before="0" w:after="1"/>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(3,645)</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2021</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2,400,315</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4,224</w:t>
            </w:r>
          </w:p>
        </w:tc>
      </w:tr>
      <w:tr>
        <w:trPr/>
        <w:tc>
          <w:tcPr>
            <w:tcW w:w="52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Options granted</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1,844,640</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(742,736)</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109" w:type="dxa"/>
            <w:tcBorders/>
            <w:shd w:fill="CCEEFF" w:val="clear"/>
            <w:vAlign w:val="center"/>
          </w:tcPr>
          <w:p>
            <w:pPr>
              <w:pStyle w:val="TableContents"/>
              <w:spacing w:before="0" w:after="1"/>
              <w:ind w:left="0" w:right="0" w:hanging="0"/>
              <w:jc w:val="right"/>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736" w:type="dxa"/>
            <w:tcBorders/>
            <w:shd w:fill="CCEEFF" w:val="clear"/>
            <w:vAlign w:val="center"/>
          </w:tcPr>
          <w:p>
            <w:pPr>
              <w:pStyle w:val="TableContents"/>
              <w:spacing w:before="0" w:after="1"/>
              <w:ind w:left="0" w:right="0" w:hanging="0"/>
              <w:jc w:val="right"/>
              <w:rPr/>
            </w:pPr>
            <w:r>
              <w:rPr/>
              <w:t>—</w:t>
            </w:r>
          </w:p>
        </w:tc>
      </w:tr>
      <w:tr>
        <w:trPr/>
        <w:tc>
          <w:tcPr>
            <w:tcW w:w="52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(903,765)</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(5.79)</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(49,605)</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shd w:fill="CCEEFF" w:val="clear"/>
            <w:vAlign w:val="center"/>
          </w:tcPr>
          <w:p>
            <w:pPr>
              <w:pStyle w:val="TableContents"/>
              <w:spacing w:before="0" w:after="1"/>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2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shd w:fill="auto" w:val="clear"/>
            <w:vAlign w:val="center"/>
          </w:tcPr>
          <w:p>
            <w:pPr>
              <w:pStyle w:val="TableContents"/>
              <w:spacing w:before="0" w:after="1"/>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2,549</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Options vested and exercisable as of December 31, 2022</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863,746</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109" w:type="dxa"/>
            <w:tcBorders/>
            <w:shd w:fill="CCEEFF" w:val="clear"/>
            <w:vAlign w:val="center"/>
          </w:tcPr>
          <w:p>
            <w:pPr>
              <w:pStyle w:val="TableContents"/>
              <w:spacing w:before="0" w:after="1"/>
              <w:ind w:left="0" w:right="0" w:hanging="0"/>
              <w:rPr/>
            </w:pPr>
            <w:r>
              <w:rPr/>
              <w:t>​</w:t>
            </w:r>
          </w:p>
        </w:tc>
        <w:tc>
          <w:tcPr>
            <w:tcW w:w="4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525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48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grant date fair value per share for employee stock and non-employee option grants during the years ended December 31, 2022 and 2021, were $1.12 and $16.57 respectively. At December 31, 2022, the total unrecognized compensation related to unvested employee and non-employee stock option awards granted, was $2.2 million, of which the Company expects to recognize over a weighted-average period of approximately 1.6 years.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recognition of stock-based compensation for the following periods (in thousands):</w:t>
      </w:r>
    </w:p>
    <w:tbl>
      <w:tblPr>
        <w:tblW w:w="5550" w:type="dxa"/>
        <w:jc w:val="left"/>
        <w:tblInd w:w="0" w:type="dxa"/>
        <w:tblCellMar>
          <w:top w:w="0" w:type="dxa"/>
          <w:left w:w="0" w:type="dxa"/>
          <w:bottom w:w="0" w:type="dxa"/>
          <w:right w:w="0" w:type="dxa"/>
        </w:tblCellMar>
      </w:tblPr>
      <w:tblGrid>
        <w:gridCol w:w="3451"/>
        <w:gridCol w:w="221"/>
        <w:gridCol w:w="598"/>
        <w:gridCol w:w="341"/>
        <w:gridCol w:w="221"/>
        <w:gridCol w:w="718"/>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1385" cy="175260"/>
                      <wp:effectExtent l="0" t="0" r="0" b="0"/>
                      <wp:wrapNone/>
                      <wp:docPr id="170" name="Frame159"/>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0335" cy="175260"/>
                      <wp:effectExtent l="0" t="0" r="0" b="0"/>
                      <wp:wrapNone/>
                      <wp:docPr id="171" name="Frame160"/>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79730" cy="175260"/>
                      <wp:effectExtent l="0" t="0" r="0" b="0"/>
                      <wp:wrapNone/>
                      <wp:docPr id="172" name="Frame161"/>
                      <a:graphic xmlns:a="http://schemas.openxmlformats.org/drawingml/2006/main">
                        <a:graphicData uri="http://schemas.microsoft.com/office/word/2010/wordprocessingShape">
                          <wps:wsp>
                            <wps:cNvSpPr txBox="1"/>
                            <wps:spPr>
                              <a:xfrm>
                                <a:off x="0" y="0"/>
                                <a:ext cx="3797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6535" cy="175260"/>
                      <wp:effectExtent l="0" t="0" r="0" b="0"/>
                      <wp:wrapNone/>
                      <wp:docPr id="173" name="Frame162"/>
                      <a:graphic xmlns:a="http://schemas.openxmlformats.org/drawingml/2006/main">
                        <a:graphicData uri="http://schemas.microsoft.com/office/word/2010/wordprocessingShape">
                          <wps:wsp>
                            <wps:cNvSpPr txBox="1"/>
                            <wps:spPr>
                              <a:xfrm>
                                <a:off x="0" y="0"/>
                                <a:ext cx="216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40335" cy="175260"/>
                      <wp:effectExtent l="0" t="0" r="0" b="0"/>
                      <wp:wrapNone/>
                      <wp:docPr id="174" name="Frame163"/>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55930" cy="175260"/>
                      <wp:effectExtent l="0" t="0" r="0" b="0"/>
                      <wp:wrapNone/>
                      <wp:docPr id="175" name="Frame164"/>
                      <a:graphic xmlns:a="http://schemas.openxmlformats.org/drawingml/2006/main">
                        <a:graphicData uri="http://schemas.microsoft.com/office/word/2010/wordprocessingShape">
                          <wps:wsp>
                            <wps:cNvSpPr txBox="1"/>
                            <wps:spPr>
                              <a:xfrm>
                                <a:off x="0" y="0"/>
                                <a:ext cx="4559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1"/>
              <w:ind w:left="0" w:right="0" w:hanging="0"/>
              <w:rPr/>
            </w:pPr>
            <w:r>
              <w:rPr/>
              <w:t>​</w:t>
            </w:r>
          </w:p>
        </w:tc>
        <w:tc>
          <w:tcPr>
            <w:tcW w:w="209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451" w:type="dxa"/>
            <w:tcBorders/>
            <w:shd w:fill="auto" w:val="clear"/>
            <w:vAlign w:val="center"/>
          </w:tcPr>
          <w:p>
            <w:pPr>
              <w:pStyle w:val="TableContents"/>
              <w:spacing w:before="0" w:after="1"/>
              <w:ind w:left="0" w:right="0" w:hanging="0"/>
              <w:rPr/>
            </w:pPr>
            <w:r>
              <w:rPr/>
              <w:t>​</w:t>
            </w:r>
          </w:p>
        </w:tc>
        <w:tc>
          <w:tcPr>
            <w:tcW w:w="81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1" w:type="dxa"/>
            <w:tcBorders/>
            <w:shd w:fill="auto" w:val="clear"/>
            <w:vAlign w:val="center"/>
          </w:tcPr>
          <w:p>
            <w:pPr>
              <w:pStyle w:val="TableContents"/>
              <w:spacing w:before="0" w:after="1"/>
              <w:ind w:left="0" w:right="0" w:hanging="0"/>
              <w:rPr/>
            </w:pPr>
            <w:r>
              <w:rPr/>
              <w:t>    </w:t>
            </w:r>
          </w:p>
        </w:tc>
        <w:tc>
          <w:tcPr>
            <w:tcW w:w="93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4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221" w:type="dxa"/>
            <w:tcBorders/>
            <w:shd w:fill="CCEEFF" w:val="clear"/>
            <w:vAlign w:val="center"/>
          </w:tcPr>
          <w:p>
            <w:pPr>
              <w:pStyle w:val="TableContents"/>
              <w:spacing w:before="0" w:after="1"/>
              <w:ind w:left="0" w:right="0" w:hanging="0"/>
              <w:rPr/>
            </w:pPr>
            <w:r>
              <w:rPr/>
              <w:t>​</w:t>
            </w:r>
          </w:p>
        </w:tc>
        <w:tc>
          <w:tcPr>
            <w:tcW w:w="598" w:type="dxa"/>
            <w:tcBorders/>
            <w:shd w:fill="CCEEFF" w:val="clear"/>
            <w:vAlign w:val="center"/>
          </w:tcPr>
          <w:p>
            <w:pPr>
              <w:pStyle w:val="TableContents"/>
              <w:spacing w:before="0" w:after="1"/>
              <w:ind w:left="0" w:right="0" w:hanging="0"/>
              <w:jc w:val="right"/>
              <w:rPr/>
            </w:pPr>
            <w:r>
              <w:rPr/>
              <w:t>  </w:t>
            </w:r>
          </w:p>
        </w:tc>
        <w:tc>
          <w:tcPr>
            <w:tcW w:w="341" w:type="dxa"/>
            <w:tcBorders/>
            <w:shd w:fill="CCEEFF" w:val="clear"/>
            <w:vAlign w:val="center"/>
          </w:tcPr>
          <w:p>
            <w:pPr>
              <w:pStyle w:val="TableContents"/>
              <w:spacing w:before="0" w:after="1"/>
              <w:ind w:left="0" w:right="0" w:hanging="0"/>
              <w:rPr/>
            </w:pPr>
            <w:r>
              <w:rPr/>
              <w:t> </w:t>
            </w:r>
          </w:p>
        </w:tc>
        <w:tc>
          <w:tcPr>
            <w:tcW w:w="221" w:type="dxa"/>
            <w:tcBorders/>
            <w:shd w:fill="CCEEFF" w:val="clear"/>
            <w:vAlign w:val="center"/>
          </w:tcPr>
          <w:p>
            <w:pPr>
              <w:pStyle w:val="TableContents"/>
              <w:spacing w:before="0" w:after="1"/>
              <w:ind w:left="0" w:right="0" w:hanging="0"/>
              <w:rPr/>
            </w:pPr>
            <w:r>
              <w:rPr/>
              <w:t>​</w:t>
            </w:r>
          </w:p>
        </w:tc>
        <w:tc>
          <w:tcPr>
            <w:tcW w:w="718" w:type="dxa"/>
            <w:tcBorders/>
            <w:shd w:fill="CCEEFF" w:val="clear"/>
            <w:vAlign w:val="center"/>
          </w:tcPr>
          <w:p>
            <w:pPr>
              <w:pStyle w:val="TableContents"/>
              <w:spacing w:before="0" w:after="1"/>
              <w:ind w:left="0" w:right="0" w:hanging="0"/>
              <w:jc w:val="right"/>
              <w:rPr/>
            </w:pPr>
            <w:r>
              <w:rPr/>
              <w:t>  </w:t>
            </w:r>
          </w:p>
        </w:tc>
      </w:tr>
      <w:tr>
        <w:trPr/>
        <w:tc>
          <w:tcPr>
            <w:tcW w:w="34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3,002</w:t>
            </w:r>
          </w:p>
        </w:tc>
        <w:tc>
          <w:tcPr>
            <w:tcW w:w="341"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6,500</w:t>
            </w:r>
          </w:p>
        </w:tc>
      </w:tr>
      <w:tr>
        <w:trPr/>
        <w:tc>
          <w:tcPr>
            <w:tcW w:w="34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221" w:type="dxa"/>
            <w:tcBorders/>
            <w:shd w:fill="CCEEFF" w:val="clear"/>
            <w:vAlign w:val="center"/>
          </w:tcPr>
          <w:p>
            <w:pPr>
              <w:pStyle w:val="TableContents"/>
              <w:spacing w:before="0" w:after="1"/>
              <w:ind w:left="0" w:right="0" w:hanging="0"/>
              <w:rPr/>
            </w:pPr>
            <w:r>
              <w:rPr/>
              <w:t> </w:t>
            </w:r>
          </w:p>
        </w:tc>
        <w:tc>
          <w:tcPr>
            <w:tcW w:w="5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41"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34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2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59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3,628</w:t>
            </w:r>
          </w:p>
        </w:tc>
        <w:tc>
          <w:tcPr>
            <w:tcW w:w="341"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718"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b/>
                <w:sz w:val="20"/>
              </w:rPr>
            </w:pPr>
            <w:r>
              <w:rPr>
                <w:rFonts w:ascii="Times New Roman;Times;serif" w:hAnsi="Times New Roman;Times;serif"/>
                <w:b/>
                <w:sz w:val="20"/>
              </w:rPr>
              <w:t>7,785</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Stock Awards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Restricted Stock Activity:</w:t>
      </w:r>
    </w:p>
    <w:p>
      <w:pPr>
        <w:pStyle w:val="TextBody"/>
        <w:spacing w:before="0" w:after="0"/>
        <w:ind w:left="0" w:right="0" w:hanging="0"/>
        <w:rPr/>
      </w:pPr>
      <w:r>
        <w:rPr/>
        <w:t>​</w:t>
      </w:r>
    </w:p>
    <w:tbl>
      <w:tblPr>
        <w:tblW w:w="8456" w:type="dxa"/>
        <w:jc w:val="left"/>
        <w:tblInd w:w="0" w:type="dxa"/>
        <w:tblCellMar>
          <w:top w:w="0" w:type="dxa"/>
          <w:left w:w="0" w:type="dxa"/>
          <w:bottom w:w="0" w:type="dxa"/>
          <w:right w:w="0" w:type="dxa"/>
        </w:tblCellMar>
      </w:tblPr>
      <w:tblGrid>
        <w:gridCol w:w="3631"/>
        <w:gridCol w:w="109"/>
        <w:gridCol w:w="931"/>
        <w:gridCol w:w="109"/>
        <w:gridCol w:w="3676"/>
      </w:tblGrid>
      <w:tr>
        <w:trPr/>
        <w:tc>
          <w:tcPr>
            <w:tcW w:w="3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305685" cy="175260"/>
                      <wp:effectExtent l="0" t="0" r="0" b="0"/>
                      <wp:wrapNone/>
                      <wp:docPr id="176" name="Frame165"/>
                      <a:graphic xmlns:a="http://schemas.openxmlformats.org/drawingml/2006/main">
                        <a:graphicData uri="http://schemas.microsoft.com/office/word/2010/wordprocessingShape">
                          <wps:wsp>
                            <wps:cNvSpPr txBox="1"/>
                            <wps:spPr>
                              <a:xfrm>
                                <a:off x="0" y="0"/>
                                <a:ext cx="2305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91185" cy="175260"/>
                      <wp:effectExtent l="0" t="0" r="0" b="0"/>
                      <wp:wrapNone/>
                      <wp:docPr id="178" name="Frame16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334260" cy="175260"/>
                      <wp:effectExtent l="0" t="0" r="0" b="0"/>
                      <wp:wrapNone/>
                      <wp:docPr id="180" name="Frame169"/>
                      <a:graphic xmlns:a="http://schemas.openxmlformats.org/drawingml/2006/main">
                        <a:graphicData uri="http://schemas.microsoft.com/office/word/2010/wordprocessingShape">
                          <wps:wsp>
                            <wps:cNvSpPr txBox="1"/>
                            <wps:spPr>
                              <a:xfrm>
                                <a:off x="0" y="0"/>
                                <a:ext cx="2334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31" w:type="dxa"/>
            <w:tcBorders/>
            <w:shd w:fill="FFFFFF" w:val="clear"/>
            <w:vAlign w:val="center"/>
          </w:tcPr>
          <w:p>
            <w:pPr>
              <w:pStyle w:val="TableContents"/>
              <w:spacing w:before="0" w:after="1"/>
              <w:ind w:left="0" w:right="0" w:hanging="0"/>
              <w:rPr/>
            </w:pPr>
            <w:r>
              <w:rPr/>
              <w:t>​</w:t>
            </w:r>
          </w:p>
        </w:tc>
        <w:tc>
          <w:tcPr>
            <w:tcW w:w="109" w:type="dxa"/>
            <w:tcBorders/>
            <w:shd w:fill="FFFFFF" w:val="clear"/>
            <w:vAlign w:val="center"/>
          </w:tcPr>
          <w:p>
            <w:pPr>
              <w:pStyle w:val="TableContents"/>
              <w:spacing w:before="0" w:after="1"/>
              <w:ind w:left="0" w:right="0" w:hanging="0"/>
              <w:rPr/>
            </w:pPr>
            <w:r>
              <w:rPr/>
              <w:t>​</w:t>
            </w:r>
          </w:p>
        </w:tc>
        <w:tc>
          <w:tcPr>
            <w:tcW w:w="931" w:type="dxa"/>
            <w:tcBorders>
              <w:bottom w:val="single" w:sz="2" w:space="0" w:color="000000"/>
            </w:tcBorders>
            <w:shd w:fill="FFFFFF"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Awards</w:t>
            </w:r>
          </w:p>
        </w:tc>
        <w:tc>
          <w:tcPr>
            <w:tcW w:w="109" w:type="dxa"/>
            <w:tcBorders/>
            <w:shd w:fill="FFFFFF" w:val="clear"/>
            <w:vAlign w:val="center"/>
          </w:tcPr>
          <w:p>
            <w:pPr>
              <w:pStyle w:val="TableContents"/>
              <w:spacing w:before="0" w:after="1"/>
              <w:ind w:left="0" w:right="0" w:hanging="0"/>
              <w:rPr/>
            </w:pPr>
            <w:r>
              <w:rPr/>
              <w:t>​</w:t>
            </w:r>
          </w:p>
        </w:tc>
        <w:tc>
          <w:tcPr>
            <w:tcW w:w="3676" w:type="dxa"/>
            <w:tcBorders>
              <w:bottom w:val="single" w:sz="2" w:space="0" w:color="000000"/>
            </w:tcBorders>
            <w:shd w:fill="FFFFFF"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 Average Grant Date Fair Value</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2021</w:t>
            </w:r>
          </w:p>
        </w:tc>
        <w:tc>
          <w:tcPr>
            <w:tcW w:w="109"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3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6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109"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109" w:type="dxa"/>
            <w:tcBorders/>
            <w:shd w:fill="auto" w:val="clear"/>
            <w:vAlign w:val="center"/>
          </w:tcPr>
          <w:p>
            <w:pPr>
              <w:pStyle w:val="TableContents"/>
              <w:spacing w:before="0" w:after="1"/>
              <w:ind w:left="0" w:right="0" w:hanging="0"/>
              <w:rPr/>
            </w:pPr>
            <w:r>
              <w:rPr/>
              <w:t>​</w:t>
            </w:r>
          </w:p>
        </w:tc>
        <w:tc>
          <w:tcPr>
            <w:tcW w:w="3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$ 0.57</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Balance as of December 31, 2022</w:t>
            </w:r>
          </w:p>
        </w:tc>
        <w:tc>
          <w:tcPr>
            <w:tcW w:w="109"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109" w:type="dxa"/>
            <w:tcBorders/>
            <w:shd w:fill="CCEEFF" w:val="clear"/>
            <w:vAlign w:val="center"/>
          </w:tcPr>
          <w:p>
            <w:pPr>
              <w:pStyle w:val="TableContents"/>
              <w:spacing w:before="0" w:after="1"/>
              <w:ind w:left="0" w:right="0" w:hanging="0"/>
              <w:rPr/>
            </w:pPr>
            <w:r>
              <w:rPr/>
              <w:t>​</w:t>
            </w:r>
          </w:p>
        </w:tc>
        <w:tc>
          <w:tcPr>
            <w:tcW w:w="3676"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$ 0.57</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12, 2022, the Board granted an award of 1,000,000 restricted shares of the Company (“Restricted Stock”) as an inducement to the newly appointed CEO, pursuant to a separate Restricted Stock Award Agreement (the “RSA”). The Restricted Stock will vest in approximately equal installments over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(3) years from the grant date, subject to continued service through the applicable vesting date.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of December 31, 2022, total unrecognized compensation expense related to unvested RSAs granted was approximately $0.5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which is expected to be recognized over a weighted-average period of approximately 2.5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years.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Stock-based compensation expense related to RSAs was less than $0.1 million during the year ended December 31, 2022.</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71" w:name="Tc_-fdNuFBqm06pXetcbNiY2A_9_2"/>
      <w:bookmarkStart w:id="872" w:name="Tc_sCwlvdjjG06A3Wjm4b1Seg_9_0"/>
      <w:bookmarkStart w:id="873" w:name="Tc_eC-dhqb-3ECjxIx-sFXUkw_8_2"/>
      <w:bookmarkStart w:id="874" w:name="Tc_egvnPhtlwkCArA0c9PkosQ_8_0"/>
      <w:bookmarkStart w:id="875" w:name="Tc_HYMpY9wYwk2iUAsfymn7Sw_6_2"/>
      <w:bookmarkStart w:id="876" w:name="Tc_l2EG9u-dcESRzatBlpQ4sQ_6_0"/>
      <w:bookmarkStart w:id="877" w:name="Tc_9nGuzyci-0i-D1o4UI5tYQ_5_0"/>
      <w:bookmarkStart w:id="878" w:name="Tc_8i-_PjTcMUesV5XA2nNbsg_4_0"/>
      <w:bookmarkStart w:id="879" w:name="Tc_hRcg2-_4Fkag6K5tFJz46w_3_0"/>
      <w:bookmarkStart w:id="880" w:name="Tc_D4gFSMb23kSVKTQQQglT_Q_2_2"/>
      <w:bookmarkStart w:id="881" w:name="Tc_qcaNsJuJgkC8SiD0HRCjUw_2_0"/>
      <w:bookmarkStart w:id="882" w:name="Tc_P0-LZNjkHkSt22KCt28ing_1_2"/>
      <w:bookmarkStart w:id="883" w:name="Tc_2KlT7GZH-kOhTuXx5R6FXg_10_7"/>
      <w:bookmarkStart w:id="884" w:name="Tc_fAMt7trWDkapbwexDCSk-w_10_4"/>
      <w:bookmarkStart w:id="885" w:name="Tc_r1Bt6FJmYEm3Kso-wg9DKQ_10_2"/>
      <w:bookmarkStart w:id="886" w:name="Tc_vnPRQIYet0qxXNI2VdKnAw_10_0"/>
      <w:bookmarkStart w:id="887" w:name="Tc_85e_5nXHqEq9E5dh9hZusw_9_7"/>
      <w:bookmarkStart w:id="888" w:name="Tc_LZiRm0fMsE-qR42Dg6tJiw_9_5"/>
      <w:bookmarkStart w:id="889" w:name="Tc_D-ez2GISO0CNQXrV56pK7A_9_4"/>
      <w:bookmarkStart w:id="890" w:name="Tc_rRE8pHz8J0SJid6B3_8yPA_9_2"/>
      <w:bookmarkStart w:id="891" w:name="Tc_jDk9-kcK4EaLlMjURDYTJg_9_0"/>
      <w:bookmarkStart w:id="892" w:name="Tc_8StOjTkEb0-Q0dj7xuDMEQ_8_7"/>
      <w:bookmarkStart w:id="893" w:name="Tc_UDAviw23L0iCKqiFw1c1qg_8_4"/>
      <w:bookmarkStart w:id="894" w:name="Tc_sN02XDvUrEmtM8sC9Mmr0w_8_2"/>
      <w:bookmarkStart w:id="895" w:name="Tc_hkJ_LaPxS0GHCOrG0-FbsQ_8_0"/>
      <w:bookmarkStart w:id="896" w:name="Tc_ZF_k_y-zQEabI0PThhO8xA_7_0"/>
      <w:bookmarkStart w:id="897" w:name="Tc_LaAbJo8eGk-cNvO-UszK3A_5_7"/>
      <w:bookmarkStart w:id="898" w:name="Tc_nNoAP-WH8keUliWPRCb1cQ_5_4"/>
      <w:bookmarkStart w:id="899" w:name="Tc_5WlzObPd9EKz-M2gVZuw4g_5_2"/>
      <w:bookmarkStart w:id="900" w:name="Tc_xI_-mwlx8EuJnJ50fB860A_5_0"/>
      <w:bookmarkStart w:id="901" w:name="Tc_alpddJrJO0mvCsfN1_Mtcg_4_0"/>
      <w:bookmarkStart w:id="902" w:name="Tc_WFazOATz2k2dSQXHk7xWrg_2_7"/>
      <w:bookmarkStart w:id="903" w:name="Tc_INQRKRXhhkK0FBs4EBVf5Q_2_4"/>
      <w:bookmarkStart w:id="904" w:name="Tc_UFwNTUVI9U-rv-vx2OsArw_2_2"/>
      <w:bookmarkStart w:id="905" w:name="Tc_vVDiOwvUbkSX0Wp2I4LZyA_2_0"/>
      <w:bookmarkStart w:id="906" w:name="Tc_8qTdyk1-8E6jf7M8SCqMWA_1_7"/>
      <w:bookmarkStart w:id="907" w:name="Tc_RdS2qBxYq0usTD-GOL5QjQ_1_4"/>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imes New Roman;Times;serif" w:hAnsi="Times New Roman;Times;serif"/>
          <w:b/>
          <w:sz w:val="20"/>
        </w:rPr>
        <w:t>11. Fair Value Measurements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Fair value measurements discussed herein are based upon certain market assumptions and pertinent information available to management as of and during the years ended December 31, 2022 and 2021. The carrying amount of accounts payable approximated fair value as they are short term in nature. The fair value of warrants issued for settlement and services are estimated based on the Black-Scholes model during the years ended December 31, 2022 and 2021. The estimated fair value of our long-term debt approximates its carrying value, as the interest rate is in line with the market interest rates for this type of debt (see Note 7 – Debt for additional information). The carrying value of notes payable approximated the estimated fair values due to their recent issuances. The fair value of the convertible note payable was estimated utilizing a Monte Carlo simulation during the year ended December 31,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on a Recurring Basis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Earnout Cash contingent consideration represent Level 3 measurements. The following table presents information about the Company’s assets and liabilities that are measured at fair value on a recurring basis at December 31, 2022 and 2021, and indicates the fair value hierarchy of the valuation inputs the Company utilized to determine such fair value (in thousands):</w:t>
      </w:r>
    </w:p>
    <w:p>
      <w:pPr>
        <w:pStyle w:val="TextBody"/>
        <w:spacing w:before="0" w:after="0"/>
        <w:ind w:left="0" w:right="0" w:hanging="0"/>
        <w:rPr/>
      </w:pPr>
      <w:r>
        <w:rPr/>
        <w:t>​</w:t>
      </w:r>
    </w:p>
    <w:tbl>
      <w:tblPr>
        <w:tblW w:w="6300" w:type="dxa"/>
        <w:jc w:val="left"/>
        <w:tblInd w:w="0" w:type="dxa"/>
        <w:tblCellMar>
          <w:top w:w="0" w:type="dxa"/>
          <w:left w:w="0" w:type="dxa"/>
          <w:bottom w:w="0" w:type="dxa"/>
          <w:right w:w="0" w:type="dxa"/>
        </w:tblCellMar>
      </w:tblPr>
      <w:tblGrid>
        <w:gridCol w:w="2896"/>
        <w:gridCol w:w="326"/>
        <w:gridCol w:w="496"/>
        <w:gridCol w:w="326"/>
        <w:gridCol w:w="250"/>
        <w:gridCol w:w="801"/>
        <w:gridCol w:w="109"/>
        <w:gridCol w:w="279"/>
        <w:gridCol w:w="817"/>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38960" cy="175260"/>
                      <wp:effectExtent l="0" t="0" r="0" b="0"/>
                      <wp:wrapNone/>
                      <wp:docPr id="181" name="Frame170"/>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14960" cy="175260"/>
                      <wp:effectExtent l="0" t="0" r="0" b="0"/>
                      <wp:wrapNone/>
                      <wp:docPr id="183" name="Frame172"/>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8750" cy="175260"/>
                      <wp:effectExtent l="0" t="0" r="0" b="0"/>
                      <wp:wrapNone/>
                      <wp:docPr id="185" name="Frame174"/>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08635" cy="175260"/>
                      <wp:effectExtent l="0" t="0" r="0" b="0"/>
                      <wp:wrapNone/>
                      <wp:docPr id="186" name="Frame175"/>
                      <a:graphic xmlns:a="http://schemas.openxmlformats.org/drawingml/2006/main">
                        <a:graphicData uri="http://schemas.microsoft.com/office/word/2010/wordprocessingShape">
                          <wps:wsp>
                            <wps:cNvSpPr txBox="1"/>
                            <wps:spPr>
                              <a:xfrm>
                                <a:off x="0" y="0"/>
                                <a:ext cx="508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7165" cy="175260"/>
                      <wp:effectExtent l="0" t="0" r="0" b="0"/>
                      <wp:wrapNone/>
                      <wp:docPr id="188" name="Frame177"/>
                      <a:graphic xmlns:a="http://schemas.openxmlformats.org/drawingml/2006/main">
                        <a:graphicData uri="http://schemas.microsoft.com/office/word/2010/wordprocessingShape">
                          <wps:wsp>
                            <wps:cNvSpPr txBox="1"/>
                            <wps:spPr>
                              <a:xfrm>
                                <a:off x="0" y="0"/>
                                <a:ext cx="177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18795" cy="175260"/>
                      <wp:effectExtent l="0" t="0" r="0" b="0"/>
                      <wp:wrapNone/>
                      <wp:docPr id="189" name="Frame178"/>
                      <a:graphic xmlns:a="http://schemas.openxmlformats.org/drawingml/2006/main">
                        <a:graphicData uri="http://schemas.microsoft.com/office/word/2010/wordprocessingShape">
                          <wps:wsp>
                            <wps:cNvSpPr txBox="1"/>
                            <wps:spPr>
                              <a:xfrm>
                                <a:off x="0" y="0"/>
                                <a:ext cx="5187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09" w:type="dxa"/>
            <w:tcBorders/>
            <w:shd w:fill="auto" w:val="clear"/>
            <w:vAlign w:val="center"/>
          </w:tcPr>
          <w:p>
            <w:pPr>
              <w:pStyle w:val="TableContents"/>
              <w:spacing w:before="0" w:after="1"/>
              <w:ind w:left="0" w:right="0" w:hanging="0"/>
              <w:jc w:val="center"/>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89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1"/>
              <w:ind w:left="0" w:right="0" w:hanging="0"/>
              <w:jc w:val="center"/>
              <w:rPr/>
            </w:pPr>
            <w:r>
              <w:rPr/>
              <w:t>    </w:t>
            </w:r>
          </w:p>
        </w:tc>
        <w:tc>
          <w:tcPr>
            <w:tcW w:w="4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shd w:fill="auto" w:val="clear"/>
            <w:vAlign w:val="center"/>
          </w:tcPr>
          <w:p>
            <w:pPr>
              <w:pStyle w:val="TableContents"/>
              <w:spacing w:before="0" w:after="1"/>
              <w:ind w:left="0" w:right="0" w:hanging="0"/>
              <w:jc w:val="center"/>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1"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79" w:type="dxa"/>
            <w:tcBorders/>
            <w:shd w:fill="auto" w:val="clear"/>
            <w:vAlign w:val="center"/>
          </w:tcPr>
          <w:p>
            <w:pPr>
              <w:pStyle w:val="TableContents"/>
              <w:spacing w:before="0" w:after="1"/>
              <w:ind w:left="0" w:right="0" w:hanging="0"/>
              <w:jc w:val="center"/>
              <w:rPr/>
            </w:pPr>
            <w:r>
              <w:rPr/>
              <w:t>​</w:t>
            </w:r>
          </w:p>
        </w:tc>
        <w:tc>
          <w:tcPr>
            <w:tcW w:w="817" w:type="dxa"/>
            <w:tcBorders/>
            <w:shd w:fill="auto" w:val="clear"/>
            <w:vAlign w:val="center"/>
          </w:tcPr>
          <w:p>
            <w:pPr>
              <w:pStyle w:val="TableContents"/>
              <w:spacing w:before="0" w:after="1"/>
              <w:ind w:left="0" w:right="0" w:hanging="0"/>
              <w:jc w:val="right"/>
              <w:rPr/>
            </w:pPr>
            <w:r>
              <w:rPr/>
              <w:t>​</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1"/>
              <w:ind w:left="0" w:right="0" w:hanging="0"/>
              <w:jc w:val="center"/>
              <w:rPr/>
            </w:pPr>
            <w:r>
              <w:rPr/>
              <w:t>​</w:t>
            </w:r>
          </w:p>
        </w:tc>
        <w:tc>
          <w:tcPr>
            <w:tcW w:w="49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50" w:type="dxa"/>
            <w:tcBorders/>
            <w:shd w:fill="CCEEFF" w:val="clear"/>
            <w:vAlign w:val="center"/>
          </w:tcPr>
          <w:p>
            <w:pPr>
              <w:pStyle w:val="TableContents"/>
              <w:spacing w:before="0" w:after="1"/>
              <w:ind w:left="0" w:right="0" w:hanging="0"/>
              <w:jc w:val="center"/>
              <w:rPr/>
            </w:pPr>
            <w:r>
              <w:rPr/>
              <w:t>​</w:t>
            </w:r>
          </w:p>
        </w:tc>
        <w:tc>
          <w:tcPr>
            <w:tcW w:w="80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jc w:val="center"/>
              <w:rPr/>
            </w:pPr>
            <w:r>
              <w:rPr/>
              <w:t>​</w:t>
            </w:r>
          </w:p>
        </w:tc>
        <w:tc>
          <w:tcPr>
            <w:tcW w:w="279" w:type="dxa"/>
            <w:tcBorders/>
            <w:shd w:fill="CCEEFF" w:val="clear"/>
            <w:vAlign w:val="center"/>
          </w:tcPr>
          <w:p>
            <w:pPr>
              <w:pStyle w:val="TableContents"/>
              <w:spacing w:before="0" w:after="1"/>
              <w:ind w:left="0" w:right="0" w:hanging="0"/>
              <w:jc w:val="center"/>
              <w:rPr/>
            </w:pPr>
            <w:r>
              <w:rPr/>
              <w:t>​</w:t>
            </w:r>
          </w:p>
        </w:tc>
        <w:tc>
          <w:tcPr>
            <w:tcW w:w="817" w:type="dxa"/>
            <w:tcBorders/>
            <w:shd w:fill="CCEEFF" w:val="clear"/>
            <w:vAlign w:val="center"/>
          </w:tcPr>
          <w:p>
            <w:pPr>
              <w:pStyle w:val="TableContents"/>
              <w:spacing w:before="0" w:after="1"/>
              <w:ind w:left="0" w:right="0" w:hanging="0"/>
              <w:jc w:val="right"/>
              <w:rPr/>
            </w:pPr>
            <w:r>
              <w:rPr/>
              <w:t>​</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Account</w:t>
            </w:r>
          </w:p>
        </w:tc>
        <w:tc>
          <w:tcPr>
            <w:tcW w:w="326" w:type="dxa"/>
            <w:tcBorders/>
            <w:shd w:fill="auto" w:val="clear"/>
            <w:vAlign w:val="center"/>
          </w:tcPr>
          <w:p>
            <w:pPr>
              <w:pStyle w:val="TableContents"/>
              <w:spacing w:before="0" w:after="1"/>
              <w:ind w:left="0" w:right="0" w:hanging="0"/>
              <w:jc w:val="center"/>
              <w:rPr/>
            </w:pPr>
            <w:r>
              <w:rPr/>
              <w:t>​</w:t>
            </w:r>
          </w:p>
        </w:tc>
        <w:tc>
          <w:tcPr>
            <w:tcW w:w="4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jc w:val="center"/>
              <w:rPr/>
            </w:pPr>
            <w:r>
              <w:rPr/>
              <w:t>​</w:t>
            </w:r>
          </w:p>
        </w:tc>
        <w:tc>
          <w:tcPr>
            <w:tcW w:w="250"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15,249</w:t>
            </w:r>
          </w:p>
        </w:tc>
        <w:tc>
          <w:tcPr>
            <w:tcW w:w="109"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7" w:type="dxa"/>
            <w:tcBorders/>
            <w:shd w:fill="auto" w:val="clear"/>
            <w:vAlign w:val="center"/>
          </w:tcPr>
          <w:p>
            <w:pPr>
              <w:pStyle w:val="TableContents"/>
              <w:spacing w:before="0" w:after="1"/>
              <w:ind w:left="0" w:right="0" w:hanging="0"/>
              <w:jc w:val="right"/>
              <w:rPr/>
            </w:pPr>
            <w:r>
              <w:rPr/>
              <w:t>—</w:t>
            </w:r>
          </w:p>
        </w:tc>
      </w:tr>
      <w:tr>
        <w:trPr/>
        <w:tc>
          <w:tcPr>
            <w:tcW w:w="28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49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50" w:type="dxa"/>
            <w:tcBorders/>
            <w:shd w:fill="CCEEFF" w:val="clear"/>
            <w:vAlign w:val="center"/>
          </w:tcPr>
          <w:p>
            <w:pPr>
              <w:pStyle w:val="TableContents"/>
              <w:spacing w:before="0" w:after="1"/>
              <w:ind w:left="0" w:right="0" w:hanging="0"/>
              <w:jc w:val="center"/>
              <w:rPr/>
            </w:pPr>
            <w:r>
              <w:rPr/>
              <w:t>​</w:t>
            </w:r>
          </w:p>
        </w:tc>
        <w:tc>
          <w:tcPr>
            <w:tcW w:w="80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jc w:val="center"/>
              <w:rPr/>
            </w:pPr>
            <w:r>
              <w:rPr/>
              <w:t>​</w:t>
            </w:r>
          </w:p>
        </w:tc>
        <w:tc>
          <w:tcPr>
            <w:tcW w:w="279" w:type="dxa"/>
            <w:tcBorders/>
            <w:shd w:fill="CCEEFF" w:val="clear"/>
            <w:vAlign w:val="center"/>
          </w:tcPr>
          <w:p>
            <w:pPr>
              <w:pStyle w:val="TableContents"/>
              <w:spacing w:before="0" w:after="1"/>
              <w:ind w:left="0" w:right="0" w:hanging="0"/>
              <w:jc w:val="center"/>
              <w:rPr/>
            </w:pPr>
            <w:r>
              <w:rPr/>
              <w:t>​</w:t>
            </w:r>
          </w:p>
        </w:tc>
        <w:tc>
          <w:tcPr>
            <w:tcW w:w="817" w:type="dxa"/>
            <w:tcBorders/>
            <w:shd w:fill="CCEEFF" w:val="clear"/>
            <w:vAlign w:val="center"/>
          </w:tcPr>
          <w:p>
            <w:pPr>
              <w:pStyle w:val="TableContents"/>
              <w:spacing w:before="0" w:after="1"/>
              <w:ind w:left="0" w:right="0" w:hanging="0"/>
              <w:jc w:val="right"/>
              <w:rPr/>
            </w:pPr>
            <w:r>
              <w:rPr/>
              <w:t>​</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0" w:type="dxa"/>
            <w:tcBorders/>
            <w:shd w:fill="auto" w:val="clear"/>
            <w:vAlign w:val="center"/>
          </w:tcPr>
          <w:p>
            <w:pPr>
              <w:pStyle w:val="TableContents"/>
              <w:spacing w:before="0" w:after="1"/>
              <w:ind w:left="0" w:right="0" w:hanging="0"/>
              <w:jc w:val="right"/>
              <w:rPr/>
            </w:pPr>
            <w:r>
              <w:rPr/>
              <w:t>​</w:t>
            </w:r>
          </w:p>
        </w:tc>
        <w:tc>
          <w:tcPr>
            <w:tcW w:w="80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79" w:type="dxa"/>
            <w:tcBorders/>
            <w:shd w:fill="auto" w:val="clear"/>
            <w:vAlign w:val="center"/>
          </w:tcPr>
          <w:p>
            <w:pPr>
              <w:pStyle w:val="TableContents"/>
              <w:spacing w:before="0" w:after="1"/>
              <w:ind w:left="0" w:right="0" w:hanging="0"/>
              <w:jc w:val="right"/>
              <w:rPr/>
            </w:pPr>
            <w:r>
              <w:rPr/>
              <w:t>​</w:t>
            </w:r>
          </w:p>
        </w:tc>
        <w:tc>
          <w:tcPr>
            <w:tcW w:w="817" w:type="dxa"/>
            <w:tcBorders/>
            <w:shd w:fill="auto" w:val="clear"/>
            <w:vAlign w:val="center"/>
          </w:tcPr>
          <w:p>
            <w:pPr>
              <w:pStyle w:val="TableContents"/>
              <w:spacing w:before="0" w:after="1"/>
              <w:ind w:left="0" w:right="0" w:hanging="0"/>
              <w:jc w:val="right"/>
              <w:rPr/>
            </w:pPr>
            <w:r>
              <w:rPr/>
              <w:t>​</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Warrant liabilities (Note 10)</w:t>
            </w:r>
          </w:p>
        </w:tc>
        <w:tc>
          <w:tcPr>
            <w:tcW w:w="326" w:type="dxa"/>
            <w:tcBorders/>
            <w:shd w:fill="CCEEFF" w:val="clear"/>
            <w:vAlign w:val="center"/>
          </w:tcPr>
          <w:p>
            <w:pPr>
              <w:pStyle w:val="TableContents"/>
              <w:spacing w:before="0" w:after="1"/>
              <w:ind w:left="0" w:right="0" w:hanging="0"/>
              <w:rPr/>
            </w:pPr>
            <w:r>
              <w:rPr/>
              <w:t>​</w:t>
            </w:r>
          </w:p>
        </w:tc>
        <w:tc>
          <w:tcPr>
            <w:tcW w:w="4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2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Earnout Cash liability (Note 4)</w:t>
            </w:r>
          </w:p>
        </w:tc>
        <w:tc>
          <w:tcPr>
            <w:tcW w:w="3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w:t>
            </w:r>
          </w:p>
        </w:tc>
        <w:tc>
          <w:tcPr>
            <w:tcW w:w="2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7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note payable (Note 7)</w:t>
            </w:r>
          </w:p>
        </w:tc>
        <w:tc>
          <w:tcPr>
            <w:tcW w:w="326" w:type="dxa"/>
            <w:tcBorders/>
            <w:shd w:fill="CCEEFF" w:val="clear"/>
            <w:vAlign w:val="center"/>
          </w:tcPr>
          <w:p>
            <w:pPr>
              <w:pStyle w:val="TableContents"/>
              <w:spacing w:before="0" w:after="1"/>
              <w:ind w:left="0" w:right="0" w:hanging="0"/>
              <w:rPr/>
            </w:pPr>
            <w:r>
              <w:rPr/>
              <w:t> </w:t>
            </w:r>
          </w:p>
        </w:tc>
        <w:tc>
          <w:tcPr>
            <w:tcW w:w="4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2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10,525</w:t>
            </w:r>
          </w:p>
        </w:tc>
        <w:tc>
          <w:tcPr>
            <w:tcW w:w="109" w:type="dxa"/>
            <w:tcBorders/>
            <w:shd w:fill="CCEEFF" w:val="clear"/>
            <w:vAlign w:val="center"/>
          </w:tcPr>
          <w:p>
            <w:pPr>
              <w:pStyle w:val="TableContents"/>
              <w:spacing w:before="0" w:after="1"/>
              <w:ind w:left="0" w:right="0" w:hanging="0"/>
              <w:rPr/>
            </w:pPr>
            <w:r>
              <w:rPr/>
              <w:t>​</w:t>
            </w:r>
          </w:p>
        </w:tc>
        <w:tc>
          <w:tcPr>
            <w:tcW w:w="27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spacing w:before="0" w:after="1"/>
              <w:ind w:left="0" w:right="70" w:hanging="0"/>
              <w:jc w:val="right"/>
              <w:rPr/>
            </w:pPr>
            <w:r>
              <w:rPr/>
              <w:t>—</w:t>
            </w:r>
          </w:p>
        </w:tc>
      </w:tr>
    </w:tbl>
    <w:p>
      <w:pPr>
        <w:pStyle w:val="TextBody"/>
        <w:spacing w:before="0" w:after="240"/>
        <w:ind w:left="0" w:right="0" w:hanging="0"/>
        <w:rPr/>
      </w:pPr>
      <w:r>
        <w:rPr/>
        <w:t>​</w:t>
      </w:r>
    </w:p>
    <w:p>
      <w:pPr>
        <w:pStyle w:val="TextBody"/>
        <w:pBdr/>
        <w:spacing w:before="0" w:after="0"/>
        <w:ind w:left="0" w:right="0" w:hanging="0"/>
        <w:rPr>
          <w:rFonts w:ascii="Times New Roman;Times;serif" w:hAnsi="Times New Roman;Times;serif"/>
          <w:sz w:val="20"/>
        </w:rPr>
      </w:pPr>
      <w:r>
        <w:rPr>
          <w:rFonts w:ascii="Times New Roman;Times;serif" w:hAnsi="Times New Roman;Times;serif"/>
          <w:sz w:val="20"/>
        </w:rPr>
        <w:t>Convertible Note Payable</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the changes in the fair value of the Company’s convertible note payable categorized within Level 3 of the fair value hierarchy:</w:t>
      </w:r>
    </w:p>
    <w:p>
      <w:pPr>
        <w:pStyle w:val="TextBody"/>
        <w:spacing w:before="0" w:after="0"/>
        <w:ind w:left="0" w:right="0" w:hanging="0"/>
        <w:rPr/>
      </w:pPr>
      <w:r>
        <w:rPr/>
        <w:t>​</w:t>
      </w:r>
    </w:p>
    <w:tbl>
      <w:tblPr>
        <w:tblW w:w="5660" w:type="dxa"/>
        <w:jc w:val="left"/>
        <w:tblInd w:w="0" w:type="dxa"/>
        <w:tblCellMar>
          <w:top w:w="0" w:type="dxa"/>
          <w:left w:w="0" w:type="dxa"/>
          <w:bottom w:w="0" w:type="dxa"/>
          <w:right w:w="0" w:type="dxa"/>
        </w:tblCellMar>
      </w:tblPr>
      <w:tblGrid>
        <w:gridCol w:w="4006"/>
        <w:gridCol w:w="109"/>
        <w:gridCol w:w="344"/>
        <w:gridCol w:w="1201"/>
      </w:tblGrid>
      <w:tr>
        <w:trPr/>
        <w:tc>
          <w:tcPr>
            <w:tcW w:w="4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543810" cy="175260"/>
                      <wp:effectExtent l="0" t="0" r="0" b="0"/>
                      <wp:wrapNone/>
                      <wp:docPr id="190" name="Frame179"/>
                      <a:graphic xmlns:a="http://schemas.openxmlformats.org/drawingml/2006/main">
                        <a:graphicData uri="http://schemas.microsoft.com/office/word/2010/wordprocessingShape">
                          <wps:wsp>
                            <wps:cNvSpPr txBox="1"/>
                            <wps:spPr>
                              <a:xfrm>
                                <a:off x="0" y="0"/>
                                <a:ext cx="2543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8440" cy="175260"/>
                      <wp:effectExtent l="0" t="0" r="0" b="0"/>
                      <wp:wrapNone/>
                      <wp:docPr id="192" name="Frame181"/>
                      <a:graphic xmlns:a="http://schemas.openxmlformats.org/drawingml/2006/main">
                        <a:graphicData uri="http://schemas.microsoft.com/office/word/2010/wordprocessingShape">
                          <wps:wsp>
                            <wps:cNvSpPr txBox="1"/>
                            <wps:spPr>
                              <a:xfrm>
                                <a:off x="0" y="0"/>
                                <a:ext cx="218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62635" cy="175260"/>
                      <wp:effectExtent l="0" t="0" r="0" b="0"/>
                      <wp:wrapNone/>
                      <wp:docPr id="193" name="Frame182"/>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5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0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Par value of the Note</w:t>
            </w:r>
          </w:p>
        </w:tc>
        <w:tc>
          <w:tcPr>
            <w:tcW w:w="109" w:type="dxa"/>
            <w:tcBorders/>
            <w:shd w:fill="CCEEFF" w:val="clear"/>
            <w:vAlign w:val="center"/>
          </w:tcPr>
          <w:p>
            <w:pPr>
              <w:pStyle w:val="TableContents"/>
              <w:spacing w:before="0" w:after="1"/>
              <w:ind w:left="0" w:right="0" w:hanging="0"/>
              <w:rPr/>
            </w:pPr>
            <w:r>
              <w:rPr/>
              <w:t>​</w:t>
            </w:r>
          </w:p>
        </w:tc>
        <w:tc>
          <w:tcPr>
            <w:tcW w:w="34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11,020</w:t>
            </w:r>
          </w:p>
        </w:tc>
      </w:tr>
      <w:tr>
        <w:trPr/>
        <w:tc>
          <w:tcPr>
            <w:tcW w:w="40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Debt discount, net</w:t>
            </w:r>
          </w:p>
        </w:tc>
        <w:tc>
          <w:tcPr>
            <w:tcW w:w="109" w:type="dxa"/>
            <w:tcBorders/>
            <w:shd w:fill="auto" w:val="clear"/>
            <w:vAlign w:val="center"/>
          </w:tcPr>
          <w:p>
            <w:pPr>
              <w:pStyle w:val="TableContents"/>
              <w:spacing w:before="0" w:after="1"/>
              <w:ind w:left="0" w:right="0" w:hanging="0"/>
              <w:rPr/>
            </w:pPr>
            <w:r>
              <w:rPr/>
              <w:t>​</w:t>
            </w:r>
          </w:p>
        </w:tc>
        <w:tc>
          <w:tcPr>
            <w:tcW w:w="344" w:type="dxa"/>
            <w:tcBorders/>
            <w:shd w:fill="auto" w:val="clear"/>
            <w:vAlign w:val="center"/>
          </w:tcPr>
          <w:p>
            <w:pPr>
              <w:pStyle w:val="TableContents"/>
              <w:spacing w:before="0" w:after="1"/>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0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Carrying value of the Note</w:t>
            </w:r>
          </w:p>
        </w:tc>
        <w:tc>
          <w:tcPr>
            <w:tcW w:w="109" w:type="dxa"/>
            <w:tcBorders/>
            <w:shd w:fill="CCEEFF" w:val="clear"/>
            <w:vAlign w:val="center"/>
          </w:tcPr>
          <w:p>
            <w:pPr>
              <w:pStyle w:val="TableContents"/>
              <w:spacing w:before="0" w:after="1"/>
              <w:ind w:left="0" w:right="0" w:hanging="0"/>
              <w:rPr/>
            </w:pPr>
            <w:r>
              <w:rPr/>
              <w:t>​</w:t>
            </w:r>
          </w:p>
        </w:tc>
        <w:tc>
          <w:tcPr>
            <w:tcW w:w="344" w:type="dxa"/>
            <w:tcBorders/>
            <w:shd w:fill="CCEEFF" w:val="clear"/>
            <w:vAlign w:val="center"/>
          </w:tcPr>
          <w:p>
            <w:pPr>
              <w:pStyle w:val="TableContents"/>
              <w:spacing w:before="0" w:after="1"/>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10,020</w:t>
            </w:r>
          </w:p>
        </w:tc>
      </w:tr>
      <w:tr>
        <w:trPr/>
        <w:tc>
          <w:tcPr>
            <w:tcW w:w="40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fair value of Note</w:t>
            </w:r>
          </w:p>
        </w:tc>
        <w:tc>
          <w:tcPr>
            <w:tcW w:w="109" w:type="dxa"/>
            <w:tcBorders/>
            <w:shd w:fill="auto" w:val="clear"/>
            <w:vAlign w:val="center"/>
          </w:tcPr>
          <w:p>
            <w:pPr>
              <w:pStyle w:val="TableContents"/>
              <w:spacing w:before="0" w:after="1"/>
              <w:ind w:left="0" w:right="0" w:hanging="0"/>
              <w:rPr/>
            </w:pPr>
            <w:r>
              <w:rPr/>
              <w:t>​</w:t>
            </w:r>
          </w:p>
        </w:tc>
        <w:tc>
          <w:tcPr>
            <w:tcW w:w="344" w:type="dxa"/>
            <w:tcBorders/>
            <w:shd w:fill="auto" w:val="clear"/>
            <w:vAlign w:val="center"/>
          </w:tcPr>
          <w:p>
            <w:pPr>
              <w:pStyle w:val="TableContents"/>
              <w:spacing w:before="0" w:after="1"/>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40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carrying value of Note</w:t>
            </w:r>
          </w:p>
        </w:tc>
        <w:tc>
          <w:tcPr>
            <w:tcW w:w="109" w:type="dxa"/>
            <w:tcBorders/>
            <w:shd w:fill="CCEEFF" w:val="clear"/>
            <w:vAlign w:val="center"/>
          </w:tcPr>
          <w:p>
            <w:pPr>
              <w:pStyle w:val="TableContents"/>
              <w:spacing w:before="0" w:after="1"/>
              <w:ind w:left="0" w:right="0" w:hanging="0"/>
              <w:rPr/>
            </w:pPr>
            <w:r>
              <w:rPr/>
              <w:t>​</w:t>
            </w:r>
          </w:p>
        </w:tc>
        <w:tc>
          <w:tcPr>
            <w:tcW w:w="34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40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44" w:type="dxa"/>
            <w:tcBorders/>
            <w:shd w:fill="auto" w:val="clear"/>
            <w:vAlign w:val="center"/>
          </w:tcPr>
          <w:p>
            <w:pPr>
              <w:pStyle w:val="TableContents"/>
              <w:spacing w:before="0" w:after="1"/>
              <w:ind w:left="0" w:right="0" w:hanging="0"/>
              <w:jc w:val="center"/>
              <w:rPr/>
            </w:pPr>
            <w:r>
              <w:rPr/>
              <w:t>​</w:t>
            </w:r>
          </w:p>
        </w:tc>
        <w:tc>
          <w:tcPr>
            <w:tcW w:w="1201" w:type="dxa"/>
            <w:tcBorders/>
            <w:shd w:fill="auto" w:val="clear"/>
            <w:vAlign w:val="center"/>
          </w:tcPr>
          <w:p>
            <w:pPr>
              <w:pStyle w:val="TableContents"/>
              <w:spacing w:before="0" w:after="1"/>
              <w:ind w:left="0" w:right="0" w:hanging="0"/>
              <w:jc w:val="right"/>
              <w:rPr/>
            </w:pPr>
            <w:r>
              <w:rPr/>
              <w:t>​</w:t>
            </w:r>
          </w:p>
        </w:tc>
      </w:tr>
      <w:tr>
        <w:trPr/>
        <w:tc>
          <w:tcPr>
            <w:tcW w:w="40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note payable - current portion</w:t>
            </w:r>
          </w:p>
        </w:tc>
        <w:tc>
          <w:tcPr>
            <w:tcW w:w="109" w:type="dxa"/>
            <w:tcBorders/>
            <w:shd w:fill="CCEEFF" w:val="clear"/>
            <w:vAlign w:val="center"/>
          </w:tcPr>
          <w:p>
            <w:pPr>
              <w:pStyle w:val="TableContents"/>
              <w:spacing w:before="0" w:after="1"/>
              <w:ind w:left="0" w:right="0" w:hanging="0"/>
              <w:rPr/>
            </w:pPr>
            <w:r>
              <w:rPr/>
              <w:t>​</w:t>
            </w:r>
          </w:p>
        </w:tc>
        <w:tc>
          <w:tcPr>
            <w:tcW w:w="344"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7,703</w:t>
            </w:r>
          </w:p>
        </w:tc>
      </w:tr>
      <w:tr>
        <w:trPr/>
        <w:tc>
          <w:tcPr>
            <w:tcW w:w="40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note payable, net of current portion</w:t>
            </w:r>
          </w:p>
        </w:tc>
        <w:tc>
          <w:tcPr>
            <w:tcW w:w="109" w:type="dxa"/>
            <w:tcBorders/>
            <w:shd w:fill="auto" w:val="clear"/>
            <w:vAlign w:val="center"/>
          </w:tcPr>
          <w:p>
            <w:pPr>
              <w:pStyle w:val="TableContents"/>
              <w:spacing w:before="0" w:after="1"/>
              <w:ind w:left="0" w:right="0" w:hanging="0"/>
              <w:rPr/>
            </w:pPr>
            <w:r>
              <w:rPr/>
              <w:t>​</w:t>
            </w:r>
          </w:p>
        </w:tc>
        <w:tc>
          <w:tcPr>
            <w:tcW w:w="34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auto"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2,822</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Warrant liabilities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utilizes a Black-Scholes model approach to value the Placement Warrants at each reporting period, with changes in fair value recognized in the statement of operations. The Company uses a modified Black-Scholes model approach for the Substitute Warrants which applies a probability factor based on the probabilities of achievement of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908" w:name="Tc_2E900cz-EUaovAnmFJCofg_7_3"/>
      <w:bookmarkStart w:id="909" w:name="Tc_oJYoxplxf0qIvqfaPQcE5w_7_2"/>
      <w:bookmarkStart w:id="910" w:name="Tc_DPARatQg7E2qJRG01RNeMw_7_0"/>
      <w:bookmarkStart w:id="911" w:name="Tc_1j55ZYbrx0y9-7mI16AcoA_6_0"/>
      <w:bookmarkStart w:id="912" w:name="Tc_k1rVD3heMkyD4YOqpd4cXw_5_2"/>
      <w:bookmarkStart w:id="913" w:name="Tc_x7x_4VF01UOWtla3cqzC3g_5_0"/>
      <w:bookmarkStart w:id="914" w:name="Tc_NlsYUSIIaEi3oY5sIN63gQ_4_0"/>
      <w:bookmarkStart w:id="915" w:name="Tc_dngKNXtYEEakx97W8WifzQ_3_0"/>
      <w:bookmarkStart w:id="916" w:name="Tc_0yJlIdlu8kOIy970vNUzlw_2_3"/>
      <w:bookmarkStart w:id="917" w:name="Tc_Gm8qpFj5rES0j45V0jM8fQ_2_2"/>
      <w:bookmarkStart w:id="918" w:name="Tc_nXb2mbzvCk-n579wHC4W6Q_2_0"/>
      <w:bookmarkStart w:id="919" w:name="Tc_ul4Rht_OIESIwYd5TWXsLA_1_2"/>
      <w:bookmarkStart w:id="920" w:name="_4d150a04_27c2_4094_b16b_9848aa8632b3"/>
      <w:bookmarkStart w:id="921" w:name="Tc_CnJ0HAao8U-ac_Zswh7N9w_7_2"/>
      <w:bookmarkStart w:id="922" w:name="Tc_GPEO7reGFUuFZyespje22w_7_0"/>
      <w:bookmarkStart w:id="923" w:name="Tc_nowxkwg1GESSfHDEinQFig_6_0"/>
      <w:bookmarkStart w:id="924" w:name="Tc_5ztxk0FnjEWou-gBFl2-OQ_5_2"/>
      <w:bookmarkStart w:id="925" w:name="Tc_9VxWtwKhMkqgnR9e_eMOEQ_5_0"/>
      <w:bookmarkStart w:id="926" w:name="Tc_uisSoHn4mEKMWDZ81S-szw_4_0"/>
      <w:bookmarkStart w:id="927" w:name="Tc_4qzVoBMlnEWIX-HbJF2CzA_3_0"/>
      <w:bookmarkStart w:id="928" w:name="Tc_RpLU08dmgU282-TP0X1fWA_2_3"/>
      <w:bookmarkStart w:id="929" w:name="Tc_oEqquudQRkC-IwwSjB3AFw_2_2"/>
      <w:bookmarkStart w:id="930" w:name="Tc_a89NML9RtUWdqab8cYYCXA_2_0"/>
      <w:bookmarkStart w:id="931" w:name="Tc_xpvgHFMFZE-TX-Kj2Tizzw_1_2"/>
      <w:bookmarkStart w:id="932" w:name="_f960b9fe_6d88_486d_8b34_a329aa983f31"/>
      <w:bookmarkStart w:id="933" w:name="Tc_xrkf2lCRK0CJSCt-Ola3dA_8_5"/>
      <w:bookmarkStart w:id="934" w:name="Tc_E89TUQx8RkCSq3HgqarFUQ_8_2"/>
      <w:bookmarkStart w:id="935" w:name="Tc_PrInO0ldB0WuH4geTTNBnQ_8_0"/>
      <w:bookmarkStart w:id="936" w:name="Tc_-y3oa1YYlEi3SYJOmoS-pg_7_0"/>
      <w:bookmarkStart w:id="937" w:name="Tc_a11NtYyN90qEhUMEN_kpdg_6_0"/>
      <w:bookmarkStart w:id="938" w:name="Tc_gbhIfNEgoUeEIMyr40uvrg_5_0"/>
      <w:bookmarkStart w:id="939" w:name="Tc__UUh-clHPEOkTEmTLs3b7g_4_0"/>
      <w:bookmarkStart w:id="940" w:name="Tc_-iEohR5ehUSIzwUna80JTg_3_5"/>
      <w:bookmarkStart w:id="941" w:name="Tc_UMiLXGrZVU-n7nG13lkimw_3_2"/>
      <w:bookmarkStart w:id="942" w:name="Tc_DPCrcFEbqUGDx4gVm_ZnPw_3_0"/>
      <w:bookmarkStart w:id="943" w:name="Tc_3A3b8P98JEivR5J6svExBw_2_5"/>
      <w:bookmarkStart w:id="944" w:name="Tc_ZqE1ARDik029k9mwJySoRA_2_2"/>
      <w:bookmarkStart w:id="945" w:name="Tc_3fq1l7uYAUmZkZ8RmIg2jg_2_0"/>
      <w:bookmarkStart w:id="946" w:name="Tc_LBJ4Td6Z2EGKVGZEXkDjGg_1_5"/>
      <w:bookmarkStart w:id="947" w:name="Tc_0fyWZVx0802VmNooyTsBzw_1_2"/>
      <w:bookmarkStart w:id="948" w:name="_2ead451b_477e_40c6_a321_fe6f314a06be"/>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Times New Roman;Times;serif" w:hAnsi="Times New Roman;Times;serif"/>
          <w:sz w:val="20"/>
        </w:rPr>
        <w:t>Earnout Cash Milestone and/or Earnout Shares Milestone at each reporting period, with changes in fair value recognized in the statement of operations. The estimated fair value of the warrant liabilities is determined using Level 3 inputs. Inherent in a Black Scholes options pricing model are assumptions related to expected share-price volatility, expected life, risk-free interest rate and dividend yield. The 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significant inputs used in the Black-Scholes model to measure the warrant liabilities that are categorized within Level 3 of the fair value hierarchy are as follows:</w:t>
      </w:r>
    </w:p>
    <w:tbl>
      <w:tblPr>
        <w:tblW w:w="6204" w:type="dxa"/>
        <w:jc w:val="left"/>
        <w:tblInd w:w="0" w:type="dxa"/>
        <w:tblCellMar>
          <w:top w:w="0" w:type="dxa"/>
          <w:left w:w="0" w:type="dxa"/>
          <w:bottom w:w="0" w:type="dxa"/>
          <w:right w:w="0" w:type="dxa"/>
        </w:tblCellMar>
      </w:tblPr>
      <w:tblGrid>
        <w:gridCol w:w="2506"/>
        <w:gridCol w:w="326"/>
        <w:gridCol w:w="405"/>
        <w:gridCol w:w="1096"/>
        <w:gridCol w:w="326"/>
        <w:gridCol w:w="367"/>
        <w:gridCol w:w="1178"/>
      </w:tblGrid>
      <w:tr>
        <w:trPr/>
        <w:tc>
          <w:tcPr>
            <w:tcW w:w="2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591310" cy="175260"/>
                      <wp:effectExtent l="0" t="0" r="0" b="0"/>
                      <wp:wrapNone/>
                      <wp:docPr id="194" name="Frame183"/>
                      <a:graphic xmlns:a="http://schemas.openxmlformats.org/drawingml/2006/main">
                        <a:graphicData uri="http://schemas.microsoft.com/office/word/2010/wordprocessingShape">
                          <wps:wsp>
                            <wps:cNvSpPr txBox="1"/>
                            <wps:spPr>
                              <a:xfrm>
                                <a:off x="0" y="0"/>
                                <a:ext cx="1591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57175" cy="175260"/>
                      <wp:effectExtent l="0" t="0" r="0" b="0"/>
                      <wp:wrapNone/>
                      <wp:docPr id="196" name="Frame185"/>
                      <a:graphic xmlns:a="http://schemas.openxmlformats.org/drawingml/2006/main">
                        <a:graphicData uri="http://schemas.microsoft.com/office/word/2010/wordprocessingShape">
                          <wps:wsp>
                            <wps:cNvSpPr txBox="1"/>
                            <wps:spPr>
                              <a:xfrm>
                                <a:off x="0" y="0"/>
                                <a:ext cx="2571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5960" cy="175260"/>
                      <wp:effectExtent l="0" t="0" r="0" b="0"/>
                      <wp:wrapNone/>
                      <wp:docPr id="197" name="Frame186"/>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33045" cy="175260"/>
                      <wp:effectExtent l="0" t="0" r="0" b="0"/>
                      <wp:wrapNone/>
                      <wp:docPr id="199" name="Frame188"/>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48030" cy="175260"/>
                      <wp:effectExtent l="0" t="0" r="0" b="0"/>
                      <wp:wrapNone/>
                      <wp:docPr id="200" name="Frame189"/>
                      <a:graphic xmlns:a="http://schemas.openxmlformats.org/drawingml/2006/main">
                        <a:graphicData uri="http://schemas.microsoft.com/office/word/2010/wordprocessingShape">
                          <wps:wsp>
                            <wps:cNvSpPr txBox="1"/>
                            <wps:spPr>
                              <a:xfrm>
                                <a:off x="0" y="0"/>
                                <a:ext cx="748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1"/>
              <w:ind w:left="0" w:right="0" w:hanging="0"/>
              <w:rPr/>
            </w:pPr>
            <w:r>
              <w:rPr/>
              <w:t>    </w:t>
            </w:r>
          </w:p>
        </w:tc>
        <w:tc>
          <w:tcPr>
            <w:tcW w:w="15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price on valuation date</w:t>
            </w:r>
          </w:p>
        </w:tc>
        <w:tc>
          <w:tcPr>
            <w:tcW w:w="326" w:type="dxa"/>
            <w:tcBorders/>
            <w:shd w:fill="CCEEFF" w:val="clear"/>
            <w:vAlign w:val="center"/>
          </w:tcPr>
          <w:p>
            <w:pPr>
              <w:pStyle w:val="TableContents"/>
              <w:spacing w:before="0" w:after="1"/>
              <w:ind w:left="0" w:right="0" w:hanging="0"/>
              <w:rPr/>
            </w:pPr>
            <w:r>
              <w:rPr/>
              <w:t>​</w:t>
            </w:r>
          </w:p>
        </w:tc>
        <w:tc>
          <w:tcPr>
            <w:tcW w:w="4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4.78</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 price per share</w:t>
            </w:r>
          </w:p>
        </w:tc>
        <w:tc>
          <w:tcPr>
            <w:tcW w:w="326" w:type="dxa"/>
            <w:tcBorders/>
            <w:shd w:fill="auto" w:val="clear"/>
            <w:vAlign w:val="center"/>
          </w:tcPr>
          <w:p>
            <w:pPr>
              <w:pStyle w:val="TableContents"/>
              <w:spacing w:before="0" w:after="1"/>
              <w:ind w:left="0" w:right="0" w:hanging="0"/>
              <w:rPr/>
            </w:pPr>
            <w:r>
              <w:rPr/>
              <w:t>​</w:t>
            </w:r>
          </w:p>
        </w:tc>
        <w:tc>
          <w:tcPr>
            <w:tcW w:w="4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11.50</w:t>
            </w:r>
          </w:p>
        </w:tc>
        <w:tc>
          <w:tcPr>
            <w:tcW w:w="326"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11.50</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spacing w:before="0" w:after="1"/>
              <w:ind w:left="0" w:right="0" w:hanging="0"/>
              <w:rPr/>
            </w:pPr>
            <w:r>
              <w:rPr/>
              <w:t>​</w:t>
            </w:r>
          </w:p>
        </w:tc>
        <w:tc>
          <w:tcPr>
            <w:tcW w:w="405"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pPr>
            <w:r>
              <w:rPr/>
              <w:t> </w:t>
            </w:r>
          </w:p>
        </w:tc>
        <w:tc>
          <w:tcPr>
            <w:tcW w:w="117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4.40</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Volatility</w:t>
            </w:r>
          </w:p>
        </w:tc>
        <w:tc>
          <w:tcPr>
            <w:tcW w:w="326" w:type="dxa"/>
            <w:tcBorders/>
            <w:shd w:fill="auto" w:val="clear"/>
            <w:vAlign w:val="center"/>
          </w:tcPr>
          <w:p>
            <w:pPr>
              <w:pStyle w:val="TableContents"/>
              <w:spacing w:before="0" w:after="1"/>
              <w:ind w:left="0" w:right="0" w:hanging="0"/>
              <w:rPr/>
            </w:pPr>
            <w:r>
              <w:rPr/>
              <w:t>​</w:t>
            </w:r>
          </w:p>
        </w:tc>
        <w:tc>
          <w:tcPr>
            <w:tcW w:w="405"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pPr>
            <w:r>
              <w:rPr/>
              <w:t> </w:t>
            </w:r>
          </w:p>
        </w:tc>
        <w:tc>
          <w:tcPr>
            <w:tcW w:w="117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82.8%</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spacing w:before="0" w:after="1"/>
              <w:ind w:left="0" w:right="0" w:hanging="0"/>
              <w:rPr/>
            </w:pPr>
            <w:r>
              <w:rPr/>
              <w:t>​</w:t>
            </w:r>
          </w:p>
        </w:tc>
        <w:tc>
          <w:tcPr>
            <w:tcW w:w="405"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pPr>
            <w:r>
              <w:rPr/>
              <w:t> </w:t>
            </w:r>
          </w:p>
        </w:tc>
        <w:tc>
          <w:tcPr>
            <w:tcW w:w="117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1.17%</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auto" w:val="clear"/>
            <w:vAlign w:val="center"/>
          </w:tcPr>
          <w:p>
            <w:pPr>
              <w:pStyle w:val="TableContents"/>
              <w:spacing w:before="0" w:after="1"/>
              <w:ind w:left="0" w:right="0" w:hanging="0"/>
              <w:rPr/>
            </w:pPr>
            <w:r>
              <w:rPr/>
              <w:t>​</w:t>
            </w:r>
          </w:p>
        </w:tc>
        <w:tc>
          <w:tcPr>
            <w:tcW w:w="405"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0.00%</w:t>
            </w:r>
          </w:p>
        </w:tc>
        <w:tc>
          <w:tcPr>
            <w:tcW w:w="326"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pPr>
            <w:r>
              <w:rPr/>
              <w:t> </w:t>
            </w:r>
          </w:p>
        </w:tc>
        <w:tc>
          <w:tcPr>
            <w:tcW w:w="117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0.00%</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Fair value of warrants</w:t>
            </w:r>
          </w:p>
        </w:tc>
        <w:tc>
          <w:tcPr>
            <w:tcW w:w="326" w:type="dxa"/>
            <w:tcBorders/>
            <w:shd w:fill="CCEEFF" w:val="clear"/>
            <w:vAlign w:val="center"/>
          </w:tcPr>
          <w:p>
            <w:pPr>
              <w:pStyle w:val="TableContents"/>
              <w:spacing w:before="0" w:after="1"/>
              <w:ind w:left="0" w:right="0" w:hanging="0"/>
              <w:rPr/>
            </w:pPr>
            <w:r>
              <w:rPr/>
              <w:t>​</w:t>
            </w:r>
          </w:p>
        </w:tc>
        <w:tc>
          <w:tcPr>
            <w:tcW w:w="4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0.26</w:t>
            </w:r>
          </w:p>
        </w:tc>
        <w:tc>
          <w:tcPr>
            <w:tcW w:w="326"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2.14</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reconciliation of warrant liabilities is included below (in thousands):</w:t>
      </w:r>
    </w:p>
    <w:tbl>
      <w:tblPr>
        <w:tblW w:w="4692" w:type="dxa"/>
        <w:jc w:val="left"/>
        <w:tblInd w:w="0" w:type="dxa"/>
        <w:tblCellMar>
          <w:top w:w="0" w:type="dxa"/>
          <w:left w:w="0" w:type="dxa"/>
          <w:bottom w:w="0" w:type="dxa"/>
          <w:right w:w="0" w:type="dxa"/>
        </w:tblCellMar>
      </w:tblPr>
      <w:tblGrid>
        <w:gridCol w:w="2821"/>
        <w:gridCol w:w="326"/>
        <w:gridCol w:w="344"/>
        <w:gridCol w:w="1201"/>
      </w:tblGrid>
      <w:tr>
        <w:trPr/>
        <w:tc>
          <w:tcPr>
            <w:tcW w:w="2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91335" cy="175260"/>
                      <wp:effectExtent l="0" t="0" r="0" b="0"/>
                      <wp:wrapNone/>
                      <wp:docPr id="201" name="Frame190"/>
                      <a:graphic xmlns:a="http://schemas.openxmlformats.org/drawingml/2006/main">
                        <a:graphicData uri="http://schemas.microsoft.com/office/word/2010/wordprocessingShape">
                          <wps:wsp>
                            <wps:cNvSpPr txBox="1"/>
                            <wps:spPr>
                              <a:xfrm>
                                <a:off x="0" y="0"/>
                                <a:ext cx="1791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1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8440" cy="175260"/>
                      <wp:effectExtent l="0" t="0" r="0" b="0"/>
                      <wp:wrapNone/>
                      <wp:docPr id="203" name="Frame192"/>
                      <a:graphic xmlns:a="http://schemas.openxmlformats.org/drawingml/2006/main">
                        <a:graphicData uri="http://schemas.microsoft.com/office/word/2010/wordprocessingShape">
                          <wps:wsp>
                            <wps:cNvSpPr txBox="1"/>
                            <wps:spPr>
                              <a:xfrm>
                                <a:off x="0" y="0"/>
                                <a:ext cx="218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62635" cy="175260"/>
                      <wp:effectExtent l="0" t="0" r="0" b="0"/>
                      <wp:wrapNone/>
                      <wp:docPr id="204" name="Frame193"/>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2020</w:t>
            </w:r>
          </w:p>
        </w:tc>
        <w:tc>
          <w:tcPr>
            <w:tcW w:w="326" w:type="dxa"/>
            <w:tcBorders/>
            <w:shd w:fill="CCEEFF" w:val="clear"/>
            <w:vAlign w:val="center"/>
          </w:tcPr>
          <w:p>
            <w:pPr>
              <w:pStyle w:val="TableContents"/>
              <w:spacing w:before="0" w:after="1"/>
              <w:ind w:left="0" w:right="0" w:hanging="0"/>
              <w:jc w:val="center"/>
              <w:rPr/>
            </w:pPr>
            <w:r>
              <w:rPr/>
              <w:t>​</w:t>
            </w:r>
          </w:p>
        </w:tc>
        <w:tc>
          <w:tcPr>
            <w:tcW w:w="344" w:type="dxa"/>
            <w:tcBorders/>
            <w:shd w:fill="CCEEFF"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201" w:type="dxa"/>
            <w:tcBorders/>
            <w:shd w:fill="CCEEFF" w:val="clear"/>
            <w:vAlign w:val="center"/>
          </w:tcPr>
          <w:p>
            <w:pPr>
              <w:pStyle w:val="TableContents"/>
              <w:spacing w:before="0" w:after="1"/>
              <w:ind w:left="0" w:right="0" w:hanging="0"/>
              <w:jc w:val="right"/>
              <w:rPr/>
            </w:pPr>
            <w:r>
              <w:rPr/>
              <w:t>—</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 pursuant to Merger</w:t>
            </w:r>
          </w:p>
        </w:tc>
        <w:tc>
          <w:tcPr>
            <w:tcW w:w="326" w:type="dxa"/>
            <w:tcBorders/>
            <w:shd w:fill="auto" w:val="clear"/>
            <w:vAlign w:val="center"/>
          </w:tcPr>
          <w:p>
            <w:pPr>
              <w:pStyle w:val="TableContents"/>
              <w:spacing w:before="0" w:after="1"/>
              <w:ind w:left="0" w:right="0" w:hanging="0"/>
              <w:jc w:val="center"/>
              <w:rPr/>
            </w:pPr>
            <w:r>
              <w:rPr/>
              <w:t>​</w:t>
            </w:r>
          </w:p>
        </w:tc>
        <w:tc>
          <w:tcPr>
            <w:tcW w:w="344" w:type="dxa"/>
            <w:tcBorders/>
            <w:shd w:fill="auto" w:val="clear"/>
            <w:vAlign w:val="center"/>
          </w:tcPr>
          <w:p>
            <w:pPr>
              <w:pStyle w:val="TableContents"/>
              <w:spacing w:before="0" w:after="1"/>
              <w:ind w:left="0" w:right="0" w:hanging="0"/>
              <w:jc w:val="center"/>
              <w:rPr/>
            </w:pPr>
            <w:r>
              <w:rPr/>
              <w:t>​</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1,984</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upon re-measurement</w:t>
            </w:r>
          </w:p>
        </w:tc>
        <w:tc>
          <w:tcPr>
            <w:tcW w:w="326" w:type="dxa"/>
            <w:tcBorders/>
            <w:shd w:fill="CCEEFF" w:val="clear"/>
            <w:vAlign w:val="center"/>
          </w:tcPr>
          <w:p>
            <w:pPr>
              <w:pStyle w:val="TableContents"/>
              <w:spacing w:before="0" w:after="1"/>
              <w:ind w:left="0" w:right="0" w:hanging="0"/>
              <w:jc w:val="center"/>
              <w:rPr/>
            </w:pPr>
            <w:r>
              <w:rPr/>
              <w:t>​</w:t>
            </w:r>
          </w:p>
        </w:tc>
        <w:tc>
          <w:tcPr>
            <w:tcW w:w="344"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(1,692)</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2021</w:t>
            </w:r>
          </w:p>
        </w:tc>
        <w:tc>
          <w:tcPr>
            <w:tcW w:w="326" w:type="dxa"/>
            <w:tcBorders/>
            <w:shd w:fill="auto" w:val="clear"/>
            <w:vAlign w:val="center"/>
          </w:tcPr>
          <w:p>
            <w:pPr>
              <w:pStyle w:val="TableContents"/>
              <w:spacing w:before="0" w:after="1"/>
              <w:ind w:left="0" w:right="0" w:hanging="0"/>
              <w:rPr/>
            </w:pPr>
            <w:r>
              <w:rPr/>
              <w:t>​</w:t>
            </w:r>
          </w:p>
        </w:tc>
        <w:tc>
          <w:tcPr>
            <w:tcW w:w="34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upon re-measurement</w:t>
            </w:r>
          </w:p>
        </w:tc>
        <w:tc>
          <w:tcPr>
            <w:tcW w:w="326" w:type="dxa"/>
            <w:tcBorders/>
            <w:shd w:fill="CCEEFF" w:val="clear"/>
            <w:vAlign w:val="center"/>
          </w:tcPr>
          <w:p>
            <w:pPr>
              <w:pStyle w:val="TableContents"/>
              <w:spacing w:before="0" w:after="1"/>
              <w:ind w:left="0" w:right="0" w:hanging="0"/>
              <w:rPr/>
            </w:pPr>
            <w:r>
              <w:rPr/>
              <w:t>​</w:t>
            </w:r>
          </w:p>
        </w:tc>
        <w:tc>
          <w:tcPr>
            <w:tcW w:w="34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shd w:fill="auto" w:val="clear"/>
            <w:vAlign w:val="center"/>
          </w:tcPr>
          <w:p>
            <w:pPr>
              <w:pStyle w:val="TableContents"/>
              <w:spacing w:before="0" w:after="1"/>
              <w:ind w:left="0" w:right="0" w:hanging="0"/>
              <w:rPr/>
            </w:pPr>
            <w:r>
              <w:rPr/>
              <w:t>​</w:t>
            </w:r>
          </w:p>
        </w:tc>
        <w:tc>
          <w:tcPr>
            <w:tcW w:w="34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37</w:t>
            </w:r>
          </w:p>
        </w:tc>
      </w:tr>
    </w:tbl>
    <w:p>
      <w:pPr>
        <w:pStyle w:val="TextBody"/>
        <w:spacing w:before="0" w:after="24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Earnout Cash liability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if the Company files an NDA, that the FDA approves the Company’s NDA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the Company believes market participants would consider relevant in pricing and the projected timing and amount of cash flows, which are estimated and developed, considering the uncertainties associated with the obligations. As of December 31, 2022, (i) the ZYESAMI NIH Phase III trial was stopped due to futility, and (ii) NRX-101 Phase III trial has not yet started, the earnout milestones were not achieved and the Earnout Cash liability was reduced to zero.</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 reconciliation of the Earnout Cash liability is included below (in thousands):</w:t>
      </w:r>
    </w:p>
    <w:tbl>
      <w:tblPr>
        <w:tblW w:w="4693" w:type="dxa"/>
        <w:jc w:val="left"/>
        <w:tblInd w:w="0" w:type="dxa"/>
        <w:tblCellMar>
          <w:top w:w="0" w:type="dxa"/>
          <w:left w:w="0" w:type="dxa"/>
          <w:bottom w:w="0" w:type="dxa"/>
          <w:right w:w="0" w:type="dxa"/>
        </w:tblCellMar>
      </w:tblPr>
      <w:tblGrid>
        <w:gridCol w:w="2821"/>
        <w:gridCol w:w="326"/>
        <w:gridCol w:w="328"/>
        <w:gridCol w:w="1218"/>
      </w:tblGrid>
      <w:tr>
        <w:trPr/>
        <w:tc>
          <w:tcPr>
            <w:tcW w:w="2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91335" cy="175260"/>
                      <wp:effectExtent l="0" t="0" r="0" b="0"/>
                      <wp:wrapNone/>
                      <wp:docPr id="205" name="Frame194"/>
                      <a:graphic xmlns:a="http://schemas.openxmlformats.org/drawingml/2006/main">
                        <a:graphicData uri="http://schemas.microsoft.com/office/word/2010/wordprocessingShape">
                          <wps:wsp>
                            <wps:cNvSpPr txBox="1"/>
                            <wps:spPr>
                              <a:xfrm>
                                <a:off x="0" y="0"/>
                                <a:ext cx="1791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8280" cy="175260"/>
                      <wp:effectExtent l="0" t="0" r="0" b="0"/>
                      <wp:wrapNone/>
                      <wp:docPr id="207" name="Frame196"/>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73430" cy="175260"/>
                      <wp:effectExtent l="0" t="0" r="0" b="0"/>
                      <wp:wrapNone/>
                      <wp:docPr id="208" name="Frame197"/>
                      <a:graphic xmlns:a="http://schemas.openxmlformats.org/drawingml/2006/main">
                        <a:graphicData uri="http://schemas.microsoft.com/office/word/2010/wordprocessingShape">
                          <wps:wsp>
                            <wps:cNvSpPr txBox="1"/>
                            <wps:spPr>
                              <a:xfrm>
                                <a:off x="0" y="0"/>
                                <a:ext cx="773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2020</w:t>
            </w:r>
          </w:p>
        </w:tc>
        <w:tc>
          <w:tcPr>
            <w:tcW w:w="326" w:type="dxa"/>
            <w:tcBorders/>
            <w:shd w:fill="CCEEFF" w:val="clear"/>
            <w:vAlign w:val="center"/>
          </w:tcPr>
          <w:p>
            <w:pPr>
              <w:pStyle w:val="TableContents"/>
              <w:spacing w:before="0" w:after="1"/>
              <w:ind w:left="0" w:right="0" w:hanging="0"/>
              <w:rPr/>
            </w:pPr>
            <w:r>
              <w:rPr/>
              <w:t>​</w:t>
            </w:r>
          </w:p>
        </w:tc>
        <w:tc>
          <w:tcPr>
            <w:tcW w:w="32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spacing w:before="0" w:after="1"/>
              <w:ind w:left="0" w:right="0" w:hanging="0"/>
              <w:jc w:val="right"/>
              <w:rPr/>
            </w:pPr>
            <w:r>
              <w:rPr/>
              <w:t>—</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 pursuant to Merger</w:t>
            </w:r>
          </w:p>
        </w:tc>
        <w:tc>
          <w:tcPr>
            <w:tcW w:w="326" w:type="dxa"/>
            <w:tcBorders/>
            <w:shd w:fill="auto" w:val="clear"/>
            <w:vAlign w:val="center"/>
          </w:tcPr>
          <w:p>
            <w:pPr>
              <w:pStyle w:val="TableContents"/>
              <w:spacing w:before="0" w:after="1"/>
              <w:ind w:left="0" w:right="0" w:hanging="0"/>
              <w:rPr/>
            </w:pPr>
            <w:r>
              <w:rPr/>
              <w:t>​</w:t>
            </w:r>
          </w:p>
        </w:tc>
        <w:tc>
          <w:tcPr>
            <w:tcW w:w="328" w:type="dxa"/>
            <w:tcBorders/>
            <w:shd w:fill="auto" w:val="clear"/>
            <w:vAlign w:val="center"/>
          </w:tcPr>
          <w:p>
            <w:pPr>
              <w:pStyle w:val="TableContents"/>
              <w:spacing w:before="0" w:after="1"/>
              <w:ind w:left="0" w:right="0" w:hanging="0"/>
              <w:rPr/>
            </w:pPr>
            <w:r>
              <w:rPr/>
              <w:t> </w:t>
            </w:r>
          </w:p>
        </w:tc>
        <w:tc>
          <w:tcPr>
            <w:tcW w:w="121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25,520</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upon re-measurement</w:t>
            </w:r>
          </w:p>
        </w:tc>
        <w:tc>
          <w:tcPr>
            <w:tcW w:w="326" w:type="dxa"/>
            <w:tcBorders/>
            <w:shd w:fill="CCEEFF" w:val="clear"/>
            <w:vAlign w:val="center"/>
          </w:tcPr>
          <w:p>
            <w:pPr>
              <w:pStyle w:val="TableContents"/>
              <w:spacing w:before="0" w:after="1"/>
              <w:ind w:left="0" w:right="0" w:hanging="0"/>
              <w:rPr/>
            </w:pPr>
            <w:r>
              <w:rPr/>
              <w:t>​</w:t>
            </w:r>
          </w:p>
        </w:tc>
        <w:tc>
          <w:tcPr>
            <w:tcW w:w="328" w:type="dxa"/>
            <w:tcBorders/>
            <w:shd w:fill="CCEEFF" w:val="clear"/>
            <w:vAlign w:val="center"/>
          </w:tcPr>
          <w:p>
            <w:pPr>
              <w:pStyle w:val="TableContents"/>
              <w:spacing w:before="0" w:after="1"/>
              <w:ind w:left="0" w:right="0" w:hanging="0"/>
              <w:rPr/>
            </w:pPr>
            <w:r>
              <w:rPr/>
              <w:t>​</w:t>
            </w:r>
          </w:p>
        </w:tc>
        <w:tc>
          <w:tcPr>
            <w:tcW w:w="121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(20,938)</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2021</w:t>
            </w:r>
          </w:p>
        </w:tc>
        <w:tc>
          <w:tcPr>
            <w:tcW w:w="326" w:type="dxa"/>
            <w:tcBorders/>
            <w:shd w:fill="auto" w:val="clear"/>
            <w:vAlign w:val="center"/>
          </w:tcPr>
          <w:p>
            <w:pPr>
              <w:pStyle w:val="TableContents"/>
              <w:spacing w:before="0" w:after="1"/>
              <w:ind w:left="0" w:right="0" w:hanging="0"/>
              <w:rPr/>
            </w:pPr>
            <w:r>
              <w:rPr/>
              <w:t>​</w:t>
            </w:r>
          </w:p>
        </w:tc>
        <w:tc>
          <w:tcPr>
            <w:tcW w:w="3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upon re-measurement</w:t>
            </w:r>
          </w:p>
        </w:tc>
        <w:tc>
          <w:tcPr>
            <w:tcW w:w="326" w:type="dxa"/>
            <w:tcBorders/>
            <w:shd w:fill="CCEEFF" w:val="clear"/>
            <w:vAlign w:val="center"/>
          </w:tcPr>
          <w:p>
            <w:pPr>
              <w:pStyle w:val="TableContents"/>
              <w:spacing w:before="0" w:after="1"/>
              <w:ind w:left="0" w:right="0" w:hanging="0"/>
              <w:rPr/>
            </w:pPr>
            <w:r>
              <w:rPr/>
              <w:t>​</w:t>
            </w:r>
          </w:p>
        </w:tc>
        <w:tc>
          <w:tcPr>
            <w:tcW w:w="328"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1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shd w:fill="auto" w:val="clear"/>
            <w:vAlign w:val="center"/>
          </w:tcPr>
          <w:p>
            <w:pPr>
              <w:pStyle w:val="TableContents"/>
              <w:spacing w:before="0" w:after="1"/>
              <w:ind w:left="0" w:right="0" w:hanging="0"/>
              <w:rPr/>
            </w:pPr>
            <w:r>
              <w:rPr/>
              <w:t>​</w:t>
            </w:r>
          </w:p>
        </w:tc>
        <w:tc>
          <w:tcPr>
            <w:tcW w:w="32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auto" w:val="clear"/>
            <w:tcMar>
              <w:bottom w:w="28" w:type="dxa"/>
            </w:tcMar>
            <w:vAlign w:val="center"/>
          </w:tcPr>
          <w:p>
            <w:pPr>
              <w:pStyle w:val="TableContents"/>
              <w:spacing w:before="0" w:after="1"/>
              <w:ind w:left="0" w:right="70"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949" w:name="Tc_qdQwDlDfwUKCdHUAUkbGvw_8_0"/>
      <w:bookmarkStart w:id="950" w:name="Tc_TCtEFaURpkW3CcNznv6xMg_7_6"/>
      <w:bookmarkStart w:id="951" w:name="Tc_GN8RIIYyZUKb-mLVjBbb6g_7_0"/>
      <w:bookmarkStart w:id="952" w:name="Tc_A7jNhMxjUEadOWjeRZOjNg_6_3"/>
      <w:bookmarkStart w:id="953" w:name="Tc_gnbq2ND0YES2BapnpCte8Q_6_0"/>
      <w:bookmarkStart w:id="954" w:name="Tc__Xr8gXsgHU6kpPt6c1FCNw_5_0"/>
      <w:bookmarkStart w:id="955" w:name="Tc_hI6VhQbmL0q3VlNKabIl-w_4_5"/>
      <w:bookmarkStart w:id="956" w:name="Tc_CRMnzC936Uie_0_L5a25-w_4_2"/>
      <w:bookmarkStart w:id="957" w:name="Tc_boPsd1c1W0u12MATn9nRdg_4_0"/>
      <w:bookmarkStart w:id="958" w:name="Tc_HH321B48YkWFRAe4vzzrHQ_3_0"/>
      <w:bookmarkStart w:id="959" w:name="Tc_mipi82wvtEC01fmP1wIMsw_2_5"/>
      <w:bookmarkStart w:id="960" w:name="Tc_jg4ZVMOKMUy3-MW-yo52nQ_2_2"/>
      <w:bookmarkStart w:id="961" w:name="Tc_f6wM3lMnE0O1BgmwLQbnHg_1_2"/>
      <w:bookmarkStart w:id="962" w:name="Tc_FDYYotiJE0OsLBs0D99ddw_13_4"/>
      <w:bookmarkStart w:id="963" w:name="Tc_5sz7sXLd80m8H_32sHbsOQ_13_1"/>
      <w:bookmarkStart w:id="964" w:name="Tc_pytqwKkH_06mpa5t4ojYRg_13_0"/>
      <w:bookmarkStart w:id="965" w:name="Tc_VyUGLBi4ekeL9dqtf8jvvA_12_0"/>
      <w:bookmarkStart w:id="966" w:name="Tc_BDboQV_2BEyk41gMSOudBw_11_0"/>
      <w:bookmarkStart w:id="967" w:name="Tc_o_T-FTH7yUm3lKmp-oPvCA_10_5"/>
      <w:bookmarkStart w:id="968" w:name="Tc_YZNyPLNLQE2YBxmyaKwIPg_10_2"/>
      <w:bookmarkStart w:id="969" w:name="Tc_4snwTwhFh0ipOd3uBWpttA_10_0"/>
      <w:bookmarkStart w:id="970" w:name="Tc_oBu82YfsNUeGVA9iIpom-Q_9_0"/>
      <w:bookmarkStart w:id="971" w:name="Tc_0AE760b500mKzH5A16f7iw_8_0"/>
      <w:bookmarkStart w:id="972" w:name="Tc_OeePyxfLwkG3chKGMsfUuQ_7_5"/>
      <w:bookmarkStart w:id="973" w:name="Tc_VDfz_eAqG0-lPrIiSA2EAQ_7_2"/>
      <w:bookmarkStart w:id="974" w:name="Tc_2dLKBkuRUUqg4rXg5-WRHg_7_0"/>
      <w:bookmarkStart w:id="975" w:name="Tc_L5hFHxZkvk2lvPpwpdg1VQ_6_0"/>
      <w:bookmarkStart w:id="976" w:name="Tc_WavTfJrR6k61h4hhDvTujg_5_0"/>
      <w:bookmarkStart w:id="977" w:name="Tc_ose-WqbzMUW1tjCizMBVwQ_4_5"/>
      <w:bookmarkStart w:id="978" w:name="Tc_CzXol_xiQUiv_q5MBXPQtA_4_2"/>
      <w:bookmarkStart w:id="979" w:name="Tc_f1d9RQJv2kyN63Sb9C02vQ_4_0"/>
      <w:bookmarkStart w:id="980" w:name="Tc_p8hZR_vKhEGS-ZIgRu0C5w_3_4"/>
      <w:bookmarkStart w:id="981" w:name="Tc_ru878LH_LEiCD7RkKHE86A_3_1"/>
      <w:bookmarkStart w:id="982" w:name="Tc_yRdfkYQepUmo1npW00ykJw_3_0"/>
      <w:bookmarkStart w:id="983" w:name="Tc_L7_F_08gikOKORdxx8uYOg_2_4"/>
      <w:bookmarkStart w:id="984" w:name="Tc_iY7NcdDNtUe_mYH4UHa7oA_2_1"/>
      <w:bookmarkStart w:id="985" w:name="Tc_8KY4NJcrP0-5E6Lku8tQ1w_1_1"/>
      <w:bookmarkStart w:id="986" w:name="_d6aead7b_110d_493f_b96a_7a15d932324b"/>
      <w:bookmarkStart w:id="987" w:name="Tc_pssgfttabUOYILoh63lqcg_13_5"/>
      <w:bookmarkStart w:id="988" w:name="Tc_NyNYDbuxHUer9e4qVu5Tnw_13_2"/>
      <w:bookmarkStart w:id="989" w:name="Tc_Lp11tGC9H0qNIU1wJNDFkQ_13_0"/>
      <w:bookmarkStart w:id="990" w:name="Tc_uxt_h2O9ykuWyXD-xj70LA_12_5"/>
      <w:bookmarkStart w:id="991" w:name="Tc_qvh9roUT2UCOz9WEDk_oSg_12_4"/>
      <w:bookmarkStart w:id="992" w:name="Tc_v-ATK3pd50izXcneB3ONvw_12_2"/>
      <w:bookmarkStart w:id="993" w:name="Tc_SMLZ1VmIlUCatdfUZLrlSA_12_1"/>
      <w:bookmarkStart w:id="994" w:name="Tc_2xBXE-7BMUmxbXHjFbQluA_12_0"/>
      <w:bookmarkStart w:id="995" w:name="Tc_y_1pR-dLl0WtEZU4LUbWEQ_11_5"/>
      <w:bookmarkStart w:id="996" w:name="Tc_po0D2sOt-k-pe4IFhOtmzQ_11_2"/>
      <w:bookmarkStart w:id="997" w:name="Tc__HpHl4dEAUeVKQ0EdMyMhw_11_1"/>
      <w:bookmarkStart w:id="998" w:name="Tc_YG1_UxTp3k6yXok87zu9wA_11_0"/>
      <w:bookmarkStart w:id="999" w:name="Tc_xSfzGoWT3EOsBQf8tDIfWg_10_5"/>
      <w:bookmarkStart w:id="1000" w:name="Tc_jVeK03KAEEqaLpxkQVQSew_10_2"/>
      <w:bookmarkStart w:id="1001" w:name="Tc_-5hBWm0tBEeF8n2g2QOtdw_10_0"/>
      <w:bookmarkStart w:id="1002" w:name="Tc_jwxiTRvwtkWQ-tcrXWwuLQ_9_5"/>
      <w:bookmarkStart w:id="1003" w:name="Tc_JAtfMxumfUqK6JZL-d2LEw_9_2"/>
      <w:bookmarkStart w:id="1004" w:name="Tc_piVDHONl7UW_l4qNbsclnw_9_0"/>
      <w:bookmarkStart w:id="1005" w:name="Tc_4KjRwmYUZkqzWTqejrDFkA_8_5"/>
      <w:bookmarkStart w:id="1006" w:name="Tc_BOv0JQSIykyftLuXc1oRNQ_8_2"/>
      <w:bookmarkStart w:id="1007" w:name="Tc_VJWZsUCyQ0GdDAhvonS-MA_8_0"/>
      <w:bookmarkStart w:id="1008" w:name="Tc_gdhUKj_IzEKSF_AIWnc9mw_7_5"/>
      <w:bookmarkStart w:id="1009" w:name="Tc_03IUtTPLtEW4TK-mqFLZnA_7_2"/>
      <w:bookmarkStart w:id="1010" w:name="Tc_StwWLYjvYEa0YR5iH69PkQ_7_0"/>
      <w:bookmarkStart w:id="1011" w:name="Tc__pFR9pjzekSIhE1V4noz8g_6_5"/>
      <w:bookmarkStart w:id="1012" w:name="Tc_Y5uDQ6TRCkCF3uJ10uAG_A_6_2"/>
      <w:bookmarkStart w:id="1013" w:name="Tc_keeNbNoL8k-f26GV3wA2zg_6_0"/>
      <w:bookmarkStart w:id="1014" w:name="Tc_UqXgtJYliEWZwOLwX_-4xA_5_5"/>
      <w:bookmarkStart w:id="1015" w:name="Tc__oZDNgd7NkqQc2kC1C3F4g_5_2"/>
      <w:bookmarkStart w:id="1016" w:name="Tc_FdrYlXGa3kGqWtof2TnJPQ_5_0"/>
      <w:bookmarkStart w:id="1017" w:name="Tc_Cw8_fMXbCUSanJWk4A_jug_4_5"/>
      <w:bookmarkStart w:id="1018" w:name="Tc_VfgIO29ubUqHq7qBWf9FpQ_4_2"/>
      <w:bookmarkStart w:id="1019" w:name="Tc_H2mQU7HbwECeoZWeAdrkng_4_0"/>
      <w:bookmarkStart w:id="1020" w:name="Tc_KRL-Bk4Ndku_XOEI2N2KgQ_3_5"/>
      <w:bookmarkStart w:id="1021" w:name="Tc_jC-cVs8CJ0O3-YTP__Pk4g_3_2"/>
      <w:bookmarkStart w:id="1022" w:name="Tc_6cTq_C-C8kWRvG2k_bO7FA_3_0"/>
      <w:bookmarkStart w:id="1023" w:name="Tc_sBk6-9BTLUqUhLQ2Y_HFmQ_2_4"/>
      <w:bookmarkStart w:id="1024" w:name="Tc_jp4BXupq4Eec2jRn0Q_jCg_2_1"/>
      <w:bookmarkStart w:id="1025" w:name="Tc_E0hN_HsdEUunRyfUW-6qyg_1_1"/>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Times New Roman;Times;serif" w:hAnsi="Times New Roman;Times;serif"/>
          <w:b/>
          <w:sz w:val="20"/>
        </w:rPr>
        <w:t>12. Income Taxes</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Company maintains a full valuation allowance on its net deferred tax asset due to the uncertainty of future taxable income. The Company did not recognize an income tax benefit in the years ended December 31, 2022 and 2021 due to the uncertainty of future taxable income. In the years ended December 31, 2022 and 2021, the difference between the statutory tax rate and the Company’s effective tax rate was due primarily to the valuation allowance recorded to offset any potential tax benefit.</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 reconciliation of the statutory U.S. federal income tax rate to the Company’s effective tax rate consist of the following:</w:t>
      </w:r>
    </w:p>
    <w:p>
      <w:pPr>
        <w:pStyle w:val="TextBody"/>
        <w:spacing w:before="0" w:after="0"/>
        <w:ind w:left="0" w:right="0" w:hanging="0"/>
        <w:rPr/>
      </w:pPr>
      <w:r>
        <w:rPr/>
        <w:t>​</w:t>
      </w:r>
    </w:p>
    <w:tbl>
      <w:tblPr>
        <w:tblW w:w="5370" w:type="dxa"/>
        <w:jc w:val="left"/>
        <w:tblInd w:w="0" w:type="dxa"/>
        <w:tblCellMar>
          <w:top w:w="0" w:type="dxa"/>
          <w:left w:w="0" w:type="dxa"/>
          <w:bottom w:w="0" w:type="dxa"/>
          <w:right w:w="0" w:type="dxa"/>
        </w:tblCellMar>
      </w:tblPr>
      <w:tblGrid>
        <w:gridCol w:w="2686"/>
        <w:gridCol w:w="893"/>
        <w:gridCol w:w="350"/>
        <w:gridCol w:w="140"/>
        <w:gridCol w:w="893"/>
        <w:gridCol w:w="408"/>
      </w:tblGrid>
      <w:tr>
        <w:trPr/>
        <w:tc>
          <w:tcPr>
            <w:tcW w:w="2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705610" cy="175260"/>
                      <wp:effectExtent l="0" t="0" r="0" b="0"/>
                      <wp:wrapNone/>
                      <wp:docPr id="209" name="Frame198"/>
                      <a:graphic xmlns:a="http://schemas.openxmlformats.org/drawingml/2006/main">
                        <a:graphicData uri="http://schemas.microsoft.com/office/word/2010/wordprocessingShape">
                          <wps:wsp>
                            <wps:cNvSpPr txBox="1"/>
                            <wps:spPr>
                              <a:xfrm>
                                <a:off x="0" y="0"/>
                                <a:ext cx="1705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67055" cy="175260"/>
                      <wp:effectExtent l="0" t="0" r="0" b="0"/>
                      <wp:wrapNone/>
                      <wp:docPr id="210" name="Frame199"/>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2250" cy="175260"/>
                      <wp:effectExtent l="0" t="0" r="0" b="0"/>
                      <wp:wrapNone/>
                      <wp:docPr id="211" name="Frame200"/>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8900" cy="175260"/>
                      <wp:effectExtent l="0" t="0" r="0" b="0"/>
                      <wp:wrapNone/>
                      <wp:docPr id="212" name="Frame201"/>
                      <a:graphic xmlns:a="http://schemas.openxmlformats.org/drawingml/2006/main">
                        <a:graphicData uri="http://schemas.microsoft.com/office/word/2010/wordprocessingShape">
                          <wps:wsp>
                            <wps:cNvSpPr txBox="1"/>
                            <wps:spPr>
                              <a:xfrm>
                                <a:off x="0" y="0"/>
                                <a:ext cx="88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67055" cy="175260"/>
                      <wp:effectExtent l="0" t="0" r="0" b="0"/>
                      <wp:wrapNone/>
                      <wp:docPr id="213" name="Frame202"/>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59080" cy="175260"/>
                      <wp:effectExtent l="0" t="0" r="0" b="0"/>
                      <wp:wrapNone/>
                      <wp:docPr id="214" name="Frame203"/>
                      <a:graphic xmlns:a="http://schemas.openxmlformats.org/drawingml/2006/main">
                        <a:graphicData uri="http://schemas.microsoft.com/office/word/2010/wordprocessingShape">
                          <wps:wsp>
                            <wps:cNvSpPr txBox="1"/>
                            <wps:spPr>
                              <a:xfrm>
                                <a:off x="0" y="0"/>
                                <a:ext cx="2590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86" w:type="dxa"/>
            <w:tcBorders/>
            <w:shd w:fill="auto" w:val="clear"/>
            <w:vAlign w:val="center"/>
          </w:tcPr>
          <w:p>
            <w:pPr>
              <w:pStyle w:val="TableContents"/>
              <w:spacing w:before="0" w:after="1"/>
              <w:ind w:left="0" w:right="0" w:hanging="0"/>
              <w:rPr/>
            </w:pPr>
            <w:r>
              <w:rPr/>
              <w:t>​</w:t>
            </w:r>
          </w:p>
        </w:tc>
        <w:tc>
          <w:tcPr>
            <w:tcW w:w="268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686" w:type="dxa"/>
            <w:tcBorders/>
            <w:shd w:fill="auto" w:val="clear"/>
            <w:vAlign w:val="center"/>
          </w:tcPr>
          <w:p>
            <w:pPr>
              <w:pStyle w:val="TableContents"/>
              <w:spacing w:before="0" w:after="1"/>
              <w:ind w:left="0" w:right="0" w:hanging="0"/>
              <w:rPr/>
            </w:pPr>
            <w:r>
              <w:rPr/>
              <w:t>​</w:t>
            </w:r>
          </w:p>
        </w:tc>
        <w:tc>
          <w:tcPr>
            <w:tcW w:w="124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0" w:type="dxa"/>
            <w:tcBorders/>
            <w:shd w:fill="auto" w:val="clear"/>
            <w:vAlign w:val="center"/>
          </w:tcPr>
          <w:p>
            <w:pPr>
              <w:pStyle w:val="TableContents"/>
              <w:spacing w:before="0" w:after="1"/>
              <w:ind w:left="0" w:right="0" w:hanging="0"/>
              <w:jc w:val="center"/>
              <w:rPr/>
            </w:pPr>
            <w:r>
              <w:rPr/>
              <w:t>​</w:t>
            </w:r>
          </w:p>
        </w:tc>
        <w:tc>
          <w:tcPr>
            <w:tcW w:w="13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 statutory rate</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4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Permanent items</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40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Fair market value earnout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4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Settlement warrants</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40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compensation</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4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rate differential</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c>
          <w:tcPr>
            <w:tcW w:w="3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40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taxes</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4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 in valuation allowance</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24.64</w:t>
            </w:r>
          </w:p>
        </w:tc>
        <w:tc>
          <w:tcPr>
            <w:tcW w:w="35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12.62</w:t>
            </w:r>
          </w:p>
        </w:tc>
        <w:tc>
          <w:tcPr>
            <w:tcW w:w="40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R&amp;D credit</w:t>
            </w:r>
          </w:p>
        </w:tc>
        <w:tc>
          <w:tcPr>
            <w:tcW w:w="893" w:type="dxa"/>
            <w:tcBorders/>
            <w:shd w:fill="CCEEFF" w:val="clear"/>
            <w:vAlign w:val="center"/>
          </w:tcPr>
          <w:p>
            <w:pPr>
              <w:pStyle w:val="TableContents"/>
              <w:spacing w:before="0" w:after="1"/>
              <w:ind w:left="0" w:right="0" w:hanging="0"/>
              <w:jc w:val="right"/>
              <w:rPr/>
            </w:pPr>
            <w:r>
              <w:rPr/>
              <w:t>—</w:t>
            </w:r>
          </w:p>
        </w:tc>
        <w:tc>
          <w:tcPr>
            <w:tcW w:w="3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4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5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auto" w:val="clear"/>
            <w:vAlign w:val="center"/>
          </w:tcPr>
          <w:p>
            <w:pPr>
              <w:pStyle w:val="TableContents"/>
              <w:spacing w:before="0" w:after="1"/>
              <w:ind w:left="0" w:right="0" w:hanging="0"/>
              <w:rPr/>
            </w:pPr>
            <w:r>
              <w:rPr/>
              <w:t>​</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408"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Effective tax rate</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5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center"/>
          </w:tcPr>
          <w:p>
            <w:pPr>
              <w:pStyle w:val="TableContents"/>
              <w:spacing w:before="0" w:after="1"/>
              <w:ind w:left="0" w:right="0" w:hanging="0"/>
              <w:jc w:val="right"/>
              <w:rPr/>
            </w:pPr>
            <w:r>
              <w:rPr/>
              <w:t>​</w:t>
            </w:r>
          </w:p>
        </w:tc>
        <w:tc>
          <w:tcPr>
            <w:tcW w:w="89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40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The components of income tax provision (benefit) are as follows (in thousands):</w:t>
      </w:r>
    </w:p>
    <w:tbl>
      <w:tblPr>
        <w:tblW w:w="4794" w:type="dxa"/>
        <w:jc w:val="left"/>
        <w:tblInd w:w="0" w:type="dxa"/>
        <w:tblCellMar>
          <w:top w:w="0" w:type="dxa"/>
          <w:left w:w="0" w:type="dxa"/>
          <w:bottom w:w="0" w:type="dxa"/>
          <w:right w:w="0" w:type="dxa"/>
        </w:tblCellMar>
      </w:tblPr>
      <w:tblGrid>
        <w:gridCol w:w="2731"/>
        <w:gridCol w:w="211"/>
        <w:gridCol w:w="691"/>
        <w:gridCol w:w="109"/>
        <w:gridCol w:w="211"/>
        <w:gridCol w:w="841"/>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734185" cy="175260"/>
                      <wp:effectExtent l="0" t="0" r="0" b="0"/>
                      <wp:wrapNone/>
                      <wp:docPr id="215" name="Frame204"/>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38785" cy="175260"/>
                      <wp:effectExtent l="0" t="0" r="0" b="0"/>
                      <wp:wrapNone/>
                      <wp:docPr id="217" name="Frame20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4035" cy="175260"/>
                      <wp:effectExtent l="0" t="0" r="0" b="0"/>
                      <wp:wrapNone/>
                      <wp:docPr id="220" name="Frame209"/>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0"/>
              <w:ind w:left="0" w:right="0" w:hanging="0"/>
              <w:rPr/>
            </w:pPr>
            <w:r>
              <w:rPr/>
              <w:t>​</w:t>
            </w:r>
          </w:p>
        </w:tc>
        <w:tc>
          <w:tcPr>
            <w:tcW w:w="206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731" w:type="dxa"/>
            <w:tcBorders/>
            <w:shd w:fill="auto" w:val="clear"/>
            <w:vAlign w:val="center"/>
          </w:tcPr>
          <w:p>
            <w:pPr>
              <w:pStyle w:val="TableContents"/>
              <w:spacing w:before="0" w:after="0"/>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jc w:val="center"/>
              <w:rPr/>
            </w:pPr>
            <w:r>
              <w:rPr/>
              <w:t>​</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Current </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(11,709)</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Current </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and Local</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Current </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9,809</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11,756</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70" w:hanging="0"/>
              <w:jc w:val="right"/>
              <w:rPr/>
            </w:pPr>
            <w:r>
              <w:rPr/>
              <w:t>—</w:t>
            </w:r>
          </w:p>
        </w:tc>
      </w:tr>
    </w:tbl>
    <w:p>
      <w:pPr>
        <w:pStyle w:val="TextBody"/>
        <w:spacing w:before="0" w:after="0"/>
        <w:ind w:left="0" w:right="0" w:hanging="0"/>
        <w:rPr>
          <w:highlight w:val="white"/>
        </w:rPr>
      </w:pPr>
      <w:r>
        <w:rPr>
          <w:highlight w:val="white"/>
        </w:rPr>
        <w:t>​</w:t>
      </w:r>
    </w:p>
    <w:p>
      <w:pPr>
        <w:pStyle w:val="TextBody"/>
        <w:spacing w:before="0" w:after="0"/>
        <w:ind w:left="0" w:right="0" w:hanging="0"/>
        <w:rPr>
          <w:highlight w:val="white"/>
        </w:rPr>
      </w:pPr>
      <w:r>
        <w:rPr>
          <w:highlight w:val="white"/>
        </w:rPr>
        <w:t>​</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spacing w:before="0" w:after="0"/>
        <w:ind w:left="0" w:right="0" w:hanging="0"/>
        <w:jc w:val="both"/>
        <w:rPr>
          <w:highlight w:val="white"/>
        </w:rPr>
      </w:pPr>
      <w:r>
        <w:rPr>
          <w:highlight w:val="white"/>
        </w:rPr>
        <w:t>​</w:t>
      </w:r>
    </w:p>
    <w:tbl>
      <w:tblPr>
        <w:tblW w:w="5413" w:type="dxa"/>
        <w:jc w:val="left"/>
        <w:tblInd w:w="0" w:type="dxa"/>
        <w:tblCellMar>
          <w:top w:w="0" w:type="dxa"/>
          <w:left w:w="0" w:type="dxa"/>
          <w:bottom w:w="0" w:type="dxa"/>
          <w:right w:w="0" w:type="dxa"/>
        </w:tblCellMar>
      </w:tblPr>
      <w:tblGrid>
        <w:gridCol w:w="3376"/>
        <w:gridCol w:w="109"/>
        <w:gridCol w:w="211"/>
        <w:gridCol w:w="676"/>
        <w:gridCol w:w="109"/>
        <w:gridCol w:w="211"/>
        <w:gridCol w:w="721"/>
      </w:tblGrid>
      <w:tr>
        <w:trPr/>
        <w:tc>
          <w:tcPr>
            <w:tcW w:w="3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43760" cy="175260"/>
                      <wp:effectExtent l="0" t="0" r="0" b="0"/>
                      <wp:wrapNone/>
                      <wp:docPr id="221" name="Frame210"/>
                      <a:graphic xmlns:a="http://schemas.openxmlformats.org/drawingml/2006/main">
                        <a:graphicData uri="http://schemas.microsoft.com/office/word/2010/wordprocessingShape">
                          <wps:wsp>
                            <wps:cNvSpPr txBox="1"/>
                            <wps:spPr>
                              <a:xfrm>
                                <a:off x="0" y="0"/>
                                <a:ext cx="2143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29260" cy="175260"/>
                      <wp:effectExtent l="0" t="0" r="0" b="0"/>
                      <wp:wrapNone/>
                      <wp:docPr id="224" name="Frame21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57835" cy="175260"/>
                      <wp:effectExtent l="0" t="0" r="0" b="0"/>
                      <wp:wrapNone/>
                      <wp:docPr id="227" name="Frame21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2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jc w:val="center"/>
              <w:rPr/>
            </w:pPr>
            <w:r>
              <w:rPr/>
              <w:t>​</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3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 (liabilities):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21" w:type="dxa"/>
            <w:tcBorders/>
            <w:shd w:fill="CCEEFF" w:val="clear"/>
            <w:vAlign w:val="center"/>
          </w:tcPr>
          <w:p>
            <w:pPr>
              <w:pStyle w:val="TableContents"/>
              <w:spacing w:before="0" w:after="0"/>
              <w:ind w:left="0" w:right="0" w:hanging="0"/>
              <w:jc w:val="center"/>
              <w:rPr/>
            </w:pPr>
            <w:r>
              <w:rPr/>
              <w:t>​</w:t>
            </w:r>
          </w:p>
        </w:tc>
      </w:tr>
      <w:tr>
        <w:trPr/>
        <w:tc>
          <w:tcPr>
            <w:tcW w:w="33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operating loss carryforwards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33,640</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28,053</w:t>
            </w:r>
          </w:p>
        </w:tc>
      </w:tr>
      <w:tr>
        <w:trPr/>
        <w:tc>
          <w:tcPr>
            <w:tcW w:w="33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warrants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1,876</w:t>
            </w:r>
          </w:p>
        </w:tc>
      </w:tr>
      <w:tr>
        <w:trPr/>
        <w:tc>
          <w:tcPr>
            <w:tcW w:w="33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net operating loss carryforwards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3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174 capitalization</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3,410</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33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1,584</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026" w:name="Tc_GOZS6NIFMU60pGVMKwLMKA_16_5"/>
      <w:bookmarkStart w:id="1027" w:name="Tc_j1o26uj1hkSrhZsNVhHAIw_16_2"/>
      <w:bookmarkStart w:id="1028" w:name="Tc_NPT8vzQI3EWjYGs9vDm8oQ_16_0"/>
      <w:bookmarkStart w:id="1029" w:name="Tc_yXGvMcNhNkSP9tMJlMBBqg_15_0"/>
      <w:bookmarkStart w:id="1030" w:name="Tc_7La50nknfEWUmCXX_lCExA_13_0"/>
      <w:bookmarkStart w:id="1031" w:name="Tc_6sYsNSZFxkanzjG7fdDuTQ_12_0"/>
      <w:bookmarkStart w:id="1032" w:name="Tc_qsEAHmRCjkuSqfdVKJI6og_11_6"/>
      <w:bookmarkStart w:id="1033" w:name="Tc_g6JQhmv8AUW3N6cTQi_EUQ_11_3"/>
      <w:bookmarkStart w:id="1034" w:name="Tc_EKfqIyrS50iuKhs1JCq_tA_11_0"/>
      <w:bookmarkStart w:id="1035" w:name="Tc_3wwNkX418EO8EMUvDFGhGw_10_6"/>
      <w:bookmarkStart w:id="1036" w:name="Tc_vK8FGd1RDUSDfn5apUSYuw_10_3"/>
      <w:bookmarkStart w:id="1037" w:name="Tc_XI1Fj5wIY0ee-hPC5O30cA_10_0"/>
      <w:bookmarkStart w:id="1038" w:name="Tc_jnRY9_HgUEeSfDsH2I9bSg_9_0"/>
      <w:bookmarkStart w:id="1039" w:name="Tc_GOZS6NIFMU60pGVMKwLMKA_16_5"/>
      <w:bookmarkStart w:id="1040" w:name="Tc_j1o26uj1hkSrhZsNVhHAIw_16_2"/>
      <w:bookmarkStart w:id="1041" w:name="Tc_NPT8vzQI3EWjYGs9vDm8oQ_16_0"/>
      <w:bookmarkStart w:id="1042" w:name="Tc_yXGvMcNhNkSP9tMJlMBBqg_15_0"/>
      <w:bookmarkStart w:id="1043" w:name="Tc_7La50nknfEWUmCXX_lCExA_13_0"/>
      <w:bookmarkStart w:id="1044" w:name="Tc_6sYsNSZFxkanzjG7fdDuTQ_12_0"/>
      <w:bookmarkStart w:id="1045" w:name="Tc_qsEAHmRCjkuSqfdVKJI6og_11_6"/>
      <w:bookmarkStart w:id="1046" w:name="Tc_g6JQhmv8AUW3N6cTQi_EUQ_11_3"/>
      <w:bookmarkStart w:id="1047" w:name="Tc_EKfqIyrS50iuKhs1JCq_tA_11_0"/>
      <w:bookmarkStart w:id="1048" w:name="Tc_3wwNkX418EO8EMUvDFGhGw_10_6"/>
      <w:bookmarkStart w:id="1049" w:name="Tc_vK8FGd1RDUSDfn5apUSYuw_10_3"/>
      <w:bookmarkStart w:id="1050" w:name="Tc_XI1Fj5wIY0ee-hPC5O30cA_10_0"/>
      <w:bookmarkStart w:id="1051" w:name="Tc_jnRY9_HgUEeSfDsH2I9bSg_9_0"/>
      <w:bookmarkEnd w:id="1039"/>
      <w:bookmarkEnd w:id="1040"/>
      <w:bookmarkEnd w:id="1041"/>
      <w:bookmarkEnd w:id="1042"/>
      <w:bookmarkEnd w:id="1043"/>
      <w:bookmarkEnd w:id="1044"/>
      <w:bookmarkEnd w:id="1045"/>
      <w:bookmarkEnd w:id="1046"/>
      <w:bookmarkEnd w:id="1047"/>
      <w:bookmarkEnd w:id="1048"/>
      <w:bookmarkEnd w:id="1049"/>
      <w:bookmarkEnd w:id="1050"/>
      <w:bookmarkEnd w:id="1051"/>
    </w:p>
    <w:tbl>
      <w:tblPr>
        <w:tblW w:w="5323" w:type="dxa"/>
        <w:jc w:val="left"/>
        <w:tblInd w:w="0" w:type="dxa"/>
        <w:tblCellMar>
          <w:top w:w="0" w:type="dxa"/>
          <w:left w:w="0" w:type="dxa"/>
          <w:bottom w:w="0" w:type="dxa"/>
          <w:right w:w="0" w:type="dxa"/>
        </w:tblCellMar>
      </w:tblPr>
      <w:tblGrid>
        <w:gridCol w:w="3046"/>
        <w:gridCol w:w="109"/>
        <w:gridCol w:w="211"/>
        <w:gridCol w:w="796"/>
        <w:gridCol w:w="109"/>
        <w:gridCol w:w="211"/>
        <w:gridCol w:w="841"/>
      </w:tblGrid>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Bonus accrual</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Settlement liability</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R&amp;D credit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0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42,054</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32,245</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(42,054)</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(32,245)</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 net of allowance</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70" w:hanging="0"/>
              <w:jc w:val="right"/>
              <w:rPr/>
            </w:pPr>
            <w:r>
              <w:rPr/>
              <w:t>—</w:t>
            </w:r>
          </w:p>
        </w:tc>
      </w:tr>
    </w:tbl>
    <w:p>
      <w:pPr>
        <w:pStyle w:val="TextBody"/>
        <w:spacing w:before="0" w:after="0"/>
        <w:ind w:left="0" w:right="0" w:hanging="0"/>
        <w:jc w:val="both"/>
        <w:rPr>
          <w:highlight w:val="white"/>
        </w:rPr>
      </w:pPr>
      <w:r>
        <w:rPr>
          <w:highlight w:val="white"/>
        </w:rPr>
        <w:t>​</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and 2021, the Company had federal net operating losses of approximately $152.4 million and $127.4 million and state net operating loss carryforwards of approximately $30.2 million and $23.0 million, respectively. As of December 31, 2022 and 2021, the Company had approximately $0.0 million and $0.6 million of foreign net operating loss carryforwards, respectively. The federal, state and foreign net operating loss carryforwards generated in the tax years from 2015 to 2018 will begin to expire, if not utilized, by 2035. Certain Net Operating Losses in these jurisdictions are not subject to expiration.  Utilization of the net operating loss carryforwards may be subject to an annual limitation according to Section 382 of the Internal Revenue Code of 1986 as amended, and similar provisions.  </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ASC 740 requires a valuation allowance to reduce the deferred tax assets reported if, based on the weight of the evidence, it is more likely than not that some portion or all of the deferred tax assets will not be realized. After consideration of all of the evidence, the Company has recorded a valuation allowance against its deferred tax assets at December 31, 2022 and 2021 because management has determined that it is more likely than not that the Company will not recognize the benefits of its federal and state deferred tax assets, primarily due to its history of cumulative net losses incurred since inception and its lack of commercialization of products or generation of revenue from product sales since inception.</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approximately $0.5 million as a reduction of the deferred tax asset due to uncertain tax positions that if recognized would reduce Federal and state net operating loss carryforwards and R&amp;D credit carryforwards. In the next twelve months, the Company plans to file amended returns to reduce a portion of its uncertain tax position recorded in the current year.</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recognizes interest accrued to unrecognized tax benefits and penalties as income tax expense. The Company accrued total penalties and interest of $0.0 million during the years ended December 31, 2022 and 2021 and in total, as of December 31, 2022 and 2021 has recognized penalties and interest of $0.0 million.  </w:t>
      </w:r>
    </w:p>
    <w:p>
      <w:pPr>
        <w:pStyle w:val="TextBody"/>
        <w:shd w:fill="FFFFFF" w:val="clear"/>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files tax returns as prescribed by the tax laws of the jurisdictions in which they operate. In the normal course of business, the Company is subject to examination by federal and foreign jurisdictions where applicable based on the statute of limitations that apply in each jurisdiction. As of December 31, 2022, open years related to all jurisdictions are 2021, 2020, 2019, &amp; 2018.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 open tax audits with any taxing authority as of December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13. Related Party Transactions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licenses patents that are owned by Glytech, LLC (“Glytech”), pursuant to a license agreement (the “Glytech Agreement”). Glytech is owned by a co-founder and former director of the Company. The Glytech Agreement requires that the Company pay Glytech for ongoing scientific support and also reimburse Glytech for expenses of obtaining and maintaining patents that are licensed to NRx Pharmaceuticals. During the years ended December 31, 2022 and 2021, the Company paid Glytech $0.3 million and $0.3 million, respectively, for continuing technology support services and reimbursed expenses. These support services are ongoing.</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combination of pharmaceutical components different from those contained in NRX-100 and NRX-101. On November 6, 2022 the Glytech Agreement was amended whereby Glytech agreed to transfer and assign the remainder of the Licensed Technology and the Excluded Technology to NRx Pharmaceuticals for no additional consideration at any time upon receipt of written notice from the Company if, on or prior to January 31, 2023, (i) the value of the Glytech equity holdings in NRx Pharmaceuticals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On January 31, 2023, the Glytech Agreement was further amended to extend the period to meet these conditions until March 31, 2023.  The Company is working with Glytech to futher extend this period.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$0.9 million and $0.4 million during the years ended December 31, 2022 and 2021, respectively. These services are ongoing (See </w:t>
      </w:r>
      <w:r>
        <w:rPr>
          <w:rFonts w:ascii="Times New Roman;Times;serif" w:hAnsi="Times New Roman;Times;serif"/>
          <w:i/>
          <w:sz w:val="20"/>
        </w:rPr>
        <w:t>Section 14 -</w:t>
      </w:r>
      <w:r>
        <w:rPr>
          <w:rFonts w:ascii="Times New Roman;Times;serif" w:hAnsi="Times New Roman;Times;serif"/>
          <w:sz w:val="20"/>
        </w:rPr>
        <w:t xml:space="preserve"> </w:t>
      </w:r>
      <w:r>
        <w:rPr>
          <w:rFonts w:ascii="Times New Roman;Times;serif" w:hAnsi="Times New Roman;Times;serif"/>
          <w:i/>
          <w:sz w:val="20"/>
        </w:rPr>
        <w:t>Subsequent Events</w:t>
      </w:r>
      <w:r>
        <w:rPr>
          <w:rFonts w:ascii="Times New Roman;Times;serif" w:hAnsi="Times New Roman;Times;serif"/>
          <w:sz w:val="20"/>
        </w:rPr>
        <w:t xml:space="preserve"> for further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Zachary Javitt is the son of Dr. Jonathan Javitt. Zachary Javitt provides services related to website, IT, and marketing support under the supervision of the Company’s CEO and the Company’s Senior Director of Global Communications, who are responsible for assuring that the services are provided on financial terms that are at market. The Company paid this family member a total of $0.1 million and $0.1 million during the years ended December 31, 2022 and 2021, respectively. These services are ongoing.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Company paid PillTracker for digital health product development required to track the use of Aviptadil in clinical trials. Zachary Javitt and Jonathan Javitt are the chief executive officer and board chairman, respectively, of PillTracker. PillTracker agreements and transactions are submitted to the General Counsel of the Company and the Chair of the Audit Committee for approval in accordance with the terms of the Company’s Related Person Transactions Policy. The Master Service Agreement dated April 1, 2020 (“MSA”), and all work orders thereunder, have been suspended by mutual agreement pending the Company’s re-evaluation of its respiratory franchise. NRx Pharmaceuticals paid PillTracker $0.2 million and $1.0 million, during the years ended December 31, 2022 and 2021,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accounts payable were less than $0.1 million and $0.1 million due to the above related parties as of December 31, 2022 and 2021, respectively.</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14. Subsequent Events</w:t>
      </w:r>
    </w:p>
    <w:p>
      <w:pPr>
        <w:pStyle w:val="TextBody"/>
        <w:spacing w:before="0" w:after="0"/>
        <w:ind w:left="0" w:right="0" w:hanging="0"/>
        <w:rPr/>
      </w:pPr>
      <w:r>
        <w:rPr/>
        <w:t>​</w:t>
      </w:r>
    </w:p>
    <w:p>
      <w:pPr>
        <w:pStyle w:val="TextBody"/>
        <w:shd w:fill="FFFFFF" w:val="clear"/>
        <w:spacing w:before="0" w:after="0"/>
        <w:ind w:left="0" w:right="0" w:hanging="0"/>
        <w:jc w:val="both"/>
        <w:rPr>
          <w:rFonts w:ascii="Times New Roman;Times;serif" w:hAnsi="Times New Roman;Times;serif"/>
          <w:b/>
          <w:i/>
          <w:sz w:val="20"/>
        </w:rPr>
      </w:pPr>
      <w:r>
        <w:rPr>
          <w:rFonts w:ascii="Times New Roman;Times;serif" w:hAnsi="Times New Roman;Times;serif"/>
          <w:b/>
          <w:i/>
          <w:sz w:val="20"/>
        </w:rPr>
        <w:t>Financing</w:t>
      </w:r>
    </w:p>
    <w:p>
      <w:pPr>
        <w:pStyle w:val="TextBody"/>
        <w:shd w:fill="FFFFFF" w:val="clear"/>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March 8, 2023, NRx Pharmaceuticals entered into a securities purchase agreement with accredited investors (the “Investors”), providing for the issuance and sale of 3,866,666 shares of the Company’s common stock (“Common Stock”) and warrants to purchase up to 3,866,666 shares of Common Stock (the “Investor Warrants”) in a registered direct offering priced at-the-market under Nasdaq rules for a purchase price of $0.75 per share (the “Offering”). The Investors have agreed not to transfer the Common Stock for six months following the date hereof. The Investor Warrants will have an exercise price of $0.75 per share, will be initially exercisable beginning six months following the date of issuance (the “Initial Exercise Date”) and will expire 5 years from the Initial Exercise Date.  The aggregate gross proceeds to the Company from the Offering are expected to be approximately $2.9 million. The Company intends to use the net proceeds from such offering for working capital and general corporate purposes. The closing of the sale of these securities occurred on March 9,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Amendment to Convertible Note Payable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March 30, 2023, the Company amended the Note to increase the ownership limitation to 9.99%.</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Material Contract Amendment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March 29, 2023, the Consulting Agreement dated March 8, 2022 (the “Javitt Consulting Agreement”) between the Company and Dr. Jonathan Javitt was amended to extend the term of the Agreement until March 8, 2024 with automatic annual renewals thereafter unless one party or the other provides notice of non-renewal.  The amendment also provided for payment at the rate of $575,000 per year, payable monthly (i.e., $47,916.67 per month), and a performance-based annual bonus with a minimum target of $250,000, at the discretion of the Board and upon satisfactory performance of the services. The annual bonus for 2023, if any, is payable in March 2024, will be pro-rated from the start of the extension period and is subject to Dr. Javitt’s continued engagement by the Company.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amendment also provides, subject to the approval of the Board of Directors, for a grant of 500,000 shares of restricted stock of the Company under the Company’s 2021 Omnibus Incentive Plan.  The restrictions are performance based, and half of the restricted shares (250,000) shall have the restrictions removed on the New Drug Application Date (as defined below) and the remaining half (250,000) will have the restrictions removed on the New Drug Approval Date (as defined below).</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term “New Drug Application Date” means the date upon which the Food and Drug Administration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Book”.The term “Antidepressant Drug Regimen” means NRX-101, a proprietary fixed-dose combination capsule of d-cycloserine and Lurasidone, administered for sequential weeks of daily oral treatment following patient stabilization using a single infusion of NRX-100 (ketamine) or another standard of care therapy.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foregoing description of the amendment does not purport to be complete and is qualified in its entirety by the full text of the amendment attached hereto as Exhibit 10.53.</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bookmarkStart w:id="1052" w:name="Item9ChangesinandDisagreementswithAccoun"/>
      <w:bookmarkStart w:id="1053" w:name="_2ae33586_ad52_4b3f_b29c_ba16e49afa51"/>
      <w:bookmarkEnd w:id="1052"/>
      <w:bookmarkEnd w:id="1053"/>
      <w:r>
        <w:rPr>
          <w:rFonts w:ascii="Times New Roman;Times;serif" w:hAnsi="Times New Roman;Times;serif"/>
          <w:b/>
          <w:sz w:val="20"/>
        </w:rPr>
        <w:t>Item 9. Changes in and Disagreements with Accountants on Accounting and Financial Disclosure</w:t>
      </w:r>
    </w:p>
    <w:p>
      <w:pPr>
        <w:pStyle w:val="TextBody"/>
        <w:spacing w:lineRule="auto" w:line="292" w:before="169" w:after="0"/>
        <w:ind w:left="0" w:right="967" w:firstLine="399"/>
        <w:rPr>
          <w:rFonts w:ascii="Times New Roman;Times;serif" w:hAnsi="Times New Roman;Times;serif"/>
          <w:sz w:val="20"/>
        </w:rPr>
      </w:pPr>
      <w:r>
        <w:rPr>
          <w:rFonts w:ascii="Times New Roman;Times;serif" w:hAnsi="Times New Roman;Times;serif"/>
          <w:sz w:val="20"/>
        </w:rPr>
        <w:t>None.</w:t>
      </w:r>
    </w:p>
    <w:p>
      <w:pPr>
        <w:pStyle w:val="TextBody"/>
        <w:spacing w:before="0" w:after="160"/>
        <w:ind w:left="0" w:right="0" w:hanging="0"/>
        <w:rPr/>
      </w:pPr>
      <w:r>
        <w:rPr/>
        <w:t>​</w:t>
      </w:r>
    </w:p>
    <w:p>
      <w:pPr>
        <w:pStyle w:val="TextBody"/>
        <w:spacing w:before="0" w:after="160"/>
        <w:ind w:left="0" w:right="0" w:hanging="0"/>
        <w:jc w:val="both"/>
        <w:rPr>
          <w:rFonts w:ascii="Times New Roman;Times;serif" w:hAnsi="Times New Roman;Times;serif"/>
          <w:b/>
          <w:sz w:val="20"/>
        </w:rPr>
      </w:pPr>
      <w:bookmarkStart w:id="1054" w:name="Item9AControlsandProcedures_788815"/>
      <w:bookmarkStart w:id="1055" w:name="_87c40ae9_058b_474b_9ab9_fa3d7c4a4079"/>
      <w:bookmarkEnd w:id="1054"/>
      <w:bookmarkEnd w:id="1055"/>
      <w:r>
        <w:rPr>
          <w:rFonts w:ascii="Times New Roman;Times;serif" w:hAnsi="Times New Roman;Times;serif"/>
          <w:b/>
          <w:sz w:val="20"/>
        </w:rPr>
        <w:t>Item 9A. Controls and Procedures.</w:t>
      </w:r>
    </w:p>
    <w:p>
      <w:pPr>
        <w:pStyle w:val="TextBody"/>
        <w:spacing w:before="0" w:after="160"/>
        <w:ind w:left="0" w:right="0" w:hanging="0"/>
        <w:jc w:val="both"/>
        <w:rPr>
          <w:rFonts w:ascii="Times New Roman;Times;serif" w:hAnsi="Times New Roman;Times;serif"/>
          <w:b/>
          <w:sz w:val="20"/>
        </w:rPr>
      </w:pPr>
      <w:r>
        <w:rPr>
          <w:rFonts w:ascii="Times New Roman;Times;serif" w:hAnsi="Times New Roman;Times;serif"/>
          <w:b/>
          <w:sz w:val="20"/>
        </w:rPr>
        <w:t>(a) Evaluation of Disclosure Controls and Procedures</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the end of the period covered by this Annual Report on Form 10-K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Based on that evaluation, our Chief Executive Officer and Chief Financial Officer concluded that our disclosure controls and procedures were effective as of the end of the period covered by this Annual Report on Form 10-K in providing reasonable assurance of achieving the desired control objectives.  </w:t>
      </w:r>
    </w:p>
    <w:p>
      <w:pPr>
        <w:pStyle w:val="TextBody"/>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Management’s Report on Internal Control over Financial Reporting</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Exchange Act Rules 13a-15(f) and 15d-15(f). Internal control over financial reporting refers to the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pBdr/>
        <w:spacing w:before="280" w:after="0"/>
        <w:ind w:left="360" w:right="0" w:hanging="360"/>
        <w:jc w:val="both"/>
        <w:rPr>
          <w:rFonts w:ascii="Times New Roman;Times;serif" w:hAnsi="Times New Roman;Times;serif"/>
          <w:sz w:val="20"/>
        </w:rPr>
      </w:pPr>
      <w:r>
        <w:rPr>
          <w:rFonts w:ascii="Times New Roman;Times;serif" w:hAnsi="Times New Roman;Times;serif"/>
          <w:sz w:val="20"/>
        </w:rPr>
        <w:t>(1)  pertain to the maintenance of records that in reasonable detail accurately and fairly reflect the transactions and dispositions of our assets;</w:t>
      </w:r>
    </w:p>
    <w:p>
      <w:pPr>
        <w:pStyle w:val="TextBody"/>
        <w:pBdr/>
        <w:spacing w:before="280" w:after="0"/>
        <w:ind w:left="360" w:right="0" w:hanging="360"/>
        <w:jc w:val="both"/>
        <w:rPr>
          <w:rFonts w:ascii="Times New Roman;Times;serif" w:hAnsi="Times New Roman;Times;serif"/>
          <w:sz w:val="20"/>
        </w:rPr>
      </w:pPr>
      <w:r>
        <w:rPr>
          <w:rFonts w:ascii="Times New Roman;Times;serif" w:hAnsi="Times New Roman;Times;serif"/>
          <w:sz w:val="20"/>
        </w:rPr>
        <w:t>(2)  provide reasonable assurance that transactions are recorded as necessary to permit preparation of financial statements in accordance with GAAP, and that our receipts and expenditures are being made only in accordance with authorization of our management and directors; and</w:t>
      </w:r>
    </w:p>
    <w:p>
      <w:pPr>
        <w:pStyle w:val="TextBody"/>
        <w:pBdr/>
        <w:spacing w:before="280" w:after="0"/>
        <w:ind w:left="360" w:right="0" w:hanging="360"/>
        <w:jc w:val="both"/>
        <w:rPr>
          <w:rFonts w:ascii="Times New Roman;Times;serif" w:hAnsi="Times New Roman;Times;serif"/>
          <w:sz w:val="20"/>
        </w:rPr>
      </w:pPr>
      <w:r>
        <w:rPr>
          <w:rFonts w:ascii="Times New Roman;Times;serif" w:hAnsi="Times New Roman;Times;serif"/>
          <w:sz w:val="20"/>
        </w:rPr>
        <w:t>(3)  provide reasonable assurance regarding prevention or timely detection of unauthorized acquisitions, use or disposition of our assets that could have a material effect on the financial statements.</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 xml:space="preserve">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 xml:space="preserve">Our management assessed the effectiveness of our internal control over financial reporting as of December 31, 2022. In making the assessment, management used the criteria set forth by the Committee of Sponsoring Organizations of the Treadway Commission (COSO) in </w:t>
      </w:r>
      <w:r>
        <w:rPr>
          <w:rFonts w:ascii="Times New Roman;Times;serif" w:hAnsi="Times New Roman;Times;serif"/>
          <w:i/>
          <w:sz w:val="20"/>
        </w:rPr>
        <w:t>Internal Control - Integrated Framework (2013)</w:t>
      </w:r>
      <w:r>
        <w:rPr>
          <w:rFonts w:ascii="Times New Roman;Times;serif" w:hAnsi="Times New Roman;Times;serif"/>
          <w:sz w:val="20"/>
        </w:rPr>
        <w:t>. Based on the results of this assessment, management (including our Chief Executive Officer and our Chief Financial Officer) has concluded that, as of December 31, 2022, our internal control over financial reporting was effective.</w:t>
      </w:r>
    </w:p>
    <w:p>
      <w:pPr>
        <w:pStyle w:val="TextBody"/>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Remediation of Material Weakness</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To address the previously reported material weakness in internal control over financial reporting described in Part II, Item 9A of our 2021 Form 10-K, we performed risk assessments, designed and implemented new controls, enhanced existing controls, and improved reporting processes. Based on the actions taken, as well as the evaluation of the design and operating effectiveness of the new controls, we determined that the material weakness has been remediated as of December 31, 2022.</w:t>
      </w:r>
    </w:p>
    <w:p>
      <w:pPr>
        <w:pStyle w:val="TextBody"/>
        <w:spacing w:before="280" w:after="0"/>
        <w:ind w:left="0" w:right="0" w:hanging="0"/>
        <w:jc w:val="both"/>
        <w:rPr>
          <w:rFonts w:ascii="Times New Roman;Times;serif" w:hAnsi="Times New Roman;Times;serif"/>
          <w:b/>
          <w:sz w:val="20"/>
        </w:rPr>
      </w:pPr>
      <w:r>
        <w:rPr>
          <w:rFonts w:ascii="Times New Roman;Times;serif" w:hAnsi="Times New Roman;Times;serif"/>
          <w:b/>
          <w:sz w:val="20"/>
        </w:rPr>
        <w:t>(b) Changes in Internal Control Over Financial Reporting</w:t>
      </w:r>
    </w:p>
    <w:p>
      <w:pPr>
        <w:pStyle w:val="TextBody"/>
        <w:spacing w:before="280" w:after="0"/>
        <w:ind w:left="0" w:right="0" w:hanging="0"/>
        <w:jc w:val="both"/>
        <w:rPr>
          <w:rFonts w:ascii="Times New Roman;Times;serif" w:hAnsi="Times New Roman;Times;serif"/>
          <w:sz w:val="20"/>
        </w:rPr>
      </w:pPr>
      <w:r>
        <w:rPr>
          <w:rFonts w:ascii="Times New Roman;Times;serif" w:hAnsi="Times New Roman;Times;serif"/>
          <w:sz w:val="20"/>
        </w:rPr>
        <w:t>During 2022, we tested and adopted changes to our internal control over financial reporting related to our remediation efforts described above that materially affected, or are reasonably likely to materially affect, our internal control over financial reporting. Other than as described in the immediately preceding sentence, we did not make any additional such changes in internal control over financial reporting during the three months ended December 31, 2022.</w:t>
      </w:r>
    </w:p>
    <w:p>
      <w:pPr>
        <w:pStyle w:val="TextBody"/>
        <w:spacing w:before="280" w:after="0"/>
        <w:ind w:left="0" w:right="0" w:hanging="0"/>
        <w:jc w:val="both"/>
        <w:rPr/>
      </w:pPr>
      <w:r>
        <w:rPr/>
        <w:t>​</w:t>
      </w:r>
    </w:p>
    <w:p>
      <w:pPr>
        <w:pStyle w:val="TextBody"/>
        <w:spacing w:before="0" w:after="160"/>
        <w:ind w:left="0" w:right="0" w:hanging="0"/>
        <w:jc w:val="both"/>
        <w:rPr>
          <w:rFonts w:ascii="Times New Roman;Times;serif" w:hAnsi="Times New Roman;Times;serif"/>
          <w:b/>
          <w:sz w:val="20"/>
        </w:rPr>
      </w:pPr>
      <w:bookmarkStart w:id="1056" w:name="Item9BOtherInformation_623343"/>
      <w:bookmarkStart w:id="1057" w:name="_45b57d4d_a2ce_4585_9b9e_ffbdc9d9aa66"/>
      <w:bookmarkEnd w:id="1056"/>
      <w:bookmarkEnd w:id="1057"/>
      <w:r>
        <w:rPr>
          <w:rFonts w:ascii="Times New Roman;Times;serif" w:hAnsi="Times New Roman;Times;serif"/>
          <w:b/>
          <w:sz w:val="20"/>
        </w:rPr>
        <w:t>Item 9B. Other Information</w:t>
      </w:r>
    </w:p>
    <w:p>
      <w:pPr>
        <w:pStyle w:val="TextBody"/>
        <w:spacing w:before="0" w:after="0"/>
        <w:ind w:left="0" w:right="0" w:firstLine="403"/>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058" w:name="Part_III"/>
      <w:bookmarkStart w:id="1059" w:name="_abf67bbc_52a4_47c8_b88f_5e09d96af1bd"/>
      <w:bookmarkEnd w:id="1058"/>
      <w:bookmarkEnd w:id="1059"/>
      <w:r>
        <w:rPr>
          <w:rFonts w:ascii="Times New Roman;Times;serif" w:hAnsi="Times New Roman;Times;serif"/>
          <w:b/>
          <w:sz w:val="20"/>
        </w:rPr>
        <w:t>Part III</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060" w:name="Item10_DirectorsExecutiveOfficersAndCorp"/>
      <w:bookmarkStart w:id="1061" w:name="_99929fb2_9e6a_41e4_a6a2_8b7d3156298c"/>
      <w:bookmarkEnd w:id="1060"/>
      <w:bookmarkEnd w:id="1061"/>
      <w:r>
        <w:rPr>
          <w:rFonts w:ascii="Times New Roman;Times;serif" w:hAnsi="Times New Roman;Times;serif"/>
          <w:b/>
          <w:sz w:val="20"/>
        </w:rPr>
        <w:t>Item 10. Directors, Executive Officers, and Corporate Governance</w:t>
      </w:r>
    </w:p>
    <w:p>
      <w:pPr>
        <w:pStyle w:val="TextBody"/>
        <w:spacing w:lineRule="auto" w:line="288" w:before="165" w:after="0"/>
        <w:ind w:left="0" w:right="781" w:firstLine="399"/>
        <w:jc w:val="both"/>
        <w:rPr>
          <w:rFonts w:ascii="Times New Roman;Times;serif" w:hAnsi="Times New Roman;Times;serif"/>
          <w:sz w:val="20"/>
        </w:rPr>
      </w:pPr>
      <w:r>
        <w:rPr>
          <w:rFonts w:ascii="Times New Roman;Times;serif" w:hAnsi="Times New Roman;Times;serif"/>
          <w:sz w:val="20"/>
        </w:rPr>
        <w:t>The information required by this Item 10 will be included in our definitive proxy statement to be filed with the SEC with respect to our 2023 Annual Meeting of Stockholders and is incorporated herein by reference.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062" w:name="Item11_ExecutiveCompensation"/>
      <w:bookmarkStart w:id="1063" w:name="_f1daf3d4_1ff6_4ab3_a498_d2dadd0c0f44"/>
      <w:bookmarkEnd w:id="1062"/>
      <w:bookmarkEnd w:id="1063"/>
      <w:r>
        <w:rPr>
          <w:rFonts w:ascii="Times New Roman;Times;serif" w:hAnsi="Times New Roman;Times;serif"/>
          <w:b/>
          <w:sz w:val="20"/>
        </w:rPr>
        <w:t>Item 11. Executive Compensation</w:t>
      </w:r>
    </w:p>
    <w:p>
      <w:pPr>
        <w:pStyle w:val="TextBody"/>
        <w:spacing w:lineRule="auto" w:line="292" w:before="169" w:after="0"/>
        <w:ind w:left="0" w:right="0" w:firstLine="399"/>
        <w:jc w:val="both"/>
        <w:rPr>
          <w:rFonts w:ascii="Times New Roman;Times;serif" w:hAnsi="Times New Roman;Times;serif"/>
          <w:color w:val="231F20"/>
          <w:sz w:val="20"/>
        </w:rPr>
      </w:pPr>
      <w:r>
        <w:rPr>
          <w:rFonts w:ascii="Times New Roman;Times;serif" w:hAnsi="Times New Roman;Times;serif"/>
          <w:color w:val="231F20"/>
          <w:sz w:val="20"/>
        </w:rPr>
        <w:t>The information required by this Item 11 will be included in our definitive proxy statement to be filed with the SEC with respect to our 2023 Annual Meeting of Stockholders and is incorporated herein by reference. Please refer to the proxy for more information.</w:t>
      </w:r>
    </w:p>
    <w:p>
      <w:pPr>
        <w:pStyle w:val="TextBody"/>
        <w:spacing w:before="0" w:after="0"/>
        <w:ind w:left="0" w:right="0" w:hanging="0"/>
        <w:rPr/>
      </w:pPr>
      <w:r>
        <w:rPr/>
        <w:t>​</w:t>
      </w:r>
    </w:p>
    <w:p>
      <w:pPr>
        <w:pStyle w:val="TextBody"/>
        <w:spacing w:before="0" w:after="160"/>
        <w:ind w:left="0" w:right="0" w:hanging="0"/>
        <w:rPr>
          <w:rFonts w:ascii="Times New Roman;Times;serif" w:hAnsi="Times New Roman;Times;serif"/>
          <w:b/>
          <w:sz w:val="20"/>
        </w:rPr>
      </w:pPr>
      <w:bookmarkStart w:id="1064" w:name="Item12SecurityOwnershipofCertainBenefici"/>
      <w:bookmarkStart w:id="1065" w:name="_e0247b8a_98b1_48f0_8f9c_4bf950fd0663"/>
      <w:bookmarkEnd w:id="1064"/>
      <w:bookmarkEnd w:id="1065"/>
      <w:r>
        <w:rPr>
          <w:rFonts w:ascii="Times New Roman;Times;serif" w:hAnsi="Times New Roman;Times;serif"/>
          <w:b/>
          <w:sz w:val="20"/>
        </w:rPr>
        <w:t>Item 12. Security Ownership of Certain Beneficial Owners and Management and Related Stockholder Matters</w:t>
      </w:r>
    </w:p>
    <w:p>
      <w:pPr>
        <w:pStyle w:val="TextBody"/>
        <w:spacing w:lineRule="auto" w:line="292" w:before="169" w:after="0"/>
        <w:ind w:left="0" w:right="0" w:firstLine="399"/>
        <w:jc w:val="both"/>
        <w:rPr>
          <w:rFonts w:ascii="Times New Roman;Times;serif" w:hAnsi="Times New Roman;Times;serif"/>
          <w:sz w:val="20"/>
        </w:rPr>
      </w:pPr>
      <w:r>
        <w:rPr>
          <w:rFonts w:ascii="Times New Roman;Times;serif" w:hAnsi="Times New Roman;Times;serif"/>
          <w:sz w:val="20"/>
        </w:rPr>
        <w:t>The information required by this Item 12 will be included in our definitive proxy statement to be filed with the SEC with respect to our 2023 Annual Meeting of Stockholders and is incorporated herein by reference.</w:t>
      </w:r>
    </w:p>
    <w:p>
      <w:pPr>
        <w:pStyle w:val="TextBody"/>
        <w:spacing w:before="0" w:after="0"/>
        <w:ind w:left="0" w:right="0" w:hanging="0"/>
        <w:rPr/>
      </w:pPr>
      <w:r>
        <w:rPr/>
        <w:t>​</w:t>
      </w:r>
    </w:p>
    <w:p>
      <w:pPr>
        <w:pStyle w:val="TextBody"/>
        <w:spacing w:before="0" w:after="160"/>
        <w:ind w:left="0" w:right="0" w:hanging="0"/>
        <w:jc w:val="both"/>
        <w:rPr>
          <w:rFonts w:ascii="Times New Roman;Times;serif" w:hAnsi="Times New Roman;Times;serif"/>
          <w:b/>
          <w:sz w:val="20"/>
        </w:rPr>
      </w:pPr>
      <w:bookmarkStart w:id="1066" w:name="Item13_CertainRelationshipsAndRelatedTra"/>
      <w:bookmarkStart w:id="1067" w:name="_31c47204_5a89_4b09_a20d_6cc8add91254"/>
      <w:bookmarkEnd w:id="1066"/>
      <w:bookmarkEnd w:id="1067"/>
      <w:r>
        <w:rPr>
          <w:rFonts w:ascii="Times New Roman;Times;serif" w:hAnsi="Times New Roman;Times;serif"/>
          <w:b/>
          <w:sz w:val="20"/>
        </w:rPr>
        <w:t>Item 13. Certain Relationships and Related Transactions, and Director Independence</w:t>
      </w:r>
    </w:p>
    <w:p>
      <w:pPr>
        <w:pStyle w:val="TextBody"/>
        <w:spacing w:lineRule="auto" w:line="292" w:before="169" w:after="240"/>
        <w:ind w:left="0" w:right="0" w:firstLine="399"/>
        <w:jc w:val="both"/>
        <w:rPr>
          <w:rFonts w:ascii="Times New Roman;Times;serif" w:hAnsi="Times New Roman;Times;serif"/>
          <w:sz w:val="20"/>
        </w:rPr>
      </w:pPr>
      <w:r>
        <w:rPr>
          <w:rFonts w:ascii="Times New Roman;Times;serif" w:hAnsi="Times New Roman;Times;serif"/>
          <w:sz w:val="20"/>
        </w:rPr>
        <w:t>The information required by this Item 13 will be included in our definitive proxy statement to be filed with the SEC with respect to our 2023 Annual Meeting of Stockholders and is incorporated herein by reference.</w:t>
      </w:r>
    </w:p>
    <w:p>
      <w:pPr>
        <w:pStyle w:val="TextBody"/>
        <w:spacing w:before="0" w:after="160"/>
        <w:ind w:left="0" w:right="0" w:hanging="0"/>
        <w:jc w:val="both"/>
        <w:rPr>
          <w:rFonts w:ascii="Times New Roman;Times;serif" w:hAnsi="Times New Roman;Times;serif"/>
          <w:sz w:val="20"/>
        </w:rPr>
      </w:pPr>
      <w:bookmarkStart w:id="1068" w:name="Item14_PrincipalAccountantFeesAndService"/>
      <w:bookmarkStart w:id="1069" w:name="_362a2458_f4ec_471a_8a98_e60ffef1e567"/>
      <w:bookmarkEnd w:id="1068"/>
      <w:bookmarkEnd w:id="1069"/>
      <w:r>
        <w:rPr>
          <w:rFonts w:ascii="Times New Roman;Times;serif" w:hAnsi="Times New Roman;Times;serif"/>
          <w:b/>
          <w:sz w:val="20"/>
        </w:rPr>
        <w:t>Item 14. Principal Accountant Fees and Services</w:t>
      </w:r>
      <w:r>
        <w:rPr>
          <w:rFonts w:ascii="Times New Roman;Times;serif" w:hAnsi="Times New Roman;Times;serif"/>
          <w:sz w:val="20"/>
        </w:rPr>
        <w:t xml:space="preserve"> (KPMG LLP, Short Hills, NJ, PCAOB Auditor ID: 185)</w:t>
      </w:r>
    </w:p>
    <w:p>
      <w:pPr>
        <w:pStyle w:val="TextBody"/>
        <w:spacing w:lineRule="auto" w:line="292" w:before="169" w:after="0"/>
        <w:ind w:left="0" w:right="0" w:firstLine="399"/>
        <w:jc w:val="both"/>
        <w:rPr>
          <w:rFonts w:ascii="Times New Roman;Times;serif" w:hAnsi="Times New Roman;Times;serif"/>
          <w:sz w:val="20"/>
        </w:rPr>
      </w:pPr>
      <w:r>
        <w:rPr>
          <w:rFonts w:ascii="Times New Roman;Times;serif" w:hAnsi="Times New Roman;Times;serif"/>
          <w:sz w:val="20"/>
        </w:rPr>
        <w:t>The information required by this Item 14 will be included in our definitive proxy statement to be filed with the SEC with respect to our 2023 Annual Meeting of Stockholders and is incorporated herein by reference.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jc w:val="center"/>
        <w:rPr>
          <w:rFonts w:ascii="Times New Roman;Times;serif" w:hAnsi="Times New Roman;Times;serif"/>
          <w:b/>
          <w:sz w:val="20"/>
        </w:rPr>
      </w:pPr>
      <w:bookmarkStart w:id="1070" w:name="PartIV_260196"/>
      <w:bookmarkStart w:id="1071" w:name="_6e008853_9793_4f01_8ba4_5c1ac8325c4d"/>
      <w:bookmarkEnd w:id="1070"/>
      <w:bookmarkEnd w:id="1071"/>
      <w:r>
        <w:rPr>
          <w:rFonts w:ascii="Times New Roman;Times;serif" w:hAnsi="Times New Roman;Times;serif"/>
          <w:b/>
          <w:sz w:val="20"/>
        </w:rPr>
        <w:t xml:space="preserve">Part IV. </w:t>
      </w:r>
    </w:p>
    <w:p>
      <w:pPr>
        <w:pStyle w:val="TextBody"/>
        <w:spacing w:before="0" w:after="160"/>
        <w:ind w:left="0" w:right="0" w:hanging="0"/>
        <w:jc w:val="both"/>
        <w:rPr>
          <w:rFonts w:ascii="Times New Roman;Times;serif" w:hAnsi="Times New Roman;Times;serif"/>
          <w:b/>
          <w:sz w:val="20"/>
        </w:rPr>
      </w:pPr>
      <w:bookmarkStart w:id="1072" w:name="Item15Exhibits_Financial_Statement"/>
      <w:bookmarkStart w:id="1073" w:name="_1f7aaae5_dc2a_4c5b_b868_7ce9e1e5e939"/>
      <w:bookmarkEnd w:id="1072"/>
      <w:bookmarkEnd w:id="1073"/>
      <w:r>
        <w:rPr>
          <w:rFonts w:ascii="Times New Roman;Times;serif" w:hAnsi="Times New Roman;Times;serif"/>
          <w:b/>
          <w:sz w:val="20"/>
        </w:rPr>
        <w:t xml:space="preserve">Item 15. Exhibits, Financial Statement Schedules </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15(a)(1) Financial Statements. The following consolidated financial statements, related notes, report of independent registered public accounting firm and supplementary data are set forth in Item 8. Financial Statements and Supplementary Data in this annual report: </w:t>
      </w:r>
    </w:p>
    <w:p>
      <w:pPr>
        <w:pStyle w:val="TextBody"/>
        <w:spacing w:before="0" w:after="160"/>
        <w:ind w:left="0" w:right="0" w:hanging="0"/>
        <w:jc w:val="both"/>
        <w:rPr/>
      </w:pPr>
      <w:r>
        <w:rPr/>
        <w:t xml:space="preserve">• </w:t>
      </w:r>
      <w:r>
        <w:rPr>
          <w:rFonts w:ascii="Times New Roman;Times;serif" w:hAnsi="Times New Roman;Times;serif"/>
          <w:sz w:val="20"/>
        </w:rPr>
        <w:t xml:space="preserve">Report of Independent Registered Public Accounting Firm on the Consolidated Financial Statements </w:t>
      </w:r>
    </w:p>
    <w:p>
      <w:pPr>
        <w:pStyle w:val="TextBody"/>
        <w:spacing w:before="0" w:after="160"/>
        <w:ind w:left="0" w:right="0" w:hanging="0"/>
        <w:jc w:val="both"/>
        <w:rPr/>
      </w:pPr>
      <w:r>
        <w:rPr/>
        <w:t xml:space="preserve">• </w:t>
      </w:r>
      <w:r>
        <w:rPr>
          <w:rFonts w:ascii="Times New Roman;Times;serif" w:hAnsi="Times New Roman;Times;serif"/>
          <w:sz w:val="20"/>
        </w:rPr>
        <w:t>Consolidated Balance Sheets</w:t>
      </w:r>
    </w:p>
    <w:p>
      <w:pPr>
        <w:pStyle w:val="TextBody"/>
        <w:spacing w:before="0" w:after="160"/>
        <w:ind w:left="0" w:right="0" w:hanging="0"/>
        <w:jc w:val="both"/>
        <w:rPr/>
      </w:pPr>
      <w:r>
        <w:rPr/>
        <w:t xml:space="preserve">• </w:t>
      </w:r>
      <w:r>
        <w:rPr>
          <w:rFonts w:ascii="Times New Roman;Times;serif" w:hAnsi="Times New Roman;Times;serif"/>
          <w:sz w:val="20"/>
        </w:rPr>
        <w:t>Consolidated Statement of Operations</w:t>
      </w:r>
    </w:p>
    <w:p>
      <w:pPr>
        <w:pStyle w:val="TextBody"/>
        <w:spacing w:before="0" w:after="160"/>
        <w:ind w:left="0" w:right="0" w:hanging="0"/>
        <w:jc w:val="both"/>
        <w:rPr/>
      </w:pPr>
      <w:r>
        <w:rPr/>
        <w:t xml:space="preserve">• </w:t>
      </w:r>
      <w:r>
        <w:rPr>
          <w:rFonts w:ascii="Times New Roman;Times;serif" w:hAnsi="Times New Roman;Times;serif"/>
          <w:sz w:val="20"/>
        </w:rPr>
        <w:t>Consolidated Statements of Stockholders’ Equity (Deficit)</w:t>
      </w:r>
    </w:p>
    <w:p>
      <w:pPr>
        <w:pStyle w:val="TextBody"/>
        <w:spacing w:before="0" w:after="160"/>
        <w:ind w:left="0" w:right="0" w:hanging="0"/>
        <w:jc w:val="both"/>
        <w:rPr/>
      </w:pPr>
      <w:r>
        <w:rPr/>
        <w:t xml:space="preserve">• </w:t>
      </w:r>
      <w:r>
        <w:rPr>
          <w:rFonts w:ascii="Times New Roman;Times;serif" w:hAnsi="Times New Roman;Times;serif"/>
          <w:sz w:val="20"/>
        </w:rPr>
        <w:t>Consolidated Statements of Cash Flows</w:t>
      </w:r>
    </w:p>
    <w:p>
      <w:pPr>
        <w:pStyle w:val="TextBody"/>
        <w:spacing w:before="0" w:after="160"/>
        <w:ind w:left="0" w:right="0" w:hanging="0"/>
        <w:jc w:val="both"/>
        <w:rPr/>
      </w:pPr>
      <w:r>
        <w:rPr/>
        <w:t xml:space="preserve">• </w:t>
      </w:r>
      <w:r>
        <w:rPr>
          <w:rFonts w:ascii="Times New Roman;Times;serif" w:hAnsi="Times New Roman;Times;serif"/>
          <w:sz w:val="20"/>
        </w:rPr>
        <w:t xml:space="preserve">Notes to Consolidated Financial Statements </w:t>
      </w:r>
    </w:p>
    <w:p>
      <w:pPr>
        <w:pStyle w:val="TextBody"/>
        <w:spacing w:before="0" w:after="160"/>
        <w:ind w:left="0" w:right="0" w:hanging="0"/>
        <w:jc w:val="both"/>
        <w:rPr>
          <w:rFonts w:ascii="Times New Roman;Times;serif" w:hAnsi="Times New Roman;Times;serif"/>
          <w:sz w:val="20"/>
        </w:rPr>
      </w:pPr>
      <w:r>
        <w:rPr>
          <w:rFonts w:ascii="Times New Roman;Times;serif" w:hAnsi="Times New Roman;Times;serif"/>
          <w:sz w:val="20"/>
        </w:rPr>
        <w:t>15(a)(2) Financial Statement Schedules. Schedules are omitted because they are not required or because the information is provided elsewhere in the financial statements. The financial statements of unconsolidated subsidiaries are omitted because, considered in the aggregate, they would not constitute a significant subsidiary.</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925"/>
        <w:gridCol w:w="206"/>
        <w:gridCol w:w="5751"/>
        <w:gridCol w:w="534"/>
        <w:gridCol w:w="631"/>
        <w:gridCol w:w="676"/>
        <w:gridCol w:w="781"/>
        <w:gridCol w:w="109"/>
        <w:gridCol w:w="109"/>
        <w:gridCol w:w="109"/>
        <w:gridCol w:w="109"/>
        <w:gridCol w:w="109"/>
        <w:gridCol w:w="156"/>
      </w:tblGrid>
      <w:tr>
        <w:trPr/>
        <w:tc>
          <w:tcPr>
            <w:tcW w:w="925" w:type="dxa"/>
            <w:tcBorders/>
            <w:shd w:fill="auto" w:val="clear"/>
            <w:vAlign w:val="center"/>
          </w:tcPr>
          <w:p>
            <w:pPr>
              <w:pStyle w:val="TableHeading"/>
              <w:spacing w:lineRule="auto" w:line="300" w:before="0" w:after="0"/>
              <w:ind w:left="0" w:right="0" w:hanging="0"/>
              <w:jc w:val="left"/>
              <w:rPr/>
            </w:pPr>
            <w:r>
              <w:rPr/>
              <w:t>​</w:t>
            </w:r>
          </w:p>
        </w:tc>
        <w:tc>
          <w:tcPr>
            <w:tcW w:w="206" w:type="dxa"/>
            <w:tcBorders/>
            <w:shd w:fill="auto" w:val="clear"/>
            <w:vAlign w:val="center"/>
          </w:tcPr>
          <w:p>
            <w:pPr>
              <w:pStyle w:val="TableHeading"/>
              <w:spacing w:lineRule="auto" w:line="300" w:before="0" w:after="0"/>
              <w:ind w:left="0" w:right="0" w:hanging="0"/>
              <w:jc w:val="left"/>
              <w:rPr/>
            </w:pPr>
            <w:r>
              <w:rPr/>
              <w:t>​</w:t>
            </w:r>
          </w:p>
        </w:tc>
        <w:tc>
          <w:tcPr>
            <w:tcW w:w="5751" w:type="dxa"/>
            <w:tcBorders/>
            <w:shd w:fill="auto" w:val="clear"/>
            <w:vAlign w:val="center"/>
          </w:tcPr>
          <w:p>
            <w:pPr>
              <w:pStyle w:val="TableHeading"/>
              <w:spacing w:lineRule="auto" w:line="300" w:before="0" w:after="0"/>
              <w:ind w:left="0" w:right="0" w:hanging="0"/>
              <w:jc w:val="both"/>
              <w:rPr/>
            </w:pPr>
            <w:r>
              <w:rPr/>
              <w:t>​</w:t>
            </w:r>
          </w:p>
        </w:tc>
        <w:tc>
          <w:tcPr>
            <w:tcW w:w="2622" w:type="dxa"/>
            <w:gridSpan w:val="4"/>
            <w:tcBorders>
              <w:bottom w:val="single" w:sz="2" w:space="0" w:color="000000"/>
            </w:tcBorders>
            <w:shd w:fill="auto" w:val="clear"/>
            <w:tcMar>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 Exhibit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206" w:type="dxa"/>
            <w:tcBorders/>
            <w:shd w:fill="auto" w:val="clear"/>
            <w:vAlign w:val="center"/>
          </w:tcPr>
          <w:p>
            <w:pPr>
              <w:pStyle w:val="TableHeading"/>
              <w:spacing w:lineRule="auto" w:line="300" w:before="0" w:after="0"/>
              <w:ind w:left="0" w:right="0" w:hanging="0"/>
              <w:jc w:val="left"/>
              <w:rPr/>
            </w:pPr>
            <w:r>
              <w:rPr/>
              <w:t>​</w:t>
            </w:r>
          </w:p>
        </w:tc>
        <w:tc>
          <w:tcPr>
            <w:tcW w:w="5751"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c>
          <w:tcPr>
            <w:tcW w:w="534"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631"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676"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781"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File</w:t>
              <w:br/>
              <w:t>Herewith</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top w:val="single" w:sz="2" w:space="0" w:color="000000"/>
            </w:tcBorders>
            <w:shd w:fill="auto" w:val="clear"/>
            <w:tcMar>
              <w:top w:w="28" w:type="dxa"/>
            </w:tcM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top w:val="single" w:sz="2" w:space="0" w:color="000000"/>
            </w:tcBorders>
            <w:shd w:fill="auto" w:val="clear"/>
            <w:tcMar>
              <w:top w:w="28" w:type="dxa"/>
            </w:tcMar>
            <w:vAlign w:val="center"/>
          </w:tcPr>
          <w:p>
            <w:pPr>
              <w:pStyle w:val="TableContents"/>
              <w:spacing w:lineRule="auto" w:line="300" w:before="0" w:after="0"/>
              <w:ind w:left="0" w:right="0" w:hanging="0"/>
              <w:jc w:val="both"/>
              <w:rPr/>
            </w:pPr>
            <w:r>
              <w:rPr/>
              <w:t>​</w:t>
            </w:r>
          </w:p>
        </w:tc>
        <w:tc>
          <w:tcPr>
            <w:tcW w:w="534" w:type="dxa"/>
            <w:tcBorders>
              <w:top w:val="single" w:sz="2" w:space="0" w:color="000000"/>
            </w:tcBorders>
            <w:shd w:fill="auto" w:val="clear"/>
            <w:tcMar>
              <w:top w:w="28" w:type="dxa"/>
            </w:tcMar>
            <w:vAlign w:val="center"/>
          </w:tcPr>
          <w:p>
            <w:pPr>
              <w:pStyle w:val="TableContents"/>
              <w:spacing w:lineRule="auto" w:line="300" w:before="0" w:after="0"/>
              <w:ind w:left="0" w:right="0" w:hanging="0"/>
              <w:rPr/>
            </w:pPr>
            <w:r>
              <w:rPr/>
              <w:t>​</w:t>
            </w:r>
          </w:p>
        </w:tc>
        <w:tc>
          <w:tcPr>
            <w:tcW w:w="631" w:type="dxa"/>
            <w:tcBorders>
              <w:top w:val="single" w:sz="2" w:space="0" w:color="000000"/>
            </w:tcBorders>
            <w:shd w:fill="auto" w:val="clear"/>
            <w:tcMar>
              <w:top w:w="28" w:type="dxa"/>
            </w:tcMar>
            <w:vAlign w:val="center"/>
          </w:tcPr>
          <w:p>
            <w:pPr>
              <w:pStyle w:val="TableContents"/>
              <w:spacing w:lineRule="auto" w:line="300" w:before="0" w:after="0"/>
              <w:ind w:left="0" w:right="0" w:hanging="0"/>
              <w:rPr/>
            </w:pPr>
            <w:r>
              <w:rPr/>
              <w:t>​</w:t>
            </w:r>
          </w:p>
        </w:tc>
        <w:tc>
          <w:tcPr>
            <w:tcW w:w="676" w:type="dxa"/>
            <w:tcBorders>
              <w:top w:val="single" w:sz="2" w:space="0" w:color="000000"/>
            </w:tcBorders>
            <w:shd w:fill="auto" w:val="clear"/>
            <w:tcMar>
              <w:top w:w="28" w:type="dxa"/>
            </w:tcMar>
            <w:vAlign w:val="center"/>
          </w:tcPr>
          <w:p>
            <w:pPr>
              <w:pStyle w:val="TableContents"/>
              <w:spacing w:lineRule="auto" w:line="300" w:before="0" w:after="0"/>
              <w:ind w:left="0" w:right="0" w:hanging="0"/>
              <w:rPr/>
            </w:pPr>
            <w:r>
              <w:rPr/>
              <w:t>​</w:t>
            </w:r>
          </w:p>
        </w:tc>
        <w:tc>
          <w:tcPr>
            <w:tcW w:w="781" w:type="dxa"/>
            <w:tcBorders>
              <w:top w:val="single" w:sz="2" w:space="0" w:color="000000"/>
            </w:tcBorders>
            <w:shd w:fill="auto" w:val="clear"/>
            <w:tcMar>
              <w:top w:w="28" w:type="dxa"/>
            </w:tcMar>
            <w:vAlign w:val="center"/>
          </w:tcPr>
          <w:p>
            <w:pPr>
              <w:pStyle w:val="TableContents"/>
              <w:spacing w:lineRule="auto" w:line="300" w:before="0" w:after="0"/>
              <w:ind w:left="0" w:right="0" w:hanging="0"/>
              <w:jc w:val="center"/>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3.1</w:t>
            </w:r>
          </w:p>
        </w:tc>
        <w:tc>
          <w:tcPr>
            <w:tcW w:w="206" w:type="dxa"/>
            <w:tcBorders/>
            <w:shd w:fill="auto" w:val="clear"/>
            <w:vAlign w:val="center"/>
          </w:tcPr>
          <w:p>
            <w:pPr>
              <w:pStyle w:val="TableContents"/>
              <w:spacing w:lineRule="auto" w:line="300" w:before="0" w:after="0"/>
              <w:ind w:left="0" w:right="0" w:hanging="0"/>
              <w:rPr/>
            </w:pPr>
            <w:r>
              <w:rPr/>
              <w:t>  </w:t>
            </w:r>
          </w:p>
        </w:tc>
        <w:tc>
          <w:tcPr>
            <w:tcW w:w="5751" w:type="dxa"/>
            <w:tcBorders/>
            <w:shd w:fill="auto" w:val="clear"/>
            <w:vAlign w:val="center"/>
          </w:tcPr>
          <w:p>
            <w:pPr>
              <w:pStyle w:val="TableContents"/>
              <w:spacing w:lineRule="auto" w:line="300" w:before="0" w:after="0"/>
              <w:ind w:left="0" w:right="0" w:hanging="0"/>
              <w:jc w:val="both"/>
              <w:rPr/>
            </w:pPr>
            <w:hyperlink r:id="rId13">
              <w:r>
                <w:rPr>
                  <w:rStyle w:val="InternetLink"/>
                  <w:rFonts w:ascii="Times New Roman;Times;serif" w:hAnsi="Times New Roman;Times;serif"/>
                  <w:b w:val="false"/>
                  <w:i w:val="false"/>
                  <w:caps w:val="false"/>
                  <w:smallCaps w:val="false"/>
                  <w:sz w:val="20"/>
                </w:rPr>
                <w:t>Second Amended and Restated Certificate of Incorporation</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3.1</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05/28/2021</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r>
              <w:rPr/>
              <w:t>​</w:t>
            </w:r>
          </w:p>
        </w:tc>
        <w:tc>
          <w:tcPr>
            <w:tcW w:w="534"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76" w:type="dxa"/>
            <w:tcBorders/>
            <w:shd w:fill="auto" w:val="clear"/>
            <w:vAlign w:val="center"/>
          </w:tcPr>
          <w:p>
            <w:pPr>
              <w:pStyle w:val="TableContents"/>
              <w:spacing w:lineRule="auto" w:line="300" w:before="0" w:after="0"/>
              <w:ind w:left="0" w:right="0" w:hanging="0"/>
              <w:rPr/>
            </w:pPr>
            <w:r>
              <w:rPr/>
              <w:t>​</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3.2</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14">
              <w:r>
                <w:rPr>
                  <w:rStyle w:val="InternetLink"/>
                  <w:rFonts w:ascii="Times New Roman;Times;serif" w:hAnsi="Times New Roman;Times;serif"/>
                  <w:b w:val="false"/>
                  <w:i w:val="false"/>
                  <w:caps w:val="false"/>
                  <w:smallCaps w:val="false"/>
                  <w:sz w:val="20"/>
                </w:rPr>
                <w:t>Second Amended and Restated By-Laws</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3.2</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05/28/2021</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r>
              <w:rPr/>
              <w:t>​</w:t>
            </w:r>
          </w:p>
        </w:tc>
        <w:tc>
          <w:tcPr>
            <w:tcW w:w="534"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76" w:type="dxa"/>
            <w:tcBorders/>
            <w:shd w:fill="auto" w:val="clear"/>
            <w:vAlign w:val="center"/>
          </w:tcPr>
          <w:p>
            <w:pPr>
              <w:pStyle w:val="TableContents"/>
              <w:spacing w:lineRule="auto" w:line="300" w:before="0" w:after="0"/>
              <w:ind w:left="0" w:right="0" w:hanging="0"/>
              <w:rPr/>
            </w:pPr>
            <w:r>
              <w:rPr/>
              <w:t>​</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vMerge w:val="restart"/>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4.1</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vMerge w:val="restart"/>
            <w:tcBorders/>
            <w:shd w:fill="auto" w:val="clear"/>
            <w:vAlign w:val="center"/>
          </w:tcPr>
          <w:p>
            <w:pPr>
              <w:pStyle w:val="TableContents"/>
              <w:spacing w:lineRule="auto" w:line="300" w:before="0" w:after="0"/>
              <w:ind w:left="0" w:right="0" w:hanging="0"/>
              <w:jc w:val="both"/>
              <w:rPr/>
            </w:pPr>
            <w:hyperlink r:id="rId15">
              <w:r>
                <w:rPr>
                  <w:rStyle w:val="InternetLink"/>
                  <w:rFonts w:ascii="Times New Roman;Times;serif" w:hAnsi="Times New Roman;Times;serif"/>
                  <w:b w:val="false"/>
                  <w:i w:val="false"/>
                  <w:caps w:val="false"/>
                  <w:smallCaps w:val="false"/>
                  <w:sz w:val="20"/>
                </w:rPr>
                <w:t>Warrant Agreement, dated as of November 20, 2017, by and between BRPA and Continental Stock Transfer &amp; Trust Company</w:t>
              </w:r>
            </w:hyperlink>
          </w:p>
        </w:tc>
        <w:tc>
          <w:tcPr>
            <w:tcW w:w="534" w:type="dxa"/>
            <w:vMerge w:val="restart"/>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vMerge w:val="restart"/>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4.2</w:t>
            </w:r>
          </w:p>
        </w:tc>
        <w:tc>
          <w:tcPr>
            <w:tcW w:w="676" w:type="dxa"/>
            <w:vMerge w:val="restart"/>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11/22/2017</w:t>
            </w:r>
          </w:p>
        </w:tc>
        <w:tc>
          <w:tcPr>
            <w:tcW w:w="781" w:type="dxa"/>
            <w:vMerge w:val="restart"/>
            <w:tcBorders/>
            <w:shd w:fill="auto" w:val="clear"/>
            <w:vAlign w:val="center"/>
          </w:tcPr>
          <w:p>
            <w:pPr>
              <w:pStyle w:val="TableContents"/>
              <w:spacing w:lineRule="auto" w:line="300" w:before="0" w:after="0"/>
              <w:ind w:left="0" w:right="0" w:hanging="0"/>
              <w:jc w:val="center"/>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vMerge w:val="continue"/>
            <w:tcBorders/>
            <w:shd w:fill="auto" w:val="clear"/>
            <w:vAlign w:val="center"/>
          </w:tcPr>
          <w:p>
            <w:pPr>
              <w:pStyle w:val="Normal"/>
              <w:rPr/>
            </w:pPr>
            <w:r>
              <w:rPr/>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vMerge w:val="continue"/>
            <w:tcBorders/>
            <w:shd w:fill="auto" w:val="clear"/>
            <w:vAlign w:val="center"/>
          </w:tcPr>
          <w:p>
            <w:pPr>
              <w:pStyle w:val="Normal"/>
              <w:rPr/>
            </w:pPr>
            <w:r>
              <w:rPr/>
            </w:r>
          </w:p>
        </w:tc>
        <w:tc>
          <w:tcPr>
            <w:tcW w:w="534" w:type="dxa"/>
            <w:vMerge w:val="continue"/>
            <w:tcBorders/>
            <w:shd w:fill="auto" w:val="clear"/>
            <w:vAlign w:val="center"/>
          </w:tcPr>
          <w:p>
            <w:pPr>
              <w:pStyle w:val="Normal"/>
              <w:rPr/>
            </w:pPr>
            <w:r>
              <w:rPr/>
            </w:r>
          </w:p>
        </w:tc>
        <w:tc>
          <w:tcPr>
            <w:tcW w:w="631" w:type="dxa"/>
            <w:vMerge w:val="continue"/>
            <w:tcBorders/>
            <w:shd w:fill="auto" w:val="clear"/>
            <w:vAlign w:val="center"/>
          </w:tcPr>
          <w:p>
            <w:pPr>
              <w:pStyle w:val="Normal"/>
              <w:rPr/>
            </w:pPr>
            <w:r>
              <w:rPr/>
            </w:r>
          </w:p>
        </w:tc>
        <w:tc>
          <w:tcPr>
            <w:tcW w:w="676" w:type="dxa"/>
            <w:vMerge w:val="continue"/>
            <w:tcBorders/>
            <w:shd w:fill="auto" w:val="clear"/>
            <w:vAlign w:val="center"/>
          </w:tcPr>
          <w:p>
            <w:pPr>
              <w:pStyle w:val="Normal"/>
              <w:rPr/>
            </w:pPr>
            <w:r>
              <w:rPr/>
            </w:r>
          </w:p>
        </w:tc>
        <w:tc>
          <w:tcPr>
            <w:tcW w:w="78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 w:type="dxa"/>
            <w:tcBorders/>
            <w:shd w:fill="auto" w:val="clear"/>
            <w:vAlign w:val="center"/>
          </w:tcPr>
          <w:p>
            <w:pPr>
              <w:pStyle w:val="TableContents"/>
              <w:spacing w:before="0" w:after="283"/>
              <w:ind w:left="0" w:right="0" w:hanging="0"/>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4.2</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Unit Purchase Option, dated November 20, 2017, with EarlyBirdCapital, Inc. and its designees</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4.3</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11/22/2017</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r>
              <w:rPr/>
              <w:t>​</w:t>
            </w:r>
          </w:p>
        </w:tc>
        <w:tc>
          <w:tcPr>
            <w:tcW w:w="534"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76" w:type="dxa"/>
            <w:tcBorders/>
            <w:shd w:fill="auto" w:val="clear"/>
            <w:vAlign w:val="center"/>
          </w:tcPr>
          <w:p>
            <w:pPr>
              <w:pStyle w:val="TableContents"/>
              <w:spacing w:lineRule="auto" w:line="300" w:before="0" w:after="0"/>
              <w:ind w:left="0" w:right="0" w:hanging="0"/>
              <w:rPr/>
            </w:pPr>
            <w:r>
              <w:rPr/>
              <w:t>​</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4.3</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17">
              <w:r>
                <w:rPr>
                  <w:rStyle w:val="InternetLink"/>
                  <w:rFonts w:ascii="Times New Roman;Times;serif" w:hAnsi="Times New Roman;Times;serif"/>
                  <w:b w:val="false"/>
                  <w:i w:val="false"/>
                  <w:caps w:val="false"/>
                  <w:smallCaps w:val="false"/>
                  <w:sz w:val="20"/>
                </w:rPr>
                <w:t>Common Stock Purchase Warrant, dated March 9, 2023 by and between NRX Pharmaceuticals, Inc. and Purchasers</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8-K/A</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4.1</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03/14/2023</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5751" w:type="dxa"/>
            <w:tcBorders/>
            <w:shd w:fill="auto" w:val="clear"/>
            <w:vAlign w:val="center"/>
          </w:tcPr>
          <w:p>
            <w:pPr>
              <w:pStyle w:val="TableContents"/>
              <w:spacing w:before="0" w:after="0"/>
              <w:ind w:left="0" w:right="0" w:hanging="0"/>
              <w:jc w:val="both"/>
              <w:rPr/>
            </w:pPr>
            <w:r>
              <w:rPr/>
              <w:t>​</w:t>
            </w:r>
          </w:p>
        </w:tc>
        <w:tc>
          <w:tcPr>
            <w:tcW w:w="53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18">
              <w:r>
                <w:rPr>
                  <w:rStyle w:val="InternetLink"/>
                  <w:rFonts w:ascii="Times New Roman;Times;serif" w:hAnsi="Times New Roman;Times;serif"/>
                  <w:b w:val="false"/>
                  <w:i w:val="false"/>
                  <w:caps w:val="false"/>
                  <w:smallCaps w:val="false"/>
                  <w:sz w:val="20"/>
                </w:rPr>
                <w:t>Form of Securities Purchase Agreement, dated as of August 19, 2021, by and among the Company and the Selling Securityholders.</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08/24/2021</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r>
              <w:rPr/>
              <w:t>​</w:t>
            </w:r>
          </w:p>
        </w:tc>
        <w:tc>
          <w:tcPr>
            <w:tcW w:w="534"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76" w:type="dxa"/>
            <w:tcBorders/>
            <w:shd w:fill="auto" w:val="clear"/>
            <w:vAlign w:val="center"/>
          </w:tcPr>
          <w:p>
            <w:pPr>
              <w:pStyle w:val="TableContents"/>
              <w:spacing w:lineRule="auto" w:line="300" w:before="0" w:after="0"/>
              <w:ind w:left="0" w:right="0" w:hanging="0"/>
              <w:rPr/>
            </w:pPr>
            <w:r>
              <w:rPr/>
              <w:t>​</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19">
              <w:r>
                <w:rPr>
                  <w:rStyle w:val="InternetLink"/>
                  <w:rFonts w:ascii="Times New Roman;Times;serif" w:hAnsi="Times New Roman;Times;serif"/>
                  <w:b w:val="false"/>
                  <w:i w:val="false"/>
                  <w:caps w:val="false"/>
                  <w:smallCaps w:val="false"/>
                  <w:sz w:val="20"/>
                </w:rPr>
                <w:t>Form of Preferred Investment Options, dated as of August 23, 2021, by and among the Company and the Selling Securityholders.</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08/24/2021</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r>
              <w:rPr/>
              <w:t>​</w:t>
            </w:r>
          </w:p>
        </w:tc>
        <w:tc>
          <w:tcPr>
            <w:tcW w:w="534"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76" w:type="dxa"/>
            <w:tcBorders/>
            <w:shd w:fill="auto" w:val="clear"/>
            <w:vAlign w:val="center"/>
          </w:tcPr>
          <w:p>
            <w:pPr>
              <w:pStyle w:val="TableContents"/>
              <w:spacing w:lineRule="auto" w:line="300" w:before="0" w:after="0"/>
              <w:ind w:left="0" w:right="0" w:hanging="0"/>
              <w:rPr/>
            </w:pPr>
            <w:r>
              <w:rPr/>
              <w:t>​</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20">
              <w:r>
                <w:rPr>
                  <w:rStyle w:val="InternetLink"/>
                  <w:rFonts w:ascii="Times New Roman;Times;serif" w:hAnsi="Times New Roman;Times;serif"/>
                  <w:b w:val="false"/>
                  <w:i w:val="false"/>
                  <w:caps w:val="false"/>
                  <w:smallCaps w:val="false"/>
                  <w:sz w:val="20"/>
                </w:rPr>
                <w:t>Form of Registration Rights Agreement, dated as of August 19, 2021, by and among the Company and the Selling Securityholders.</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08/24/2021</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r>
              <w:rPr/>
              <w:t>​</w:t>
            </w:r>
          </w:p>
        </w:tc>
        <w:tc>
          <w:tcPr>
            <w:tcW w:w="534"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76" w:type="dxa"/>
            <w:tcBorders/>
            <w:shd w:fill="auto" w:val="clear"/>
            <w:vAlign w:val="center"/>
          </w:tcPr>
          <w:p>
            <w:pPr>
              <w:pStyle w:val="TableContents"/>
              <w:spacing w:lineRule="auto" w:line="300" w:before="0" w:after="0"/>
              <w:ind w:left="0" w:right="0" w:hanging="0"/>
              <w:rPr/>
            </w:pPr>
            <w:r>
              <w:rPr/>
              <w:t>​</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21">
              <w:r>
                <w:rPr>
                  <w:rStyle w:val="InternetLink"/>
                  <w:rFonts w:ascii="Times New Roman;Times;serif" w:hAnsi="Times New Roman;Times;serif"/>
                  <w:b w:val="false"/>
                  <w:i w:val="false"/>
                  <w:caps w:val="false"/>
                  <w:smallCaps w:val="false"/>
                  <w:sz w:val="20"/>
                </w:rPr>
                <w:t>Form of Lock-Up Agreement, dated as of August 19, 2021, by and among the Company, Jonathan Javitt and Daniel Javitt.</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08/24/2021</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r>
              <w:rPr/>
              <w:t>​</w:t>
            </w:r>
          </w:p>
        </w:tc>
        <w:tc>
          <w:tcPr>
            <w:tcW w:w="534"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76" w:type="dxa"/>
            <w:tcBorders/>
            <w:shd w:fill="auto" w:val="clear"/>
            <w:vAlign w:val="center"/>
          </w:tcPr>
          <w:p>
            <w:pPr>
              <w:pStyle w:val="TableContents"/>
              <w:spacing w:lineRule="auto" w:line="300" w:before="0" w:after="0"/>
              <w:ind w:left="0" w:right="0" w:hanging="0"/>
              <w:rPr/>
            </w:pPr>
            <w:r>
              <w:rPr/>
              <w:t>​</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10.5</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22">
              <w:r>
                <w:rPr>
                  <w:rStyle w:val="InternetLink"/>
                  <w:rFonts w:ascii="Times New Roman;Times;serif" w:hAnsi="Times New Roman;Times;serif"/>
                  <w:b w:val="false"/>
                  <w:i w:val="false"/>
                  <w:caps w:val="false"/>
                  <w:smallCaps w:val="false"/>
                  <w:sz w:val="20"/>
                </w:rPr>
                <w:t>Stock Escrow Agreement, dated November 20, 2017, between BRPA, Big Rock Partners Sponsor, LLC and Continental Stock Transfer &amp; Trust Company</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11/22/2017</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pPr>
            <w:r>
              <w:rPr/>
              <w:t>​</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r>
              <w:rPr/>
              <w:t>​</w:t>
            </w:r>
          </w:p>
        </w:tc>
        <w:tc>
          <w:tcPr>
            <w:tcW w:w="534"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76" w:type="dxa"/>
            <w:tcBorders/>
            <w:shd w:fill="auto" w:val="clear"/>
            <w:vAlign w:val="center"/>
          </w:tcPr>
          <w:p>
            <w:pPr>
              <w:pStyle w:val="TableContents"/>
              <w:spacing w:lineRule="auto" w:line="300" w:before="0" w:after="0"/>
              <w:ind w:left="0" w:right="0" w:hanging="0"/>
              <w:rPr/>
            </w:pPr>
            <w:r>
              <w:rPr/>
              <w:t>​</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92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10.6</w:t>
            </w:r>
          </w:p>
        </w:tc>
        <w:tc>
          <w:tcPr>
            <w:tcW w:w="206" w:type="dxa"/>
            <w:tcBorders/>
            <w:shd w:fill="auto" w:val="clear"/>
            <w:vAlign w:val="center"/>
          </w:tcPr>
          <w:p>
            <w:pPr>
              <w:pStyle w:val="TableContents"/>
              <w:spacing w:lineRule="auto" w:line="300" w:before="0" w:after="0"/>
              <w:ind w:left="0" w:right="0" w:hanging="0"/>
              <w:rPr/>
            </w:pPr>
            <w:r>
              <w:rPr/>
              <w:t>​</w:t>
            </w:r>
          </w:p>
        </w:tc>
        <w:tc>
          <w:tcPr>
            <w:tcW w:w="5751" w:type="dxa"/>
            <w:tcBorders/>
            <w:shd w:fill="auto" w:val="clear"/>
            <w:vAlign w:val="center"/>
          </w:tcPr>
          <w:p>
            <w:pPr>
              <w:pStyle w:val="TableContents"/>
              <w:spacing w:lineRule="auto" w:line="300" w:before="0" w:after="0"/>
              <w:ind w:left="0" w:right="0" w:hanging="0"/>
              <w:jc w:val="both"/>
              <w:rPr/>
            </w:pPr>
            <w:hyperlink r:id="rId23">
              <w:r>
                <w:rPr>
                  <w:rStyle w:val="InternetLink"/>
                  <w:rFonts w:ascii="Times New Roman;Times;serif" w:hAnsi="Times New Roman;Times;serif"/>
                  <w:b w:val="false"/>
                  <w:i w:val="false"/>
                  <w:caps w:val="false"/>
                  <w:smallCaps w:val="false"/>
                  <w:sz w:val="20"/>
                </w:rPr>
                <w:t>Registration Rights Agreement among BRPA and Big Rock Partners Sponsor, LLC</w:t>
              </w:r>
            </w:hyperlink>
          </w:p>
        </w:tc>
        <w:tc>
          <w:tcPr>
            <w:tcW w:w="53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w:t>
            </w:r>
          </w:p>
        </w:tc>
        <w:tc>
          <w:tcPr>
            <w:tcW w:w="67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11/22/2017</w:t>
            </w:r>
          </w:p>
        </w:tc>
        <w:tc>
          <w:tcPr>
            <w:tcW w:w="781" w:type="dxa"/>
            <w:tcBorders/>
            <w:shd w:fill="auto" w:val="clear"/>
            <w:vAlign w:val="center"/>
          </w:tcPr>
          <w:p>
            <w:pPr>
              <w:pStyle w:val="TableContents"/>
              <w:spacing w:lineRule="auto" w:line="300" w:before="0" w:after="0"/>
              <w:ind w:left="0" w:right="0" w:hanging="0"/>
              <w:jc w:val="center"/>
              <w:rPr/>
            </w:pPr>
            <w:r>
              <w:rPr/>
              <w:t>​</w:t>
            </w:r>
          </w:p>
        </w:tc>
        <w:tc>
          <w:tcPr>
            <w:tcW w:w="701" w:type="dxa"/>
            <w:gridSpan w:val="6"/>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944"/>
        <w:gridCol w:w="109"/>
        <w:gridCol w:w="6493"/>
        <w:gridCol w:w="511"/>
        <w:gridCol w:w="631"/>
        <w:gridCol w:w="689"/>
        <w:gridCol w:w="828"/>
      </w:tblGrid>
      <w:tr>
        <w:trPr/>
        <w:tc>
          <w:tcPr>
            <w:tcW w:w="944" w:type="dxa"/>
            <w:tcBorders/>
            <w:shd w:fill="auto" w:val="clear"/>
            <w:vAlign w:val="center"/>
          </w:tcPr>
          <w:p>
            <w:pPr>
              <w:pStyle w:val="TableHeading"/>
              <w:spacing w:lineRule="auto" w:line="300" w:before="0" w:after="0"/>
              <w:ind w:left="0" w:right="0" w:hanging="0"/>
              <w:jc w:val="left"/>
              <w:rPr/>
            </w:pPr>
            <w:r>
              <w:rPr/>
              <w:t>​</w:t>
            </w:r>
          </w:p>
        </w:tc>
        <w:tc>
          <w:tcPr>
            <w:tcW w:w="109" w:type="dxa"/>
            <w:tcBorders/>
            <w:shd w:fill="auto" w:val="clear"/>
            <w:vAlign w:val="center"/>
          </w:tcPr>
          <w:p>
            <w:pPr>
              <w:pStyle w:val="TableHeading"/>
              <w:spacing w:lineRule="auto" w:line="300" w:before="0" w:after="0"/>
              <w:ind w:left="0" w:right="0" w:hanging="0"/>
              <w:jc w:val="left"/>
              <w:rPr/>
            </w:pPr>
            <w:r>
              <w:rPr/>
              <w:t>​</w:t>
            </w:r>
          </w:p>
        </w:tc>
        <w:tc>
          <w:tcPr>
            <w:tcW w:w="6493" w:type="dxa"/>
            <w:tcBorders/>
            <w:shd w:fill="auto" w:val="clear"/>
            <w:vAlign w:val="center"/>
          </w:tcPr>
          <w:p>
            <w:pPr>
              <w:pStyle w:val="TableHeading"/>
              <w:spacing w:lineRule="auto" w:line="300" w:before="0" w:after="0"/>
              <w:ind w:left="0" w:right="0" w:hanging="0"/>
              <w:jc w:val="both"/>
              <w:rPr/>
            </w:pPr>
            <w:r>
              <w:rPr/>
              <w:t>​</w:t>
            </w:r>
          </w:p>
        </w:tc>
        <w:tc>
          <w:tcPr>
            <w:tcW w:w="2659" w:type="dxa"/>
            <w:gridSpan w:val="4"/>
            <w:tcBorders>
              <w:bottom w:val="single" w:sz="2" w:space="0" w:color="000000"/>
            </w:tcBorders>
            <w:shd w:fill="auto" w:val="clear"/>
            <w:tcMar>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 Exhibit</w:t>
            </w:r>
          </w:p>
        </w:tc>
      </w:tr>
      <w:tr>
        <w:trPr/>
        <w:tc>
          <w:tcPr>
            <w:tcW w:w="944"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09" w:type="dxa"/>
            <w:tcBorders/>
            <w:shd w:fill="auto" w:val="clear"/>
            <w:vAlign w:val="center"/>
          </w:tcPr>
          <w:p>
            <w:pPr>
              <w:pStyle w:val="TableHeading"/>
              <w:spacing w:lineRule="auto" w:line="300" w:before="0" w:after="0"/>
              <w:ind w:left="0" w:right="0" w:hanging="0"/>
              <w:jc w:val="left"/>
              <w:rPr/>
            </w:pPr>
            <w:r>
              <w:rPr/>
              <w:t>​</w:t>
            </w:r>
          </w:p>
        </w:tc>
        <w:tc>
          <w:tcPr>
            <w:tcW w:w="6493"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c>
          <w:tcPr>
            <w:tcW w:w="511"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631"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689"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828"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File</w:t>
              <w:br/>
              <w:t>Herewith</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10.7</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24">
              <w:r>
                <w:rPr>
                  <w:rStyle w:val="InternetLink"/>
                  <w:rFonts w:ascii="Times New Roman;Times;serif" w:hAnsi="Times New Roman;Times;serif"/>
                  <w:b w:val="false"/>
                  <w:i w:val="false"/>
                  <w:caps w:val="false"/>
                  <w:smallCaps w:val="false"/>
                  <w:sz w:val="20"/>
                </w:rPr>
                <w:t>Agreement, dated November 17, 2018, among BRPA, Big Rock Partners Sponsor, LLC and BRAC Lending Group LLC</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11/20/2018</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10.8</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25">
              <w:r>
                <w:rPr>
                  <w:rStyle w:val="InternetLink"/>
                  <w:rFonts w:ascii="Times New Roman;Times;serif" w:hAnsi="Times New Roman;Times;serif"/>
                  <w:b w:val="false"/>
                  <w:i w:val="false"/>
                  <w:caps w:val="false"/>
                  <w:smallCaps w:val="false"/>
                  <w:sz w:val="20"/>
                </w:rPr>
                <w:t>Stock Escrow Agent Letter, dated November 17, 2018</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11/20/2018</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10.9</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26">
              <w:r>
                <w:rPr>
                  <w:rStyle w:val="InternetLink"/>
                  <w:rFonts w:ascii="Times New Roman;Times;serif" w:hAnsi="Times New Roman;Times;serif"/>
                  <w:b w:val="false"/>
                  <w:i w:val="false"/>
                  <w:caps w:val="false"/>
                  <w:smallCaps w:val="false"/>
                  <w:sz w:val="20"/>
                </w:rPr>
                <w:t>Registration Rights Assignment Agreement, dated November 17, 2018</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11/20/2018</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10.10</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27">
              <w:r>
                <w:rPr>
                  <w:rStyle w:val="InternetLink"/>
                  <w:rFonts w:ascii="Times New Roman;Times;serif" w:hAnsi="Times New Roman;Times;serif"/>
                  <w:b w:val="false"/>
                  <w:i w:val="false"/>
                  <w:caps w:val="false"/>
                  <w:smallCaps w:val="false"/>
                  <w:sz w:val="20"/>
                </w:rPr>
                <w:t>Amendment to the Stock Escrow Agreement, dated May 24, 2021, among BRPA, Continental Stock Transfer &amp; Trust Company, and the stockholder parties thereto</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10.6</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05/28/2021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10.11</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28">
              <w:r>
                <w:rPr>
                  <w:rStyle w:val="InternetLink"/>
                  <w:rFonts w:ascii="Times New Roman;Times;serif" w:hAnsi="Times New Roman;Times;serif"/>
                  <w:b w:val="false"/>
                  <w:i w:val="false"/>
                  <w:caps w:val="false"/>
                  <w:smallCaps w:val="false"/>
                  <w:sz w:val="20"/>
                </w:rPr>
                <w:t>Lock-up Agreement, dated May 24, 2021, by and between BRPA and the stockholder parties identified therein</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10.7</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05/28/2021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10.12</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72" w:right="72" w:hanging="0"/>
              <w:jc w:val="both"/>
              <w:rPr/>
            </w:pPr>
            <w:hyperlink r:id="rId29">
              <w:r>
                <w:rPr>
                  <w:rStyle w:val="InternetLink"/>
                  <w:rFonts w:ascii="Times New Roman;Times;serif" w:hAnsi="Times New Roman;Times;serif"/>
                  <w:sz w:val="18"/>
                </w:rPr>
                <w:t>Registration Rights Agreement, dated May 24, 2021, by and among NRx Pharmaceuticals, Inc., certain equityholders of the Registrant named therein and certain equityholders of NeuroRx</w:t>
              </w:r>
            </w:hyperlink>
          </w:p>
          <w:p>
            <w:pPr>
              <w:pStyle w:val="TableContents"/>
              <w:spacing w:lineRule="auto" w:line="300" w:before="0" w:after="0"/>
              <w:ind w:left="0" w:right="0" w:hanging="0"/>
              <w:jc w:val="both"/>
              <w:rPr/>
            </w:pPr>
            <w:hyperlink r:id="rId30">
              <w:r>
                <w:rPr>
                  <w:rStyle w:val="InternetLink"/>
                  <w:rFonts w:ascii="Times New Roman;Times;serif" w:hAnsi="Times New Roman;Times;serif"/>
                  <w:sz w:val="18"/>
                </w:rPr>
                <w:t>named therein</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10.8</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05/28/2021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10.13</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1">
              <w:r>
                <w:rPr>
                  <w:rStyle w:val="InternetLink"/>
                  <w:rFonts w:ascii="Times New Roman;Times;serif" w:hAnsi="Times New Roman;Times;serif"/>
                  <w:b w:val="false"/>
                  <w:i w:val="false"/>
                  <w:caps w:val="false"/>
                  <w:smallCaps w:val="false"/>
                  <w:sz w:val="20"/>
                </w:rPr>
                <w:t>Sponsor Agreement, dated May 24, 2021, by and among BRPA, the Big Rock Partners Sponsor, LLC, and BRAC Lending Group LLC</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10.9</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05/28/2021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10.14</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fldChar w:fldCharType="begin"/>
            </w:r>
            <w:r>
              <w:rPr>
                <w:rStyle w:val="InternetLink"/>
                <w:smallCaps w:val="false"/>
                <w:caps w:val="false"/>
                <w:sz w:val="20"/>
                <w:i w:val="false"/>
                <w:b w:val="false"/>
                <w:rFonts w:ascii="Times New Roman;Times;serif" w:hAnsi="Times New Roman;Times;serif"/>
              </w:rPr>
              <w:instrText> HYPERLINK "https://www.sec.gov/Archives/edgar/data/1719406/000119312521168481/d56937ds4a.htm" \l "rom56937_103"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NRx Pharmaceuticals, Inc. 2021 Omnibus Incentive Plan</w:t>
            </w:r>
            <w:r>
              <w:rPr>
                <w:rStyle w:val="InternetLink"/>
                <w:smallCaps w:val="false"/>
                <w:caps w:val="false"/>
                <w:sz w:val="20"/>
                <w:i w:val="false"/>
                <w:b w:val="false"/>
                <w:rFonts w:ascii="Times New Roman;Times;serif" w:hAnsi="Times New Roman;Times;serif"/>
              </w:rPr>
              <w:fldChar w:fldCharType="end"/>
            </w:r>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10.22</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10.15</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2">
              <w:r>
                <w:rPr>
                  <w:rStyle w:val="InternetLink"/>
                  <w:rFonts w:ascii="Times New Roman;Times;serif" w:hAnsi="Times New Roman;Times;serif"/>
                  <w:b w:val="false"/>
                  <w:i w:val="false"/>
                  <w:caps w:val="false"/>
                  <w:smallCaps w:val="false"/>
                  <w:sz w:val="20"/>
                </w:rPr>
                <w:t>Form of Subscription Agreement</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03/15/2021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10.16</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3">
              <w:r>
                <w:rPr>
                  <w:rStyle w:val="InternetLink"/>
                  <w:rFonts w:ascii="Times New Roman;Times;serif" w:hAnsi="Times New Roman;Times;serif"/>
                  <w:b w:val="false"/>
                  <w:i w:val="false"/>
                  <w:caps w:val="false"/>
                  <w:smallCaps w:val="false"/>
                  <w:sz w:val="20"/>
                </w:rPr>
                <w:t>Development and License Agreement, dated as of May 2, 2016, between Glytech LLC and NeuroRx</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10.24</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10.17</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4">
              <w:r>
                <w:rPr>
                  <w:rStyle w:val="InternetLink"/>
                  <w:rFonts w:ascii="Times New Roman;Times;serif" w:hAnsi="Times New Roman;Times;serif"/>
                  <w:b w:val="false"/>
                  <w:i w:val="false"/>
                  <w:caps w:val="false"/>
                  <w:smallCaps w:val="false"/>
                  <w:sz w:val="20"/>
                </w:rPr>
                <w:t>Amendment to Development and License Agreement, dated as of October 19, 2016, between Glytech LLC and NeuroRx</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10.25</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10.18</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5">
              <w:r>
                <w:rPr>
                  <w:rStyle w:val="InternetLink"/>
                  <w:rFonts w:ascii="Times New Roman;Times;serif" w:hAnsi="Times New Roman;Times;serif"/>
                  <w:b w:val="false"/>
                  <w:i w:val="false"/>
                  <w:caps w:val="false"/>
                  <w:smallCaps w:val="false"/>
                  <w:sz w:val="20"/>
                </w:rPr>
                <w:t>Second Amendment to Amended and Restated Development and License Agreement, dated as of June 13, 2018, between Glytech LLC and NeuroRx</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10.26</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10.19</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6">
              <w:r>
                <w:rPr>
                  <w:rStyle w:val="InternetLink"/>
                  <w:rFonts w:ascii="Times New Roman;Times;serif" w:hAnsi="Times New Roman;Times;serif"/>
                  <w:b w:val="false"/>
                  <w:i w:val="false"/>
                  <w:caps w:val="false"/>
                  <w:smallCaps w:val="false"/>
                  <w:sz w:val="20"/>
                </w:rPr>
                <w:t>Third Amendment to Amended and Restated Development and License Agreement, dated as of April 16, 2019, between Glytech LLC and NeuroRx</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10.27</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10.20</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7">
              <w:r>
                <w:rPr>
                  <w:rStyle w:val="InternetLink"/>
                  <w:rFonts w:ascii="Times New Roman;Times;serif" w:hAnsi="Times New Roman;Times;serif"/>
                  <w:b w:val="false"/>
                  <w:i w:val="false"/>
                  <w:caps w:val="false"/>
                  <w:smallCaps w:val="false"/>
                  <w:sz w:val="20"/>
                </w:rPr>
                <w:t>Fourth Amendment to Amended and Restated Development and License Agreement, dated as of December 31, 2020, between Glytech LLC and NeuroRx</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10.28</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10.21</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8">
              <w:r>
                <w:rPr>
                  <w:rStyle w:val="InternetLink"/>
                  <w:rFonts w:ascii="Times New Roman;Times;serif" w:hAnsi="Times New Roman;Times;serif"/>
                  <w:b w:val="false"/>
                  <w:i w:val="false"/>
                  <w:caps w:val="false"/>
                  <w:smallCaps w:val="false"/>
                  <w:sz w:val="20"/>
                </w:rPr>
                <w:t>Exclusive License Agreement, dated as of April 16, 2019, by and between NeuroRx and Sarah Herzog Memorial Hospital Ezrat Nashim</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10.29</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10.22</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hyperlink r:id="rId39">
              <w:r>
                <w:rPr>
                  <w:rStyle w:val="InternetLink"/>
                  <w:rFonts w:ascii="Times New Roman;Times;serif" w:hAnsi="Times New Roman;Times;serif"/>
                  <w:b w:val="false"/>
                  <w:i w:val="false"/>
                  <w:caps w:val="false"/>
                  <w:smallCaps w:val="false"/>
                  <w:sz w:val="20"/>
                </w:rPr>
                <w:t>License and Option Agreement, dated as of September 1, 2020, between The Research Foundation For The State University of New York and NeuroRx</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10.30</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9" w:type="dxa"/>
            <w:tcBorders/>
            <w:shd w:fill="auto" w:val="clear"/>
            <w:vAlign w:val="center"/>
          </w:tcPr>
          <w:p>
            <w:pPr>
              <w:pStyle w:val="TableContents"/>
              <w:spacing w:lineRule="auto" w:line="300" w:before="0" w:after="0"/>
              <w:ind w:left="0" w:right="0" w:hanging="0"/>
              <w:rPr/>
            </w:pPr>
            <w:r>
              <w:rPr/>
              <w:t>​</w:t>
            </w:r>
          </w:p>
        </w:tc>
        <w:tc>
          <w:tcPr>
            <w:tcW w:w="828" w:type="dxa"/>
            <w:tcBorders/>
            <w:shd w:fill="auto" w:val="clear"/>
            <w:vAlign w:val="center"/>
          </w:tcPr>
          <w:p>
            <w:pPr>
              <w:pStyle w:val="TableContents"/>
              <w:spacing w:lineRule="auto" w:line="300" w:before="0" w:after="0"/>
              <w:ind w:left="0" w:right="0" w:hanging="0"/>
              <w:jc w:val="center"/>
              <w:rPr/>
            </w:pPr>
            <w:r>
              <w:rPr/>
              <w:t>​</w:t>
            </w:r>
          </w:p>
        </w:tc>
      </w:tr>
      <w:tr>
        <w:trPr/>
        <w:tc>
          <w:tcPr>
            <w:tcW w:w="944"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10.23</w:t>
            </w:r>
          </w:p>
        </w:tc>
        <w:tc>
          <w:tcPr>
            <w:tcW w:w="109" w:type="dxa"/>
            <w:tcBorders/>
            <w:shd w:fill="auto" w:val="clear"/>
            <w:vAlign w:val="center"/>
          </w:tcPr>
          <w:p>
            <w:pPr>
              <w:pStyle w:val="TableContents"/>
              <w:spacing w:lineRule="auto" w:line="300" w:before="0" w:after="0"/>
              <w:ind w:left="0" w:right="0" w:hanging="0"/>
              <w:rPr/>
            </w:pPr>
            <w:r>
              <w:rPr/>
              <w:t>​</w:t>
            </w:r>
          </w:p>
        </w:tc>
        <w:tc>
          <w:tcPr>
            <w:tcW w:w="6493" w:type="dxa"/>
            <w:tcBorders/>
            <w:shd w:fill="auto" w:val="clear"/>
            <w:vAlign w:val="center"/>
          </w:tcPr>
          <w:p>
            <w:pPr>
              <w:pStyle w:val="TableContents"/>
              <w:spacing w:lineRule="auto" w:line="300" w:before="0" w:after="0"/>
              <w:ind w:left="72" w:right="72" w:hanging="0"/>
              <w:jc w:val="both"/>
              <w:rPr/>
            </w:pPr>
            <w:hyperlink r:id="rId40">
              <w:r>
                <w:rPr>
                  <w:rStyle w:val="InternetLink"/>
                  <w:rFonts w:ascii="Times New Roman;Times;serif" w:hAnsi="Times New Roman;Times;serif"/>
                  <w:sz w:val="18"/>
                </w:rPr>
                <w:t>Binding Collaboration Agreement, dated as of September 18, 2020, between Relief Therapeutics Holding Aktiengesellschaft and its wholly owned subsidiary Therametrics Discovery</w:t>
              </w:r>
            </w:hyperlink>
          </w:p>
          <w:p>
            <w:pPr>
              <w:pStyle w:val="TableContents"/>
              <w:spacing w:lineRule="auto" w:line="300" w:before="0" w:after="0"/>
              <w:ind w:left="0" w:right="0" w:hanging="0"/>
              <w:jc w:val="both"/>
              <w:rPr/>
            </w:pPr>
            <w:hyperlink r:id="rId41">
              <w:r>
                <w:rPr>
                  <w:rStyle w:val="InternetLink"/>
                  <w:rFonts w:ascii="Times New Roman;Times;serif" w:hAnsi="Times New Roman;Times;serif"/>
                  <w:sz w:val="18"/>
                </w:rPr>
                <w:t>Aktiengesellschaft and NeuroRx</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10.31</w:t>
            </w:r>
          </w:p>
        </w:tc>
        <w:tc>
          <w:tcPr>
            <w:tcW w:w="68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8" w:type="dxa"/>
            <w:tcBorders/>
            <w:shd w:fill="auto" w:val="clear"/>
            <w:vAlign w:val="center"/>
          </w:tcPr>
          <w:p>
            <w:pPr>
              <w:pStyle w:val="TableContents"/>
              <w:spacing w:lineRule="auto" w:line="300" w:before="0" w:after="0"/>
              <w:ind w:left="0" w:right="0" w:hanging="0"/>
              <w:jc w:val="center"/>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938"/>
        <w:gridCol w:w="109"/>
        <w:gridCol w:w="6504"/>
        <w:gridCol w:w="511"/>
        <w:gridCol w:w="631"/>
        <w:gridCol w:w="685"/>
        <w:gridCol w:w="827"/>
      </w:tblGrid>
      <w:tr>
        <w:trPr/>
        <w:tc>
          <w:tcPr>
            <w:tcW w:w="938" w:type="dxa"/>
            <w:tcBorders/>
            <w:shd w:fill="auto" w:val="clear"/>
            <w:vAlign w:val="center"/>
          </w:tcPr>
          <w:p>
            <w:pPr>
              <w:pStyle w:val="TableHeading"/>
              <w:spacing w:lineRule="auto" w:line="300" w:before="0" w:after="0"/>
              <w:ind w:left="0" w:right="0" w:hanging="0"/>
              <w:jc w:val="left"/>
              <w:rPr/>
            </w:pPr>
            <w:r>
              <w:rPr/>
              <w:t>​</w:t>
            </w:r>
          </w:p>
        </w:tc>
        <w:tc>
          <w:tcPr>
            <w:tcW w:w="109" w:type="dxa"/>
            <w:tcBorders/>
            <w:shd w:fill="auto" w:val="clear"/>
            <w:vAlign w:val="center"/>
          </w:tcPr>
          <w:p>
            <w:pPr>
              <w:pStyle w:val="TableHeading"/>
              <w:spacing w:lineRule="auto" w:line="300" w:before="0" w:after="0"/>
              <w:ind w:left="0" w:right="0" w:hanging="0"/>
              <w:jc w:val="left"/>
              <w:rPr/>
            </w:pPr>
            <w:r>
              <w:rPr/>
              <w:t>​</w:t>
            </w:r>
          </w:p>
        </w:tc>
        <w:tc>
          <w:tcPr>
            <w:tcW w:w="6504" w:type="dxa"/>
            <w:tcBorders/>
            <w:shd w:fill="auto" w:val="clear"/>
            <w:vAlign w:val="center"/>
          </w:tcPr>
          <w:p>
            <w:pPr>
              <w:pStyle w:val="TableHeading"/>
              <w:spacing w:lineRule="auto" w:line="300" w:before="0" w:after="0"/>
              <w:ind w:left="0" w:right="0" w:hanging="0"/>
              <w:jc w:val="both"/>
              <w:rPr/>
            </w:pPr>
            <w:r>
              <w:rPr/>
              <w:t>​</w:t>
            </w:r>
          </w:p>
        </w:tc>
        <w:tc>
          <w:tcPr>
            <w:tcW w:w="2654" w:type="dxa"/>
            <w:gridSpan w:val="4"/>
            <w:tcBorders>
              <w:bottom w:val="single" w:sz="2" w:space="0" w:color="000000"/>
            </w:tcBorders>
            <w:shd w:fill="auto" w:val="clear"/>
            <w:tcMar>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 Exhibit</w:t>
            </w:r>
          </w:p>
        </w:tc>
      </w:tr>
      <w:tr>
        <w:trPr/>
        <w:tc>
          <w:tcPr>
            <w:tcW w:w="938"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09" w:type="dxa"/>
            <w:tcBorders/>
            <w:shd w:fill="auto" w:val="clear"/>
            <w:vAlign w:val="center"/>
          </w:tcPr>
          <w:p>
            <w:pPr>
              <w:pStyle w:val="TableHeading"/>
              <w:spacing w:lineRule="auto" w:line="300" w:before="0" w:after="0"/>
              <w:ind w:left="0" w:right="0" w:hanging="0"/>
              <w:jc w:val="left"/>
              <w:rPr/>
            </w:pPr>
            <w:r>
              <w:rPr/>
              <w:t>​</w:t>
            </w:r>
          </w:p>
        </w:tc>
        <w:tc>
          <w:tcPr>
            <w:tcW w:w="6504"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c>
          <w:tcPr>
            <w:tcW w:w="511"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631"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685"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827"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File</w:t>
              <w:br/>
              <w:t>Herewith</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10.24</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42">
              <w:r>
                <w:rPr>
                  <w:rStyle w:val="InternetLink"/>
                  <w:rFonts w:ascii="Times New Roman;Times;serif" w:hAnsi="Times New Roman;Times;serif"/>
                  <w:b w:val="false"/>
                  <w:i w:val="false"/>
                  <w:caps w:val="false"/>
                  <w:smallCaps w:val="false"/>
                  <w:sz w:val="20"/>
                </w:rPr>
                <w:t>Exclusive Distribution Agreement, dated as of September 25, 2020, between NeuroRx and Cardinal Health 105, Inc.</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10.32</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10.25</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43">
              <w:r>
                <w:rPr>
                  <w:rStyle w:val="InternetLink"/>
                  <w:rFonts w:ascii="Times New Roman;Times;serif" w:hAnsi="Times New Roman;Times;serif"/>
                  <w:b w:val="false"/>
                  <w:i w:val="false"/>
                  <w:caps w:val="false"/>
                  <w:smallCaps w:val="false"/>
                  <w:sz w:val="20"/>
                </w:rPr>
                <w:t>Executive Employment Agreement, dated May 20, 2015, between NeuroRx and Jonathan C. Javitt</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10.33</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10.26</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44">
              <w:r>
                <w:rPr>
                  <w:rStyle w:val="InternetLink"/>
                  <w:caps w:val="false"/>
                  <w:smallCaps w:val="false"/>
                </w:rPr>
                <w:t>“</w:t>
              </w:r>
            </w:hyperlink>
            <w:hyperlink r:id="rId45">
              <w:r>
                <w:rPr>
                  <w:rStyle w:val="InternetLink"/>
                  <w:rFonts w:ascii="Times New Roman;Times;serif" w:hAnsi="Times New Roman;Times;serif"/>
                  <w:b w:val="false"/>
                  <w:i w:val="false"/>
                  <w:caps w:val="false"/>
                  <w:smallCaps w:val="false"/>
                  <w:sz w:val="20"/>
                </w:rPr>
                <w:t>Work for Hire” Agreement, dated as of March 1, 2016, between NeuroRx and REBes Consulting LLC — Robert Besthof</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10.34</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10.27</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46">
              <w:r>
                <w:rPr>
                  <w:rStyle w:val="InternetLink"/>
                  <w:rFonts w:ascii="Times New Roman;Times;serif" w:hAnsi="Times New Roman;Times;serif"/>
                  <w:b w:val="false"/>
                  <w:i w:val="false"/>
                  <w:caps w:val="false"/>
                  <w:smallCaps w:val="false"/>
                  <w:sz w:val="20"/>
                </w:rPr>
                <w:t>Amendment to “Work for Hire” Agreement, dated as of October 23, 2016, between NeuroRx and 20REBes Consulting LLC — Robert Besthof</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10.35</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10.28</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47">
              <w:r>
                <w:rPr>
                  <w:rStyle w:val="InternetLink"/>
                  <w:rFonts w:ascii="Times New Roman;Times;serif" w:hAnsi="Times New Roman;Times;serif"/>
                  <w:b w:val="false"/>
                  <w:i w:val="false"/>
                  <w:caps w:val="false"/>
                  <w:smallCaps w:val="false"/>
                  <w:sz w:val="20"/>
                </w:rPr>
                <w:t>Consulting Agreement, dated as of January 1, 2021, between NeuroRx and Del Buono Legal, PLLC</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10.36</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10.29</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48">
              <w:r>
                <w:rPr>
                  <w:rStyle w:val="InternetLink"/>
                  <w:rFonts w:ascii="Times New Roman;Times;serif" w:hAnsi="Times New Roman;Times;serif"/>
                  <w:b w:val="false"/>
                  <w:i w:val="false"/>
                  <w:caps w:val="false"/>
                  <w:smallCaps w:val="false"/>
                  <w:sz w:val="20"/>
                </w:rPr>
                <w:t>Feasibility Study and Material Transfer Agreement, dated as of January 6, 2021, by and between NeuroRx and TFF Pharmaceuticals, Inc.</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10.37</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10.30</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49">
              <w:r>
                <w:rPr>
                  <w:rStyle w:val="InternetLink"/>
                  <w:rFonts w:ascii="Times New Roman;Times;serif" w:hAnsi="Times New Roman;Times;serif"/>
                  <w:b w:val="false"/>
                  <w:i w:val="false"/>
                  <w:caps w:val="false"/>
                  <w:smallCaps w:val="false"/>
                  <w:sz w:val="20"/>
                </w:rPr>
                <w:t>Manufacturing Supply Agreement, dated as of August 25, 2020, by and among NeuroRx, Nephron SC, Inc. and Nephron Pharmaceutical Corporation</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10.38</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10.31</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0">
              <w:r>
                <w:rPr>
                  <w:rStyle w:val="InternetLink"/>
                  <w:rFonts w:ascii="Times New Roman;Times;serif" w:hAnsi="Times New Roman;Times;serif"/>
                  <w:b w:val="false"/>
                  <w:i w:val="false"/>
                  <w:caps w:val="false"/>
                  <w:smallCaps w:val="false"/>
                  <w:sz w:val="20"/>
                </w:rPr>
                <w:t>Amendment #1 to Manufacturing Supply Agreement, dated as of September 2, 2020, by and among NeuroRx, Nephron SC, Inc. and Nephron Pharmaceutical Corporation</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10.39</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10.32</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1">
              <w:r>
                <w:rPr>
                  <w:rStyle w:val="InternetLink"/>
                  <w:rFonts w:ascii="Times New Roman;Times;serif" w:hAnsi="Times New Roman;Times;serif"/>
                  <w:b w:val="false"/>
                  <w:i w:val="false"/>
                  <w:caps w:val="false"/>
                  <w:smallCaps w:val="false"/>
                  <w:sz w:val="20"/>
                </w:rPr>
                <w:t>Amendment #2 to Manufacturing Supply Agreement, dated as of November 5, 2020, by and among NeuroRx, Nephron SC, Inc. and Nephron Pharmaceutical Corporation</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10.40</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10.33</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2">
              <w:r>
                <w:rPr>
                  <w:rStyle w:val="InternetLink"/>
                  <w:rFonts w:ascii="Times New Roman;Times;serif" w:hAnsi="Times New Roman;Times;serif"/>
                  <w:b w:val="false"/>
                  <w:i w:val="false"/>
                  <w:caps w:val="false"/>
                  <w:smallCaps w:val="false"/>
                  <w:sz w:val="20"/>
                </w:rPr>
                <w:t>Amendment #3 to Manufacturing Supply Agreement, dated as of February 5, 2021, by and among NeuroRx, Nephron SC, Inc. and Nephron Pharmaceutical Corporation</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10.41</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10.34</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3">
              <w:r>
                <w:rPr>
                  <w:rStyle w:val="InternetLink"/>
                  <w:rFonts w:ascii="Times New Roman;Times;serif" w:hAnsi="Times New Roman;Times;serif"/>
                  <w:b w:val="false"/>
                  <w:i w:val="false"/>
                  <w:caps w:val="false"/>
                  <w:smallCaps w:val="false"/>
                  <w:sz w:val="20"/>
                </w:rPr>
                <w:t>Share Subscription Facility Agreement, dated as of October 18, 2019, among NeuroRx, GEM Global Yield LLC SCS and GEM Yield Bahamas Limited</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10.42</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10.35</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4">
              <w:r>
                <w:rPr>
                  <w:rStyle w:val="InternetLink"/>
                  <w:rFonts w:ascii="Times New Roman;Times;serif" w:hAnsi="Times New Roman;Times;serif"/>
                  <w:b w:val="false"/>
                  <w:i w:val="false"/>
                  <w:caps w:val="false"/>
                  <w:smallCaps w:val="false"/>
                  <w:sz w:val="20"/>
                </w:rPr>
                <w:t>Common Stock Purchase Warrant dated March 28, 2021</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10.43</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10.36</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5">
              <w:r>
                <w:rPr>
                  <w:rStyle w:val="InternetLink"/>
                  <w:rFonts w:ascii="Times New Roman;Times;serif" w:hAnsi="Times New Roman;Times;serif"/>
                  <w:b w:val="false"/>
                  <w:i w:val="false"/>
                  <w:caps w:val="false"/>
                  <w:smallCaps w:val="false"/>
                  <w:sz w:val="20"/>
                </w:rPr>
                <w:t>Clinical Trial Participation Agreement, dated as of December 17, 2020, by and between Quantum Leap Health Care Collaborative and NeuroRx</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S-4</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10.44</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05/21/2021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10.37</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6">
              <w:r>
                <w:rPr>
                  <w:rStyle w:val="InternetLink"/>
                  <w:rFonts w:ascii="Times New Roman;Times;serif" w:hAnsi="Times New Roman;Times;serif"/>
                  <w:b w:val="false"/>
                  <w:i w:val="false"/>
                  <w:caps w:val="false"/>
                  <w:smallCaps w:val="false"/>
                  <w:sz w:val="20"/>
                </w:rPr>
                <w:t>Consulting Agreement with Randolph Guggenheimer III</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10.33</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05/28/2021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10.38</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7">
              <w:r>
                <w:rPr>
                  <w:rStyle w:val="InternetLink"/>
                  <w:rFonts w:ascii="Times New Roman;Times;serif" w:hAnsi="Times New Roman;Times;serif"/>
                  <w:b w:val="false"/>
                  <w:i w:val="false"/>
                  <w:caps w:val="false"/>
                  <w:smallCaps w:val="false"/>
                  <w:sz w:val="20"/>
                </w:rPr>
                <w:t>Voting Agreement by and between Jonathan Javitt and Daniel Javitt</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10.34</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05/28/2021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10.39</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8">
              <w:r>
                <w:rPr>
                  <w:rStyle w:val="InternetLink"/>
                  <w:rFonts w:ascii="Times New Roman;Times;serif" w:hAnsi="Times New Roman;Times;serif"/>
                  <w:b w:val="false"/>
                  <w:i w:val="false"/>
                  <w:caps w:val="false"/>
                  <w:smallCaps w:val="false"/>
                  <w:sz w:val="20"/>
                </w:rPr>
                <w:t>Statement of Work, dated July 26, 2021, between Pilltracker Ltd. and NeuroRx, Inc.</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10-Q</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11/15/2021</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10.40</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hyperlink r:id="rId59">
              <w:r>
                <w:rPr>
                  <w:rStyle w:val="InternetLink"/>
                  <w:rFonts w:ascii="Times New Roman;Times;serif" w:hAnsi="Times New Roman;Times;serif"/>
                  <w:b w:val="false"/>
                  <w:i w:val="false"/>
                  <w:caps w:val="false"/>
                  <w:smallCaps w:val="false"/>
                  <w:sz w:val="20"/>
                </w:rPr>
                <w:t>Form of Securities Purchase Agreement, dated as of January 30, 2022, by and among the Company and the Purchasers.</w:t>
              </w:r>
            </w:hyperlink>
          </w:p>
        </w:tc>
        <w:tc>
          <w:tcPr>
            <w:tcW w:w="51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10.1</w:t>
            </w:r>
          </w:p>
        </w:tc>
        <w:tc>
          <w:tcPr>
            <w:tcW w:w="685"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02/03/2022</w:t>
            </w:r>
          </w:p>
        </w:tc>
        <w:tc>
          <w:tcPr>
            <w:tcW w:w="827" w:type="dxa"/>
            <w:tcBorders/>
            <w:shd w:fill="auto" w:val="clear"/>
            <w:vAlign w:val="center"/>
          </w:tcPr>
          <w:p>
            <w:pPr>
              <w:pStyle w:val="TableContents"/>
              <w:spacing w:lineRule="auto" w:line="300" w:before="0" w:after="0"/>
              <w:ind w:left="0" w:right="0" w:hanging="0"/>
              <w:jc w:val="center"/>
              <w:rPr/>
            </w:pPr>
            <w:r>
              <w:rPr/>
              <w:t>​</w:t>
            </w:r>
          </w:p>
        </w:tc>
      </w:tr>
      <w:tr>
        <w:trPr/>
        <w:tc>
          <w:tcPr>
            <w:tcW w:w="938"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504" w:type="dxa"/>
            <w:tcBorders/>
            <w:shd w:fill="auto" w:val="clear"/>
            <w:vAlign w:val="center"/>
          </w:tcPr>
          <w:p>
            <w:pPr>
              <w:pStyle w:val="TableContents"/>
              <w:spacing w:lineRule="auto" w:line="300" w:before="0" w:after="0"/>
              <w:ind w:left="0" w:right="0" w:hanging="0"/>
              <w:jc w:val="both"/>
              <w:rPr/>
            </w:pPr>
            <w:r>
              <w:rPr/>
              <w:t>​</w:t>
            </w:r>
          </w:p>
        </w:tc>
        <w:tc>
          <w:tcPr>
            <w:tcW w:w="511"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685" w:type="dxa"/>
            <w:tcBorders/>
            <w:shd w:fill="auto" w:val="clear"/>
            <w:vAlign w:val="center"/>
          </w:tcPr>
          <w:p>
            <w:pPr>
              <w:pStyle w:val="TableContents"/>
              <w:spacing w:lineRule="auto" w:line="300" w:before="0" w:after="0"/>
              <w:ind w:left="0" w:right="0" w:hanging="0"/>
              <w:rPr/>
            </w:pPr>
            <w:r>
              <w:rPr/>
              <w:t>​</w:t>
            </w:r>
          </w:p>
        </w:tc>
        <w:tc>
          <w:tcPr>
            <w:tcW w:w="827" w:type="dxa"/>
            <w:tcBorders/>
            <w:shd w:fill="auto" w:val="clear"/>
            <w:vAlign w:val="center"/>
          </w:tcPr>
          <w:p>
            <w:pPr>
              <w:pStyle w:val="TableContents"/>
              <w:spacing w:lineRule="auto" w:line="300" w:before="0" w:after="0"/>
              <w:ind w:left="0" w:right="0" w:hanging="0"/>
              <w:jc w:val="center"/>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969"/>
        <w:gridCol w:w="109"/>
        <w:gridCol w:w="6423"/>
        <w:gridCol w:w="538"/>
        <w:gridCol w:w="631"/>
        <w:gridCol w:w="706"/>
        <w:gridCol w:w="829"/>
      </w:tblGrid>
      <w:tr>
        <w:trPr/>
        <w:tc>
          <w:tcPr>
            <w:tcW w:w="969" w:type="dxa"/>
            <w:tcBorders/>
            <w:shd w:fill="auto" w:val="clear"/>
            <w:vAlign w:val="center"/>
          </w:tcPr>
          <w:p>
            <w:pPr>
              <w:pStyle w:val="TableHeading"/>
              <w:spacing w:lineRule="auto" w:line="300" w:before="0" w:after="0"/>
              <w:ind w:left="0" w:right="0" w:hanging="0"/>
              <w:jc w:val="left"/>
              <w:rPr/>
            </w:pPr>
            <w:r>
              <w:rPr/>
              <w:t>​</w:t>
            </w:r>
          </w:p>
        </w:tc>
        <w:tc>
          <w:tcPr>
            <w:tcW w:w="109" w:type="dxa"/>
            <w:tcBorders/>
            <w:shd w:fill="auto" w:val="clear"/>
            <w:vAlign w:val="center"/>
          </w:tcPr>
          <w:p>
            <w:pPr>
              <w:pStyle w:val="TableHeading"/>
              <w:spacing w:lineRule="auto" w:line="300" w:before="0" w:after="0"/>
              <w:ind w:left="0" w:right="0" w:hanging="0"/>
              <w:jc w:val="left"/>
              <w:rPr/>
            </w:pPr>
            <w:r>
              <w:rPr/>
              <w:t>​</w:t>
            </w:r>
          </w:p>
        </w:tc>
        <w:tc>
          <w:tcPr>
            <w:tcW w:w="6423" w:type="dxa"/>
            <w:tcBorders/>
            <w:shd w:fill="auto" w:val="clear"/>
            <w:vAlign w:val="center"/>
          </w:tcPr>
          <w:p>
            <w:pPr>
              <w:pStyle w:val="TableHeading"/>
              <w:spacing w:lineRule="auto" w:line="300" w:before="0" w:after="0"/>
              <w:ind w:left="0" w:right="0" w:hanging="0"/>
              <w:jc w:val="both"/>
              <w:rPr/>
            </w:pPr>
            <w:r>
              <w:rPr/>
              <w:t>​</w:t>
            </w:r>
          </w:p>
        </w:tc>
        <w:tc>
          <w:tcPr>
            <w:tcW w:w="2704" w:type="dxa"/>
            <w:gridSpan w:val="4"/>
            <w:tcBorders>
              <w:bottom w:val="single" w:sz="2" w:space="0" w:color="000000"/>
            </w:tcBorders>
            <w:shd w:fill="auto" w:val="clear"/>
            <w:tcMar>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 Exhibit</w:t>
            </w:r>
          </w:p>
        </w:tc>
      </w:tr>
      <w:tr>
        <w:trPr/>
        <w:tc>
          <w:tcPr>
            <w:tcW w:w="969"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09" w:type="dxa"/>
            <w:tcBorders/>
            <w:shd w:fill="auto" w:val="clear"/>
            <w:vAlign w:val="center"/>
          </w:tcPr>
          <w:p>
            <w:pPr>
              <w:pStyle w:val="TableHeading"/>
              <w:spacing w:lineRule="auto" w:line="300" w:before="0" w:after="0"/>
              <w:ind w:left="0" w:right="0" w:hanging="0"/>
              <w:jc w:val="left"/>
              <w:rPr/>
            </w:pPr>
            <w:r>
              <w:rPr/>
              <w:t>​</w:t>
            </w:r>
          </w:p>
        </w:tc>
        <w:tc>
          <w:tcPr>
            <w:tcW w:w="6423"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c>
          <w:tcPr>
            <w:tcW w:w="538"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631"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706"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829"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File</w:t>
              <w:br/>
              <w:t>Herewith</w:t>
            </w:r>
          </w:p>
        </w:tc>
      </w:tr>
      <w:tr>
        <w:trPr/>
        <w:tc>
          <w:tcPr>
            <w:tcW w:w="96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10.41</w:t>
            </w:r>
          </w:p>
        </w:tc>
        <w:tc>
          <w:tcPr>
            <w:tcW w:w="109" w:type="dxa"/>
            <w:tcBorders/>
            <w:shd w:fill="auto" w:val="clear"/>
            <w:vAlign w:val="center"/>
          </w:tcPr>
          <w:p>
            <w:pPr>
              <w:pStyle w:val="TableContents"/>
              <w:spacing w:lineRule="auto" w:line="300" w:before="0" w:after="0"/>
              <w:ind w:left="0" w:right="0" w:hanging="0"/>
              <w:rPr/>
            </w:pPr>
            <w:r>
              <w:rPr/>
              <w:t>​</w:t>
            </w:r>
          </w:p>
        </w:tc>
        <w:tc>
          <w:tcPr>
            <w:tcW w:w="6423" w:type="dxa"/>
            <w:tcBorders/>
            <w:shd w:fill="auto" w:val="clear"/>
            <w:vAlign w:val="center"/>
          </w:tcPr>
          <w:p>
            <w:pPr>
              <w:pStyle w:val="TableContents"/>
              <w:spacing w:lineRule="auto" w:line="300" w:before="0" w:after="0"/>
              <w:ind w:left="0" w:right="0" w:hanging="0"/>
              <w:jc w:val="both"/>
              <w:rPr/>
            </w:pPr>
            <w:hyperlink r:id="rId60">
              <w:r>
                <w:rPr>
                  <w:rStyle w:val="InternetLink"/>
                  <w:rFonts w:ascii="Times New Roman;Times;serif" w:hAnsi="Times New Roman;Times;serif"/>
                  <w:b w:val="false"/>
                  <w:i w:val="false"/>
                  <w:caps w:val="false"/>
                  <w:smallCaps w:val="false"/>
                  <w:sz w:val="20"/>
                </w:rPr>
                <w:t>Form of Preferred Investment Options, dated as of February 2, 2022, by and among the Company and the holders.</w:t>
              </w:r>
            </w:hyperlink>
          </w:p>
        </w:tc>
        <w:tc>
          <w:tcPr>
            <w:tcW w:w="5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10.2</w:t>
            </w:r>
          </w:p>
        </w:tc>
        <w:tc>
          <w:tcPr>
            <w:tcW w:w="70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02/03/2022</w:t>
            </w:r>
          </w:p>
        </w:tc>
        <w:tc>
          <w:tcPr>
            <w:tcW w:w="829" w:type="dxa"/>
            <w:tcBorders/>
            <w:shd w:fill="auto" w:val="clear"/>
            <w:vAlign w:val="center"/>
          </w:tcPr>
          <w:p>
            <w:pPr>
              <w:pStyle w:val="TableContents"/>
              <w:spacing w:lineRule="auto" w:line="300" w:before="0" w:after="0"/>
              <w:ind w:left="0" w:right="0" w:hanging="0"/>
              <w:jc w:val="center"/>
              <w:rPr/>
            </w:pPr>
            <w:r>
              <w:rPr/>
              <w:t>​</w:t>
            </w:r>
          </w:p>
        </w:tc>
      </w:tr>
      <w:tr>
        <w:trPr/>
        <w:tc>
          <w:tcPr>
            <w:tcW w:w="969"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23" w:type="dxa"/>
            <w:tcBorders/>
            <w:shd w:fill="auto" w:val="clear"/>
            <w:vAlign w:val="center"/>
          </w:tcPr>
          <w:p>
            <w:pPr>
              <w:pStyle w:val="TableContents"/>
              <w:spacing w:lineRule="auto" w:line="300" w:before="0" w:after="0"/>
              <w:ind w:left="0" w:right="0" w:hanging="0"/>
              <w:jc w:val="both"/>
              <w:rPr/>
            </w:pPr>
            <w:r>
              <w:rPr/>
              <w:t>​</w:t>
            </w:r>
          </w:p>
        </w:tc>
        <w:tc>
          <w:tcPr>
            <w:tcW w:w="538"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706" w:type="dxa"/>
            <w:tcBorders/>
            <w:shd w:fill="auto" w:val="clear"/>
            <w:vAlign w:val="center"/>
          </w:tcPr>
          <w:p>
            <w:pPr>
              <w:pStyle w:val="TableContents"/>
              <w:spacing w:lineRule="auto" w:line="300" w:before="0" w:after="0"/>
              <w:ind w:left="0" w:right="0" w:hanging="0"/>
              <w:rPr/>
            </w:pPr>
            <w:r>
              <w:rPr/>
              <w:t>​</w:t>
            </w:r>
          </w:p>
        </w:tc>
        <w:tc>
          <w:tcPr>
            <w:tcW w:w="829" w:type="dxa"/>
            <w:tcBorders/>
            <w:shd w:fill="auto" w:val="clear"/>
            <w:vAlign w:val="center"/>
          </w:tcPr>
          <w:p>
            <w:pPr>
              <w:pStyle w:val="TableContents"/>
              <w:spacing w:lineRule="auto" w:line="300" w:before="0" w:after="0"/>
              <w:ind w:left="0" w:right="0" w:hanging="0"/>
              <w:jc w:val="center"/>
              <w:rPr/>
            </w:pPr>
            <w:r>
              <w:rPr/>
              <w:t>​</w:t>
            </w:r>
          </w:p>
        </w:tc>
      </w:tr>
      <w:tr>
        <w:trPr/>
        <w:tc>
          <w:tcPr>
            <w:tcW w:w="96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10.42</w:t>
            </w:r>
          </w:p>
        </w:tc>
        <w:tc>
          <w:tcPr>
            <w:tcW w:w="109" w:type="dxa"/>
            <w:tcBorders/>
            <w:shd w:fill="auto" w:val="clear"/>
            <w:vAlign w:val="center"/>
          </w:tcPr>
          <w:p>
            <w:pPr>
              <w:pStyle w:val="TableContents"/>
              <w:spacing w:lineRule="auto" w:line="300" w:before="0" w:after="0"/>
              <w:ind w:left="0" w:right="0" w:hanging="0"/>
              <w:rPr/>
            </w:pPr>
            <w:r>
              <w:rPr/>
              <w:t>​</w:t>
            </w:r>
          </w:p>
        </w:tc>
        <w:tc>
          <w:tcPr>
            <w:tcW w:w="6423" w:type="dxa"/>
            <w:tcBorders/>
            <w:shd w:fill="auto" w:val="clear"/>
            <w:vAlign w:val="center"/>
          </w:tcPr>
          <w:p>
            <w:pPr>
              <w:pStyle w:val="TableContents"/>
              <w:spacing w:lineRule="auto" w:line="300" w:before="0" w:after="0"/>
              <w:ind w:left="0" w:right="0" w:hanging="0"/>
              <w:jc w:val="both"/>
              <w:rPr/>
            </w:pPr>
            <w:hyperlink r:id="rId61">
              <w:r>
                <w:rPr>
                  <w:rStyle w:val="InternetLink"/>
                  <w:rFonts w:ascii="Times New Roman;Times;serif" w:hAnsi="Times New Roman;Times;serif"/>
                  <w:b w:val="false"/>
                  <w:i w:val="false"/>
                  <w:caps w:val="false"/>
                  <w:smallCaps w:val="false"/>
                  <w:sz w:val="20"/>
                </w:rPr>
                <w:t>Form of Registration Rights Agreement, dated as of January 30, 2022, by and among the Company and the Purchasers.</w:t>
              </w:r>
            </w:hyperlink>
          </w:p>
        </w:tc>
        <w:tc>
          <w:tcPr>
            <w:tcW w:w="5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10.3</w:t>
            </w:r>
          </w:p>
        </w:tc>
        <w:tc>
          <w:tcPr>
            <w:tcW w:w="70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02/03/2022</w:t>
            </w:r>
          </w:p>
        </w:tc>
        <w:tc>
          <w:tcPr>
            <w:tcW w:w="829" w:type="dxa"/>
            <w:tcBorders/>
            <w:shd w:fill="auto" w:val="clear"/>
            <w:vAlign w:val="center"/>
          </w:tcPr>
          <w:p>
            <w:pPr>
              <w:pStyle w:val="TableContents"/>
              <w:spacing w:lineRule="auto" w:line="300" w:before="0" w:after="0"/>
              <w:ind w:left="0" w:right="0" w:hanging="0"/>
              <w:jc w:val="center"/>
              <w:rPr/>
            </w:pPr>
            <w:r>
              <w:rPr/>
              <w:t>​</w:t>
            </w:r>
          </w:p>
        </w:tc>
      </w:tr>
      <w:tr>
        <w:trPr/>
        <w:tc>
          <w:tcPr>
            <w:tcW w:w="969"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23" w:type="dxa"/>
            <w:tcBorders/>
            <w:shd w:fill="auto" w:val="clear"/>
            <w:vAlign w:val="center"/>
          </w:tcPr>
          <w:p>
            <w:pPr>
              <w:pStyle w:val="TableContents"/>
              <w:spacing w:lineRule="auto" w:line="300" w:before="0" w:after="0"/>
              <w:ind w:left="0" w:right="0" w:hanging="0"/>
              <w:jc w:val="both"/>
              <w:rPr/>
            </w:pPr>
            <w:r>
              <w:rPr/>
              <w:t>​</w:t>
            </w:r>
          </w:p>
        </w:tc>
        <w:tc>
          <w:tcPr>
            <w:tcW w:w="538"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706" w:type="dxa"/>
            <w:tcBorders/>
            <w:shd w:fill="auto" w:val="clear"/>
            <w:vAlign w:val="center"/>
          </w:tcPr>
          <w:p>
            <w:pPr>
              <w:pStyle w:val="TableContents"/>
              <w:spacing w:lineRule="auto" w:line="300" w:before="0" w:after="0"/>
              <w:ind w:left="0" w:right="0" w:hanging="0"/>
              <w:rPr/>
            </w:pPr>
            <w:r>
              <w:rPr/>
              <w:t>​</w:t>
            </w:r>
          </w:p>
        </w:tc>
        <w:tc>
          <w:tcPr>
            <w:tcW w:w="829" w:type="dxa"/>
            <w:tcBorders/>
            <w:shd w:fill="auto" w:val="clear"/>
            <w:vAlign w:val="center"/>
          </w:tcPr>
          <w:p>
            <w:pPr>
              <w:pStyle w:val="TableContents"/>
              <w:spacing w:lineRule="auto" w:line="300" w:before="0" w:after="0"/>
              <w:ind w:left="0" w:right="0" w:hanging="0"/>
              <w:jc w:val="center"/>
              <w:rPr/>
            </w:pPr>
            <w:r>
              <w:rPr/>
              <w:t>​</w:t>
            </w:r>
          </w:p>
        </w:tc>
      </w:tr>
      <w:tr>
        <w:trPr/>
        <w:tc>
          <w:tcPr>
            <w:tcW w:w="969"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10.43</w:t>
            </w:r>
          </w:p>
        </w:tc>
        <w:tc>
          <w:tcPr>
            <w:tcW w:w="109" w:type="dxa"/>
            <w:tcBorders/>
            <w:shd w:fill="auto" w:val="clear"/>
            <w:vAlign w:val="center"/>
          </w:tcPr>
          <w:p>
            <w:pPr>
              <w:pStyle w:val="TableContents"/>
              <w:spacing w:lineRule="auto" w:line="300" w:before="0" w:after="0"/>
              <w:ind w:left="0" w:right="0" w:hanging="0"/>
              <w:rPr/>
            </w:pPr>
            <w:r>
              <w:rPr/>
              <w:t>​</w:t>
            </w:r>
          </w:p>
        </w:tc>
        <w:tc>
          <w:tcPr>
            <w:tcW w:w="6423" w:type="dxa"/>
            <w:tcBorders/>
            <w:shd w:fill="auto" w:val="clear"/>
            <w:vAlign w:val="center"/>
          </w:tcPr>
          <w:p>
            <w:pPr>
              <w:pStyle w:val="TableContents"/>
              <w:spacing w:lineRule="auto" w:line="300" w:before="0" w:after="0"/>
              <w:ind w:left="0" w:right="0" w:hanging="0"/>
              <w:jc w:val="both"/>
              <w:rPr/>
            </w:pPr>
            <w:hyperlink r:id="rId62">
              <w:r>
                <w:rPr>
                  <w:rStyle w:val="InternetLink"/>
                  <w:rFonts w:ascii="Times New Roman;Times;serif" w:hAnsi="Times New Roman;Times;serif"/>
                  <w:b w:val="false"/>
                  <w:i w:val="false"/>
                  <w:caps w:val="false"/>
                  <w:smallCaps w:val="false"/>
                  <w:sz w:val="20"/>
                </w:rPr>
                <w:t>Form of Placement Agent Preferred Investment Option, dated as of February 2, 2022 by and among the Company and H.C. Wainwright &amp; Co., LLC.</w:t>
              </w:r>
            </w:hyperlink>
          </w:p>
        </w:tc>
        <w:tc>
          <w:tcPr>
            <w:tcW w:w="538"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10.4</w:t>
            </w:r>
          </w:p>
        </w:tc>
        <w:tc>
          <w:tcPr>
            <w:tcW w:w="706" w:type="dxa"/>
            <w:tcBorders/>
            <w:shd w:fill="auto" w:val="clear"/>
            <w:vAlign w:val="center"/>
          </w:tcPr>
          <w:p>
            <w:pPr>
              <w:pStyle w:val="TableContents"/>
              <w:spacing w:lineRule="auto" w:line="300" w:before="0" w:after="0"/>
              <w:ind w:left="0" w:right="0" w:hanging="0"/>
              <w:rPr>
                <w:rFonts w:ascii="Times New Roman;Times;serif" w:hAnsi="Times New Roman;Times;serif"/>
                <w:sz w:val="18"/>
              </w:rPr>
            </w:pPr>
            <w:r>
              <w:rPr>
                <w:rFonts w:ascii="Times New Roman;Times;serif" w:hAnsi="Times New Roman;Times;serif"/>
                <w:sz w:val="18"/>
              </w:rPr>
              <w:t>02/03/2022</w:t>
            </w:r>
          </w:p>
        </w:tc>
        <w:tc>
          <w:tcPr>
            <w:tcW w:w="829" w:type="dxa"/>
            <w:tcBorders/>
            <w:shd w:fill="auto" w:val="clear"/>
            <w:vAlign w:val="center"/>
          </w:tcPr>
          <w:p>
            <w:pPr>
              <w:pStyle w:val="TableContents"/>
              <w:spacing w:lineRule="auto" w:line="300" w:before="0" w:after="0"/>
              <w:ind w:left="0" w:right="0" w:hanging="0"/>
              <w:jc w:val="center"/>
              <w:rPr/>
            </w:pPr>
            <w:r>
              <w:rPr/>
              <w:t>​</w:t>
            </w:r>
          </w:p>
        </w:tc>
      </w:tr>
      <w:tr>
        <w:trPr/>
        <w:tc>
          <w:tcPr>
            <w:tcW w:w="969" w:type="dxa"/>
            <w:tcBorders/>
            <w:shd w:fill="auto" w:val="clear"/>
            <w:vAlign w:val="center"/>
          </w:tcPr>
          <w:p>
            <w:pPr>
              <w:pStyle w:val="TableContents"/>
              <w:spacing w:lineRule="auto" w:line="300" w:before="0" w:after="0"/>
              <w:ind w:left="0" w:right="0" w:hanging="0"/>
              <w:rPr/>
            </w:pPr>
            <w:r>
              <w:rPr/>
              <w:t>​</w:t>
            </w:r>
          </w:p>
        </w:tc>
        <w:tc>
          <w:tcPr>
            <w:tcW w:w="109" w:type="dxa"/>
            <w:tcBorders/>
            <w:shd w:fill="auto" w:val="clear"/>
            <w:vAlign w:val="center"/>
          </w:tcPr>
          <w:p>
            <w:pPr>
              <w:pStyle w:val="TableContents"/>
              <w:spacing w:lineRule="auto" w:line="300" w:before="0" w:after="0"/>
              <w:ind w:left="0" w:right="0" w:hanging="0"/>
              <w:rPr/>
            </w:pPr>
            <w:r>
              <w:rPr/>
              <w:t>​</w:t>
            </w:r>
          </w:p>
        </w:tc>
        <w:tc>
          <w:tcPr>
            <w:tcW w:w="6423" w:type="dxa"/>
            <w:tcBorders/>
            <w:shd w:fill="auto" w:val="clear"/>
            <w:vAlign w:val="center"/>
          </w:tcPr>
          <w:p>
            <w:pPr>
              <w:pStyle w:val="TableContents"/>
              <w:spacing w:lineRule="auto" w:line="300" w:before="0" w:after="0"/>
              <w:ind w:left="0" w:right="0" w:hanging="0"/>
              <w:jc w:val="both"/>
              <w:rPr/>
            </w:pPr>
            <w:r>
              <w:rPr/>
              <w:t>​</w:t>
            </w:r>
          </w:p>
        </w:tc>
        <w:tc>
          <w:tcPr>
            <w:tcW w:w="538" w:type="dxa"/>
            <w:tcBorders/>
            <w:shd w:fill="auto" w:val="clear"/>
            <w:vAlign w:val="center"/>
          </w:tcPr>
          <w:p>
            <w:pPr>
              <w:pStyle w:val="TableContents"/>
              <w:spacing w:lineRule="auto" w:line="300" w:before="0" w:after="0"/>
              <w:ind w:left="0" w:right="0" w:hanging="0"/>
              <w:rPr/>
            </w:pPr>
            <w:r>
              <w:rPr/>
              <w:t>​</w:t>
            </w:r>
          </w:p>
        </w:tc>
        <w:tc>
          <w:tcPr>
            <w:tcW w:w="631" w:type="dxa"/>
            <w:tcBorders/>
            <w:shd w:fill="auto" w:val="clear"/>
            <w:vAlign w:val="center"/>
          </w:tcPr>
          <w:p>
            <w:pPr>
              <w:pStyle w:val="TableContents"/>
              <w:spacing w:lineRule="auto" w:line="300" w:before="0" w:after="0"/>
              <w:ind w:left="0" w:right="0" w:hanging="0"/>
              <w:rPr/>
            </w:pPr>
            <w:r>
              <w:rPr/>
              <w:t>​</w:t>
            </w:r>
          </w:p>
        </w:tc>
        <w:tc>
          <w:tcPr>
            <w:tcW w:w="706" w:type="dxa"/>
            <w:tcBorders/>
            <w:shd w:fill="auto" w:val="clear"/>
            <w:vAlign w:val="center"/>
          </w:tcPr>
          <w:p>
            <w:pPr>
              <w:pStyle w:val="TableContents"/>
              <w:spacing w:lineRule="auto" w:line="300" w:before="0" w:after="0"/>
              <w:ind w:left="0" w:right="0" w:hanging="0"/>
              <w:rPr/>
            </w:pPr>
            <w:r>
              <w:rPr/>
              <w:t>​</w:t>
            </w:r>
          </w:p>
        </w:tc>
        <w:tc>
          <w:tcPr>
            <w:tcW w:w="829" w:type="dxa"/>
            <w:tcBorders/>
            <w:shd w:fill="auto" w:val="clear"/>
            <w:vAlign w:val="center"/>
          </w:tcPr>
          <w:p>
            <w:pPr>
              <w:pStyle w:val="TableContents"/>
              <w:spacing w:lineRule="auto" w:line="300" w:before="0" w:after="0"/>
              <w:ind w:left="0" w:right="0" w:hanging="0"/>
              <w:jc w:val="center"/>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10.44</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r:id="rId63">
              <w:r>
                <w:rPr>
                  <w:rStyle w:val="InternetLink"/>
                  <w:rFonts w:ascii="Times New Roman;Times;serif" w:hAnsi="Times New Roman;Times;serif"/>
                  <w:b w:val="false"/>
                  <w:i w:val="false"/>
                  <w:caps w:val="false"/>
                  <w:smallCaps w:val="false"/>
                  <w:sz w:val="20"/>
                </w:rPr>
                <w:t>Consulting Agreement, dated March 8, 2022, by and between the Company and Dr. Jonathan Javitt</w:t>
              </w:r>
            </w:hyperlink>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03/09/2022</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10.45</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r:id="rId64">
              <w:r>
                <w:rPr>
                  <w:rStyle w:val="InternetLink"/>
                  <w:rFonts w:ascii="Times New Roman;Times;serif" w:hAnsi="Times New Roman;Times;serif"/>
                  <w:b w:val="false"/>
                  <w:i w:val="false"/>
                  <w:caps w:val="false"/>
                  <w:smallCaps w:val="false"/>
                  <w:sz w:val="20"/>
                </w:rPr>
                <w:t>Letter Agreement, dated March 9, 2022, by and between NeuroRx, Inc. and REBes Consulting LLC – Robert Besthof</w:t>
              </w:r>
            </w:hyperlink>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10.2</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03/09/2022</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10.46</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p>
            <w:pPr>
              <w:pStyle w:val="TableContents"/>
              <w:spacing w:before="0" w:after="0"/>
              <w:ind w:left="0" w:right="144" w:hanging="0"/>
              <w:jc w:val="both"/>
              <w:rPr/>
            </w:pPr>
            <w:hyperlink r:id="rId65">
              <w:r>
                <w:rPr>
                  <w:rStyle w:val="InternetLink"/>
                  <w:rFonts w:ascii="Times New Roman;Times;serif" w:hAnsi="Times New Roman;Times;serif"/>
                  <w:b w:val="false"/>
                  <w:i w:val="false"/>
                  <w:caps w:val="false"/>
                  <w:smallCaps w:val="false"/>
                  <w:sz w:val="20"/>
                </w:rPr>
                <w:t>Executive Employment Agreement, dated June 13, 2022, by and between NRx Pharmaceuticals, Inc. and Seth Van Voorhees</w:t>
              </w:r>
            </w:hyperlink>
          </w:p>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10-Q</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08/15/2022</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10.47</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r:id="rId66">
              <w:r>
                <w:rPr>
                  <w:rStyle w:val="InternetLink"/>
                  <w:rFonts w:ascii="Times New Roman;Times;serif" w:hAnsi="Times New Roman;Times;serif"/>
                  <w:b w:val="false"/>
                  <w:i w:val="false"/>
                  <w:caps w:val="false"/>
                  <w:smallCaps w:val="false"/>
                  <w:sz w:val="20"/>
                </w:rPr>
                <w:t>Share Purchase Agreement, dated November 4, 2022, by and between NRx Pharmaceuticals, Inc. and Streeterville Capital, LLC</w:t>
              </w:r>
            </w:hyperlink>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11/09/2022</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10.48</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r:id="rId67">
              <w:r>
                <w:rPr>
                  <w:rStyle w:val="InternetLink"/>
                  <w:rFonts w:ascii="Times New Roman;Times;serif" w:hAnsi="Times New Roman;Times;serif"/>
                  <w:b w:val="false"/>
                  <w:i w:val="false"/>
                  <w:caps w:val="false"/>
                  <w:smallCaps w:val="false"/>
                  <w:sz w:val="20"/>
                </w:rPr>
                <w:t>Form of Note, dated November 4, 2022, by and between NRX Pharmaceuticals, Inc. and Streeterville Capital, LLC</w:t>
              </w:r>
            </w:hyperlink>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10.2</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11/09/2022</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10.49</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r:id="rId68">
              <w:r>
                <w:rPr>
                  <w:rStyle w:val="InternetLink"/>
                  <w:rFonts w:ascii="Times New Roman;Times;serif" w:hAnsi="Times New Roman;Times;serif"/>
                  <w:b w:val="false"/>
                  <w:i w:val="false"/>
                  <w:caps w:val="false"/>
                  <w:smallCaps w:val="false"/>
                  <w:sz w:val="20"/>
                </w:rPr>
                <w:t>Form of Guarantee, dated November 4, 2022, by and between NeuroRx, Inc. and Streeterville Capital, LLC</w:t>
              </w:r>
            </w:hyperlink>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8-K</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10.3</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11/09/2022</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10.50</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r:id="rId69">
              <w:r>
                <w:rPr>
                  <w:rStyle w:val="InternetLink"/>
                  <w:rFonts w:ascii="Times New Roman;Times;serif" w:hAnsi="Times New Roman;Times;serif"/>
                  <w:b w:val="false"/>
                  <w:i w:val="false"/>
                  <w:caps w:val="false"/>
                  <w:smallCaps w:val="false"/>
                  <w:sz w:val="20"/>
                </w:rPr>
                <w:t>Executive Employment Agreement, dated July 12, 2022, by and between NRx Pharmaceuticals, Inc. and Stephen Willard</w:t>
              </w:r>
            </w:hyperlink>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10-Q</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11/14/2022</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10.51</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p>
            <w:pPr>
              <w:pStyle w:val="TableContents"/>
              <w:spacing w:before="0" w:after="0"/>
              <w:ind w:left="0" w:right="144" w:hanging="0"/>
              <w:jc w:val="both"/>
              <w:rPr/>
            </w:pPr>
            <w:hyperlink r:id="rId70">
              <w:r>
                <w:rPr>
                  <w:rStyle w:val="InternetLink"/>
                  <w:rFonts w:ascii="Times New Roman;Times;serif" w:hAnsi="Times New Roman;Times;serif"/>
                  <w:b w:val="false"/>
                  <w:i w:val="false"/>
                  <w:caps w:val="false"/>
                  <w:smallCaps w:val="false"/>
                  <w:sz w:val="20"/>
                </w:rPr>
                <w:t>Share Purchase Agreement, dated March 8, 2023, by and between NRx Pharmaceuticals, Inc. and Purchasers</w:t>
              </w:r>
            </w:hyperlink>
          </w:p>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8-K/A</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03/14/2023</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10.52+</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r:id="rId71">
              <w:r>
                <w:rPr>
                  <w:rStyle w:val="InternetLink"/>
                  <w:rFonts w:ascii="Times New Roman;Times;serif" w:hAnsi="Times New Roman;Times;serif"/>
                  <w:b w:val="false"/>
                  <w:i w:val="false"/>
                  <w:caps w:val="false"/>
                  <w:smallCaps w:val="false"/>
                  <w:sz w:val="20"/>
                </w:rPr>
                <w:t>Pill Tracker Supplemental Task Order, dated November 15, 2021.</w:t>
              </w:r>
            </w:hyperlink>
          </w:p>
        </w:tc>
        <w:tc>
          <w:tcPr>
            <w:tcW w:w="53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10-K</w:t>
            </w:r>
          </w:p>
        </w:tc>
        <w:tc>
          <w:tcPr>
            <w:tcW w:w="6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10.46</w:t>
            </w:r>
          </w:p>
        </w:tc>
        <w:tc>
          <w:tcPr>
            <w:tcW w:w="70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03/31/2022</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10.53</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w:anchor="nrxp-20221231xex10d53.htm">
              <w:r>
                <w:rPr>
                  <w:rStyle w:val="InternetLink"/>
                  <w:rFonts w:ascii="Times New Roman;Times;serif" w:hAnsi="Times New Roman;Times;serif"/>
                  <w:b w:val="false"/>
                  <w:i w:val="false"/>
                  <w:caps w:val="false"/>
                  <w:smallCaps w:val="false"/>
                  <w:sz w:val="20"/>
                </w:rPr>
                <w:t>Amendment to Consulting Agreement, dated March 29, 2023, by and between the Company and Dr. Jonathan Javitt.</w:t>
              </w:r>
            </w:hyperlink>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X</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23.1</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w:anchor="nrxp-20221231xex23d1.htm">
              <w:r>
                <w:rPr>
                  <w:rStyle w:val="InternetLink"/>
                  <w:rFonts w:ascii="Times New Roman;Times;serif" w:hAnsi="Times New Roman;Times;serif"/>
                  <w:b w:val="false"/>
                  <w:i w:val="false"/>
                  <w:caps w:val="false"/>
                  <w:smallCaps w:val="false"/>
                  <w:sz w:val="20"/>
                </w:rPr>
                <w:t>Consent of Independent Registered Accounting Firm</w:t>
              </w:r>
            </w:hyperlink>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X</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31.1</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w:anchor="nrxp-20221231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X</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31.2</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w:anchor="nrxp-20221231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X</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32.1†</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w:anchor="nrxp-20221231xex32d1.htm">
              <w:r>
                <w:rPr>
                  <w:rStyle w:val="InternetLink"/>
                  <w:rFonts w:ascii="Times New Roman;Times;serif" w:hAnsi="Times New Roman;Times;serif"/>
                  <w:b w:val="false"/>
                  <w:i w:val="false"/>
                  <w:caps w:val="false"/>
                  <w:smallCaps w:val="false"/>
                  <w:sz w:val="20"/>
                </w:rPr>
                <w:t>Certification of Principal Executive Officer pursuant to Section 906 of the Sarbanes-Oxley Act of 2002.</w:t>
              </w:r>
            </w:hyperlink>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X</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r>
        <w:trPr/>
        <w:tc>
          <w:tcPr>
            <w:tcW w:w="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32.2†</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hyperlink w:anchor="nrxp-20221231xex32d2.htm">
              <w:r>
                <w:rPr>
                  <w:rStyle w:val="InternetLink"/>
                  <w:rFonts w:ascii="Times New Roman;Times;serif" w:hAnsi="Times New Roman;Times;serif"/>
                  <w:b w:val="false"/>
                  <w:i w:val="false"/>
                  <w:caps w:val="false"/>
                  <w:smallCaps w:val="false"/>
                  <w:sz w:val="20"/>
                </w:rPr>
                <w:t>Certification of Principal Financial Officer pursuant to Section 906 of the Sarbanes-Oxley Act of 2002.</w:t>
              </w:r>
            </w:hyperlink>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X</w:t>
            </w:r>
          </w:p>
        </w:tc>
      </w:tr>
      <w:tr>
        <w:trPr/>
        <w:tc>
          <w:tcPr>
            <w:tcW w:w="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423" w:type="dxa"/>
            <w:tcBorders/>
            <w:shd w:fill="auto" w:val="clear"/>
            <w:vAlign w:val="center"/>
          </w:tcPr>
          <w:p>
            <w:pPr>
              <w:pStyle w:val="TableContents"/>
              <w:spacing w:before="0" w:after="0"/>
              <w:ind w:left="0" w:right="0" w:hanging="0"/>
              <w:jc w:val="both"/>
              <w:rPr/>
            </w:pPr>
            <w:r>
              <w:rPr/>
              <w:t>​</w:t>
            </w:r>
          </w:p>
        </w:tc>
        <w:tc>
          <w:tcPr>
            <w:tcW w:w="538"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95"/>
        <w:gridCol w:w="109"/>
        <w:gridCol w:w="6779"/>
        <w:gridCol w:w="516"/>
        <w:gridCol w:w="637"/>
        <w:gridCol w:w="531"/>
        <w:gridCol w:w="838"/>
      </w:tblGrid>
      <w:tr>
        <w:trPr/>
        <w:tc>
          <w:tcPr>
            <w:tcW w:w="795" w:type="dxa"/>
            <w:tcBorders/>
            <w:shd w:fill="auto" w:val="clear"/>
            <w:vAlign w:val="center"/>
          </w:tcPr>
          <w:p>
            <w:pPr>
              <w:pStyle w:val="TableHeading"/>
              <w:spacing w:lineRule="auto" w:line="300" w:before="0" w:after="0"/>
              <w:ind w:left="0" w:right="0" w:hanging="0"/>
              <w:jc w:val="left"/>
              <w:rPr/>
            </w:pPr>
            <w:r>
              <w:rPr/>
              <w:t>​</w:t>
            </w:r>
          </w:p>
        </w:tc>
        <w:tc>
          <w:tcPr>
            <w:tcW w:w="109" w:type="dxa"/>
            <w:tcBorders/>
            <w:shd w:fill="auto" w:val="clear"/>
            <w:vAlign w:val="center"/>
          </w:tcPr>
          <w:p>
            <w:pPr>
              <w:pStyle w:val="TableHeading"/>
              <w:spacing w:lineRule="auto" w:line="300" w:before="0" w:after="0"/>
              <w:ind w:left="0" w:right="0" w:hanging="0"/>
              <w:jc w:val="left"/>
              <w:rPr/>
            </w:pPr>
            <w:r>
              <w:rPr/>
              <w:t>​</w:t>
            </w:r>
          </w:p>
        </w:tc>
        <w:tc>
          <w:tcPr>
            <w:tcW w:w="6779" w:type="dxa"/>
            <w:tcBorders/>
            <w:shd w:fill="auto" w:val="clear"/>
            <w:vAlign w:val="center"/>
          </w:tcPr>
          <w:p>
            <w:pPr>
              <w:pStyle w:val="TableHeading"/>
              <w:spacing w:lineRule="auto" w:line="300" w:before="0" w:after="0"/>
              <w:ind w:left="0" w:right="0" w:hanging="0"/>
              <w:jc w:val="both"/>
              <w:rPr/>
            </w:pPr>
            <w:r>
              <w:rPr/>
              <w:t>​</w:t>
            </w:r>
          </w:p>
        </w:tc>
        <w:tc>
          <w:tcPr>
            <w:tcW w:w="2522" w:type="dxa"/>
            <w:gridSpan w:val="4"/>
            <w:tcBorders>
              <w:bottom w:val="single" w:sz="2" w:space="0" w:color="000000"/>
            </w:tcBorders>
            <w:shd w:fill="auto" w:val="clear"/>
            <w:tcMar>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 Exhibit</w:t>
            </w:r>
          </w:p>
        </w:tc>
      </w:tr>
      <w:tr>
        <w:trPr/>
        <w:tc>
          <w:tcPr>
            <w:tcW w:w="795"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09" w:type="dxa"/>
            <w:tcBorders/>
            <w:shd w:fill="auto" w:val="clear"/>
            <w:vAlign w:val="center"/>
          </w:tcPr>
          <w:p>
            <w:pPr>
              <w:pStyle w:val="TableHeading"/>
              <w:spacing w:lineRule="auto" w:line="300" w:before="0" w:after="0"/>
              <w:ind w:left="0" w:right="0" w:hanging="0"/>
              <w:jc w:val="left"/>
              <w:rPr/>
            </w:pPr>
            <w:r>
              <w:rPr/>
              <w:t>​</w:t>
            </w:r>
          </w:p>
        </w:tc>
        <w:tc>
          <w:tcPr>
            <w:tcW w:w="6779" w:type="dxa"/>
            <w:tcBorders>
              <w:bottom w:val="single" w:sz="2" w:space="0" w:color="000000"/>
            </w:tcBorders>
            <w:shd w:fill="auto" w:val="clear"/>
            <w:tcMar>
              <w:bottom w:w="28" w:type="dxa"/>
            </w:tcMar>
            <w:vAlign w:val="center"/>
          </w:tcPr>
          <w:p>
            <w:pPr>
              <w:pStyle w:val="TableHeading"/>
              <w:spacing w:lineRule="auto" w:line="300"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c>
          <w:tcPr>
            <w:tcW w:w="516"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637"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531"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838" w:type="dxa"/>
            <w:tcBorders>
              <w:top w:val="single" w:sz="2" w:space="0" w:color="000000"/>
              <w:bottom w:val="single" w:sz="2" w:space="0" w:color="000000"/>
            </w:tcBorders>
            <w:shd w:fill="auto" w:val="clear"/>
            <w:tcMar>
              <w:top w:w="28" w:type="dxa"/>
              <w:bottom w:w="28" w:type="dxa"/>
            </w:tcMar>
            <w:vAlign w:val="center"/>
          </w:tcPr>
          <w:p>
            <w:pPr>
              <w:pStyle w:val="TableHeading"/>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File</w:t>
              <w:br/>
              <w:t>Herewith</w:t>
            </w:r>
          </w:p>
        </w:tc>
      </w:tr>
      <w:tr>
        <w:trPr/>
        <w:tc>
          <w:tcPr>
            <w:tcW w:w="79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w:t>
            </w:r>
          </w:p>
        </w:tc>
        <w:tc>
          <w:tcPr>
            <w:tcW w:w="109" w:type="dxa"/>
            <w:tcBorders/>
            <w:shd w:fill="auto" w:val="clear"/>
            <w:vAlign w:val="center"/>
          </w:tcPr>
          <w:p>
            <w:pPr>
              <w:pStyle w:val="TableContents"/>
              <w:spacing w:before="0" w:after="0"/>
              <w:ind w:left="0" w:right="0" w:hanging="0"/>
              <w:rPr/>
            </w:pPr>
            <w:r>
              <w:rPr/>
              <w:t>​</w:t>
            </w:r>
          </w:p>
        </w:tc>
        <w:tc>
          <w:tcPr>
            <w:tcW w:w="6779"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Interactive data files pursuant to Rule 405 of Regulation S-T formatted in Inline XBRL: (i) Consolidated Balance Sheets as of December 31, 2022 and December 31, 2021; (ii) Consolidated Statements of Operations for the years ended December 31, 2022 and 2021; (iii) Consolidated Statements of Changes in Stockholders' Equity (Deficit) for the years ended December 31, 2022 and 2021; (iv) Consolidated Statements of Cash Flows for the years ended December 31, 2022 and 2021; and (v) Notes to Financial Statements</w:t>
            </w:r>
          </w:p>
        </w:tc>
        <w:tc>
          <w:tcPr>
            <w:tcW w:w="516" w:type="dxa"/>
            <w:tcBorders/>
            <w:shd w:fill="auto" w:val="clear"/>
            <w:vAlign w:val="center"/>
          </w:tcPr>
          <w:p>
            <w:pPr>
              <w:pStyle w:val="TableContents"/>
              <w:spacing w:before="0" w:after="0"/>
              <w:ind w:left="0" w:right="0" w:hanging="0"/>
              <w:rPr/>
            </w:pPr>
            <w:r>
              <w:rPr/>
              <w:t>​</w:t>
            </w:r>
          </w:p>
        </w:tc>
        <w:tc>
          <w:tcPr>
            <w:tcW w:w="637" w:type="dxa"/>
            <w:tcBorders/>
            <w:shd w:fill="auto" w:val="clear"/>
            <w:vAlign w:val="center"/>
          </w:tcPr>
          <w:p>
            <w:pPr>
              <w:pStyle w:val="TableContents"/>
              <w:spacing w:before="0" w:after="0"/>
              <w:ind w:left="0" w:right="0" w:hanging="0"/>
              <w:rPr/>
            </w:pPr>
            <w:r>
              <w:rPr/>
              <w:t>​</w:t>
            </w:r>
          </w:p>
        </w:tc>
        <w:tc>
          <w:tcPr>
            <w:tcW w:w="531"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rPr/>
            </w:pPr>
            <w:r>
              <w:rPr/>
              <w:t>​</w:t>
            </w:r>
          </w:p>
        </w:tc>
      </w:tr>
      <w:tr>
        <w:trPr/>
        <w:tc>
          <w:tcPr>
            <w:tcW w:w="79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779" w:type="dxa"/>
            <w:tcBorders/>
            <w:shd w:fill="auto" w:val="clear"/>
            <w:vAlign w:val="center"/>
          </w:tcPr>
          <w:p>
            <w:pPr>
              <w:pStyle w:val="TableContents"/>
              <w:spacing w:before="0" w:after="0"/>
              <w:ind w:left="0" w:right="0" w:hanging="0"/>
              <w:jc w:val="both"/>
              <w:rPr/>
            </w:pPr>
            <w:r>
              <w:rPr/>
              <w:t>​</w:t>
            </w:r>
          </w:p>
        </w:tc>
        <w:tc>
          <w:tcPr>
            <w:tcW w:w="516" w:type="dxa"/>
            <w:tcBorders/>
            <w:shd w:fill="auto" w:val="clear"/>
            <w:vAlign w:val="center"/>
          </w:tcPr>
          <w:p>
            <w:pPr>
              <w:pStyle w:val="TableContents"/>
              <w:spacing w:before="0" w:after="0"/>
              <w:ind w:left="0" w:right="0" w:hanging="0"/>
              <w:rPr/>
            </w:pPr>
            <w:r>
              <w:rPr/>
              <w:t>​</w:t>
            </w:r>
          </w:p>
        </w:tc>
        <w:tc>
          <w:tcPr>
            <w:tcW w:w="637" w:type="dxa"/>
            <w:tcBorders/>
            <w:shd w:fill="auto" w:val="clear"/>
            <w:vAlign w:val="center"/>
          </w:tcPr>
          <w:p>
            <w:pPr>
              <w:pStyle w:val="TableContents"/>
              <w:spacing w:before="0" w:after="0"/>
              <w:ind w:left="0" w:right="0" w:hanging="0"/>
              <w:rPr/>
            </w:pPr>
            <w:r>
              <w:rPr/>
              <w:t>​</w:t>
            </w:r>
          </w:p>
        </w:tc>
        <w:tc>
          <w:tcPr>
            <w:tcW w:w="531"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rPr/>
            </w:pPr>
            <w:r>
              <w:rPr/>
              <w:t>​</w:t>
            </w:r>
          </w:p>
        </w:tc>
      </w:tr>
      <w:tr>
        <w:trPr/>
        <w:tc>
          <w:tcPr>
            <w:tcW w:w="79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79"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Cover Page Interactive Data File (formatted in iXBRL and contained in Exhibit 101)</w:t>
            </w:r>
          </w:p>
        </w:tc>
        <w:tc>
          <w:tcPr>
            <w:tcW w:w="5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
        <w:ind w:left="0" w:right="0" w:hanging="0"/>
        <w:jc w:val="both"/>
        <w:rPr>
          <w:rFonts w:ascii="Times New Roman;Times;serif" w:hAnsi="Times New Roman;Times;serif"/>
          <w:sz w:val="18"/>
        </w:rPr>
      </w:pPr>
      <w:r>
        <w:rPr>
          <w:rFonts w:ascii="Times New Roman;Times;serif" w:hAnsi="Times New Roman;Times;serif"/>
          <w:sz w:val="20"/>
        </w:rPr>
        <w:t xml:space="preserve">+ </w:t>
      </w:r>
      <w:r>
        <w:rPr>
          <w:rFonts w:ascii="Times New Roman;Times;serif" w:hAnsi="Times New Roman;Times;serif"/>
          <w:sz w:val="18"/>
        </w:rPr>
        <w:t>Certain portions of this exhibit have been redacted pursuant to Item 601(b)(10)(iv) of Regulations S-K.  The Company will furnish supplementally an unredacted copy of such exhibit to the Securities and Exchange Commission or its staff upon request.</w:t>
      </w:r>
    </w:p>
    <w:p>
      <w:pPr>
        <w:pStyle w:val="TextBody"/>
        <w:spacing w:before="0" w:after="2"/>
        <w:ind w:left="0" w:right="0" w:hanging="0"/>
        <w:jc w:val="both"/>
        <w:rPr/>
      </w:pPr>
      <w:r>
        <w:rPr/>
        <w:t>​</w:t>
      </w:r>
    </w:p>
    <w:p>
      <w:pPr>
        <w:pStyle w:val="TextBody"/>
        <w:spacing w:before="0" w:after="2"/>
        <w:ind w:left="0" w:right="0" w:hanging="0"/>
        <w:jc w:val="both"/>
        <w:rPr/>
      </w:pPr>
      <w:r>
        <w:rPr/>
        <w:t xml:space="preserve">† </w:t>
      </w:r>
      <w:r>
        <w:rPr>
          <w:rFonts w:ascii="Times New Roman;Times;serif" w:hAnsi="Times New Roman;Times;serif"/>
          <w:sz w:val="18"/>
        </w:rPr>
        <w:t>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
        <w:ind w:left="0" w:right="0" w:hanging="0"/>
        <w:jc w:val="center"/>
        <w:rPr>
          <w:rFonts w:ascii="Times New Roman;Times;serif" w:hAnsi="Times New Roman;Times;serif"/>
          <w:b/>
          <w:sz w:val="20"/>
        </w:rPr>
      </w:pPr>
      <w:bookmarkStart w:id="1074" w:name="SIGNATURES_790307"/>
      <w:bookmarkStart w:id="1075" w:name="_9315533b_d0c9_4472_b02d_8aafc74dd2af"/>
      <w:bookmarkEnd w:id="1074"/>
      <w:bookmarkEnd w:id="1075"/>
      <w:r>
        <w:rPr>
          <w:rFonts w:ascii="Times New Roman;Times;serif" w:hAnsi="Times New Roman;Times;serif"/>
          <w:b/>
          <w:sz w:val="20"/>
        </w:rPr>
        <w:t>SIGNATURES</w:t>
      </w:r>
    </w:p>
    <w:p>
      <w:pPr>
        <w:pStyle w:val="TextBody"/>
        <w:spacing w:before="0" w:after="2"/>
        <w:ind w:left="0" w:right="0" w:hanging="0"/>
        <w:rPr/>
      </w:pPr>
      <w:r>
        <w:rPr/>
        <w:t>​</w:t>
      </w:r>
    </w:p>
    <w:p>
      <w:pPr>
        <w:pStyle w:val="TextBody"/>
        <w:spacing w:before="0" w:after="0"/>
        <w:ind w:left="0" w:right="0" w:firstLine="27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 on March 31, 2023.</w:t>
      </w:r>
    </w:p>
    <w:p>
      <w:pPr>
        <w:pStyle w:val="TextBody"/>
        <w:spacing w:before="0" w:after="0"/>
        <w:ind w:left="0" w:right="0" w:hanging="0"/>
        <w:rPr/>
      </w:pPr>
      <w:r>
        <w:rPr/>
        <w:t>​</w:t>
      </w:r>
    </w:p>
    <w:tbl>
      <w:tblPr>
        <w:tblW w:w="5170" w:type="dxa"/>
        <w:jc w:val="left"/>
        <w:tblInd w:w="0" w:type="dxa"/>
        <w:tblCellMar>
          <w:top w:w="0" w:type="dxa"/>
          <w:left w:w="0" w:type="dxa"/>
          <w:bottom w:w="0" w:type="dxa"/>
          <w:right w:w="0" w:type="dxa"/>
        </w:tblCellMar>
      </w:tblPr>
      <w:tblGrid>
        <w:gridCol w:w="124"/>
        <w:gridCol w:w="109"/>
        <w:gridCol w:w="406"/>
        <w:gridCol w:w="4531"/>
      </w:tblGrid>
      <w:tr>
        <w:trPr/>
        <w:tc>
          <w:tcPr>
            <w:tcW w:w="124"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jc w:val="both"/>
              <w:rPr/>
            </w:pPr>
            <w:r>
              <w:rPr/>
              <w:t>​</w:t>
            </w:r>
          </w:p>
        </w:tc>
        <w:tc>
          <w:tcPr>
            <w:tcW w:w="4531" w:type="dxa"/>
            <w:tcBorders/>
            <w:shd w:fill="auto" w:val="clear"/>
            <w:vAlign w:val="center"/>
          </w:tcPr>
          <w:p>
            <w:pPr>
              <w:pStyle w:val="TableContents"/>
              <w:spacing w:before="0" w:after="0"/>
              <w:ind w:left="0" w:right="0" w:hanging="0"/>
              <w:jc w:val="both"/>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both"/>
              <w:rPr/>
            </w:pPr>
            <w:r>
              <w:rPr/>
              <w:t>​</w:t>
            </w:r>
          </w:p>
        </w:tc>
        <w:tc>
          <w:tcPr>
            <w:tcW w:w="4937"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NRX PHARMACEUTICALS, INC.</w:t>
            </w:r>
          </w:p>
        </w:tc>
      </w:tr>
      <w:tr>
        <w:trPr/>
        <w:tc>
          <w:tcPr>
            <w:tcW w:w="124"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0"/>
              <w:ind w:left="0" w:right="0" w:hanging="0"/>
              <w:jc w:val="both"/>
              <w:rPr/>
            </w:pPr>
            <w:r>
              <w:rPr/>
              <w:t>​</w:t>
            </w:r>
          </w:p>
        </w:tc>
        <w:tc>
          <w:tcPr>
            <w:tcW w:w="4937" w:type="dxa"/>
            <w:gridSpan w:val="2"/>
            <w:tcBorders/>
            <w:shd w:fill="auto" w:val="clear"/>
            <w:vAlign w:val="center"/>
          </w:tcPr>
          <w:p>
            <w:pPr>
              <w:pStyle w:val="TableContents"/>
              <w:spacing w:before="0" w:after="0"/>
              <w:ind w:left="0" w:right="0" w:hanging="0"/>
              <w:jc w:val="both"/>
              <w:rPr/>
            </w:pPr>
            <w:r>
              <w:rPr/>
              <w:t>​</w:t>
            </w:r>
          </w:p>
        </w:tc>
      </w:tr>
      <w:tr>
        <w:trPr/>
        <w:tc>
          <w:tcPr>
            <w:tcW w:w="124"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4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Seth Van Voorhees</w:t>
            </w:r>
          </w:p>
        </w:tc>
      </w:tr>
      <w:tr>
        <w:trPr/>
        <w:tc>
          <w:tcPr>
            <w:tcW w:w="124"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jc w:val="both"/>
              <w:rPr>
                <w:highlight w:val="yellow"/>
              </w:rPr>
            </w:pPr>
            <w:r>
              <w:rPr>
                <w:highlight w:val="yellow"/>
              </w:rPr>
              <w:t>​</w:t>
            </w:r>
          </w:p>
        </w:tc>
        <w:tc>
          <w:tcPr>
            <w:tcW w:w="453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Seth Van Voorhees</w:t>
            </w:r>
          </w:p>
        </w:tc>
      </w:tr>
      <w:tr>
        <w:trPr/>
        <w:tc>
          <w:tcPr>
            <w:tcW w:w="124"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jc w:val="both"/>
              <w:rPr/>
            </w:pPr>
            <w:r>
              <w:rPr/>
              <w:t>​</w:t>
            </w:r>
          </w:p>
        </w:tc>
        <w:tc>
          <w:tcPr>
            <w:tcW w:w="453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 xml:space="preserve">Chief Financial Officer (Principal Financial Officer) </w:t>
            </w:r>
          </w:p>
        </w:tc>
      </w:tr>
      <w:tr>
        <w:trPr/>
        <w:tc>
          <w:tcPr>
            <w:tcW w:w="124"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jc w:val="both"/>
              <w:rPr/>
            </w:pPr>
            <w:r>
              <w:rPr/>
              <w:t>​</w:t>
            </w:r>
          </w:p>
        </w:tc>
        <w:tc>
          <w:tcPr>
            <w:tcW w:w="453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firstLine="288"/>
        <w:rPr/>
      </w:pPr>
      <w:r>
        <w:rPr/>
        <w:t>​</w:t>
      </w:r>
    </w:p>
    <w:p>
      <w:pPr>
        <w:pStyle w:val="TextBody"/>
        <w:spacing w:before="0" w:after="0"/>
        <w:ind w:left="0" w:right="0" w:firstLine="288"/>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on March 31, 2023 by the following persons on behalf of the registrant and in the capacities indicated:</w:t>
      </w:r>
    </w:p>
    <w:p>
      <w:pPr>
        <w:pStyle w:val="TextBody"/>
        <w:spacing w:before="0" w:after="0"/>
        <w:ind w:left="0" w:right="0" w:firstLine="288"/>
        <w:rPr/>
      </w:pPr>
      <w:r>
        <w:rPr/>
        <w:t>​</w:t>
      </w:r>
    </w:p>
    <w:p>
      <w:pPr>
        <w:pStyle w:val="TextBody"/>
        <w:spacing w:before="0" w:after="0"/>
        <w:ind w:left="0" w:right="0" w:firstLine="288"/>
        <w:rPr/>
      </w:pPr>
      <w:r>
        <w:rPr/>
        <w:t>​</w:t>
      </w:r>
    </w:p>
    <w:tbl>
      <w:tblPr>
        <w:tblW w:w="6381" w:type="dxa"/>
        <w:jc w:val="left"/>
        <w:tblInd w:w="0" w:type="dxa"/>
        <w:tblCellMar>
          <w:top w:w="0" w:type="dxa"/>
          <w:left w:w="0" w:type="dxa"/>
          <w:bottom w:w="0" w:type="dxa"/>
          <w:right w:w="0" w:type="dxa"/>
        </w:tblCellMar>
      </w:tblPr>
      <w:tblGrid>
        <w:gridCol w:w="1726"/>
        <w:gridCol w:w="109"/>
        <w:gridCol w:w="4546"/>
      </w:tblGrid>
      <w:tr>
        <w:trPr/>
        <w:tc>
          <w:tcPr>
            <w:tcW w:w="1726"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546" w:type="dxa"/>
            <w:tcBorders/>
            <w:shd w:fill="auto" w:val="clear"/>
            <w:vAlign w:val="center"/>
          </w:tcPr>
          <w:p>
            <w:pPr>
              <w:pStyle w:val="TableContents"/>
              <w:spacing w:before="0" w:after="0"/>
              <w:ind w:left="0" w:right="0" w:hanging="0"/>
              <w:rPr/>
            </w:pPr>
            <w:r>
              <w:rPr/>
              <w:t>​</w:t>
            </w:r>
          </w:p>
        </w:tc>
      </w:tr>
      <w:tr>
        <w:trPr/>
        <w:tc>
          <w:tcPr>
            <w:tcW w:w="1726"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b/>
                <w:sz w:val="18"/>
              </w:rPr>
            </w:pPr>
            <w:r>
              <w:rPr>
                <w:rFonts w:ascii="Times New Roman;Times;serif" w:hAnsi="Times New Roman;Times;serif"/>
                <w:b/>
                <w:sz w:val="18"/>
              </w:rPr>
              <w:t>Signature</w:t>
            </w:r>
          </w:p>
        </w:tc>
        <w:tc>
          <w:tcPr>
            <w:tcW w:w="109" w:type="dxa"/>
            <w:tcBorders/>
            <w:shd w:fill="auto" w:val="clear"/>
            <w:vAlign w:val="center"/>
          </w:tcPr>
          <w:p>
            <w:pPr>
              <w:pStyle w:val="TableContents"/>
              <w:spacing w:before="0" w:after="240"/>
              <w:ind w:left="0" w:right="0" w:hanging="0"/>
              <w:jc w:val="center"/>
              <w:rPr/>
            </w:pPr>
            <w:r>
              <w:rPr/>
              <w:t>​</w:t>
            </w:r>
          </w:p>
        </w:tc>
        <w:tc>
          <w:tcPr>
            <w:tcW w:w="4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w:t>
            </w:r>
          </w:p>
        </w:tc>
      </w:tr>
      <w:tr>
        <w:trPr/>
        <w:tc>
          <w:tcPr>
            <w:tcW w:w="17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1726" w:type="dxa"/>
            <w:tcBorders>
              <w:bottom w:val="single" w:sz="2" w:space="0" w:color="000000"/>
            </w:tcBorders>
            <w:shd w:fill="auto" w:val="clear"/>
            <w:tcMar>
              <w:bottom w:w="28" w:type="dxa"/>
            </w:tcMar>
            <w:vAlign w:val="center"/>
          </w:tcPr>
          <w:p>
            <w:pPr>
              <w:pStyle w:val="TableContents"/>
              <w:pBdr/>
              <w:spacing w:before="0" w:after="0"/>
              <w:ind w:left="0" w:right="0" w:hanging="144"/>
              <w:jc w:val="center"/>
              <w:rPr/>
            </w:pPr>
            <w:r>
              <w:rPr/>
              <w:t>​</w:t>
            </w:r>
          </w:p>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 Stephen H. Willard</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283"/>
              <w:ind w:left="0" w:right="0" w:hanging="0"/>
              <w:rPr>
                <w:sz w:val="4"/>
                <w:szCs w:val="4"/>
              </w:rPr>
            </w:pPr>
            <w:r>
              <w:rPr>
                <w:sz w:val="4"/>
                <w:szCs w:val="4"/>
              </w:rPr>
            </w:r>
          </w:p>
        </w:tc>
      </w:tr>
      <w:tr>
        <w:trPr/>
        <w:tc>
          <w:tcPr>
            <w:tcW w:w="1726" w:type="dxa"/>
            <w:tcBorders>
              <w:top w:val="single" w:sz="2" w:space="0" w:color="000000"/>
            </w:tcBorders>
            <w:shd w:fill="auto"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Stephen H. Willard</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Chief Executive Officer </w:t>
            </w:r>
          </w:p>
        </w:tc>
      </w:tr>
      <w:tr>
        <w:trPr/>
        <w:tc>
          <w:tcPr>
            <w:tcW w:w="17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(Principal Executive Officer)</w:t>
            </w:r>
          </w:p>
        </w:tc>
      </w:tr>
      <w:tr>
        <w:trPr/>
        <w:tc>
          <w:tcPr>
            <w:tcW w:w="17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 Seth Van Voorhees</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Chief Financial Officer</w:t>
            </w:r>
          </w:p>
        </w:tc>
      </w:tr>
      <w:tr>
        <w:trPr/>
        <w:tc>
          <w:tcPr>
            <w:tcW w:w="1726" w:type="dxa"/>
            <w:tcBorders>
              <w:top w:val="single" w:sz="2" w:space="0" w:color="000000"/>
            </w:tcBorders>
            <w:shd w:fill="auto"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Seth Van Voorhees</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(Principal Financial Officer and Principal Accounting Officer)</w:t>
            </w:r>
          </w:p>
        </w:tc>
      </w:tr>
      <w:tr>
        <w:trPr/>
        <w:tc>
          <w:tcPr>
            <w:tcW w:w="17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 Patrick J. Flynn</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r>
      <w:tr>
        <w:trPr/>
        <w:tc>
          <w:tcPr>
            <w:tcW w:w="1726" w:type="dxa"/>
            <w:tcBorders>
              <w:top w:val="single" w:sz="2" w:space="0" w:color="000000"/>
            </w:tcBorders>
            <w:shd w:fill="auto"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Patrick J. Flynn</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pBdr/>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 Sherry A. Glied</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r>
      <w:tr>
        <w:trPr/>
        <w:tc>
          <w:tcPr>
            <w:tcW w:w="1726" w:type="dxa"/>
            <w:tcBorders>
              <w:top w:val="single" w:sz="2" w:space="0" w:color="000000"/>
            </w:tcBorders>
            <w:shd w:fill="auto"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Sherry A. Glied</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 Aaron Gorovitz</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r>
      <w:tr>
        <w:trPr/>
        <w:tc>
          <w:tcPr>
            <w:tcW w:w="1726" w:type="dxa"/>
            <w:tcBorders>
              <w:top w:val="single" w:sz="2" w:space="0" w:color="000000"/>
            </w:tcBorders>
            <w:shd w:fill="auto"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Aaron Gorovitz</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 Chaim Hurvitz</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r>
      <w:tr>
        <w:trPr/>
        <w:tc>
          <w:tcPr>
            <w:tcW w:w="1726" w:type="dxa"/>
            <w:tcBorders>
              <w:top w:val="single" w:sz="2" w:space="0" w:color="000000"/>
            </w:tcBorders>
            <w:shd w:fill="auto"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Chaim Hurvitz</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pBdr/>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 Jonathan C. Javitt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r>
      <w:tr>
        <w:trPr/>
        <w:tc>
          <w:tcPr>
            <w:tcW w:w="1726" w:type="dxa"/>
            <w:tcBorders>
              <w:top w:val="single" w:sz="2" w:space="0" w:color="000000"/>
            </w:tcBorders>
            <w:shd w:fill="auto"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Jonathan C. Javitt</w:t>
            </w:r>
          </w:p>
        </w:tc>
        <w:tc>
          <w:tcPr>
            <w:tcW w:w="109" w:type="dxa"/>
            <w:tcBorders/>
            <w:shd w:fill="auto" w:val="clear"/>
            <w:vAlign w:val="center"/>
          </w:tcPr>
          <w:p>
            <w:pPr>
              <w:pStyle w:val="TableContents"/>
              <w:spacing w:before="0" w:after="0"/>
              <w:ind w:left="0" w:right="0" w:hanging="0"/>
              <w:jc w:val="center"/>
              <w:rPr/>
            </w:pPr>
            <w:r>
              <w:rPr/>
              <w:t>​</w:t>
            </w:r>
          </w:p>
        </w:tc>
        <w:tc>
          <w:tcPr>
            <w:tcW w:w="4546"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16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r>
        <w:br w:type="page"/>
      </w:r>
    </w:p>
    <w:p>
      <w:pPr>
        <w:pStyle w:val="TextBody"/>
        <w:spacing w:before="0" w:after="0"/>
        <w:ind w:left="0" w:right="0" w:hanging="0"/>
        <w:jc w:val="center"/>
        <w:rPr>
          <w:rFonts w:ascii="Times New Roman;Times;serif" w:hAnsi="Times New Roman;Times;serif"/>
          <w:b/>
          <w:sz w:val="24"/>
        </w:rPr>
      </w:pPr>
      <w:bookmarkStart w:id="1076" w:name="nrxp-20221231xex10d53.htm"/>
      <w:bookmarkStart w:id="1077" w:name="ksnrxp20221231xex10d53"/>
      <w:bookmarkEnd w:id="1076"/>
      <w:bookmarkEnd w:id="1077"/>
      <w:r>
        <w:rPr>
          <w:rFonts w:ascii="Times New Roman;Times;serif" w:hAnsi="Times New Roman;Times;serif"/>
          <w:b/>
          <w:sz w:val="24"/>
        </w:rPr>
        <w:t>FIRST AMENDMENT TO CONSULTING AGREEMENT</w:t>
      </w:r>
    </w:p>
    <w:p>
      <w:pPr>
        <w:pStyle w:val="TextBody"/>
        <w:spacing w:before="0" w:after="0"/>
        <w:ind w:left="0" w:right="0" w:hanging="0"/>
        <w:jc w:val="center"/>
        <w:rPr/>
      </w:pPr>
      <w:r>
        <w:rPr/>
        <w:t>​</w:t>
      </w:r>
    </w:p>
    <w:p>
      <w:pPr>
        <w:pStyle w:val="TextBody"/>
        <w:spacing w:before="0" w:after="240"/>
        <w:ind w:left="100" w:right="0" w:firstLine="720"/>
        <w:jc w:val="both"/>
        <w:rPr>
          <w:rFonts w:ascii="Times New Roman;Times;serif" w:hAnsi="Times New Roman;Times;serif"/>
          <w:sz w:val="20"/>
        </w:rPr>
      </w:pPr>
      <w:r>
        <w:rPr>
          <w:rFonts w:ascii="Times New Roman;Times;serif" w:hAnsi="Times New Roman;Times;serif"/>
          <w:sz w:val="24"/>
        </w:rPr>
        <w:t>This First Amendment to Consulting Agreement (this “</w:t>
      </w:r>
      <w:r>
        <w:rPr>
          <w:rFonts w:ascii="Times New Roman;Times;serif" w:hAnsi="Times New Roman;Times;serif"/>
          <w:sz w:val="24"/>
          <w:u w:val="single"/>
        </w:rPr>
        <w:t>Amendment</w:t>
      </w:r>
      <w:r>
        <w:rPr>
          <w:rFonts w:ascii="Times New Roman;Times;serif" w:hAnsi="Times New Roman;Times;serif"/>
          <w:sz w:val="20"/>
        </w:rPr>
        <w:t>”</w:t>
      </w:r>
      <w:r>
        <w:rPr>
          <w:rFonts w:ascii="Times New Roman;Times;serif" w:hAnsi="Times New Roman;Times;serif"/>
          <w:sz w:val="24"/>
        </w:rPr>
        <w:t>) is entered into by and between NRx Pharmaceuticals, Inc., a Delaware corporation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and Jonathan C. Javitt (“</w:t>
      </w:r>
      <w:r>
        <w:rPr>
          <w:rFonts w:ascii="Times New Roman;Times;serif" w:hAnsi="Times New Roman;Times;serif"/>
          <w:sz w:val="24"/>
          <w:u w:val="single"/>
        </w:rPr>
        <w:t>Consultant</w:t>
      </w:r>
      <w:r>
        <w:rPr>
          <w:rFonts w:ascii="Times New Roman;Times;serif" w:hAnsi="Times New Roman;Times;serif"/>
          <w:sz w:val="20"/>
        </w:rPr>
        <w:t>”</w:t>
      </w:r>
      <w:r>
        <w:rPr>
          <w:rFonts w:ascii="Times New Roman;Times;serif" w:hAnsi="Times New Roman;Times;serif"/>
          <w:sz w:val="24"/>
        </w:rPr>
        <w:t>).  This Amendment is dated March 29, 2023 but shall apply with affect from March 9, 2023 (the “</w:t>
      </w:r>
      <w:r>
        <w:rPr>
          <w:rFonts w:ascii="Times New Roman;Times;serif" w:hAnsi="Times New Roman;Times;serif"/>
          <w:sz w:val="24"/>
          <w:u w:val="single"/>
        </w:rPr>
        <w:t>Amendment Effective Date</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100" w:right="0" w:firstLine="720"/>
        <w:jc w:val="both"/>
        <w:rPr>
          <w:rFonts w:ascii="Times New Roman;Times;serif" w:hAnsi="Times New Roman;Times;serif"/>
          <w:sz w:val="20"/>
        </w:rPr>
      </w:pPr>
      <w:r>
        <w:rPr>
          <w:rFonts w:ascii="Times New Roman;Times;serif" w:hAnsi="Times New Roman;Times;serif"/>
          <w:sz w:val="24"/>
        </w:rPr>
        <w:t>WHEREAS, the Company and the Consultant entered into the Consulting Agreement, effective as of March 8, 2022 (the “</w:t>
      </w:r>
      <w:r>
        <w:rPr>
          <w:rFonts w:ascii="Times New Roman;Times;serif" w:hAnsi="Times New Roman;Times;serif"/>
          <w:sz w:val="24"/>
          <w:u w:val="single"/>
        </w:rPr>
        <w:t>Consulting Agreement</w:t>
      </w:r>
      <w:r>
        <w:rPr>
          <w:rFonts w:ascii="Times New Roman;Times;serif" w:hAnsi="Times New Roman;Times;serif"/>
          <w:sz w:val="20"/>
        </w:rPr>
        <w:t>”</w:t>
      </w:r>
      <w:r>
        <w:rPr>
          <w:rFonts w:ascii="Times New Roman;Times;serif" w:hAnsi="Times New Roman;Times;serif"/>
          <w:sz w:val="24"/>
        </w:rPr>
        <w:t>), whereby Consultant agreed to provide consulting services for the benefit of the Company; and</w:t>
      </w:r>
    </w:p>
    <w:p>
      <w:pPr>
        <w:pStyle w:val="TextBody"/>
        <w:spacing w:before="0" w:after="240"/>
        <w:ind w:left="100" w:right="0" w:firstLine="720"/>
        <w:jc w:val="both"/>
        <w:rPr>
          <w:rFonts w:ascii="Times New Roman;Times;serif" w:hAnsi="Times New Roman;Times;serif"/>
          <w:sz w:val="24"/>
        </w:rPr>
      </w:pPr>
      <w:r>
        <w:rPr>
          <w:rFonts w:ascii="Times New Roman;Times;serif" w:hAnsi="Times New Roman;Times;serif"/>
          <w:sz w:val="24"/>
        </w:rPr>
        <w:t>WHEREAS, the Company and Consultant desire to amend the Consulting Agreement as set forth in this Amendment.</w:t>
      </w:r>
    </w:p>
    <w:p>
      <w:pPr>
        <w:pStyle w:val="TextBody"/>
        <w:spacing w:before="0" w:after="240"/>
        <w:ind w:left="820" w:right="0" w:hanging="0"/>
        <w:jc w:val="both"/>
        <w:rPr>
          <w:rFonts w:ascii="Times New Roman;Times;serif" w:hAnsi="Times New Roman;Times;serif"/>
          <w:sz w:val="24"/>
        </w:rPr>
      </w:pPr>
      <w:r>
        <w:rPr>
          <w:rFonts w:ascii="Times New Roman;Times;serif" w:hAnsi="Times New Roman;Times;serif"/>
          <w:sz w:val="24"/>
        </w:rPr>
        <w:t>NOW, THEREFORE, the Company and Consultant hereby agree as follows:</w:t>
      </w:r>
    </w:p>
    <w:p>
      <w:pPr>
        <w:pStyle w:val="TextBody"/>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b/>
          <w:sz w:val="24"/>
        </w:rPr>
        <w:t xml:space="preserve">Term. </w:t>
      </w:r>
      <w:r>
        <w:rPr>
          <w:rFonts w:ascii="Times New Roman;Times;serif" w:hAnsi="Times New Roman;Times;serif"/>
          <w:sz w:val="24"/>
        </w:rPr>
        <w:t xml:space="preserve">The first sentence of </w:t>
      </w:r>
      <w:r>
        <w:rPr>
          <w:rFonts w:ascii="Times New Roman;Times;serif" w:hAnsi="Times New Roman;Times;serif"/>
          <w:sz w:val="24"/>
          <w:u w:val="single"/>
        </w:rPr>
        <w:t>Section 2</w:t>
      </w:r>
      <w:r>
        <w:rPr>
          <w:rFonts w:ascii="Times New Roman;Times;serif" w:hAnsi="Times New Roman;Times;serif"/>
          <w:sz w:val="20"/>
        </w:rPr>
        <w:t xml:space="preserve"> </w:t>
      </w:r>
      <w:r>
        <w:rPr>
          <w:rFonts w:ascii="Times New Roman;Times;serif" w:hAnsi="Times New Roman;Times;serif"/>
          <w:sz w:val="24"/>
        </w:rPr>
        <w:t>of the Consulting Agreement is hereby deleted and replaced with the following:</w:t>
      </w:r>
    </w:p>
    <w:p>
      <w:pPr>
        <w:pStyle w:val="TextBody"/>
        <w:pBdr/>
        <w:spacing w:before="0" w:after="240"/>
        <w:ind w:left="1510" w:right="0" w:hanging="120"/>
        <w:jc w:val="both"/>
        <w:rPr/>
      </w:pPr>
      <w:r>
        <w:rPr/>
        <w:t>“</w:t>
      </w:r>
      <w:r>
        <w:rPr>
          <w:rFonts w:ascii="Times New Roman;Times;serif" w:hAnsi="Times New Roman;Times;serif"/>
          <w:sz w:val="24"/>
        </w:rPr>
        <w:t xml:space="preserve">Subject to earlier termination pursuant to </w:t>
      </w:r>
      <w:r>
        <w:rPr>
          <w:rFonts w:ascii="Times New Roman;Times;serif" w:hAnsi="Times New Roman;Times;serif"/>
          <w:sz w:val="24"/>
          <w:u w:val="single"/>
        </w:rPr>
        <w:t>Section 5</w:t>
      </w:r>
      <w:r>
        <w:rPr>
          <w:rFonts w:ascii="Times New Roman;Times;serif" w:hAnsi="Times New Roman;Times;serif"/>
          <w:sz w:val="24"/>
        </w:rPr>
        <w:t>, the term of this Agreement shall be effective as of the Effective Date and shall continue until it expires on March 8, 2024. The contract shall be renewed for successive one year terms unless 60 days notice is provided prior to the first renewal date and 90 days notice is provided prior to subsequent renewal dates.”</w:t>
      </w:r>
    </w:p>
    <w:tbl>
      <w:tblPr>
        <w:tblW w:w="4278" w:type="dxa"/>
        <w:jc w:val="left"/>
        <w:tblInd w:w="0" w:type="dxa"/>
        <w:tblCellMar>
          <w:top w:w="0" w:type="dxa"/>
          <w:left w:w="0" w:type="dxa"/>
          <w:bottom w:w="0" w:type="dxa"/>
          <w:right w:w="0" w:type="dxa"/>
        </w:tblCellMar>
      </w:tblPr>
      <w:tblGrid>
        <w:gridCol w:w="23"/>
        <w:gridCol w:w="200"/>
        <w:gridCol w:w="405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2.</w:t>
            </w:r>
          </w:p>
        </w:tc>
        <w:tc>
          <w:tcPr>
            <w:tcW w:w="4055"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Section 3c(ii) shall be amended as follows:</w:t>
            </w:r>
          </w:p>
        </w:tc>
      </w:tr>
    </w:tbl>
    <w:p>
      <w:pPr>
        <w:pStyle w:val="TextBody"/>
        <w:spacing w:before="0" w:after="240"/>
        <w:ind w:left="1512" w:right="0" w:hanging="0"/>
        <w:jc w:val="both"/>
        <w:rPr>
          <w:rFonts w:ascii="Times New Roman;Times;serif" w:hAnsi="Times New Roman;Times;serif"/>
          <w:sz w:val="24"/>
        </w:rPr>
      </w:pPr>
      <w:r>
        <w:rPr>
          <w:rFonts w:ascii="Times New Roman;Times;serif" w:hAnsi="Times New Roman;Times;serif"/>
          <w:sz w:val="24"/>
        </w:rPr>
        <w:t>hand, (ii) Consultant shall not have any right to act for, represent or otherwise bind the Company or any of their respective Affiliates in any manner, except as directed by the Company’s Chief Executive Office and (iii) Consultant shall not be entitled, and Consultant hereby waives any right, to participate in any benefit plans or programs of the Company or any of its Affiliates, except as granted by the Chief Executive Officer. Consultant acknowledges and agrees that the Company shall have no obligation to pay or provide continued health or medical coverage to Consultant. Consultant further acknowledges and agrees that Consultant shall have no right to bind the Company, except as authorized by the Chief Executive Officer. Consultant shall not (x) incur any expenses unless authorized in advance in writing by the Board or its designee, with the exception of routine travel expenses for meetings authorized by the Chief Executive Officer under travel policies in his prior employment contract, (y) issue any press releases or similar statements with respect to the Company except as authorized by the Chief Executive Officer or (z) enter into or seek to enter into any transactions on behalf of the Company, except as authorized by the Chief Executive Officer. Consultant acknowledges and agrees that he has disclosed to the Board all contracts and commitments that he has previously entered into with respect to or on behalf of the Company and its Affiliates. Consultant also acknowledges and agrees that any personal security arrangements or obligations of the Company with respect to Consultant shall be transferred to Consultant and Consultant shall be solely responsible for such payments and shall relieve the Company from any obligations thereunder.</w:t>
      </w:r>
    </w:p>
    <w:p>
      <w:pPr>
        <w:pStyle w:val="TextBody"/>
        <w:spacing w:before="0" w:after="0"/>
        <w:ind w:left="0" w:right="0" w:hanging="0"/>
        <w:rPr/>
      </w:pPr>
      <w:r>
        <w:rPr/>
        <w:t>​</w:t>
      </w:r>
    </w:p>
    <w:p>
      <w:pPr>
        <w:pStyle w:val="HorizontalLine"/>
        <w:rPr/>
      </w:pPr>
      <w:r>
        <w:rPr/>
      </w:r>
    </w:p>
    <w:p>
      <w:pPr>
        <w:pStyle w:val="TextBody"/>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b/>
          <w:sz w:val="24"/>
        </w:rPr>
        <w:t xml:space="preserve">Notices. </w:t>
      </w:r>
      <w:r>
        <w:rPr>
          <w:rFonts w:ascii="Times New Roman;Times;serif" w:hAnsi="Times New Roman;Times;serif"/>
          <w:sz w:val="24"/>
          <w:u w:val="single"/>
        </w:rPr>
        <w:t>Section 23</w:t>
      </w:r>
      <w:r>
        <w:rPr>
          <w:rFonts w:ascii="Times New Roman;Times;serif" w:hAnsi="Times New Roman;Times;serif"/>
          <w:sz w:val="20"/>
        </w:rPr>
        <w:t xml:space="preserve"> </w:t>
      </w:r>
      <w:r>
        <w:rPr>
          <w:rFonts w:ascii="Times New Roman;Times;serif" w:hAnsi="Times New Roman;Times;serif"/>
          <w:sz w:val="24"/>
        </w:rPr>
        <w:t>of the Consulting Agreement is hereby amended such that the address to which notices or other communications required or permitted to be given to the Company under the Consulting Agreement shall be:</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 xml:space="preserve">NRx Pharmaceuticals, Inc. </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 xml:space="preserve">1201 North Market Street </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Suite 111</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Wilmington, DE 19801</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 xml:space="preserve">Attention: Stephen H. Willard, Chief Executive Officer </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Email: willard@nrxpharma.com</w:t>
      </w:r>
    </w:p>
    <w:p>
      <w:pPr>
        <w:pStyle w:val="TextBody"/>
        <w:spacing w:before="0" w:after="0"/>
        <w:ind w:left="1541" w:right="0" w:hanging="0"/>
        <w:rPr/>
      </w:pPr>
      <w:r>
        <w:rPr/>
        <w:t>​</w:t>
      </w:r>
    </w:p>
    <w:p>
      <w:pPr>
        <w:pStyle w:val="TextBody"/>
        <w:spacing w:before="0" w:after="240"/>
        <w:ind w:left="1540" w:right="0" w:hanging="0"/>
        <w:rPr>
          <w:rFonts w:ascii="Times New Roman;Times;serif" w:hAnsi="Times New Roman;Times;serif"/>
          <w:sz w:val="24"/>
        </w:rPr>
      </w:pPr>
      <w:r>
        <w:rPr>
          <w:rFonts w:ascii="Times New Roman;Times;serif" w:hAnsi="Times New Roman;Times;serif"/>
          <w:sz w:val="24"/>
        </w:rPr>
        <w:t>with copies (which will not constitute notice hereunder) to:</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 xml:space="preserve">Douglas Boggs, Esq. </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DLA Piper (US) LLP</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 xml:space="preserve">500 8th Street, NW </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Washington, DC 20004</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202-799-4070</w:t>
      </w:r>
    </w:p>
    <w:p>
      <w:pPr>
        <w:pStyle w:val="TextBody"/>
        <w:spacing w:before="0" w:after="0"/>
        <w:ind w:left="1541" w:right="0" w:hanging="0"/>
        <w:rPr>
          <w:rFonts w:ascii="Times New Roman;Times;serif" w:hAnsi="Times New Roman;Times;serif"/>
          <w:sz w:val="24"/>
        </w:rPr>
      </w:pPr>
      <w:r>
        <w:rPr>
          <w:rFonts w:ascii="Times New Roman;Times;serif" w:hAnsi="Times New Roman;Times;serif"/>
          <w:sz w:val="24"/>
        </w:rPr>
        <w:t>Email: douglas.boggs@us.dlapiper.com</w:t>
      </w:r>
    </w:p>
    <w:p>
      <w:pPr>
        <w:pStyle w:val="TextBody"/>
        <w:spacing w:before="0" w:after="0"/>
        <w:ind w:left="1541" w:right="0" w:hanging="0"/>
        <w:rPr/>
      </w:pPr>
      <w:r>
        <w:rPr/>
        <w:t>​</w:t>
      </w:r>
    </w:p>
    <w:p>
      <w:pPr>
        <w:pStyle w:val="TextBody"/>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b/>
          <w:sz w:val="24"/>
        </w:rPr>
        <w:t xml:space="preserve">Exhibit A.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 xml:space="preserve">to the Consulting Agreement shall be replaced in its entirety with the amended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attached hereto.</w:t>
      </w:r>
    </w:p>
    <w:p>
      <w:pPr>
        <w:pStyle w:val="TextBody"/>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b/>
          <w:sz w:val="24"/>
        </w:rPr>
        <w:t xml:space="preserve">Exhibit B. </w:t>
      </w:r>
      <w:r>
        <w:rPr>
          <w:rFonts w:ascii="Times New Roman;Times;serif" w:hAnsi="Times New Roman;Times;serif"/>
          <w:sz w:val="24"/>
          <w:u w:val="single"/>
        </w:rPr>
        <w:t>Exhibit B</w:t>
      </w:r>
      <w:r>
        <w:rPr>
          <w:rFonts w:ascii="Times New Roman;Times;serif" w:hAnsi="Times New Roman;Times;serif"/>
          <w:sz w:val="20"/>
        </w:rPr>
        <w:t xml:space="preserve"> </w:t>
      </w:r>
      <w:r>
        <w:rPr>
          <w:rFonts w:ascii="Times New Roman;Times;serif" w:hAnsi="Times New Roman;Times;serif"/>
          <w:sz w:val="24"/>
        </w:rPr>
        <w:t xml:space="preserve">to the Consulting Agreement shall be replaced in its entirety with the amended </w:t>
      </w:r>
      <w:r>
        <w:rPr>
          <w:rFonts w:ascii="Times New Roman;Times;serif" w:hAnsi="Times New Roman;Times;serif"/>
          <w:sz w:val="24"/>
          <w:u w:val="single"/>
        </w:rPr>
        <w:t>Exhibit B</w:t>
      </w:r>
      <w:r>
        <w:rPr>
          <w:rFonts w:ascii="Times New Roman;Times;serif" w:hAnsi="Times New Roman;Times;serif"/>
          <w:sz w:val="20"/>
        </w:rPr>
        <w:t xml:space="preserve"> </w:t>
      </w:r>
      <w:r>
        <w:rPr>
          <w:rFonts w:ascii="Times New Roman;Times;serif" w:hAnsi="Times New Roman;Times;serif"/>
          <w:sz w:val="24"/>
        </w:rPr>
        <w:t>attached hereto.</w:t>
      </w:r>
    </w:p>
    <w:p>
      <w:pPr>
        <w:pStyle w:val="TextBody"/>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rPr>
        <w:t>Except as expressly modified by this Amendment, all other provisions contained in the Consulting Agreement are hereby ratified and remain in full force and effect. All references to the “Agreement” in the Consulting Agreement shall mean the Consulting Agreement as amended by this Amendment. Any conflict or ambiguity that arises between this Amendment and the Consulting Agreement shall be resolved in favor of this Amendment.</w:t>
      </w:r>
    </w:p>
    <w:p>
      <w:pPr>
        <w:pStyle w:val="TextBody"/>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rPr>
        <w:t xml:space="preserve">This Amendment shall be governed by and in accordance with </w:t>
      </w:r>
      <w:r>
        <w:rPr>
          <w:rFonts w:ascii="Times New Roman;Times;serif" w:hAnsi="Times New Roman;Times;serif"/>
          <w:sz w:val="24"/>
          <w:u w:val="single"/>
        </w:rPr>
        <w:t>Section 17</w:t>
      </w:r>
      <w:r>
        <w:rPr>
          <w:rFonts w:ascii="Times New Roman;Times;serif" w:hAnsi="Times New Roman;Times;serif"/>
          <w:sz w:val="20"/>
        </w:rPr>
        <w:t xml:space="preserve"> </w:t>
      </w:r>
      <w:r>
        <w:rPr>
          <w:rFonts w:ascii="Times New Roman;Times;serif" w:hAnsi="Times New Roman;Times;serif"/>
          <w:sz w:val="24"/>
        </w:rPr>
        <w:t>of the Consulting Agreement.</w:t>
      </w:r>
    </w:p>
    <w:p>
      <w:pPr>
        <w:pStyle w:val="TextBody"/>
        <w:spacing w:before="0" w:after="24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rPr>
        <w:t>This Amendment may be executed in any number of counterparts, each of which shall be enforceable against the parties actually executing such counterparts, and all of which together shall constitute one instrument. Delivery of an executed copy of this Amendment by electronic facsimile transmission or other means of electronic communication capable of producing a printed copy will be deemed to be execution and delivery of this Amendment as of the Amendment Effective Date.</w:t>
      </w:r>
    </w:p>
    <w:p>
      <w:pPr>
        <w:pStyle w:val="TextBody"/>
        <w:spacing w:before="0" w:after="240"/>
        <w:ind w:left="100" w:right="0" w:firstLine="720"/>
        <w:jc w:val="both"/>
        <w:rPr>
          <w:rFonts w:ascii="Times New Roman;Times;serif" w:hAnsi="Times New Roman;Times;serif"/>
          <w:sz w:val="24"/>
        </w:rPr>
      </w:pPr>
      <w:r>
        <w:rPr>
          <w:rFonts w:ascii="Times New Roman;Times;serif" w:hAnsi="Times New Roman;Times;serif"/>
          <w:sz w:val="24"/>
        </w:rPr>
        <w:t>IN WITNESS WHEREOF, the parties hereto, intending legally to be bound hereby, have executed this Amendment as of the date first above written.</w:t>
      </w:r>
    </w:p>
    <w:p>
      <w:pPr>
        <w:pStyle w:val="TextBody"/>
        <w:spacing w:before="0" w:after="0"/>
        <w:ind w:left="0" w:right="0" w:hanging="0"/>
        <w:rPr/>
      </w:pPr>
      <w:r>
        <w:rPr/>
        <w:t>​</w:t>
      </w:r>
    </w:p>
    <w:p>
      <w:pPr>
        <w:pStyle w:val="HorizontalLine"/>
        <w:rPr/>
      </w:pPr>
      <w:r>
        <w:rPr/>
      </w:r>
    </w:p>
    <w:p>
      <w:pPr>
        <w:pStyle w:val="TextBody"/>
        <w:spacing w:before="0" w:after="40"/>
        <w:ind w:left="0" w:right="0" w:hanging="0"/>
        <w:rPr/>
      </w:pPr>
      <w:r>
        <w:rPr/>
        <w:t>​</w:t>
      </w:r>
    </w:p>
    <w:tbl>
      <w:tblPr>
        <w:tblW w:w="4038" w:type="dxa"/>
        <w:jc w:val="center"/>
        <w:tblInd w:w="0" w:type="dxa"/>
        <w:tblCellMar>
          <w:top w:w="0" w:type="dxa"/>
          <w:left w:w="0" w:type="dxa"/>
          <w:bottom w:w="0" w:type="dxa"/>
          <w:right w:w="0" w:type="dxa"/>
        </w:tblCellMar>
      </w:tblPr>
      <w:tblGrid>
        <w:gridCol w:w="124"/>
        <w:gridCol w:w="490"/>
        <w:gridCol w:w="799"/>
        <w:gridCol w:w="2625"/>
      </w:tblGrid>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NRX PHARMACEUTICALS, INC.</w:t>
            </w:r>
          </w:p>
        </w:tc>
      </w:tr>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9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3424"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90" w:type="dxa"/>
            <w:tcBorders/>
            <w:shd w:fill="auto" w:val="clear"/>
            <w:vAlign w:val="center"/>
          </w:tcPr>
          <w:p>
            <w:pPr>
              <w:pStyle w:val="TableContents"/>
              <w:spacing w:before="0" w:after="0"/>
              <w:ind w:left="0" w:right="0" w:hanging="0"/>
              <w:rPr/>
            </w:pPr>
            <w:r>
              <w:rPr/>
              <w:t>​</w:t>
            </w:r>
          </w:p>
        </w:tc>
        <w:tc>
          <w:tcPr>
            <w:tcW w:w="799"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625"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Stephen Willard</w:t>
            </w:r>
          </w:p>
        </w:tc>
      </w:tr>
      <w:tr>
        <w:trPr/>
        <w:tc>
          <w:tcPr>
            <w:tcW w:w="124" w:type="dxa"/>
            <w:tcBorders/>
            <w:shd w:fill="auto" w:val="clear"/>
            <w:vAlign w:val="center"/>
          </w:tcPr>
          <w:p>
            <w:pPr>
              <w:pStyle w:val="TableContents"/>
              <w:spacing w:before="0" w:after="0"/>
              <w:ind w:left="0" w:right="0" w:hanging="0"/>
              <w:rPr/>
            </w:pPr>
            <w:r>
              <w:rPr/>
              <w:t>​</w:t>
            </w:r>
          </w:p>
        </w:tc>
        <w:tc>
          <w:tcPr>
            <w:tcW w:w="490" w:type="dxa"/>
            <w:tcBorders/>
            <w:shd w:fill="auto" w:val="clear"/>
            <w:vAlign w:val="center"/>
          </w:tcPr>
          <w:p>
            <w:pPr>
              <w:pStyle w:val="TableContents"/>
              <w:spacing w:before="0" w:after="0"/>
              <w:ind w:left="0" w:right="0" w:hanging="0"/>
              <w:rPr/>
            </w:pPr>
            <w:r>
              <w:rPr/>
              <w:t>​</w:t>
            </w:r>
          </w:p>
        </w:tc>
        <w:tc>
          <w:tcPr>
            <w:tcW w:w="79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62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Chief Executive Officer</w:t>
            </w:r>
          </w:p>
        </w:tc>
      </w:tr>
      <w:tr>
        <w:trPr/>
        <w:tc>
          <w:tcPr>
            <w:tcW w:w="124" w:type="dxa"/>
            <w:tcBorders/>
            <w:shd w:fill="auto" w:val="clear"/>
            <w:vAlign w:val="center"/>
          </w:tcPr>
          <w:p>
            <w:pPr>
              <w:pStyle w:val="TableContents"/>
              <w:spacing w:before="0" w:after="0"/>
              <w:ind w:left="0" w:right="0" w:hanging="0"/>
              <w:rPr/>
            </w:pPr>
            <w:r>
              <w:rPr/>
              <w:t>​</w:t>
            </w:r>
          </w:p>
        </w:tc>
        <w:tc>
          <w:tcPr>
            <w:tcW w:w="490" w:type="dxa"/>
            <w:tcBorders/>
            <w:shd w:fill="auto" w:val="clear"/>
            <w:vAlign w:val="center"/>
          </w:tcPr>
          <w:p>
            <w:pPr>
              <w:pStyle w:val="TableContents"/>
              <w:spacing w:before="0" w:after="0"/>
              <w:ind w:left="0" w:right="0" w:hanging="0"/>
              <w:rPr/>
            </w:pPr>
            <w:r>
              <w:rPr/>
              <w:t>​</w:t>
            </w:r>
          </w:p>
        </w:tc>
        <w:tc>
          <w:tcPr>
            <w:tcW w:w="3424"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CONSULTANT</w:t>
            </w:r>
          </w:p>
        </w:tc>
      </w:tr>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914" w:type="dxa"/>
            <w:gridSpan w:val="3"/>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Jonathan C. Javitt</w:t>
            </w:r>
          </w:p>
        </w:tc>
      </w:tr>
    </w:tbl>
    <w:p>
      <w:pPr>
        <w:pStyle w:val="TextBody"/>
        <w:spacing w:before="0" w:after="0"/>
        <w:ind w:left="0" w:right="0" w:hanging="0"/>
        <w:rPr/>
      </w:pPr>
      <w:r>
        <w:rPr/>
        <w:t>​</w:t>
      </w:r>
    </w:p>
    <w:p>
      <w:pPr>
        <w:pStyle w:val="HorizontalLine"/>
        <w:rPr/>
      </w:pPr>
      <w:r>
        <w:rPr/>
      </w:r>
    </w:p>
    <w:p>
      <w:pPr>
        <w:pStyle w:val="TextBody"/>
        <w:spacing w:before="0" w:after="40"/>
        <w:ind w:left="0" w:right="0" w:hanging="0"/>
        <w:rPr/>
      </w:pPr>
      <w:r>
        <w:rPr/>
        <w:t>​</w:t>
      </w:r>
    </w:p>
    <w:p>
      <w:pPr>
        <w:pStyle w:val="TextBody"/>
        <w:spacing w:before="0" w:after="1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spacing w:before="0" w:after="69"/>
        <w:ind w:left="0" w:right="0" w:hanging="0"/>
        <w:rPr/>
      </w:pPr>
      <w:r>
        <w:rPr/>
        <w:t>​</w:t>
      </w:r>
    </w:p>
    <w:p>
      <w:pPr>
        <w:pStyle w:val="TextBody"/>
        <w:spacing w:before="0" w:after="10"/>
        <w:ind w:left="0" w:right="0" w:hanging="0"/>
        <w:jc w:val="center"/>
        <w:rPr>
          <w:rFonts w:ascii="Times New Roman;Times;serif" w:hAnsi="Times New Roman;Times;serif"/>
          <w:b/>
          <w:sz w:val="24"/>
        </w:rPr>
      </w:pPr>
      <w:r>
        <w:rPr>
          <w:rFonts w:ascii="Times New Roman;Times;serif" w:hAnsi="Times New Roman;Times;serif"/>
          <w:b/>
          <w:sz w:val="24"/>
        </w:rPr>
        <w:t>SERVICES</w:t>
      </w:r>
    </w:p>
    <w:p>
      <w:pPr>
        <w:pStyle w:val="TextBody"/>
        <w:spacing w:before="0" w:after="69"/>
        <w:ind w:left="0" w:right="0" w:hanging="0"/>
        <w:rPr/>
      </w:pPr>
      <w:r>
        <w:rPr/>
        <w:t>​</w:t>
      </w:r>
    </w:p>
    <w:p>
      <w:pPr>
        <w:pStyle w:val="TextBody"/>
        <w:spacing w:before="0" w:after="11"/>
        <w:ind w:left="100" w:right="0" w:hanging="0"/>
        <w:jc w:val="both"/>
        <w:rPr>
          <w:rFonts w:ascii="Times New Roman;Times;serif" w:hAnsi="Times New Roman;Times;serif"/>
          <w:sz w:val="24"/>
        </w:rPr>
      </w:pPr>
      <w:r>
        <w:rPr>
          <w:rFonts w:ascii="Times New Roman;Times;serif" w:hAnsi="Times New Roman;Times;serif"/>
          <w:sz w:val="24"/>
        </w:rPr>
        <w:t>Consultant shall serve as the Company’s Chief Scientist and shall lead the Company’s scientific activities as follow:</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Consultant shall serve as the Company’s Chief Scientist and shall lead the Company’s Scientific, Clinical, Manufacturing, Regulatory, and related functions, reporting to the Company’s CEO. Consultant shall have the authority to bind the company on routine business matters under the CEO’s direction.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Consultant shall review scientific information and provide strategic implications advice in quadrants of strategic interest including depression, suicidality and PTSD.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Consultant shall advise the CEO and his designees on methods to strengthen the Company’s regulatory and clinical trial operations and implement those methods.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Consultant shall provide insights to emerging policies and support in developing strategies to prepare for opportunities.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Consultant shall provide insights to external partners and scientific advisors that can help support the Company in specific projects.</w:t>
            </w:r>
          </w:p>
        </w:tc>
      </w:tr>
    </w:tbl>
    <w:p>
      <w:pPr>
        <w:pStyle w:val="TextBody"/>
        <w:spacing w:before="0" w:after="0"/>
        <w:ind w:left="0" w:right="0" w:hanging="0"/>
        <w:rPr/>
      </w:pPr>
      <w:r>
        <w:rPr/>
        <w:t>​</w:t>
      </w:r>
    </w:p>
    <w:p>
      <w:pPr>
        <w:pStyle w:val="HorizontalLine"/>
        <w:rPr/>
      </w:pPr>
      <w:r>
        <w:rPr/>
      </w:r>
    </w:p>
    <w:p>
      <w:pPr>
        <w:pStyle w:val="TextBody"/>
        <w:spacing w:before="0" w:after="40"/>
        <w:ind w:left="0" w:right="0" w:hanging="0"/>
        <w:rPr/>
      </w:pPr>
      <w:r>
        <w:rPr/>
        <w:t>​</w:t>
      </w:r>
    </w:p>
    <w:p>
      <w:pPr>
        <w:pStyle w:val="TextBody"/>
        <w:spacing w:before="0" w:after="1"/>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spacing w:before="0" w:after="69"/>
        <w:ind w:left="0" w:right="0" w:hanging="0"/>
        <w:rPr/>
      </w:pPr>
      <w:r>
        <w:rPr/>
        <w:t>​</w:t>
      </w:r>
    </w:p>
    <w:p>
      <w:pPr>
        <w:pStyle w:val="TextBody"/>
        <w:spacing w:before="0" w:after="79"/>
        <w:ind w:left="0" w:right="0" w:hanging="0"/>
        <w:jc w:val="center"/>
        <w:rPr>
          <w:rFonts w:ascii="Times New Roman;Times;serif" w:hAnsi="Times New Roman;Times;serif"/>
          <w:b/>
          <w:sz w:val="24"/>
        </w:rPr>
      </w:pPr>
      <w:r>
        <w:rPr>
          <w:rFonts w:ascii="Times New Roman;Times;serif" w:hAnsi="Times New Roman;Times;serif"/>
          <w:b/>
          <w:sz w:val="24"/>
        </w:rPr>
        <w:t>CONSULTANT FEES AND PAYMENT TERMS</w:t>
      </w:r>
    </w:p>
    <w:p>
      <w:pPr>
        <w:pStyle w:val="TextBody"/>
        <w:spacing w:before="0" w:after="79"/>
        <w:ind w:left="0" w:right="0" w:hanging="0"/>
        <w:jc w:val="center"/>
        <w:rPr/>
      </w:pPr>
      <w:r>
        <w:rPr/>
        <w:t>​</w:t>
      </w:r>
    </w:p>
    <w:p>
      <w:pPr>
        <w:pStyle w:val="TextBody"/>
        <w:spacing w:before="0" w:after="11"/>
        <w:ind w:left="100" w:right="0" w:hanging="0"/>
        <w:rPr>
          <w:rFonts w:ascii="Times New Roman;Times;serif" w:hAnsi="Times New Roman;Times;serif"/>
          <w:sz w:val="20"/>
        </w:rPr>
      </w:pPr>
      <w:r>
        <w:rPr>
          <w:rFonts w:ascii="Times New Roman;Times;serif" w:hAnsi="Times New Roman;Times;serif"/>
          <w:b/>
          <w:i w:val="false"/>
          <w:caps w:val="false"/>
          <w:smallCaps w:val="false"/>
          <w:sz w:val="24"/>
        </w:rPr>
        <w:t>1.</w:t>
      </w:r>
      <w:r>
        <w:rPr>
          <w:rFonts w:ascii="Times New Roman;Times;serif" w:hAnsi="Times New Roman;Times;serif"/>
          <w:b/>
          <w:sz w:val="24"/>
        </w:rPr>
        <w:t>Consultant Fees.</w:t>
      </w:r>
    </w:p>
    <w:p>
      <w:pPr>
        <w:pStyle w:val="TextBody"/>
        <w:spacing w:before="0" w:after="69"/>
        <w:ind w:left="0" w:right="0" w:hanging="0"/>
        <w:rPr/>
      </w:pPr>
      <w:r>
        <w:rPr/>
        <w:t>​</w:t>
      </w:r>
    </w:p>
    <w:p>
      <w:pPr>
        <w:pStyle w:val="TextBody"/>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Monthly Fee</w:t>
      </w:r>
      <w:r>
        <w:rPr>
          <w:rFonts w:ascii="Times New Roman;Times;serif" w:hAnsi="Times New Roman;Times;serif"/>
          <w:sz w:val="24"/>
        </w:rPr>
        <w:t>. Payment at the rate of $575,000 per full year that Consultant is engaged in providing the Services, payable monthly (i.e., $47,916.67 per month) in advance and prorated for the number of days in any partial month.</w:t>
      </w:r>
    </w:p>
    <w:p>
      <w:pPr>
        <w:pStyle w:val="TextBody"/>
        <w:spacing w:before="0" w:after="0"/>
        <w:ind w:left="0" w:right="0" w:hanging="0"/>
        <w:jc w:val="both"/>
        <w:rPr/>
      </w:pPr>
      <w:r>
        <w:rPr/>
        <w:t>​</w:t>
      </w:r>
    </w:p>
    <w:p>
      <w:pPr>
        <w:pStyle w:val="TextBody"/>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Annual Bonus</w:t>
      </w:r>
      <w:r>
        <w:rPr>
          <w:rFonts w:ascii="Times New Roman;Times;serif" w:hAnsi="Times New Roman;Times;serif"/>
          <w:sz w:val="24"/>
        </w:rPr>
        <w:t>. Consultant shall be considered annually by the Board for a performance- based bonus (the “</w:t>
      </w:r>
      <w:r>
        <w:rPr>
          <w:rFonts w:ascii="Times New Roman;Times;serif" w:hAnsi="Times New Roman;Times;serif"/>
          <w:sz w:val="24"/>
          <w:u w:val="single"/>
        </w:rPr>
        <w:t>Annual Bonus</w:t>
      </w:r>
      <w:r>
        <w:rPr>
          <w:rFonts w:ascii="Times New Roman;Times;serif" w:hAnsi="Times New Roman;Times;serif"/>
          <w:sz w:val="20"/>
        </w:rPr>
        <w:t>”</w:t>
      </w:r>
      <w:r>
        <w:rPr>
          <w:rFonts w:ascii="Times New Roman;Times;serif" w:hAnsi="Times New Roman;Times;serif"/>
          <w:sz w:val="24"/>
        </w:rPr>
        <w:t>) with a minimum target of $250,000, at the discretion of the Board and upon satisfactory performance of the Services. The Annual Bonus, if any, is payable in March following the applicable calendar year and subject to Consultant’s continued engagement by the Company on the payment date, in accordance with the normal payroll and bonus practices of the Company. The Annual Bonus for the 2023 calendar year, if any, shall be pro-rated based on the number of days during the 2023 calendar year following March 8, 2023 that Consultant is engaged by the Company divided by 365.</w:t>
      </w:r>
    </w:p>
    <w:p>
      <w:pPr>
        <w:pStyle w:val="TextBody"/>
        <w:spacing w:before="0" w:after="0"/>
        <w:ind w:left="0" w:right="0" w:hanging="0"/>
        <w:jc w:val="both"/>
        <w:rPr/>
      </w:pPr>
      <w:r>
        <w:rPr/>
        <w:t>​</w:t>
      </w:r>
    </w:p>
    <w:p>
      <w:pPr>
        <w:pStyle w:val="TextBody"/>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Equity Compensation</w:t>
      </w:r>
      <w:r>
        <w:rPr>
          <w:rFonts w:ascii="Times New Roman;Times;serif" w:hAnsi="Times New Roman;Times;serif"/>
          <w:sz w:val="24"/>
        </w:rPr>
        <w:t>.  Subject to the approval of the Board, Consultant shall be awarded a grant of 500,000 shares of restricted stock of the Company (the “</w:t>
      </w:r>
      <w:r>
        <w:rPr>
          <w:rFonts w:ascii="Times New Roman;Times;serif" w:hAnsi="Times New Roman;Times;serif"/>
          <w:sz w:val="24"/>
          <w:u w:val="single"/>
        </w:rPr>
        <w:t>Shares</w:t>
      </w:r>
      <w:r>
        <w:rPr>
          <w:rFonts w:ascii="Times New Roman;Times;serif" w:hAnsi="Times New Roman;Times;serif"/>
          <w:sz w:val="20"/>
        </w:rPr>
        <w:t>”</w:t>
      </w:r>
      <w:r>
        <w:rPr>
          <w:rFonts w:ascii="Times New Roman;Times;serif" w:hAnsi="Times New Roman;Times;serif"/>
          <w:sz w:val="24"/>
        </w:rPr>
        <w:t>), pursuant and subject in all respects to the terms and conditions as set forth in the award agreement to be entered into by and between the Company and Consultant. 250,000 of the Shares shall vest on the New Drug Application Date (as defined below) and the remaining 250,000 Shares shall vest on the New Drug Approval Date (as defined below).</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87"/>
        <w:gridCol w:w="9995"/>
      </w:tblGrid>
      <w:tr>
        <w:trPr/>
        <w:tc>
          <w:tcPr>
            <w:tcW w:w="2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w:t>
            </w:r>
          </w:p>
        </w:tc>
        <w:tc>
          <w:tcPr>
            <w:tcW w:w="999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4"/>
              </w:rPr>
              <w:t>The term “</w:t>
            </w:r>
            <w:r>
              <w:rPr>
                <w:rFonts w:ascii="Times New Roman;Times;serif" w:hAnsi="Times New Roman;Times;serif"/>
                <w:sz w:val="24"/>
                <w:u w:val="single"/>
              </w:rPr>
              <w:t>New Drug Application Date</w:t>
            </w:r>
            <w:r>
              <w:rPr>
                <w:rFonts w:ascii="Times New Roman;Times;serif" w:hAnsi="Times New Roman;Times;serif"/>
                <w:sz w:val="20"/>
              </w:rPr>
              <w:t xml:space="preserve">” </w:t>
            </w:r>
            <w:r>
              <w:rPr>
                <w:rFonts w:ascii="Times New Roman;Times;serif" w:hAnsi="Times New Roman;Times;serif"/>
                <w:sz w:val="24"/>
              </w:rPr>
              <w:t>means the date upon which the Food and Drug Administration (“</w:t>
            </w:r>
            <w:r>
              <w:rPr>
                <w:rFonts w:ascii="Times New Roman;Times;serif" w:hAnsi="Times New Roman;Times;serif"/>
                <w:sz w:val="24"/>
                <w:u w:val="single"/>
              </w:rPr>
              <w:t>FDA</w:t>
            </w:r>
            <w:r>
              <w:rPr>
                <w:rFonts w:ascii="Times New Roman;Times;serif" w:hAnsi="Times New Roman;Times;serif"/>
                <w:sz w:val="20"/>
              </w:rPr>
              <w:t>”</w:t>
            </w:r>
            <w:r>
              <w:rPr>
                <w:rFonts w:ascii="Times New Roman;Times;serif" w:hAnsi="Times New Roman;Times;serif"/>
                <w:sz w:val="24"/>
              </w:rPr>
              <w:t>) files the Company’s new drug application for the Antidepressant Drug Regimen (as defined below) for review.</w:t>
            </w:r>
          </w:p>
        </w:tc>
      </w:tr>
    </w:tbl>
    <w:p>
      <w:pPr>
        <w:pStyle w:val="TextBody"/>
        <w:pBdr/>
        <w:spacing w:before="0" w:after="0"/>
        <w:ind w:left="720" w:right="0" w:hanging="360"/>
        <w:jc w:val="both"/>
        <w:rPr/>
      </w:pPr>
      <w:r>
        <w:rPr/>
        <w:t>​</w:t>
      </w:r>
    </w:p>
    <w:tbl>
      <w:tblPr>
        <w:tblW w:w="10205" w:type="dxa"/>
        <w:jc w:val="left"/>
        <w:tblInd w:w="0" w:type="dxa"/>
        <w:tblCellMar>
          <w:top w:w="0" w:type="dxa"/>
          <w:left w:w="0" w:type="dxa"/>
          <w:bottom w:w="0" w:type="dxa"/>
          <w:right w:w="0" w:type="dxa"/>
        </w:tblCellMar>
      </w:tblPr>
      <w:tblGrid>
        <w:gridCol w:w="23"/>
        <w:gridCol w:w="246"/>
        <w:gridCol w:w="9936"/>
      </w:tblGrid>
      <w:tr>
        <w:trPr/>
        <w:tc>
          <w:tcPr>
            <w:tcW w:w="2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(ii)</w:t>
            </w:r>
          </w:p>
        </w:tc>
        <w:tc>
          <w:tcPr>
            <w:tcW w:w="993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4"/>
              </w:rPr>
              <w:t>The term “</w:t>
            </w:r>
            <w:r>
              <w:rPr>
                <w:rFonts w:ascii="Times New Roman;Times;serif" w:hAnsi="Times New Roman;Times;serif"/>
                <w:sz w:val="24"/>
                <w:u w:val="single"/>
              </w:rPr>
              <w:t>New Drug Approval Date</w:t>
            </w:r>
            <w:r>
              <w:rPr>
                <w:rFonts w:ascii="Times New Roman;Times;serif" w:hAnsi="Times New Roman;Times;serif"/>
                <w:sz w:val="20"/>
              </w:rPr>
              <w:t xml:space="preserve">” </w:t>
            </w:r>
            <w:r>
              <w:rPr>
                <w:rFonts w:ascii="Times New Roman;Times;serif" w:hAnsi="Times New Roman;Times;serif"/>
                <w:sz w:val="24"/>
              </w:rPr>
              <w:t>means date upon which the FDA has both approved the Company’s Antidepressant Drug Regimen and listed the Company’s Antidepressant Drug Regimen in the FDA’s “Orange Book”.</w:t>
            </w:r>
          </w:p>
        </w:tc>
      </w:tr>
    </w:tbl>
    <w:p>
      <w:pPr>
        <w:pStyle w:val="TextBody"/>
        <w:pBdr/>
        <w:spacing w:before="0" w:after="0"/>
        <w:ind w:left="720" w:right="0" w:hanging="360"/>
        <w:jc w:val="both"/>
        <w:rPr/>
      </w:pPr>
      <w:r>
        <w:rPr/>
        <w:t>​</w:t>
      </w:r>
    </w:p>
    <w:tbl>
      <w:tblPr>
        <w:tblW w:w="10205" w:type="dxa"/>
        <w:jc w:val="left"/>
        <w:tblInd w:w="0" w:type="dxa"/>
        <w:tblCellMar>
          <w:top w:w="0" w:type="dxa"/>
          <w:left w:w="0" w:type="dxa"/>
          <w:bottom w:w="0" w:type="dxa"/>
          <w:right w:w="0" w:type="dxa"/>
        </w:tblCellMar>
      </w:tblPr>
      <w:tblGrid>
        <w:gridCol w:w="23"/>
        <w:gridCol w:w="278"/>
        <w:gridCol w:w="9904"/>
      </w:tblGrid>
      <w:tr>
        <w:trPr/>
        <w:tc>
          <w:tcPr>
            <w:tcW w:w="2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(iii)</w:t>
            </w:r>
          </w:p>
        </w:tc>
        <w:tc>
          <w:tcPr>
            <w:tcW w:w="99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4"/>
              </w:rPr>
              <w:t>The term “</w:t>
            </w:r>
            <w:r>
              <w:rPr>
                <w:rFonts w:ascii="Times New Roman;Times;serif" w:hAnsi="Times New Roman;Times;serif"/>
                <w:sz w:val="24"/>
                <w:u w:val="single"/>
              </w:rPr>
              <w:t>Antidepressant Drug Regimen</w:t>
            </w:r>
            <w:r>
              <w:rPr>
                <w:rFonts w:ascii="Times New Roman;Times;serif" w:hAnsi="Times New Roman;Times;serif"/>
                <w:sz w:val="20"/>
              </w:rPr>
              <w:t xml:space="preserve">” </w:t>
            </w:r>
            <w:r>
              <w:rPr>
                <w:rFonts w:ascii="Times New Roman;Times;serif" w:hAnsi="Times New Roman;Times;serif"/>
                <w:sz w:val="24"/>
              </w:rPr>
              <w:t>means NRX-101, a proprietary fixed- dose combination capsule of d-cycloserine and Lurasidone, administered for sequential weeks of daily oral treatment following patient stabilization using a single infusion of NRX-100 (ketamine) or another standard of care therapy.</w:t>
            </w:r>
          </w:p>
        </w:tc>
      </w:tr>
    </w:tbl>
    <w:p>
      <w:pPr>
        <w:pStyle w:val="TextBody"/>
        <w:spacing w:before="0" w:after="0"/>
        <w:ind w:left="0" w:right="0" w:hanging="0"/>
        <w:jc w:val="both"/>
        <w:rPr/>
      </w:pPr>
      <w:r>
        <w:rPr/>
        <w:t>​</w:t>
      </w:r>
    </w:p>
    <w:p>
      <w:pPr>
        <w:pStyle w:val="TextBody"/>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payment of the fees and other compensation described in this Exhibit B (collectively, the “</w:t>
      </w:r>
      <w:r>
        <w:rPr>
          <w:rFonts w:ascii="Times New Roman;Times;serif" w:hAnsi="Times New Roman;Times;serif"/>
          <w:sz w:val="24"/>
          <w:u w:val="single"/>
        </w:rPr>
        <w:t>Consultant Fees</w:t>
      </w:r>
      <w:r>
        <w:rPr>
          <w:rFonts w:ascii="Times New Roman;Times;serif" w:hAnsi="Times New Roman;Times;serif"/>
          <w:sz w:val="20"/>
        </w:rPr>
        <w:t>”</w:t>
      </w:r>
      <w:r>
        <w:rPr>
          <w:rFonts w:ascii="Times New Roman;Times;serif" w:hAnsi="Times New Roman;Times;serif"/>
          <w:sz w:val="24"/>
        </w:rPr>
        <w:t>) shall be subject to compliance with the terms of this Agreement, applicable law, regulation and the Company’s internal policies; provided that as a condition to any payment of Consultant Fees, Consultant shall provide within 30 days following the conclusion of the applicable month during the Term, an invoice or other documentation describing the Services rendered.</w:t>
      </w:r>
    </w:p>
    <w:p>
      <w:pPr>
        <w:pStyle w:val="TextBody"/>
        <w:spacing w:before="0" w:after="0"/>
        <w:ind w:left="100" w:right="0" w:firstLine="360"/>
        <w:rPr/>
      </w:pPr>
      <w:r>
        <w:rPr/>
        <w:t>​</w:t>
      </w:r>
    </w:p>
    <w:p>
      <w:pPr>
        <w:pStyle w:val="TextBody"/>
        <w:spacing w:before="0" w:after="0"/>
        <w:ind w:left="0" w:right="0" w:hanging="0"/>
        <w:rPr/>
      </w:pPr>
      <w:r>
        <w:rPr/>
        <w:t>​</w:t>
      </w:r>
    </w:p>
    <w:p>
      <w:pPr>
        <w:pStyle w:val="HorizontalLine"/>
        <w:rPr/>
      </w:pPr>
      <w:r>
        <w:rPr/>
      </w:r>
    </w:p>
    <w:p>
      <w:pPr>
        <w:pStyle w:val="TextBody"/>
        <w:spacing w:before="0" w:after="40"/>
        <w:ind w:left="0" w:right="0" w:hanging="0"/>
        <w:rPr/>
      </w:pPr>
      <w:r>
        <w:rPr/>
        <w:t>​</w:t>
      </w:r>
    </w:p>
    <w:p>
      <w:pPr>
        <w:pStyle w:val="TextBody"/>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Consultant shall keep and maintain an accurate and reasonably detailed record of days actually worked providing the Services during the Term.</w:t>
      </w:r>
    </w:p>
    <w:p>
      <w:pPr>
        <w:pStyle w:val="TextBody"/>
        <w:spacing w:before="0" w:after="0"/>
        <w:ind w:left="0" w:right="0" w:hanging="0"/>
        <w:jc w:val="both"/>
        <w:rPr/>
      </w:pPr>
      <w:r>
        <w:rPr/>
        <w:t>​</w:t>
      </w:r>
    </w:p>
    <w:p>
      <w:pPr>
        <w:pStyle w:val="TextBody"/>
        <w:spacing w:before="0" w:after="0"/>
        <w:ind w:left="10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w:t>
      </w:r>
      <w:r>
        <w:rPr>
          <w:rFonts w:ascii="Times New Roman;Times;serif" w:hAnsi="Times New Roman;Times;serif"/>
          <w:b/>
          <w:sz w:val="24"/>
        </w:rPr>
        <w:t xml:space="preserve">Expenses. </w:t>
      </w:r>
      <w:r>
        <w:rPr>
          <w:rFonts w:ascii="Times New Roman;Times;serif" w:hAnsi="Times New Roman;Times;serif"/>
          <w:sz w:val="24"/>
        </w:rPr>
        <w:t>During the Term, the Company shall reimburse Consultant for Consultant’s reasonable and necessary out-of-pocket business expenses actually incurred in connection with providing the Services, to the extent (x) incurred in accordance with the Company’s then- prevailing policies and procedures (which shall include appropriate itemization, allocation and substantiation of expenses incurred) for expense reimbursement of consultants, and (y) approved in advance in writing by the CEO. Such reimbursement shall be paid to Consultant within 10 days of being approved by CEO.</w:t>
      </w:r>
    </w:p>
    <w:p>
      <w:pPr>
        <w:pStyle w:val="HorizontalLine"/>
        <w:rPr/>
      </w:pPr>
      <w:r>
        <w:rPr/>
      </w:r>
      <w:r>
        <w:br w:type="page"/>
      </w:r>
    </w:p>
    <w:p>
      <w:pPr>
        <w:pStyle w:val="TextBody"/>
        <w:spacing w:before="0" w:after="160"/>
        <w:ind w:left="0" w:right="0" w:hanging="0"/>
        <w:jc w:val="right"/>
        <w:rPr>
          <w:rFonts w:ascii="Calibri;Helvetica;sans-serif" w:hAnsi="Calibri;Helvetica;sans-serif"/>
          <w:b/>
          <w:sz w:val="22"/>
        </w:rPr>
      </w:pPr>
      <w:bookmarkStart w:id="1078" w:name="nrxp-20221231xex23d1.htm"/>
      <w:bookmarkStart w:id="1079" w:name="ksnrxp20221231xex23d1"/>
      <w:bookmarkEnd w:id="1078"/>
      <w:bookmarkEnd w:id="1079"/>
      <w:r>
        <w:rPr>
          <w:rFonts w:ascii="Calibri;Helvetica;sans-serif" w:hAnsi="Calibri;Helvetica;sans-serif"/>
          <w:b/>
          <w:sz w:val="22"/>
        </w:rPr>
        <w:t>Exhibit 23.1</w:t>
      </w:r>
    </w:p>
    <w:p>
      <w:pPr>
        <w:pStyle w:val="TextBody"/>
        <w:spacing w:before="0" w:after="160"/>
        <w:ind w:left="0" w:right="0" w:hanging="0"/>
        <w:jc w:val="center"/>
        <w:rPr/>
      </w:pPr>
      <w:r>
        <w:rPr/>
        <w:t>​</w:t>
      </w:r>
    </w:p>
    <w:p>
      <w:pPr>
        <w:pStyle w:val="TextBody"/>
        <w:spacing w:before="0" w:after="480"/>
        <w:ind w:left="0" w:right="0" w:hanging="0"/>
        <w:jc w:val="center"/>
        <w:rPr>
          <w:rFonts w:ascii="Calibri;Helvetica;sans-serif" w:hAnsi="Calibri;Helvetica;sans-serif"/>
          <w:b/>
          <w:sz w:val="22"/>
        </w:rPr>
      </w:pPr>
      <w:r>
        <w:rPr>
          <w:rFonts w:ascii="Calibri;Helvetica;sans-serif" w:hAnsi="Calibri;Helvetica;sans-serif"/>
          <w:b/>
          <w:sz w:val="22"/>
        </w:rPr>
        <w:t>Consent of Independent Registered Public Accounting Firm</w:t>
      </w:r>
    </w:p>
    <w:p>
      <w:pPr>
        <w:pStyle w:val="TextBody"/>
        <w:spacing w:before="0" w:after="240"/>
        <w:ind w:left="0" w:right="0" w:hanging="0"/>
        <w:rPr>
          <w:rFonts w:ascii="Calibri;Helvetica;sans-serif" w:hAnsi="Calibri;Helvetica;sans-serif"/>
          <w:sz w:val="22"/>
        </w:rPr>
      </w:pPr>
      <w:r>
        <w:rPr>
          <w:rFonts w:ascii="Calibri;Helvetica;sans-serif" w:hAnsi="Calibri;Helvetica;sans-serif"/>
          <w:sz w:val="22"/>
        </w:rPr>
        <w:t>We consent to the incorporation by reference in the registration statements (No. 333-264201 and No. 333-265492) on Form S-3 of our report dated March 31, 2023, with respect to the consolidated financial statements of NRx Pharmaceuticals, Inc.</w:t>
      </w:r>
    </w:p>
    <w:p>
      <w:pPr>
        <w:pStyle w:val="TextBody"/>
        <w:spacing w:before="0" w:after="240"/>
        <w:ind w:left="0" w:right="0" w:hanging="0"/>
        <w:rPr>
          <w:rFonts w:ascii="Calibri;Helvetica;sans-serif" w:hAnsi="Calibri;Helvetica;sans-serif"/>
          <w:sz w:val="22"/>
        </w:rPr>
      </w:pPr>
      <w:r>
        <w:rPr>
          <w:rFonts w:ascii="Calibri;Helvetica;sans-serif" w:hAnsi="Calibri;Helvetica;sans-serif"/>
          <w:sz w:val="22"/>
        </w:rPr>
        <w:t>/s/ KPMG LLP</w:t>
      </w:r>
    </w:p>
    <w:p>
      <w:pPr>
        <w:pStyle w:val="TextBody"/>
        <w:spacing w:before="0" w:after="0"/>
        <w:ind w:left="0" w:right="0" w:hanging="0"/>
        <w:rPr>
          <w:rFonts w:ascii="Calibri;Helvetica;sans-serif" w:hAnsi="Calibri;Helvetica;sans-serif"/>
          <w:sz w:val="22"/>
        </w:rPr>
      </w:pPr>
      <w:r>
        <w:rPr>
          <w:rFonts w:ascii="Calibri;Helvetica;sans-serif" w:hAnsi="Calibri;Helvetica;sans-serif"/>
          <w:sz w:val="22"/>
        </w:rPr>
        <w:t>Short Hills, New Jersey</w:t>
      </w:r>
    </w:p>
    <w:p>
      <w:pPr>
        <w:pStyle w:val="TextBody"/>
        <w:spacing w:before="0" w:after="160"/>
        <w:ind w:left="0" w:right="0" w:hanging="0"/>
        <w:rPr>
          <w:rFonts w:ascii="Calibri;Helvetica;sans-serif" w:hAnsi="Calibri;Helvetica;sans-serif"/>
          <w:sz w:val="22"/>
        </w:rPr>
      </w:pPr>
      <w:r>
        <w:rPr>
          <w:rFonts w:ascii="Calibri;Helvetica;sans-serif" w:hAnsi="Calibri;Helvetica;sans-serif"/>
          <w:sz w:val="22"/>
        </w:rPr>
        <w:t>March 31, 2023</w:t>
      </w:r>
    </w:p>
    <w:p>
      <w:pPr>
        <w:pStyle w:val="HorizontalLine"/>
        <w:rPr/>
      </w:pPr>
      <w:r>
        <w:rPr/>
      </w:r>
      <w:r>
        <w:br w:type="page"/>
      </w:r>
    </w:p>
    <w:p>
      <w:pPr>
        <w:pStyle w:val="TextBody"/>
        <w:spacing w:before="0" w:after="240"/>
        <w:ind w:left="0" w:right="0" w:hanging="0"/>
        <w:jc w:val="right"/>
        <w:rPr>
          <w:rFonts w:ascii="Times New Roman;Times;serif" w:hAnsi="Times New Roman;Times;serif"/>
          <w:b/>
          <w:sz w:val="18"/>
        </w:rPr>
      </w:pPr>
      <w:bookmarkStart w:id="1080" w:name="nrxp-20221231xex31d1.htm"/>
      <w:bookmarkStart w:id="1081" w:name="ksnrxp20221231xex31d1"/>
      <w:bookmarkEnd w:id="1080"/>
      <w:bookmarkEnd w:id="1081"/>
      <w:r>
        <w:rPr>
          <w:rFonts w:ascii="Times New Roman;Times;serif" w:hAnsi="Times New Roman;Times;serif"/>
          <w:b/>
          <w:sz w:val="18"/>
        </w:rPr>
        <w:t>Exhibit 31.1</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CHIEF EXECUTIVE OFFICER</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RULE 13a-14(a) AND 15d-14(a),</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302 OF THE SARBANES-OXLEY ACT OF 2002</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sz w:val="18"/>
        </w:rPr>
      </w:pPr>
      <w:r>
        <w:rPr>
          <w:rFonts w:ascii="Times New Roman;Times;serif" w:hAnsi="Times New Roman;Times;serif"/>
          <w:sz w:val="18"/>
        </w:rPr>
        <w:t>I, Stephen H. Willard, Chief Executive Officer of NRx Pharmaceuticals, Inc., certify that:</w:t>
      </w:r>
    </w:p>
    <w:tbl>
      <w:tblPr>
        <w:tblW w:w="7240" w:type="dxa"/>
        <w:jc w:val="left"/>
        <w:tblInd w:w="0" w:type="dxa"/>
        <w:tblCellMar>
          <w:top w:w="0" w:type="dxa"/>
          <w:left w:w="0" w:type="dxa"/>
          <w:bottom w:w="0" w:type="dxa"/>
          <w:right w:w="0" w:type="dxa"/>
        </w:tblCellMar>
      </w:tblPr>
      <w:tblGrid>
        <w:gridCol w:w="155"/>
        <w:gridCol w:w="7085"/>
      </w:tblGrid>
      <w:tr>
        <w:trPr/>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1.</w:t>
            </w:r>
          </w:p>
        </w:tc>
        <w:tc>
          <w:tcPr>
            <w:tcW w:w="708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I have reviewed this Annual Report on Form 10-K of NRx Pharmaceuticals, Inc. (the “Registrant”);</w:t>
            </w:r>
          </w:p>
        </w:tc>
      </w:tr>
    </w:tbl>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2.</w:t>
            </w:r>
          </w:p>
        </w:tc>
        <w:tc>
          <w:tcPr>
            <w:tcW w:w="10076"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3.</w:t>
            </w:r>
          </w:p>
        </w:tc>
        <w:tc>
          <w:tcPr>
            <w:tcW w:w="10073"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tc>
      </w:tr>
    </w:tbl>
    <w:tbl>
      <w:tblPr>
        <w:tblW w:w="10205" w:type="dxa"/>
        <w:jc w:val="left"/>
        <w:tblInd w:w="0" w:type="dxa"/>
        <w:tblCellMar>
          <w:top w:w="0" w:type="dxa"/>
          <w:left w:w="0" w:type="dxa"/>
          <w:bottom w:w="0" w:type="dxa"/>
          <w:right w:w="0" w:type="dxa"/>
        </w:tblCellMar>
      </w:tblPr>
      <w:tblGrid>
        <w:gridCol w:w="128"/>
        <w:gridCol w:w="10077"/>
      </w:tblGrid>
      <w:tr>
        <w:trPr/>
        <w:tc>
          <w:tcPr>
            <w:tcW w:w="128"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4.</w:t>
            </w:r>
          </w:p>
        </w:tc>
        <w:tc>
          <w:tcPr>
            <w:tcW w:w="1007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40"/>
        <w:gridCol w:w="10042"/>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a.</w:t>
            </w:r>
          </w:p>
        </w:tc>
        <w:tc>
          <w:tcPr>
            <w:tcW w:w="1004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b.</w:t>
            </w:r>
          </w:p>
        </w:tc>
        <w:tc>
          <w:tcPr>
            <w:tcW w:w="1002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40"/>
        <w:gridCol w:w="10042"/>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c.</w:t>
            </w:r>
          </w:p>
        </w:tc>
        <w:tc>
          <w:tcPr>
            <w:tcW w:w="1004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d.</w:t>
            </w:r>
          </w:p>
        </w:tc>
        <w:tc>
          <w:tcPr>
            <w:tcW w:w="1002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5.</w:t>
            </w:r>
          </w:p>
        </w:tc>
        <w:tc>
          <w:tcPr>
            <w:tcW w:w="10073"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tbl>
      <w:tblPr>
        <w:tblW w:w="10205" w:type="dxa"/>
        <w:jc w:val="left"/>
        <w:tblInd w:w="0" w:type="dxa"/>
        <w:tblCellMar>
          <w:top w:w="0" w:type="dxa"/>
          <w:left w:w="0" w:type="dxa"/>
          <w:bottom w:w="0" w:type="dxa"/>
          <w:right w:w="0" w:type="dxa"/>
        </w:tblCellMar>
      </w:tblPr>
      <w:tblGrid>
        <w:gridCol w:w="23"/>
        <w:gridCol w:w="140"/>
        <w:gridCol w:w="10042"/>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a.</w:t>
            </w:r>
          </w:p>
        </w:tc>
        <w:tc>
          <w:tcPr>
            <w:tcW w:w="1004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b.</w:t>
            </w:r>
          </w:p>
        </w:tc>
        <w:tc>
          <w:tcPr>
            <w:tcW w:w="1002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tbl>
      <w:tblPr>
        <w:tblW w:w="5597" w:type="dxa"/>
        <w:jc w:val="left"/>
        <w:tblInd w:w="0" w:type="dxa"/>
        <w:tblCellMar>
          <w:top w:w="0" w:type="dxa"/>
          <w:left w:w="0" w:type="dxa"/>
          <w:bottom w:w="0" w:type="dxa"/>
          <w:right w:w="0" w:type="dxa"/>
        </w:tblCellMar>
      </w:tblPr>
      <w:tblGrid>
        <w:gridCol w:w="1681"/>
        <w:gridCol w:w="3916"/>
      </w:tblGrid>
      <w:tr>
        <w:trPr/>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067435" cy="29210"/>
                      <wp:effectExtent l="0" t="0" r="0" b="0"/>
                      <wp:wrapNone/>
                      <wp:docPr id="228" name="Frame217"/>
                      <a:graphic xmlns:a="http://schemas.openxmlformats.org/drawingml/2006/main">
                        <a:graphicData uri="http://schemas.microsoft.com/office/word/2010/wordprocessingShape">
                          <wps:wsp>
                            <wps:cNvSpPr txBox="1"/>
                            <wps:spPr>
                              <a:xfrm>
                                <a:off x="0" y="0"/>
                                <a:ext cx="10674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486660" cy="29210"/>
                      <wp:effectExtent l="0" t="0" r="0" b="0"/>
                      <wp:wrapNone/>
                      <wp:docPr id="229" name="Frame218"/>
                      <a:graphic xmlns:a="http://schemas.openxmlformats.org/drawingml/2006/main">
                        <a:graphicData uri="http://schemas.microsoft.com/office/word/2010/wordprocessingShape">
                          <wps:wsp>
                            <wps:cNvSpPr txBox="1"/>
                            <wps:spPr>
                              <a:xfrm>
                                <a:off x="0" y="0"/>
                                <a:ext cx="2486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 March 31, 2023</w:t>
            </w:r>
          </w:p>
        </w:tc>
        <w:tc>
          <w:tcPr>
            <w:tcW w:w="39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Stephen H. Willard</w: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9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Stephen H. Willard</w: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9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Executive Officer (Principal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18"/>
        </w:rPr>
      </w:pPr>
      <w:bookmarkStart w:id="1082" w:name="nrxp-20221231xex31d2.htm"/>
      <w:bookmarkStart w:id="1083" w:name="ksnrxp20221231xex31d2"/>
      <w:bookmarkEnd w:id="1082"/>
      <w:bookmarkEnd w:id="1083"/>
      <w:r>
        <w:rPr>
          <w:rFonts w:ascii="Times New Roman;Times;serif" w:hAnsi="Times New Roman;Times;serif"/>
          <w:b/>
          <w:sz w:val="18"/>
        </w:rPr>
        <w:t>Exhibit 31.2</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CHIEF FINANCIAL OFFICER</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RULE 13a-14(a) AND 15d-14(a),</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302 OF THE SARBANES-OXLEY ACT OF 2002</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sz w:val="18"/>
        </w:rPr>
      </w:pPr>
      <w:r>
        <w:rPr>
          <w:rFonts w:ascii="Times New Roman;Times;serif" w:hAnsi="Times New Roman;Times;serif"/>
          <w:sz w:val="18"/>
        </w:rPr>
        <w:t>I, Seth Van Voorhees, Chief Financial Officer of NRx Pharmaceuticals, Inc., certify that:</w:t>
      </w:r>
    </w:p>
    <w:tbl>
      <w:tblPr>
        <w:tblW w:w="7240" w:type="dxa"/>
        <w:jc w:val="left"/>
        <w:tblInd w:w="0" w:type="dxa"/>
        <w:tblCellMar>
          <w:top w:w="0" w:type="dxa"/>
          <w:left w:w="0" w:type="dxa"/>
          <w:bottom w:w="0" w:type="dxa"/>
          <w:right w:w="0" w:type="dxa"/>
        </w:tblCellMar>
      </w:tblPr>
      <w:tblGrid>
        <w:gridCol w:w="155"/>
        <w:gridCol w:w="7085"/>
      </w:tblGrid>
      <w:tr>
        <w:trPr/>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1.</w:t>
            </w:r>
          </w:p>
        </w:tc>
        <w:tc>
          <w:tcPr>
            <w:tcW w:w="708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I have reviewed this Annual Report on Form 10-K of NRx Pharmaceuticals, Inc. (the “Registrant”);</w:t>
            </w:r>
          </w:p>
        </w:tc>
      </w:tr>
    </w:tbl>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2.</w:t>
            </w:r>
          </w:p>
        </w:tc>
        <w:tc>
          <w:tcPr>
            <w:tcW w:w="10076"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3.</w:t>
            </w:r>
          </w:p>
        </w:tc>
        <w:tc>
          <w:tcPr>
            <w:tcW w:w="10073"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tc>
      </w:tr>
    </w:tbl>
    <w:tbl>
      <w:tblPr>
        <w:tblW w:w="10205" w:type="dxa"/>
        <w:jc w:val="left"/>
        <w:tblInd w:w="0" w:type="dxa"/>
        <w:tblCellMar>
          <w:top w:w="0" w:type="dxa"/>
          <w:left w:w="0" w:type="dxa"/>
          <w:bottom w:w="0" w:type="dxa"/>
          <w:right w:w="0" w:type="dxa"/>
        </w:tblCellMar>
      </w:tblPr>
      <w:tblGrid>
        <w:gridCol w:w="128"/>
        <w:gridCol w:w="10077"/>
      </w:tblGrid>
      <w:tr>
        <w:trPr/>
        <w:tc>
          <w:tcPr>
            <w:tcW w:w="128"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4.</w:t>
            </w:r>
          </w:p>
        </w:tc>
        <w:tc>
          <w:tcPr>
            <w:tcW w:w="1007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40"/>
        <w:gridCol w:w="10042"/>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a.</w:t>
            </w:r>
          </w:p>
        </w:tc>
        <w:tc>
          <w:tcPr>
            <w:tcW w:w="1004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b.</w:t>
            </w:r>
          </w:p>
        </w:tc>
        <w:tc>
          <w:tcPr>
            <w:tcW w:w="1002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40"/>
        <w:gridCol w:w="10042"/>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c.</w:t>
            </w:r>
          </w:p>
        </w:tc>
        <w:tc>
          <w:tcPr>
            <w:tcW w:w="1004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d.</w:t>
            </w:r>
          </w:p>
        </w:tc>
        <w:tc>
          <w:tcPr>
            <w:tcW w:w="1002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5.</w:t>
            </w:r>
          </w:p>
        </w:tc>
        <w:tc>
          <w:tcPr>
            <w:tcW w:w="10073"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tbl>
      <w:tblPr>
        <w:tblW w:w="10205" w:type="dxa"/>
        <w:jc w:val="left"/>
        <w:tblInd w:w="0" w:type="dxa"/>
        <w:tblCellMar>
          <w:top w:w="0" w:type="dxa"/>
          <w:left w:w="0" w:type="dxa"/>
          <w:bottom w:w="0" w:type="dxa"/>
          <w:right w:w="0" w:type="dxa"/>
        </w:tblCellMar>
      </w:tblPr>
      <w:tblGrid>
        <w:gridCol w:w="23"/>
        <w:gridCol w:w="140"/>
        <w:gridCol w:w="10042"/>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a.</w:t>
            </w:r>
          </w:p>
        </w:tc>
        <w:tc>
          <w:tcPr>
            <w:tcW w:w="10042"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b.</w:t>
            </w:r>
          </w:p>
        </w:tc>
        <w:tc>
          <w:tcPr>
            <w:tcW w:w="1002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tbl>
      <w:tblPr>
        <w:tblW w:w="5507" w:type="dxa"/>
        <w:jc w:val="left"/>
        <w:tblInd w:w="0" w:type="dxa"/>
        <w:tblCellMar>
          <w:top w:w="0" w:type="dxa"/>
          <w:left w:w="0" w:type="dxa"/>
          <w:bottom w:w="0" w:type="dxa"/>
          <w:right w:w="0" w:type="dxa"/>
        </w:tblCellMar>
      </w:tblPr>
      <w:tblGrid>
        <w:gridCol w:w="1681"/>
        <w:gridCol w:w="3826"/>
      </w:tblGrid>
      <w:tr>
        <w:trPr/>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067435" cy="160655"/>
                      <wp:effectExtent l="0" t="0" r="0" b="0"/>
                      <wp:wrapNone/>
                      <wp:docPr id="230" name="Frame219"/>
                      <a:graphic xmlns:a="http://schemas.openxmlformats.org/drawingml/2006/main">
                        <a:graphicData uri="http://schemas.microsoft.com/office/word/2010/wordprocessingShape">
                          <wps:wsp>
                            <wps:cNvSpPr txBox="1"/>
                            <wps:spPr>
                              <a:xfrm>
                                <a:off x="0" y="0"/>
                                <a:ext cx="1067435" cy="160655"/>
                              </a:xfrm>
                              <a:prstGeom prst="rect"/>
                            </wps:spPr>
                            <wps:txbx>
                              <w:txbxContent>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 xml:space="preserve">Arch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 xml:space="preserve">Arch </w:t>
                            </w:r>
                          </w:p>
                        </w:txbxContent>
                      </v:textbox>
                    </v:rect>
                  </w:pict>
                </mc:Fallback>
              </mc:AlternateContent>
            </w:r>
          </w:p>
        </w:tc>
        <w:tc>
          <w:tcPr>
            <w:tcW w:w="3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429510" cy="29210"/>
                      <wp:effectExtent l="0" t="0" r="0" b="0"/>
                      <wp:wrapNone/>
                      <wp:docPr id="231" name="Frame220"/>
                      <a:graphic xmlns:a="http://schemas.openxmlformats.org/drawingml/2006/main">
                        <a:graphicData uri="http://schemas.microsoft.com/office/word/2010/wordprocessingShape">
                          <wps:wsp>
                            <wps:cNvSpPr txBox="1"/>
                            <wps:spPr>
                              <a:xfrm>
                                <a:off x="0" y="0"/>
                                <a:ext cx="24295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shd w:fill="auto" w:val="clear"/>
            <w:vAlign w:val="center"/>
          </w:tcPr>
          <w:p>
            <w:pPr>
              <w:pStyle w:val="TableContents"/>
              <w:spacing w:before="0" w:after="283"/>
              <w:ind w:left="0" w:right="0" w:hanging="0"/>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 March 31, 2023</w:t>
            </w:r>
          </w:p>
        </w:tc>
        <w:tc>
          <w:tcPr>
            <w:tcW w:w="38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Seth Van Voorhees</w: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Seth Van Voorhees</w: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Financial Officer (Principal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18"/>
        </w:rPr>
      </w:pPr>
      <w:bookmarkStart w:id="1084" w:name="nrxp-20221231xex32d1.htm"/>
      <w:bookmarkStart w:id="1085" w:name="ksnrxp20221231xex32d1"/>
      <w:bookmarkEnd w:id="1084"/>
      <w:bookmarkEnd w:id="1085"/>
      <w:r>
        <w:rPr>
          <w:rFonts w:ascii="Times New Roman;Times;serif" w:hAnsi="Times New Roman;Times;serif"/>
          <w:b/>
          <w:sz w:val="18"/>
        </w:rPr>
        <w:t>Exhibit 32.1</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CHIEF EXECUTIVE OFFICER</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18 U.S.C. SECTION 1350,</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906 OF THE SARBANES-OXLEY ACT OF 2002</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18"/>
        </w:rPr>
      </w:pPr>
      <w:r>
        <w:rPr>
          <w:rFonts w:ascii="Times New Roman;Times;serif" w:hAnsi="Times New Roman;Times;serif"/>
          <w:sz w:val="18"/>
        </w:rPr>
        <w:t>In connection with the filing of the Annual Report on Form 10-K for the twelve months ended December 31, 2022 (the “Report”) by NRx Pharmaceuticals, Inc. (the “Registrant”), I, Stephen H. Willard as Chief Executive Officer of the Registrant hereby certify pursuant to 18 U.S.C. Section 1350, as adopted pursuant to Section 906 of the Sarbanes-Oxley Act of 2002, that, to the best of my knowledge:</w:t>
      </w:r>
    </w:p>
    <w:tbl>
      <w:tblPr>
        <w:tblW w:w="10023" w:type="dxa"/>
        <w:jc w:val="left"/>
        <w:tblInd w:w="0" w:type="dxa"/>
        <w:tblCellMar>
          <w:top w:w="0" w:type="dxa"/>
          <w:left w:w="0" w:type="dxa"/>
          <w:bottom w:w="0" w:type="dxa"/>
          <w:right w:w="0" w:type="dxa"/>
        </w:tblCellMar>
      </w:tblPr>
      <w:tblGrid>
        <w:gridCol w:w="23"/>
        <w:gridCol w:w="155"/>
        <w:gridCol w:w="9845"/>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1.</w:t>
            </w:r>
          </w:p>
        </w:tc>
        <w:tc>
          <w:tcPr>
            <w:tcW w:w="984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Report fully complies with the requirements of Section 13(a) or Section 15(d) of the Securities Exchange Act of 1934, as amended; and</w:t>
            </w:r>
          </w:p>
        </w:tc>
      </w:tr>
    </w:tbl>
    <w:tbl>
      <w:tblPr>
        <w:tblW w:w="10205" w:type="dxa"/>
        <w:jc w:val="left"/>
        <w:tblInd w:w="0" w:type="dxa"/>
        <w:tblCellMar>
          <w:top w:w="0" w:type="dxa"/>
          <w:left w:w="0" w:type="dxa"/>
          <w:bottom w:w="0" w:type="dxa"/>
          <w:right w:w="0" w:type="dxa"/>
        </w:tblCellMar>
      </w:tblPr>
      <w:tblGrid>
        <w:gridCol w:w="23"/>
        <w:gridCol w:w="154"/>
        <w:gridCol w:w="10028"/>
      </w:tblGrid>
      <w:tr>
        <w:trPr/>
        <w:tc>
          <w:tcPr>
            <w:tcW w:w="2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2.</w:t>
            </w:r>
          </w:p>
        </w:tc>
        <w:tc>
          <w:tcPr>
            <w:tcW w:w="10028"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information contained in the Report fairly presents, in all material respects, the financial condition and results of operations of the Registrant.</w:t>
            </w:r>
          </w:p>
        </w:tc>
      </w:tr>
    </w:tbl>
    <w:p>
      <w:pPr>
        <w:pStyle w:val="TextBody"/>
        <w:spacing w:before="0" w:after="240"/>
        <w:ind w:left="40" w:right="0" w:hanging="0"/>
        <w:rPr/>
      </w:pPr>
      <w:r>
        <w:rPr/>
        <w:t>​</w:t>
      </w:r>
    </w:p>
    <w:tbl>
      <w:tblPr>
        <w:tblW w:w="5597" w:type="dxa"/>
        <w:jc w:val="left"/>
        <w:tblInd w:w="0" w:type="dxa"/>
        <w:tblCellMar>
          <w:top w:w="0" w:type="dxa"/>
          <w:left w:w="0" w:type="dxa"/>
          <w:bottom w:w="0" w:type="dxa"/>
          <w:right w:w="0" w:type="dxa"/>
        </w:tblCellMar>
      </w:tblPr>
      <w:tblGrid>
        <w:gridCol w:w="1681"/>
        <w:gridCol w:w="3916"/>
      </w:tblGrid>
      <w:tr>
        <w:trPr/>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067435" cy="160655"/>
                      <wp:effectExtent l="0" t="0" r="0" b="0"/>
                      <wp:wrapNone/>
                      <wp:docPr id="232" name="Frame221"/>
                      <a:graphic xmlns:a="http://schemas.openxmlformats.org/drawingml/2006/main">
                        <a:graphicData uri="http://schemas.microsoft.com/office/word/2010/wordprocessingShape">
                          <wps:wsp>
                            <wps:cNvSpPr txBox="1"/>
                            <wps:spPr>
                              <a:xfrm>
                                <a:off x="0" y="0"/>
                                <a:ext cx="1067435" cy="160655"/>
                              </a:xfrm>
                              <a:prstGeom prst="rect"/>
                            </wps:spPr>
                            <wps:txbx>
                              <w:txbxContent>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 xml:space="preserve">Arch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 xml:space="preserve">Arch </w:t>
                            </w:r>
                          </w:p>
                        </w:txbxContent>
                      </v:textbox>
                    </v:rect>
                  </w:pict>
                </mc:Fallback>
              </mc:AlternateContent>
            </w:r>
          </w:p>
        </w:tc>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486660" cy="29210"/>
                      <wp:effectExtent l="0" t="0" r="0" b="0"/>
                      <wp:wrapNone/>
                      <wp:docPr id="233" name="Frame222"/>
                      <a:graphic xmlns:a="http://schemas.openxmlformats.org/drawingml/2006/main">
                        <a:graphicData uri="http://schemas.microsoft.com/office/word/2010/wordprocessingShape">
                          <wps:wsp>
                            <wps:cNvSpPr txBox="1"/>
                            <wps:spPr>
                              <a:xfrm>
                                <a:off x="0" y="0"/>
                                <a:ext cx="2486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 March 31, 2023</w:t>
            </w:r>
          </w:p>
        </w:tc>
        <w:tc>
          <w:tcPr>
            <w:tcW w:w="39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Stephen H. Willard</w: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9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Stephen H. Willard</w: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9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Executive Officer (Principal Executive Officer)</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HorizontalLine"/>
        <w:rPr/>
      </w:pPr>
      <w:r>
        <w:rPr/>
      </w:r>
      <w:r>
        <w:br w:type="page"/>
      </w:r>
    </w:p>
    <w:p>
      <w:pPr>
        <w:pStyle w:val="TextBody"/>
        <w:spacing w:before="0" w:after="240"/>
        <w:ind w:left="0" w:right="0" w:hanging="0"/>
        <w:jc w:val="right"/>
        <w:rPr>
          <w:rFonts w:ascii="Times New Roman;Times;serif" w:hAnsi="Times New Roman;Times;serif"/>
          <w:b/>
          <w:sz w:val="18"/>
        </w:rPr>
      </w:pPr>
      <w:bookmarkStart w:id="1086" w:name="nrxp-20221231xex32d2.htm"/>
      <w:bookmarkStart w:id="1087" w:name="ksnrxp20221231xex32d2"/>
      <w:bookmarkEnd w:id="1086"/>
      <w:bookmarkEnd w:id="1087"/>
      <w:r>
        <w:rPr>
          <w:rFonts w:ascii="Times New Roman;Times;serif" w:hAnsi="Times New Roman;Times;serif"/>
          <w:b/>
          <w:sz w:val="18"/>
        </w:rPr>
        <w:t>Exhibit 32.2</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CHIEF FINANCIAL OFFICER</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18 U.S.C. SECTION 1350,</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906 OF THE SARBANES-OXLEY ACT OF 2002</w:t>
      </w:r>
    </w:p>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18"/>
        </w:rPr>
      </w:pPr>
      <w:r>
        <w:rPr>
          <w:rFonts w:ascii="Times New Roman;Times;serif" w:hAnsi="Times New Roman;Times;serif"/>
          <w:sz w:val="18"/>
        </w:rPr>
        <w:t>In connection with the filing of the Annual Report on Form 10-K for the twelve months ended December 31, 2022 (the “Report”) by NRx Pharmaceuticals, Inc. (the “Registrant”), I, Seth Van Voorhees as Chief Financial Officer of the Registrant hereby certify pursuant to 18 U.S.C. Section 1350, as adopted pursuant to Section 906 of the Sarbanes-Oxley Act of 2002, that, to the best of my knowledge:</w:t>
      </w:r>
    </w:p>
    <w:tbl>
      <w:tblPr>
        <w:tblW w:w="10023" w:type="dxa"/>
        <w:jc w:val="left"/>
        <w:tblInd w:w="0" w:type="dxa"/>
        <w:tblCellMar>
          <w:top w:w="0" w:type="dxa"/>
          <w:left w:w="0" w:type="dxa"/>
          <w:bottom w:w="0" w:type="dxa"/>
          <w:right w:w="0" w:type="dxa"/>
        </w:tblCellMar>
      </w:tblPr>
      <w:tblGrid>
        <w:gridCol w:w="23"/>
        <w:gridCol w:w="155"/>
        <w:gridCol w:w="9845"/>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1.</w:t>
            </w:r>
          </w:p>
        </w:tc>
        <w:tc>
          <w:tcPr>
            <w:tcW w:w="984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Report fully complies with the requirements of Section 13(a) or Section 15(d) of the Securities Exchange Act of 1934, as amended; and</w:t>
            </w:r>
          </w:p>
        </w:tc>
      </w:tr>
    </w:tbl>
    <w:tbl>
      <w:tblPr>
        <w:tblW w:w="10205" w:type="dxa"/>
        <w:jc w:val="left"/>
        <w:tblInd w:w="0" w:type="dxa"/>
        <w:tblCellMar>
          <w:top w:w="0" w:type="dxa"/>
          <w:left w:w="0" w:type="dxa"/>
          <w:bottom w:w="0" w:type="dxa"/>
          <w:right w:w="0" w:type="dxa"/>
        </w:tblCellMar>
      </w:tblPr>
      <w:tblGrid>
        <w:gridCol w:w="23"/>
        <w:gridCol w:w="154"/>
        <w:gridCol w:w="10028"/>
      </w:tblGrid>
      <w:tr>
        <w:trPr/>
        <w:tc>
          <w:tcPr>
            <w:tcW w:w="2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2.</w:t>
            </w:r>
          </w:p>
        </w:tc>
        <w:tc>
          <w:tcPr>
            <w:tcW w:w="10028"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information contained in the Report fairly presents, in all material respects, the financial condition and results of operations of the Registrant.</w:t>
            </w:r>
          </w:p>
        </w:tc>
      </w:tr>
    </w:tbl>
    <w:tbl>
      <w:tblPr>
        <w:tblW w:w="5507" w:type="dxa"/>
        <w:jc w:val="left"/>
        <w:tblInd w:w="0" w:type="dxa"/>
        <w:tblCellMar>
          <w:top w:w="0" w:type="dxa"/>
          <w:left w:w="0" w:type="dxa"/>
          <w:bottom w:w="0" w:type="dxa"/>
          <w:right w:w="0" w:type="dxa"/>
        </w:tblCellMar>
      </w:tblPr>
      <w:tblGrid>
        <w:gridCol w:w="1681"/>
        <w:gridCol w:w="3826"/>
      </w:tblGrid>
      <w:tr>
        <w:trPr/>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067435" cy="146685"/>
                      <wp:effectExtent l="0" t="0" r="0" b="0"/>
                      <wp:wrapNone/>
                      <wp:docPr id="234" name="Frame223"/>
                      <a:graphic xmlns:a="http://schemas.openxmlformats.org/drawingml/2006/main">
                        <a:graphicData uri="http://schemas.microsoft.com/office/word/2010/wordprocessingShape">
                          <wps:wsp>
                            <wps:cNvSpPr txBox="1"/>
                            <wps:spPr>
                              <a:xfrm>
                                <a:off x="0" y="0"/>
                                <a:ext cx="1067435" cy="146685"/>
                              </a:xfrm>
                              <a:prstGeom prst="rect"/>
                            </wps:spPr>
                            <wps:txbx>
                              <w:txbxContent>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arch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arch</w:t>
                            </w:r>
                          </w:p>
                        </w:txbxContent>
                      </v:textbox>
                    </v:rect>
                  </w:pict>
                </mc:Fallback>
              </mc:AlternateContent>
            </w:r>
          </w:p>
        </w:tc>
        <w:tc>
          <w:tcPr>
            <w:tcW w:w="3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429510" cy="29210"/>
                      <wp:effectExtent l="0" t="0" r="0" b="0"/>
                      <wp:wrapNone/>
                      <wp:docPr id="235" name="Frame224"/>
                      <a:graphic xmlns:a="http://schemas.openxmlformats.org/drawingml/2006/main">
                        <a:graphicData uri="http://schemas.microsoft.com/office/word/2010/wordprocessingShape">
                          <wps:wsp>
                            <wps:cNvSpPr txBox="1"/>
                            <wps:spPr>
                              <a:xfrm>
                                <a:off x="0" y="0"/>
                                <a:ext cx="24295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 March 31, 2023</w:t>
            </w:r>
          </w:p>
        </w:tc>
        <w:tc>
          <w:tcPr>
            <w:tcW w:w="38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Seth Van Voorhees</w: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Seth Van Voorhees</w:t>
            </w:r>
          </w:p>
        </w:tc>
      </w:tr>
      <w:tr>
        <w:trPr/>
        <w:tc>
          <w:tcPr>
            <w:tcW w:w="168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Financial Officer (Principal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egoe UI Symbol">
    <w:charset w:val="00"/>
    <w:family w:val="auto"/>
    <w:pitch w:val="default"/>
  </w:font>
  <w:font w:name="Calibri">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719406/000119312521177240/d57577dex31.htm" TargetMode="External"/><Relationship Id="rId14" Type="http://schemas.openxmlformats.org/officeDocument/2006/relationships/hyperlink" Target="https://www.sec.gov/Archives/edgar/data/1719406/000119312521177240/d57577dex32.htm" TargetMode="External"/><Relationship Id="rId15" Type="http://schemas.openxmlformats.org/officeDocument/2006/relationships/hyperlink" Target="https://www.sec.gov/Archives/edgar/data/1719406/000165495417011010/brpa_ex4-2.htm" TargetMode="External"/><Relationship Id="rId16" Type="http://schemas.openxmlformats.org/officeDocument/2006/relationships/hyperlink" Target="https://www.sec.gov/Archives/edgar/data/1719406/000165495417011010/brpa_ex4-3.htm" TargetMode="External"/><Relationship Id="rId17" Type="http://schemas.openxmlformats.org/officeDocument/2006/relationships/hyperlink" Target="https://www.sec.gov/Archives/edgar/data/1719406/000110465923032019/tm239495d1_ex4-1.htm" TargetMode="External"/><Relationship Id="rId18" Type="http://schemas.openxmlformats.org/officeDocument/2006/relationships/hyperlink" Target="https://www.sec.gov/Archives/edgar/data/1719406/000095014221002728/eh210179827_ex1001.htm" TargetMode="External"/><Relationship Id="rId19" Type="http://schemas.openxmlformats.org/officeDocument/2006/relationships/hyperlink" Target="https://www.sec.gov/Archives/edgar/data/1719406/000095014221002728/eh210179827_ex1002.htm" TargetMode="External"/><Relationship Id="rId20" Type="http://schemas.openxmlformats.org/officeDocument/2006/relationships/hyperlink" Target="https://www.sec.gov/Archives/edgar/data/1719406/000095014221002728/eh210179827_ex1003.htm" TargetMode="External"/><Relationship Id="rId21" Type="http://schemas.openxmlformats.org/officeDocument/2006/relationships/hyperlink" Target="https://www.sec.gov/Archives/edgar/data/1719406/000095014221002728/eh210179827_ex1004.htm" TargetMode="External"/><Relationship Id="rId22" Type="http://schemas.openxmlformats.org/officeDocument/2006/relationships/hyperlink" Target="https://www.sec.gov/Archives/edgar/data/1719406/000165495417011010/brpa_ex10-2.htm" TargetMode="External"/><Relationship Id="rId23" Type="http://schemas.openxmlformats.org/officeDocument/2006/relationships/hyperlink" Target="https://www.sec.gov/Archives/edgar/data/1719406/000165495417011010/brpa_ex10-3.htm" TargetMode="External"/><Relationship Id="rId24" Type="http://schemas.openxmlformats.org/officeDocument/2006/relationships/hyperlink" Target="https://www.sec.gov/Archives/edgar/data/1719406/000165495418013053/brpa_ex101.htm" TargetMode="External"/><Relationship Id="rId25" Type="http://schemas.openxmlformats.org/officeDocument/2006/relationships/hyperlink" Target="https://www.sec.gov/Archives/edgar/data/1719406/000165495418013053/brpa_ex102.htm" TargetMode="External"/><Relationship Id="rId26" Type="http://schemas.openxmlformats.org/officeDocument/2006/relationships/hyperlink" Target="https://www.sec.gov/Archives/edgar/data/1719406/000165495418013053/brpa_ex103.htm" TargetMode="External"/><Relationship Id="rId27" Type="http://schemas.openxmlformats.org/officeDocument/2006/relationships/hyperlink" Target="https://www.sec.gov/Archives/edgar/data/1719406/000119312521177240/d57577dex106.htm" TargetMode="External"/><Relationship Id="rId28" Type="http://schemas.openxmlformats.org/officeDocument/2006/relationships/hyperlink" Target="https://www.sec.gov/Archives/edgar/data/1719406/000119312521177240/d57577dex107.htm" TargetMode="External"/><Relationship Id="rId29" Type="http://schemas.openxmlformats.org/officeDocument/2006/relationships/hyperlink" Target="https://www.sec.gov/Archives/edgar/data/1719406/000119312521177240/d57577dex108.htm" TargetMode="External"/><Relationship Id="rId30" Type="http://schemas.openxmlformats.org/officeDocument/2006/relationships/hyperlink" Target="https://www.sec.gov/Archives/edgar/data/1719406/000119312521177240/d57577dex108.htm" TargetMode="External"/><Relationship Id="rId31" Type="http://schemas.openxmlformats.org/officeDocument/2006/relationships/hyperlink" Target="https://www.sec.gov/Archives/edgar/data/1719406/000119312521177240/d57577dex109.htm" TargetMode="External"/><Relationship Id="rId32" Type="http://schemas.openxmlformats.org/officeDocument/2006/relationships/hyperlink" Target="https://www.sec.gov/Archives/edgar/data/1719406/000165495421002748/brpa_ex101.htm" TargetMode="External"/><Relationship Id="rId33" Type="http://schemas.openxmlformats.org/officeDocument/2006/relationships/hyperlink" Target="https://www.sec.gov/Archives/edgar/data/1719406/000119312521118931/d56937dex1024.htm" TargetMode="External"/><Relationship Id="rId34" Type="http://schemas.openxmlformats.org/officeDocument/2006/relationships/hyperlink" Target="https://www.sec.gov/Archives/edgar/data/1719406/000119312521118931/d56937dex1025.htm" TargetMode="External"/><Relationship Id="rId35" Type="http://schemas.openxmlformats.org/officeDocument/2006/relationships/hyperlink" Target="https://www.sec.gov/Archives/edgar/data/1719406/000119312521118931/d56937dex1026.htm" TargetMode="External"/><Relationship Id="rId36" Type="http://schemas.openxmlformats.org/officeDocument/2006/relationships/hyperlink" Target="https://www.sec.gov/Archives/edgar/data/1719406/000119312521118931/d56937dex1027.htm" TargetMode="External"/><Relationship Id="rId37" Type="http://schemas.openxmlformats.org/officeDocument/2006/relationships/hyperlink" Target="https://www.sec.gov/Archives/edgar/data/1719406/000119312521118931/d56937dex1028.htm" TargetMode="External"/><Relationship Id="rId38" Type="http://schemas.openxmlformats.org/officeDocument/2006/relationships/hyperlink" Target="https://www.sec.gov/Archives/edgar/data/1719406/000119312521118931/d56937dex1029.htm" TargetMode="External"/><Relationship Id="rId39" Type="http://schemas.openxmlformats.org/officeDocument/2006/relationships/hyperlink" Target="https://www.sec.gov/Archives/edgar/data/1719406/000119312521118931/d56937dex1030.htm" TargetMode="External"/><Relationship Id="rId40" Type="http://schemas.openxmlformats.org/officeDocument/2006/relationships/hyperlink" Target="https://www.sec.gov/Archives/edgar/data/1719406/000119312521118931/d56937dex1031.htm" TargetMode="External"/><Relationship Id="rId41" Type="http://schemas.openxmlformats.org/officeDocument/2006/relationships/hyperlink" Target="https://www.sec.gov/Archives/edgar/data/1719406/000119312521118931/d56937dex1031.htm" TargetMode="External"/><Relationship Id="rId42" Type="http://schemas.openxmlformats.org/officeDocument/2006/relationships/hyperlink" Target="https://www.sec.gov/Archives/edgar/data/1719406/000119312521118931/d56937dex1032.htm" TargetMode="External"/><Relationship Id="rId43" Type="http://schemas.openxmlformats.org/officeDocument/2006/relationships/hyperlink" Target="https://www.sec.gov/Archives/edgar/data/1719406/000119312521118931/d56937dex1033.htm" TargetMode="External"/><Relationship Id="rId44" Type="http://schemas.openxmlformats.org/officeDocument/2006/relationships/hyperlink" Target="https://www.sec.gov/Archives/edgar/data/1719406/000119312521118931/d56937dex1034.htm" TargetMode="External"/><Relationship Id="rId45" Type="http://schemas.openxmlformats.org/officeDocument/2006/relationships/hyperlink" Target="https://www.sec.gov/Archives/edgar/data/1719406/000119312521118931/d56937dex1034.htm" TargetMode="External"/><Relationship Id="rId46" Type="http://schemas.openxmlformats.org/officeDocument/2006/relationships/hyperlink" Target="https://www.sec.gov/Archives/edgar/data/1719406/000119312521118931/d56937dex1035.htm" TargetMode="External"/><Relationship Id="rId47" Type="http://schemas.openxmlformats.org/officeDocument/2006/relationships/hyperlink" Target="https://www.sec.gov/Archives/edgar/data/1719406/000119312521118931/d56937dex1036.htm" TargetMode="External"/><Relationship Id="rId48" Type="http://schemas.openxmlformats.org/officeDocument/2006/relationships/hyperlink" Target="https://www.sec.gov/Archives/edgar/data/1719406/000119312521118931/d56937dex1037.htm" TargetMode="External"/><Relationship Id="rId49" Type="http://schemas.openxmlformats.org/officeDocument/2006/relationships/hyperlink" Target="https://www.sec.gov/Archives/edgar/data/1719406/000119312521118931/d56937dex1038.htm" TargetMode="External"/><Relationship Id="rId50" Type="http://schemas.openxmlformats.org/officeDocument/2006/relationships/hyperlink" Target="https://www.sec.gov/Archives/edgar/data/1719406/000119312521118931/d56937dex1039.htm" TargetMode="External"/><Relationship Id="rId51" Type="http://schemas.openxmlformats.org/officeDocument/2006/relationships/hyperlink" Target="https://www.sec.gov/Archives/edgar/data/1719406/000119312521118931/d56937dex1040.htm" TargetMode="External"/><Relationship Id="rId52" Type="http://schemas.openxmlformats.org/officeDocument/2006/relationships/hyperlink" Target="https://www.sec.gov/Archives/edgar/data/1719406/000119312521118931/d56937dex1041.htm" TargetMode="External"/><Relationship Id="rId53" Type="http://schemas.openxmlformats.org/officeDocument/2006/relationships/hyperlink" Target="https://www.sec.gov/Archives/edgar/data/1719406/000119312521118931/d56937dex1042.htm" TargetMode="External"/><Relationship Id="rId54" Type="http://schemas.openxmlformats.org/officeDocument/2006/relationships/hyperlink" Target="https://www.sec.gov/Archives/edgar/data/1719406/000119312521118931/d56937dex1043.htm" TargetMode="External"/><Relationship Id="rId55" Type="http://schemas.openxmlformats.org/officeDocument/2006/relationships/hyperlink" Target="https://www.sec.gov/Archives/edgar/data/1719406/000119312521157866/d56937dex1044.htm" TargetMode="External"/><Relationship Id="rId56" Type="http://schemas.openxmlformats.org/officeDocument/2006/relationships/hyperlink" Target="https://www.sec.gov/Archives/edgar/data/1719406/000119312521177240/d57577dex1033.htm" TargetMode="External"/><Relationship Id="rId57" Type="http://schemas.openxmlformats.org/officeDocument/2006/relationships/hyperlink" Target="https://www.sec.gov/Archives/edgar/data/1719406/000119312521177240/d57577dex1034.htm" TargetMode="External"/><Relationship Id="rId58" Type="http://schemas.openxmlformats.org/officeDocument/2006/relationships/hyperlink" Target="https://www.sec.gov/Archives/edgar/data/1719406/000155837021015962/nrxp-20210930xex10d1.htm" TargetMode="External"/><Relationship Id="rId59" Type="http://schemas.openxmlformats.org/officeDocument/2006/relationships/hyperlink" Target="https://www.sec.gov/Archives/edgar/data/1719406/000155837022000738/nrxp-20220202xex10d1.htm" TargetMode="External"/><Relationship Id="rId60" Type="http://schemas.openxmlformats.org/officeDocument/2006/relationships/hyperlink" Target="https://www.sec.gov/Archives/edgar/data/1719406/000155837022000738/nrxp-20220202xex10d2.htm" TargetMode="External"/><Relationship Id="rId61" Type="http://schemas.openxmlformats.org/officeDocument/2006/relationships/hyperlink" Target="https://www.sec.gov/Archives/edgar/data/1719406/000155837022000738/nrxp-20220202xex10d3.htm" TargetMode="External"/><Relationship Id="rId62" Type="http://schemas.openxmlformats.org/officeDocument/2006/relationships/hyperlink" Target="https://www.sec.gov/Archives/edgar/data/1719406/000155837022000738/nrxp-20220202xex10d4.htm" TargetMode="External"/><Relationship Id="rId63" Type="http://schemas.openxmlformats.org/officeDocument/2006/relationships/hyperlink" Target="https://www.sec.gov/Archives/edgar/data/1719406/000095014222000983/eh220233089_ex1001.htm" TargetMode="External"/><Relationship Id="rId64" Type="http://schemas.openxmlformats.org/officeDocument/2006/relationships/hyperlink" Target="https://www.sec.gov/Archives/edgar/data/1719406/000095014222000983/eh220233089_ex1002.htm" TargetMode="External"/><Relationship Id="rId65" Type="http://schemas.openxmlformats.org/officeDocument/2006/relationships/hyperlink" Target="https://www.sec.gov/Archives/edgar/data/1719406/000155837022013673/nrxp-20220630xex10d1.htm" TargetMode="External"/><Relationship Id="rId66" Type="http://schemas.openxmlformats.org/officeDocument/2006/relationships/hyperlink" Target="https://www.sec.gov/Archives/edgar/data/1719406/000110465922116578/tm2230161d1_ex10-1.htm" TargetMode="External"/><Relationship Id="rId67" Type="http://schemas.openxmlformats.org/officeDocument/2006/relationships/hyperlink" Target="https://www.sec.gov/Archives/edgar/data/1719406/000110465922116578/tm2230161d1_ex10-2.htm" TargetMode="External"/><Relationship Id="rId68" Type="http://schemas.openxmlformats.org/officeDocument/2006/relationships/hyperlink" Target="https://www.sec.gov/Archives/edgar/data/1719406/000110465922116578/tm2230161d1_ex10-3.htm" TargetMode="External"/><Relationship Id="rId69" Type="http://schemas.openxmlformats.org/officeDocument/2006/relationships/hyperlink" Target="https://www.sec.gov/Archives/edgar/data/1719406/000155837022017772/nrxp-20220930xex10d1.htm" TargetMode="External"/><Relationship Id="rId70" Type="http://schemas.openxmlformats.org/officeDocument/2006/relationships/hyperlink" Target="https://www.sec.gov/Archives/edgar/data/1719406/000110465923032019/tm239495d1_ex10-1.htm" TargetMode="External"/><Relationship Id="rId71" Type="http://schemas.openxmlformats.org/officeDocument/2006/relationships/hyperlink" Target="https://www.sec.gov/Archives/edgar/data/1719406/000155837022004899/nrxp-20211231xex10d46.htm"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78947</Words>
  <CharactersWithSpaces>518042</CharactersWithSpaces>
  <Paragraphs>6400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