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80" w:right="1980" w:hanging="3972"/>
        <w:spacing w:after="0" w:line="504" w:lineRule="auto"/>
        <w:tabs>
          <w:tab w:leader="none" w:pos="3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2020</w:t>
      </w:r>
    </w:p>
    <w:p>
      <w:pPr>
        <w:spacing w:after="0" w:line="1" w:lineRule="exact"/>
        <w:rPr>
          <w:sz w:val="24"/>
          <w:szCs w:val="24"/>
          <w:color w:val="auto"/>
        </w:rPr>
      </w:pPr>
    </w:p>
    <w:p>
      <w:pPr>
        <w:ind w:left="5880"/>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001-38302</w:t>
      </w:r>
    </w:p>
    <w:p>
      <w:pPr>
        <w:spacing w:after="0" w:line="22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5240" w:type="dxa"/>
            <w:vAlign w:val="bottom"/>
          </w:tcPr>
          <w:p>
            <w:pPr>
              <w:jc w:val="center"/>
              <w:ind w:right="952"/>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tcPr>
          <w:p>
            <w:pPr>
              <w:jc w:val="right"/>
              <w:ind w:right="912"/>
              <w:spacing w:after="0"/>
              <w:rPr>
                <w:sz w:val="20"/>
                <w:szCs w:val="20"/>
                <w:color w:val="auto"/>
              </w:rPr>
            </w:pPr>
            <w:r>
              <w:rPr>
                <w:rFonts w:ascii="Arial" w:cs="Arial" w:eastAsia="Arial" w:hAnsi="Arial"/>
                <w:sz w:val="18"/>
                <w:szCs w:val="18"/>
                <w:b w:val="1"/>
                <w:bCs w:val="1"/>
                <w:color w:val="auto"/>
              </w:rPr>
              <w:t>82-2844431</w:t>
            </w:r>
          </w:p>
        </w:tc>
      </w:tr>
      <w:tr>
        <w:trPr>
          <w:trHeight w:val="222"/>
        </w:trPr>
        <w:tc>
          <w:tcPr>
            <w:tcW w:w="5240" w:type="dxa"/>
            <w:vAlign w:val="bottom"/>
          </w:tcPr>
          <w:p>
            <w:pPr>
              <w:jc w:val="center"/>
              <w:ind w:right="95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900" w:type="dxa"/>
            <w:vAlign w:val="bottom"/>
          </w:tcPr>
          <w:p>
            <w:pPr>
              <w:jc w:val="center"/>
              <w:ind w:left="952"/>
              <w:spacing w:after="0"/>
              <w:rPr>
                <w:sz w:val="20"/>
                <w:szCs w:val="20"/>
                <w:color w:val="auto"/>
              </w:rPr>
            </w:pPr>
            <w:r>
              <w:rPr>
                <w:rFonts w:ascii="Arial" w:cs="Arial" w:eastAsia="Arial" w:hAnsi="Arial"/>
                <w:sz w:val="18"/>
                <w:szCs w:val="18"/>
                <w:color w:val="auto"/>
                <w:w w:val="91"/>
              </w:rPr>
              <w:t>(I.R.S. Employer Identification Number)</w:t>
            </w:r>
          </w:p>
        </w:tc>
      </w:tr>
      <w:tr>
        <w:trPr>
          <w:trHeight w:val="420"/>
        </w:trPr>
        <w:tc>
          <w:tcPr>
            <w:tcW w:w="5240" w:type="dxa"/>
            <w:vAlign w:val="bottom"/>
          </w:tcPr>
          <w:p>
            <w:pPr>
              <w:jc w:val="center"/>
              <w:ind w:right="972"/>
              <w:spacing w:after="0"/>
              <w:rPr>
                <w:sz w:val="20"/>
                <w:szCs w:val="20"/>
                <w:color w:val="auto"/>
              </w:rPr>
            </w:pPr>
            <w:r>
              <w:rPr>
                <w:rFonts w:ascii="Arial" w:cs="Arial" w:eastAsia="Arial" w:hAnsi="Arial"/>
                <w:sz w:val="18"/>
                <w:szCs w:val="18"/>
                <w:b w:val="1"/>
                <w:bCs w:val="1"/>
                <w:color w:val="auto"/>
                <w:w w:val="88"/>
              </w:rPr>
              <w:t>2645 N. Federal Highway, Suite 230</w:t>
            </w:r>
          </w:p>
        </w:tc>
        <w:tc>
          <w:tcPr>
            <w:tcW w:w="3900" w:type="dxa"/>
            <w:vAlign w:val="bottom"/>
          </w:tcPr>
          <w:p>
            <w:pPr>
              <w:spacing w:after="0"/>
              <w:rPr>
                <w:sz w:val="24"/>
                <w:szCs w:val="24"/>
                <w:color w:val="auto"/>
              </w:rPr>
            </w:pPr>
          </w:p>
        </w:tc>
      </w:tr>
      <w:tr>
        <w:trPr>
          <w:trHeight w:val="222"/>
        </w:trPr>
        <w:tc>
          <w:tcPr>
            <w:tcW w:w="5240" w:type="dxa"/>
            <w:vAlign w:val="bottom"/>
          </w:tcPr>
          <w:p>
            <w:pPr>
              <w:jc w:val="center"/>
              <w:ind w:right="952"/>
              <w:spacing w:after="0"/>
              <w:rPr>
                <w:sz w:val="20"/>
                <w:szCs w:val="20"/>
                <w:color w:val="auto"/>
              </w:rPr>
            </w:pPr>
            <w:r>
              <w:rPr>
                <w:rFonts w:ascii="Arial" w:cs="Arial" w:eastAsia="Arial" w:hAnsi="Arial"/>
                <w:sz w:val="18"/>
                <w:szCs w:val="18"/>
                <w:b w:val="1"/>
                <w:bCs w:val="1"/>
                <w:color w:val="auto"/>
                <w:w w:val="90"/>
              </w:rPr>
              <w:t>Delray Beach, FL</w:t>
            </w:r>
          </w:p>
        </w:tc>
        <w:tc>
          <w:tcPr>
            <w:tcW w:w="3900" w:type="dxa"/>
            <w:vAlign w:val="bottom"/>
          </w:tcPr>
          <w:p>
            <w:pPr>
              <w:jc w:val="right"/>
              <w:ind w:right="1112"/>
              <w:spacing w:after="0"/>
              <w:rPr>
                <w:sz w:val="20"/>
                <w:szCs w:val="20"/>
                <w:color w:val="auto"/>
              </w:rPr>
            </w:pPr>
            <w:r>
              <w:rPr>
                <w:rFonts w:ascii="Arial" w:cs="Arial" w:eastAsia="Arial" w:hAnsi="Arial"/>
                <w:sz w:val="18"/>
                <w:szCs w:val="18"/>
                <w:b w:val="1"/>
                <w:bCs w:val="1"/>
                <w:color w:val="auto"/>
              </w:rPr>
              <w:t>33483</w:t>
            </w:r>
          </w:p>
        </w:tc>
      </w:tr>
      <w:tr>
        <w:trPr>
          <w:trHeight w:val="222"/>
        </w:trPr>
        <w:tc>
          <w:tcPr>
            <w:tcW w:w="5240" w:type="dxa"/>
            <w:vAlign w:val="bottom"/>
          </w:tcPr>
          <w:p>
            <w:pPr>
              <w:jc w:val="center"/>
              <w:ind w:right="972"/>
              <w:spacing w:after="0"/>
              <w:rPr>
                <w:sz w:val="20"/>
                <w:szCs w:val="20"/>
                <w:color w:val="auto"/>
              </w:rPr>
            </w:pPr>
            <w:r>
              <w:rPr>
                <w:rFonts w:ascii="Arial" w:cs="Arial" w:eastAsia="Arial" w:hAnsi="Arial"/>
                <w:sz w:val="18"/>
                <w:szCs w:val="18"/>
                <w:color w:val="auto"/>
                <w:w w:val="90"/>
              </w:rPr>
              <w:t>(Address of principal executive offices)</w:t>
            </w:r>
          </w:p>
        </w:tc>
        <w:tc>
          <w:tcPr>
            <w:tcW w:w="3900" w:type="dxa"/>
            <w:vAlign w:val="bottom"/>
          </w:tcPr>
          <w:p>
            <w:pPr>
              <w:jc w:val="center"/>
              <w:ind w:left="95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20"/>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w:t>
            </w:r>
          </w:p>
        </w:tc>
      </w:tr>
      <w:tr>
        <w:trPr>
          <w:trHeight w:val="237"/>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center"/>
              <w:ind w:right="692"/>
              <w:spacing w:after="0"/>
              <w:rPr>
                <w:sz w:val="20"/>
                <w:szCs w:val="20"/>
                <w:color w:val="auto"/>
              </w:rPr>
            </w:pPr>
            <w:r>
              <w:rPr>
                <w:rFonts w:ascii="Arial" w:cs="Arial" w:eastAsia="Arial" w:hAnsi="Arial"/>
                <w:sz w:val="18"/>
                <w:szCs w:val="18"/>
                <w:b w:val="1"/>
                <w:bCs w:val="1"/>
                <w:color w:val="auto"/>
                <w:w w:val="88"/>
              </w:rPr>
              <w:t>Trading Symbol(s)</w:t>
            </w:r>
          </w:p>
        </w:tc>
        <w:tc>
          <w:tcPr>
            <w:tcW w:w="12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which registered</w:t>
            </w:r>
          </w:p>
        </w:tc>
      </w:tr>
      <w:tr>
        <w:trPr>
          <w:trHeight w:val="208"/>
        </w:trPr>
        <w:tc>
          <w:tcPr>
            <w:tcW w:w="442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88"/>
              </w:rPr>
              <w:t>Units, each consisting of one share of Common</w:t>
            </w:r>
          </w:p>
        </w:tc>
        <w:tc>
          <w:tcPr>
            <w:tcW w:w="2940" w:type="dxa"/>
            <w:vAlign w:val="bottom"/>
            <w:shd w:val="clear" w:color="auto" w:fill="CCEEFF"/>
          </w:tcPr>
          <w:p>
            <w:pPr>
              <w:jc w:val="center"/>
              <w:ind w:right="692"/>
              <w:spacing w:after="0"/>
              <w:rPr>
                <w:sz w:val="20"/>
                <w:szCs w:val="20"/>
                <w:color w:val="auto"/>
              </w:rPr>
            </w:pPr>
            <w:r>
              <w:rPr>
                <w:rFonts w:ascii="Arial" w:cs="Arial" w:eastAsia="Arial" w:hAnsi="Arial"/>
                <w:sz w:val="18"/>
                <w:szCs w:val="18"/>
                <w:color w:val="auto"/>
                <w:w w:val="90"/>
              </w:rPr>
              <w:t>BRPAU</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24"/>
        </w:trPr>
        <w:tc>
          <w:tcPr>
            <w:tcW w:w="4420" w:type="dxa"/>
            <w:vAlign w:val="bottom"/>
            <w:gridSpan w:val="3"/>
            <w:shd w:val="clear" w:color="auto" w:fill="CCEEFF"/>
          </w:tcPr>
          <w:p>
            <w:pPr>
              <w:jc w:val="center"/>
              <w:ind w:right="900"/>
              <w:spacing w:after="0"/>
              <w:rPr>
                <w:sz w:val="20"/>
                <w:szCs w:val="20"/>
                <w:color w:val="auto"/>
              </w:rPr>
            </w:pPr>
            <w:r>
              <w:rPr>
                <w:rFonts w:ascii="Arial" w:cs="Arial" w:eastAsia="Arial" w:hAnsi="Arial"/>
                <w:sz w:val="18"/>
                <w:szCs w:val="18"/>
                <w:color w:val="auto"/>
                <w:w w:val="88"/>
              </w:rPr>
              <w:t>Stock, one Right and one-half of one Warrant</w:t>
            </w:r>
          </w:p>
        </w:tc>
        <w:tc>
          <w:tcPr>
            <w:tcW w:w="2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r>
      <w:tr>
        <w:trPr>
          <w:trHeight w:val="216"/>
        </w:trPr>
        <w:tc>
          <w:tcPr>
            <w:tcW w:w="4420" w:type="dxa"/>
            <w:vAlign w:val="bottom"/>
            <w:gridSpan w:val="3"/>
          </w:tcPr>
          <w:p>
            <w:pPr>
              <w:jc w:val="center"/>
              <w:ind w:right="900"/>
              <w:spacing w:after="0"/>
              <w:rPr>
                <w:sz w:val="20"/>
                <w:szCs w:val="20"/>
                <w:color w:val="auto"/>
              </w:rPr>
            </w:pPr>
            <w:r>
              <w:rPr>
                <w:rFonts w:ascii="Arial" w:cs="Arial" w:eastAsia="Arial" w:hAnsi="Arial"/>
                <w:sz w:val="18"/>
                <w:szCs w:val="18"/>
                <w:color w:val="auto"/>
                <w:w w:val="87"/>
              </w:rPr>
              <w:t>Common Stock, par value $0.001 per share</w:t>
            </w:r>
          </w:p>
        </w:tc>
        <w:tc>
          <w:tcPr>
            <w:tcW w:w="2940" w:type="dxa"/>
            <w:vAlign w:val="bottom"/>
          </w:tcPr>
          <w:p>
            <w:pPr>
              <w:jc w:val="center"/>
              <w:ind w:right="692"/>
              <w:spacing w:after="0"/>
              <w:rPr>
                <w:sz w:val="20"/>
                <w:szCs w:val="20"/>
                <w:color w:val="auto"/>
              </w:rPr>
            </w:pPr>
            <w:r>
              <w:rPr>
                <w:rFonts w:ascii="Arial" w:cs="Arial" w:eastAsia="Arial" w:hAnsi="Arial"/>
                <w:sz w:val="18"/>
                <w:szCs w:val="18"/>
                <w:color w:val="auto"/>
                <w:w w:val="89"/>
              </w:rPr>
              <w:t>BRPA</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08"/>
        </w:trPr>
        <w:tc>
          <w:tcPr>
            <w:tcW w:w="442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86"/>
              </w:rPr>
              <w:t>Rights, exchangeable into one-tenth of one share</w:t>
            </w:r>
          </w:p>
        </w:tc>
        <w:tc>
          <w:tcPr>
            <w:tcW w:w="2940" w:type="dxa"/>
            <w:vAlign w:val="bottom"/>
            <w:shd w:val="clear" w:color="auto" w:fill="CCEEFF"/>
          </w:tcPr>
          <w:p>
            <w:pPr>
              <w:jc w:val="center"/>
              <w:ind w:right="692"/>
              <w:spacing w:after="0"/>
              <w:rPr>
                <w:sz w:val="20"/>
                <w:szCs w:val="20"/>
                <w:color w:val="auto"/>
              </w:rPr>
            </w:pPr>
            <w:r>
              <w:rPr>
                <w:rFonts w:ascii="Arial" w:cs="Arial" w:eastAsia="Arial" w:hAnsi="Arial"/>
                <w:sz w:val="18"/>
                <w:szCs w:val="18"/>
                <w:color w:val="auto"/>
                <w:w w:val="90"/>
              </w:rPr>
              <w:t>BRPAR</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24"/>
        </w:trPr>
        <w:tc>
          <w:tcPr>
            <w:tcW w:w="4420" w:type="dxa"/>
            <w:vAlign w:val="bottom"/>
            <w:gridSpan w:val="3"/>
            <w:shd w:val="clear" w:color="auto" w:fill="CCEEFF"/>
          </w:tcPr>
          <w:p>
            <w:pPr>
              <w:jc w:val="center"/>
              <w:ind w:right="900"/>
              <w:spacing w:after="0"/>
              <w:rPr>
                <w:sz w:val="20"/>
                <w:szCs w:val="20"/>
                <w:color w:val="auto"/>
              </w:rPr>
            </w:pPr>
            <w:r>
              <w:rPr>
                <w:rFonts w:ascii="Arial" w:cs="Arial" w:eastAsia="Arial" w:hAnsi="Arial"/>
                <w:sz w:val="18"/>
                <w:szCs w:val="18"/>
                <w:color w:val="auto"/>
                <w:w w:val="89"/>
              </w:rPr>
              <w:t>of Common Stock</w:t>
            </w:r>
          </w:p>
        </w:tc>
        <w:tc>
          <w:tcPr>
            <w:tcW w:w="2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r>
      <w:tr>
        <w:trPr>
          <w:trHeight w:val="208"/>
        </w:trPr>
        <w:tc>
          <w:tcPr>
            <w:tcW w:w="4420" w:type="dxa"/>
            <w:vAlign w:val="bottom"/>
            <w:gridSpan w:val="3"/>
          </w:tcPr>
          <w:p>
            <w:pPr>
              <w:jc w:val="center"/>
              <w:ind w:right="900"/>
              <w:spacing w:after="0"/>
              <w:rPr>
                <w:sz w:val="20"/>
                <w:szCs w:val="20"/>
                <w:color w:val="auto"/>
              </w:rPr>
            </w:pPr>
            <w:r>
              <w:rPr>
                <w:rFonts w:ascii="Arial" w:cs="Arial" w:eastAsia="Arial" w:hAnsi="Arial"/>
                <w:sz w:val="18"/>
                <w:szCs w:val="18"/>
                <w:color w:val="auto"/>
                <w:w w:val="87"/>
              </w:rPr>
              <w:t>Warrants, each whole warrant exercisable for one</w:t>
            </w:r>
          </w:p>
        </w:tc>
        <w:tc>
          <w:tcPr>
            <w:tcW w:w="2940" w:type="dxa"/>
            <w:vAlign w:val="bottom"/>
          </w:tcPr>
          <w:p>
            <w:pPr>
              <w:jc w:val="center"/>
              <w:ind w:right="692"/>
              <w:spacing w:after="0"/>
              <w:rPr>
                <w:sz w:val="20"/>
                <w:szCs w:val="20"/>
                <w:color w:val="auto"/>
              </w:rPr>
            </w:pPr>
            <w:r>
              <w:rPr>
                <w:rFonts w:ascii="Arial" w:cs="Arial" w:eastAsia="Arial" w:hAnsi="Arial"/>
                <w:sz w:val="18"/>
                <w:szCs w:val="18"/>
                <w:color w:val="auto"/>
                <w:w w:val="90"/>
              </w:rPr>
              <w:t>BRPAW</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420" w:type="dxa"/>
            <w:vAlign w:val="bottom"/>
            <w:gridSpan w:val="3"/>
          </w:tcPr>
          <w:p>
            <w:pPr>
              <w:jc w:val="center"/>
              <w:ind w:right="900"/>
              <w:spacing w:after="0"/>
              <w:rPr>
                <w:sz w:val="20"/>
                <w:szCs w:val="20"/>
                <w:color w:val="auto"/>
              </w:rPr>
            </w:pPr>
            <w:r>
              <w:rPr>
                <w:rFonts w:ascii="Arial" w:cs="Arial" w:eastAsia="Arial" w:hAnsi="Arial"/>
                <w:sz w:val="18"/>
                <w:szCs w:val="18"/>
                <w:color w:val="auto"/>
                <w:w w:val="87"/>
              </w:rPr>
              <w:t>share of Common Stock at an exercise price of</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22"/>
        </w:trPr>
        <w:tc>
          <w:tcPr>
            <w:tcW w:w="352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210"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ind w:right="60"/>
        <w:spacing w:after="0" w:line="304"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54" w:right="339" w:bottom="491" w:gutter="0" w:footer="0" w:header="0"/>
        </w:sectPr>
      </w:pPr>
    </w:p>
    <w:p>
      <w:pPr>
        <w:spacing w:after="0" w:line="194" w:lineRule="exact"/>
        <w:rPr>
          <w:sz w:val="24"/>
          <w:szCs w:val="24"/>
          <w:color w:val="auto"/>
        </w:rPr>
      </w:pPr>
    </w:p>
    <w:p>
      <w:pPr>
        <w:ind w:left="176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4">
            <w:col w:w="3340" w:space="40"/>
            <w:col w:w="3220" w:space="720"/>
            <w:col w:w="1920" w:space="80"/>
            <w:col w:w="1920"/>
          </w:cols>
          <w:pgMar w:left="320" w:top="854" w:right="339" w:bottom="491" w:gutter="0" w:footer="0" w:header="0"/>
          <w:type w:val="continuous"/>
        </w:sectPr>
      </w:pPr>
    </w:p>
    <w:p>
      <w:pPr>
        <w:spacing w:after="0" w:line="4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2020, there were 2,716,028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4" w:right="339" w:bottom="49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tcPr>
          <w:p>
            <w:pPr>
              <w:ind w:left="424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80" w:type="dxa"/>
            <w:vAlign w:val="bottom"/>
            <w:shd w:val="clear" w:color="auto" w:fill="CCEEFF"/>
          </w:tcPr>
          <w:p>
            <w:pPr>
              <w:ind w:left="5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80" w:type="dxa"/>
            <w:vAlign w:val="bottom"/>
            <w:shd w:val="clear" w:color="auto" w:fill="CCEEFF"/>
          </w:tcPr>
          <w:p>
            <w:pPr>
              <w:ind w:left="5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Statements of Operations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80" w:type="dxa"/>
            <w:vAlign w:val="bottom"/>
            <w:shd w:val="clear" w:color="auto" w:fill="CCEEFF"/>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Changes in Stockholders’ Equity</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80" w:type="dxa"/>
            <w:vAlign w:val="bottom"/>
            <w:shd w:val="clear" w:color="auto" w:fill="CCEEFF"/>
          </w:tcPr>
          <w:p>
            <w:pPr>
              <w:ind w:left="5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Cash Flows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80" w:type="dxa"/>
            <w:vAlign w:val="bottom"/>
            <w:shd w:val="clear" w:color="auto" w:fill="CCEEFF"/>
          </w:tcPr>
          <w:p>
            <w:pPr>
              <w:ind w:left="5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MANAGEMENT’S DISCUSSION AND ANALYSIS OF FINANCIAL CONDITION AND RESULTS OF OPERATIONS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QUANTITATIVE AND QUALITATIVE DISCLOSURES ABOUT MARKET RISK</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 CONTROLS AND PROCEDURES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1. LEGAL PROCEEDINGS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2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 xml:space="preserve">ITEM   </w:t>
              </w:r>
              <w:r>
                <w:rPr>
                  <w:rFonts w:ascii="Arial" w:cs="Arial" w:eastAsia="Arial" w:hAnsi="Arial"/>
                  <w:sz w:val="18"/>
                  <w:szCs w:val="18"/>
                  <w:u w:val="single" w:color="auto"/>
                  <w:color w:val="0000EE"/>
                </w:rPr>
                <w:t>RISK FACTORS</w:t>
              </w:r>
            </w:hyperlink>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1A.</w:t>
              </w:r>
            </w:hyperlink>
          </w:p>
        </w:tc>
        <w:tc>
          <w:tcPr>
            <w:tcW w:w="97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UNREGISTERED SALES OF EQUITY SECURITIES AND USE OF PROCEEDS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 DEFAULTS UPON SENIOR SECURITIES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 MINE SAFETY DISCLOSURES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5. OTHER INFORMATION</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6. EXHIBITS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3"/>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SIGNATURES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680" w:type="dxa"/>
            <w:vAlign w:val="bottom"/>
          </w:tcPr>
          <w:p>
            <w:pPr>
              <w:jc w:val="center"/>
              <w:ind w:left="2472"/>
              <w:spacing w:after="0"/>
              <w:rPr>
                <w:sz w:val="20"/>
                <w:szCs w:val="20"/>
                <w:color w:val="auto"/>
              </w:rPr>
            </w:pPr>
            <w:r>
              <w:rPr>
                <w:rFonts w:ascii="Arial" w:cs="Arial" w:eastAsia="Arial" w:hAnsi="Arial"/>
                <w:sz w:val="18"/>
                <w:szCs w:val="18"/>
                <w:b w:val="1"/>
                <w:bCs w:val="1"/>
                <w:color w:val="auto"/>
                <w:w w:val="99"/>
              </w:rPr>
              <w:t>PART I - FINANCIAL INFORMATION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680" w:type="dxa"/>
            <w:vAlign w:val="bottom"/>
          </w:tcPr>
          <w:p>
            <w:pPr>
              <w:jc w:val="center"/>
              <w:ind w:left="2472"/>
              <w:spacing w:after="0"/>
              <w:rPr>
                <w:sz w:val="20"/>
                <w:szCs w:val="20"/>
                <w:color w:val="auto"/>
              </w:rPr>
            </w:pPr>
            <w:r>
              <w:rPr>
                <w:rFonts w:ascii="Arial" w:cs="Arial" w:eastAsia="Arial" w:hAnsi="Arial"/>
                <w:sz w:val="18"/>
                <w:szCs w:val="18"/>
                <w:b w:val="1"/>
                <w:bCs w:val="1"/>
                <w:color w:val="auto"/>
                <w:w w:val="97"/>
              </w:rPr>
              <w:t>BIG ROCK PARTNERS ACQUISITION CORP.</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680" w:type="dxa"/>
            <w:vAlign w:val="bottom"/>
          </w:tcPr>
          <w:p>
            <w:pPr>
              <w:jc w:val="center"/>
              <w:ind w:left="2472"/>
              <w:spacing w:after="0"/>
              <w:rPr>
                <w:sz w:val="20"/>
                <w:szCs w:val="20"/>
                <w:color w:val="auto"/>
              </w:rPr>
            </w:pPr>
            <w:r>
              <w:rPr>
                <w:rFonts w:ascii="Arial" w:cs="Arial" w:eastAsia="Arial" w:hAnsi="Arial"/>
                <w:sz w:val="18"/>
                <w:szCs w:val="18"/>
                <w:b w:val="1"/>
                <w:bCs w:val="1"/>
                <w:color w:val="auto"/>
                <w:w w:val="95"/>
              </w:rPr>
              <w:t>CONDENSED BALANCE SHEETS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2020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69,483</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69,489</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32,005,205</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6,192,007</w:t>
            </w:r>
          </w:p>
        </w:tc>
        <w:tc>
          <w:tcPr>
            <w:tcW w:w="4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32,074,694</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313,236</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622,441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316,381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622,441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548,787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416,141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 payable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1,535,623</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2,497,037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2,574,205</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8680" w:type="dxa"/>
            <w:vAlign w:val="bottom"/>
          </w:tcPr>
          <w:p>
            <w:pPr>
              <w:spacing w:after="0"/>
              <w:rPr>
                <w:sz w:val="20"/>
                <w:szCs w:val="20"/>
                <w:color w:val="auto"/>
              </w:rPr>
            </w:pPr>
            <w:r>
              <w:rPr>
                <w:rFonts w:ascii="Arial" w:cs="Arial" w:eastAsia="Arial" w:hAnsi="Arial"/>
                <w:sz w:val="18"/>
                <w:szCs w:val="18"/>
                <w:color w:val="auto"/>
                <w:w w:val="91"/>
              </w:rPr>
              <w:t>Common stock subject to possible redemption, -0- and 2,305,335 shares at redemption value as of March 31, 2020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2019, respectively</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24,500,488</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80" w:type="dxa"/>
            <w:vAlign w:val="bottom"/>
          </w:tcPr>
          <w:p>
            <w:pPr>
              <w:ind w:left="180"/>
              <w:spacing w:after="0"/>
              <w:rPr>
                <w:sz w:val="20"/>
                <w:szCs w:val="20"/>
                <w:color w:val="auto"/>
              </w:rPr>
            </w:pPr>
            <w:r>
              <w:rPr>
                <w:rFonts w:ascii="Arial" w:cs="Arial" w:eastAsia="Arial" w:hAnsi="Arial"/>
                <w:sz w:val="18"/>
                <w:szCs w:val="18"/>
                <w:color w:val="auto"/>
                <w:w w:val="95"/>
              </w:rPr>
              <w:t>Common stock, $0.001 par value; 100,000,000 shares authorized; 2,716,028 and 2,844,414 shares issued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w w:val="96"/>
              </w:rPr>
              <w:t>outstanding (excluding -0- and 2,305,335 shares subject to possible redemption) as of March 31, 2020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December 31, 2019, respectively</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2,844</w:t>
            </w:r>
          </w:p>
        </w:tc>
      </w:tr>
      <w:tr>
        <w:trPr>
          <w:trHeight w:val="21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3,130,313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4,627,662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642,715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369,495</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3,775,744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5,000,001</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6,272,781</w:t>
            </w:r>
          </w:p>
        </w:tc>
        <w:tc>
          <w:tcPr>
            <w:tcW w:w="4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32,074,694</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23"/>
        </w:trPr>
        <w:tc>
          <w:tcPr>
            <w:tcW w:w="6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r>
      <w:tr>
        <w:trPr>
          <w:trHeight w:val="243"/>
        </w:trPr>
        <w:tc>
          <w:tcPr>
            <w:tcW w:w="64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119,300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163,181</w:t>
            </w:r>
          </w:p>
        </w:tc>
      </w:tr>
      <w:tr>
        <w:trPr>
          <w:trHeight w:val="27"/>
        </w:trPr>
        <w:tc>
          <w:tcPr>
            <w:tcW w:w="64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(163,181)</w:t>
            </w:r>
          </w:p>
        </w:tc>
      </w:tr>
      <w:tr>
        <w:trPr>
          <w:trHeight w:val="216"/>
        </w:trPr>
        <w:tc>
          <w:tcPr>
            <w:tcW w:w="6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debt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113,077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382,862</w:t>
            </w:r>
          </w:p>
        </w:tc>
      </w:tr>
      <w:tr>
        <w:trPr>
          <w:trHeight w:val="27"/>
        </w:trPr>
        <w:tc>
          <w:tcPr>
            <w:tcW w:w="6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465,148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382,862</w:t>
            </w:r>
          </w:p>
        </w:tc>
      </w:tr>
      <w:tr>
        <w:trPr>
          <w:trHeight w:val="216"/>
        </w:trPr>
        <w:tc>
          <w:tcPr>
            <w:tcW w:w="64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219,681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(72,628)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(31,716)</w:t>
            </w:r>
          </w:p>
        </w:tc>
      </w:tr>
      <w:tr>
        <w:trPr>
          <w:trHeight w:val="27"/>
        </w:trPr>
        <w:tc>
          <w:tcPr>
            <w:tcW w:w="6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273,220</w:t>
            </w:r>
          </w:p>
        </w:tc>
        <w:tc>
          <w:tcPr>
            <w:tcW w:w="1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187,965</w:t>
            </w:r>
          </w:p>
        </w:tc>
      </w:tr>
      <w:tr>
        <w:trPr>
          <w:trHeight w:val="209"/>
        </w:trPr>
        <w:tc>
          <w:tcPr>
            <w:tcW w:w="64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6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2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2,844,414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2,725,039</w:t>
            </w:r>
          </w:p>
        </w:tc>
      </w:tr>
      <w:tr>
        <w:trPr>
          <w:trHeight w:val="209"/>
        </w:trPr>
        <w:tc>
          <w:tcPr>
            <w:tcW w:w="64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64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income (loss) per common share </w:t>
            </w:r>
            <w:r>
              <w:rPr>
                <w:rFonts w:ascii="Arial" w:cs="Arial" w:eastAsia="Arial" w:hAnsi="Arial"/>
                <w:sz w:val="24"/>
                <w:szCs w:val="24"/>
                <w:b w:val="1"/>
                <w:bCs w:val="1"/>
                <w:color w:val="auto"/>
                <w:vertAlign w:val="superscript"/>
              </w:rPr>
              <w:t>(2)</w:t>
            </w: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(0.03)</w:t>
            </w:r>
          </w:p>
        </w:tc>
      </w:tr>
      <w:tr>
        <w:trPr>
          <w:trHeight w:val="20"/>
        </w:trPr>
        <w:tc>
          <w:tcPr>
            <w:tcW w:w="64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an aggregate of up to -0- and 6,241,203 shares subject to possible redemption at March 31, 2020 and 2019, respectively.</w:t>
      </w:r>
    </w:p>
    <w:p>
      <w:pPr>
        <w:spacing w:after="0" w:line="15"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$-0- and $272,387 for the three months ended March 31, 2020 and 2019, respectively (see Note 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Retained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23"/>
        </w:trPr>
        <w:tc>
          <w:tcPr>
            <w:tcW w:w="57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Amount</w:t>
            </w: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Capital</w:t>
            </w: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Earnings</w:t>
            </w:r>
          </w:p>
        </w:tc>
        <w:tc>
          <w:tcPr>
            <w:tcW w:w="12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Equity</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4,627,662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5,000,001</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(128,386)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(1,497,349)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(1,497,477)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2,716,028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3,130,313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642,715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3,775,744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39"/>
        </w:trPr>
        <w:tc>
          <w:tcPr>
            <w:tcW w:w="7040" w:type="dxa"/>
            <w:vAlign w:val="bottom"/>
            <w:gridSpan w:val="4"/>
          </w:tcPr>
          <w:p>
            <w:pPr>
              <w:ind w:left="4220"/>
              <w:spacing w:after="0"/>
              <w:rPr>
                <w:sz w:val="20"/>
                <w:szCs w:val="20"/>
                <w:color w:val="auto"/>
              </w:rPr>
            </w:pPr>
            <w:r>
              <w:rPr>
                <w:rFonts w:ascii="Arial" w:cs="Arial" w:eastAsia="Arial" w:hAnsi="Arial"/>
                <w:sz w:val="18"/>
                <w:szCs w:val="18"/>
                <w:b w:val="1"/>
                <w:bCs w:val="1"/>
                <w:color w:val="auto"/>
                <w:w w:val="89"/>
              </w:rPr>
              <w:t>Three Months Ended March 31, 2019</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5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Retained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Earnings/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23"/>
        </w:trPr>
        <w:tc>
          <w:tcPr>
            <w:tcW w:w="5740" w:type="dxa"/>
            <w:vAlign w:val="bottom"/>
          </w:tcPr>
          <w:p>
            <w:pPr>
              <w:spacing w:after="0"/>
              <w:rPr>
                <w:sz w:val="19"/>
                <w:szCs w:val="19"/>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1"/>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5"/>
              </w:rPr>
              <w:t>Capital</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Equity</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5,000,006</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(187,966)</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2,794,297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4,848,178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149,033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8680" w:type="dxa"/>
            <w:vAlign w:val="bottom"/>
          </w:tcPr>
          <w:p>
            <w:pPr>
              <w:jc w:val="center"/>
              <w:ind w:left="2472"/>
              <w:spacing w:after="0"/>
              <w:rPr>
                <w:sz w:val="20"/>
                <w:szCs w:val="20"/>
                <w:color w:val="auto"/>
              </w:rPr>
            </w:pPr>
            <w:r>
              <w:rPr>
                <w:rFonts w:ascii="Arial" w:cs="Arial" w:eastAsia="Arial" w:hAnsi="Arial"/>
                <w:sz w:val="18"/>
                <w:szCs w:val="18"/>
                <w:b w:val="1"/>
                <w:bCs w:val="1"/>
                <w:color w:val="auto"/>
                <w:w w:val="97"/>
              </w:rPr>
              <w:t>BIG ROCK PARTNERS ACQUISITION CORP.</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680" w:type="dxa"/>
            <w:vAlign w:val="bottom"/>
          </w:tcPr>
          <w:p>
            <w:pPr>
              <w:jc w:val="center"/>
              <w:ind w:left="2492"/>
              <w:spacing w:after="0"/>
              <w:rPr>
                <w:sz w:val="20"/>
                <w:szCs w:val="20"/>
                <w:color w:val="auto"/>
              </w:rPr>
            </w:pPr>
            <w:r>
              <w:rPr>
                <w:rFonts w:ascii="Arial" w:cs="Arial" w:eastAsia="Arial" w:hAnsi="Arial"/>
                <w:sz w:val="18"/>
                <w:szCs w:val="18"/>
                <w:b w:val="1"/>
                <w:bCs w:val="1"/>
                <w:color w:val="auto"/>
                <w:w w:val="95"/>
              </w:rPr>
              <w:t>CONDENSED STATEMENTS OF CASH FLOWS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680" w:type="dxa"/>
            <w:vAlign w:val="bottom"/>
          </w:tcPr>
          <w:p>
            <w:pPr>
              <w:jc w:val="center"/>
              <w:ind w:left="2492"/>
              <w:spacing w:after="0"/>
              <w:rPr>
                <w:sz w:val="20"/>
                <w:szCs w:val="20"/>
                <w:color w:val="auto"/>
              </w:rPr>
            </w:pPr>
            <w:r>
              <w:rPr>
                <w:rFonts w:ascii="Arial" w:cs="Arial" w:eastAsia="Arial" w:hAnsi="Arial"/>
                <w:sz w:val="18"/>
                <w:szCs w:val="18"/>
                <w:b w:val="1"/>
                <w:bCs w:val="1"/>
                <w:color w:val="auto"/>
                <w:w w:val="99"/>
              </w:rPr>
              <w:t>(UNAUDITED)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8680" w:type="dxa"/>
            <w:vAlign w:val="bottom"/>
          </w:tcPr>
          <w:p>
            <w:pPr>
              <w:spacing w:after="0"/>
              <w:rPr>
                <w:sz w:val="24"/>
                <w:szCs w:val="24"/>
                <w:color w:val="auto"/>
              </w:rPr>
            </w:pPr>
          </w:p>
        </w:tc>
        <w:tc>
          <w:tcPr>
            <w:tcW w:w="256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50"/>
        </w:trPr>
        <w:tc>
          <w:tcPr>
            <w:tcW w:w="8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187,965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(382,862)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Forgiveness of debt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(29,784)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incomes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(104,731)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31,716</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(297,696)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25,997,965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withdrawn from Trust Account to pay franchise taxes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181,793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(690,000)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25,926,275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(508,207)</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861,642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notes</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(25,997,965)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(25,769,073)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796,642</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 Beginning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11,079</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80,774</w:t>
            </w:r>
          </w:p>
        </w:tc>
        <w:tc>
          <w:tcPr>
            <w:tcW w:w="1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1,818</w:t>
            </w:r>
          </w:p>
        </w:tc>
      </w:tr>
      <w:tr>
        <w:trPr>
          <w:trHeight w:val="210"/>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1,497,477</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187,966</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activity through March 31, 2020 relates to the Company’s formation, its initial public offering (“Initial Public Offering”), which is described below, and the search for a target business with which to complete a Business Combination.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w:t>
      </w:r>
    </w:p>
    <w:p>
      <w:pPr>
        <w:spacing w:after="0" w:line="3" w:lineRule="exact"/>
        <w:rPr>
          <w:sz w:val="20"/>
          <w:szCs w:val="20"/>
          <w:color w:val="auto"/>
        </w:rPr>
      </w:pPr>
    </w:p>
    <w:p>
      <w:pPr>
        <w:jc w:val="both"/>
        <w:ind w:firstLine="8"/>
        <w:spacing w:after="0" w:line="30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38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initially had until November 22, 2018 to complete a Business Combination. However, if the Company anticipated that it could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(the “Investor”) (see Note 6). The notes are repayable upon the consummation of a Business Combination (see Note 6).</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the Investor, in the original principal amount of $6,814 (see Note 6).</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Investor (see Note 6).</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Investor (see Note 6). In January and February 2020, AZ Property Partners and Investor loaned the Company an additional aggregate amount of $90,427 each to pay for the extension through March 23, 2020, which was deposited into the Trust Account.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“Extended Date”).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3rdday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 In connection with this extension, as of March 31, 2020, the Company deposited an aggregate of $11,637 into the Trust Account to fund the first thirty-day extension through April 23, 2020, which amount was loaned to the Company by AZ Property Partners and Investor. In April 2020, the AZ Property Partners and Investor loaned the Company an additional aggregate amount of $5,805 each to pay for the extension through May 23, 2020, which was deposited into the Trust Account.</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is currently in compliance with Nasdaq Listing Rule 5620(a) for continued listing and the matter was closed.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25, 2020, the Company received formal notice from Nasdaq indicating that the Staff had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 The Company failed to meet certain of the conditions contained in the extension grant and has submitted a modified extension request to the Staff. The Company has not received a response from the Staff as of yet and cannot give assurance that it will not be delisted prior to August 10,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2020, the Company had $80,774 in its operating bank account, $6,192,007 in cash and marketable securities held in the Trust Account to be used for a Business Combination or to repurchase or convert stock in connection therewith and a working capital deficit of $209,062, which excludes franchise and income taxes payable of 26,545, of which such amounts will be paid from interest earned on the Trust Account and prepaid income taxes, which have been paid from amounts in the Trust Account. As of March 31, 2020, approximately $143,000 of the amount on deposit in the Trust Account represented interest income, which is available to pay the Company’s tax obligations. To date, the Company has withdrawn approximately $676,000 of interest from the Trust Account in order to pay the Company’s franchise and income taxes, of which approximately $121,000 was withdrawn during the three months ended March 31, 2020.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the Investor agreed to loan the Company all funds necessary to pay expenses incurred in connection with and in order to consummate a business combination (the “Business Combination Expenses”) and such loans will be added to the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July 23, 2020 to consummate a Business Combination. There is no assurance that the Company will be able to do so prior to July 23, 2020.</w:t>
      </w:r>
    </w:p>
    <w:p>
      <w:pPr>
        <w:spacing w:after="0" w:line="195" w:lineRule="exact"/>
        <w:rPr>
          <w:sz w:val="20"/>
          <w:szCs w:val="20"/>
          <w:color w:val="auto"/>
        </w:rPr>
      </w:pPr>
    </w:p>
    <w:p>
      <w:pPr>
        <w:ind w:right="6480" w:firstLine="8"/>
        <w:spacing w:after="0" w:line="504" w:lineRule="auto"/>
        <w:tabs>
          <w:tab w:leader="none" w:pos="1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interim results for the three months ended March 31, 2020 are not necessarily indicative of the results to be expected for the year ending December 31, 2020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2020 and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and December 31, 2019, the assets held in the Trust Account were held in money market funds, which are invested in U.S. Treasury securities. Through March 31, 2020, the Company has withdrawn $676,188 of interest from the Trust Account in order to pay the Company’s franchise and income taxes, of which $120,830 was withdrawn during the three months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March 31, 2020 December 31, 2019, there were no unrecognized tax benefits and no amounts accrued for interest and penalties. The Company is currently not aware of any issues under review that could result in significant payments, accruals or material deviation from its position. The effective tax rate of 14% differs from the statutory tax rate of 21% for the three months ended March 31, 2019 primarily due to the non-deductibility of transactional expenses incurred in connection with the search for potential targets for a Business Combination.</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March 31, 2020 and 2019, which are not currently redeemable and are not redeemable at fair value, have been excluded from the calculation of basic net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are contingent upon the occurrence of future events. As a result, diluted loss per common share is the same as basic income per common share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18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6985</wp:posOffset>
            </wp:positionV>
            <wp:extent cx="1534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187,965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(272,387)</w:t>
            </w:r>
          </w:p>
        </w:tc>
      </w:tr>
      <w:tr>
        <w:trPr>
          <w:trHeight w:val="27"/>
        </w:trPr>
        <w:tc>
          <w:tcPr>
            <w:tcW w:w="6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7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(84,422)</w:t>
            </w:r>
          </w:p>
        </w:tc>
      </w:tr>
      <w:tr>
        <w:trPr>
          <w:trHeight w:val="210"/>
        </w:trPr>
        <w:tc>
          <w:tcPr>
            <w:tcW w:w="69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2,844,414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2,725,039</w:t>
            </w:r>
          </w:p>
        </w:tc>
      </w:tr>
      <w:tr>
        <w:trPr>
          <w:trHeight w:val="210"/>
        </w:trPr>
        <w:tc>
          <w:tcPr>
            <w:tcW w:w="69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w:t>
            </w:r>
          </w:p>
        </w:tc>
        <w:tc>
          <w:tcPr>
            <w:tcW w:w="1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r>
      <w:tr>
        <w:trPr>
          <w:trHeight w:val="423"/>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Concentration of credit risk</w:t>
            </w:r>
          </w:p>
        </w:tc>
        <w:tc>
          <w:tcPr>
            <w:tcW w:w="17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302"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3" w:lineRule="exact"/>
        <w:rPr>
          <w:sz w:val="20"/>
          <w:szCs w:val="20"/>
          <w:color w:val="auto"/>
        </w:rPr>
      </w:pPr>
    </w:p>
    <w:p>
      <w:pPr>
        <w:ind w:right="8160" w:firstLine="8"/>
        <w:spacing w:after="0" w:line="504" w:lineRule="auto"/>
        <w:tabs>
          <w:tab w:leader="none" w:pos="1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did not purchase any Public Shares in the Initial Public Offering and excluding the Private Placement Units and the Representative Shares (as defined in Note 8)). As a result of the underwriters’ election to fully exercise their over-allotment option, 225,000 Founder Shares are no longer subject to forfeiture.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March 31, 2020 and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INVESTOR AGREEMENT AND PROMISSORY NOTES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“Initial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“Second Note”) in favor of the Investor in order to pay for part of the third extension payment in the original principal amount of $6,814.</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2019, the Company issued an unsecured promissory note, as amended on March 31, 2020, (the “Third Note” and, together with the Initial Notes and the Second Note, the “Extension Notes”) in favor of the Investor in the aggregate principal amount of $269,667 in order to pay for part of the extension payments. Through December 31, 2019, the Investor loaned the Company an aggregate amount of $118,667 under the Third Note to pay for part of the extension payment in connection with the Extension to November 22, 2019.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the Investor loaned the Company an additional $30,142 under the Third Note to pay for part of the extension through December 22, 2019. In January and February 2020, the Investor loaned the Company an additional $90,427 under the Third Note to pay for part of the extension through March 23,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in connection with the stockholders’ approval of the Extended Date of July 23, 2020, the Investor loaned the Company an additional $5,819 under the Third Note to pay for part of the extension through April 23, 2020. In April 2020, the Investor loaned the Company an additional $5,805 to pay for part of the extension through May 23, 2020.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outstanding balance under the Extension Notes amounted to an aggregate of $1,631,869.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on March 31, 2020, in the original principal amount of $579,676 to pay for Non-Business Combination Related Expenses. Of the amount loaned to the Company, $117,334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AZ Property Partners loaned the Company an additional $30,143 to pay for part of the extension through December 2019. In January and February 2020, AZ Property Partners loaned the Company an aggregate additional amount of $90,427 to pay for part of the extension through March 23, 2020.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in connection with the stockholders’ approval of the Extended Date of July 23, 2020, AZ Property Partners loaned the Company an additional $5,818 to pay for part of the extension through April 23, 2020. In April 2020, AZ Property Partners loaned the Company an additional $5,805 to pay for part of the extension through May 23, 2020.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March 31, 2020, AZ Partners loaned the Company an aggregate amount of $305,065, of which $36,400 was loaned during the three months ended March 31, 2020, to pay for Non-Business Combination 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outstanding balance under promissory note with AZ Partners amounted to $548,787.</w:t>
      </w:r>
    </w:p>
    <w:p>
      <w:pPr>
        <w:spacing w:after="0" w:line="219" w:lineRule="exact"/>
        <w:rPr>
          <w:sz w:val="20"/>
          <w:szCs w:val="20"/>
          <w:color w:val="auto"/>
        </w:rPr>
      </w:pPr>
    </w:p>
    <w:p>
      <w:pPr>
        <w:ind w:right="7700" w:firstLine="8"/>
        <w:spacing w:after="0" w:line="504" w:lineRule="auto"/>
        <w:tabs>
          <w:tab w:leader="none" w:pos="1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Forgiveness of Debt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2020, one of the Company’s service providers forgave certain amounts due to them in connection with previously provided services. As a result, the Company recorded a forgiveness of debt in the amount of $352,071.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March 31, 2020 and December 31, 2019, there were no shares of preferred stock issued or outstanding.</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March 31, 2020 and December 31, 2019, there were 2,716,028 and 2,844,414 shares of common stock issued and outstanding, respectively (excluding -0- and 2,305,335 shares of common stock subject to possible redemption, respectively).</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356"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March 31, 2020 and December 31, 2019, and indicates the fair value hierarchy of the valuation inputs the Company utilized to determine such fair value: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356"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5"/>
              </w:rPr>
              <w:t>March 31,</w:t>
            </w:r>
          </w:p>
        </w:tc>
        <w:tc>
          <w:tcPr>
            <w:tcW w:w="2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720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5"/>
                <w:szCs w:val="15"/>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Level</w:t>
            </w:r>
          </w:p>
        </w:tc>
        <w:tc>
          <w:tcPr>
            <w:tcW w:w="1340" w:type="dxa"/>
            <w:vAlign w:val="bottom"/>
            <w:gridSpan w:val="2"/>
          </w:tcPr>
          <w:p>
            <w:pPr>
              <w:jc w:val="center"/>
              <w:ind w:left="189"/>
              <w:spacing w:after="0"/>
              <w:rPr>
                <w:sz w:val="20"/>
                <w:szCs w:val="20"/>
                <w:color w:val="auto"/>
              </w:rPr>
            </w:pPr>
            <w:r>
              <w:rPr>
                <w:rFonts w:ascii="Arial" w:cs="Arial" w:eastAsia="Arial" w:hAnsi="Arial"/>
                <w:sz w:val="15"/>
                <w:szCs w:val="15"/>
                <w:b w:val="1"/>
                <w:bCs w:val="1"/>
                <w:color w:val="auto"/>
                <w:w w:val="89"/>
              </w:rPr>
              <w:t>2020</w:t>
            </w:r>
          </w:p>
        </w:tc>
        <w:tc>
          <w:tcPr>
            <w:tcW w:w="134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2"/>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center"/>
              <w:ind w:left="169"/>
              <w:spacing w:after="0" w:line="244" w:lineRule="exact"/>
              <w:rPr>
                <w:sz w:val="20"/>
                <w:szCs w:val="20"/>
                <w:color w:val="auto"/>
              </w:rPr>
            </w:pPr>
            <w:r>
              <w:rPr>
                <w:rFonts w:ascii="Arial" w:cs="Arial" w:eastAsia="Arial" w:hAnsi="Arial"/>
                <w:sz w:val="22"/>
                <w:szCs w:val="22"/>
                <w:color w:val="auto"/>
                <w:w w:val="92"/>
              </w:rPr>
              <w:t>$ 6,192,007</w:t>
            </w:r>
          </w:p>
        </w:tc>
        <w:tc>
          <w:tcPr>
            <w:tcW w:w="1480" w:type="dxa"/>
            <w:vAlign w:val="bottom"/>
            <w:gridSpan w:val="3"/>
            <w:shd w:val="clear" w:color="auto" w:fill="CCEEFF"/>
          </w:tcPr>
          <w:p>
            <w:pPr>
              <w:jc w:val="right"/>
              <w:ind w:right="140"/>
              <w:spacing w:after="0" w:line="244" w:lineRule="exact"/>
              <w:rPr>
                <w:sz w:val="20"/>
                <w:szCs w:val="20"/>
                <w:color w:val="auto"/>
              </w:rPr>
            </w:pPr>
            <w:r>
              <w:rPr>
                <w:rFonts w:ascii="Arial" w:cs="Arial" w:eastAsia="Arial" w:hAnsi="Arial"/>
                <w:sz w:val="22"/>
                <w:szCs w:val="22"/>
                <w:color w:val="auto"/>
              </w:rPr>
              <w:t>$32,005,205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Other than as described in the notes to these financial statements,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the extent to which the COVID-19 pandemic impacts our search for a business combination.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30,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23, 2020, our stockholders approved an amendment to our Amended and Restated Certificate of Incorporation to extend the period of time for which we are required to consummate a Business Combination from March 23, 2020 to July 23, 2020. The number of shares of common stock presented for redemption in connection with this extension was 2,433,721. We paid cash in the aggregate amount of $25,997,965, or approximately $10.68 per share, to the redeeming stockholders. We agreed to deposit, or cause to be deposited on our behalf, into the Trust Account $0.02 for each public share outstanding for each 30-day extension period utilized through July 23, 2020. Notwithstanding the foregoing, if the volume weighted average price of the Company's common stock during the 10-day trading period ending on the 3rdday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 In connection with this extension, we deposited an aggregate of $11,637 into the Trust Account to fund the first thirty-day extension through April 23, 2020, which amounts were loaned to us by A/Z Property and Investor. In April 2020, AZ Property Partners and Investors loaned the Company an additional $11,610 to pay for part of the extension through May 23, 2020.</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we received a notice from the Staff stating that we were no longer in compliance with Nasdaq Listing Rule 5550(a)(3) for continued listing due to its failure to maintain a minimum of 300 public holders (the “Rule”). We had until September 23, 2019 to provide Nasdaq with a specific plan to achieve and sustain compliance with the listing requirement. The notice is a notification of deficiency, not of imminent delisting, and has no current effect on the listing or trading of our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we submitted a plan to regain compliance with Nasdaq and requested an extension through February 5, 2020. On October 28, 2019, Nasdaq requested additional information regarding our compliance plan, to which we responded on November 8, 2019. On February 11, 2020, we received a notice from the Staff stating that, based upon our non-compliance with the Rule, the Staff had determined to delist our common stock from Nasdaq unless we timely request a hearing before the Nasdaq Hearings Panel (the “Panel“). We were also notified that as a result of Nasdaq’s determination to delist our common stock, our warrants and rights no longer comply with Nasdaq Listing Rule 5560(a), which requires the underlying securities of such exercisable securities to remain listed on Nasdaq, and our Units no longer comply with Nasdaq Listing Rule 5225(b)(1)(A), which requires all component parts of units to meet the requirements for initial and continued listing, and our units, warrants and rights are now subject to delisting. We requested a hearing, which request automatically stayed any further action by the Staff pending the ultimate conclusion of the hearing process.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25, 2020, we received formal notice from Nasdaq indicating that the Panel the Staff had granted our request for continued listing on Nasdaq. The decision follows our hearing before the Panel, which took place on March 19, 2020. Our continued listing is subject to the satisfaction of a number of conditions, including, ultimately, completion of a business combination with an operating company by no later than August 10, 2020, and the combined entity’s compliance with all applicable criteria for initial listing on Nasdaq at the time of the merger. We failed to meet certain of the conditions contained in the extension grant and have submitted a modified extension request to the Staff. We have not received a response from the Staff as of yet and cannot give assurance that we won't be delisted prior to August 10,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815"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2020, we had a net income of $273,220, which consists of the forgiveness of previously recorded professional fees of $352,071, interest income on securities held in the trust account established for the benefit of our public stockholders (the “Trust Account”) of $113,077, offset by operating expenses of $119,300 and a provision for income taxes of $72,628.</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2019, we had a net income of $187,965, which consists of interest income on securities held in the Trust Account of $382,862, offset by operating costs of $163,181 and provision for income taxes of $31,716.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we had cash and marketable securities held in the Trust Account of $6,192,007 (including approximately $143,000 of interest income) consisting of money market funds. Interest income earned on the balance in the Trust Account may be used by us to pay taxes. To date, we have withdrawn approximately $676,000 of interest from the Trust Account in order to pay our income and franchise taxes, of which approximately $121,000 was withdrawn during the three months ended March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2020, cash used in operating activities amounted to $76,434. Net income of $273,220 was the result of the forgiveness of previously recorded professional fees in the amount of $352,071, interest earned on securities held in the Trust Account of $113,077, offset by changes in operating assets and liabilities, which provided $115,494 of cash for operating activities.</w:t>
      </w:r>
    </w:p>
    <w:p>
      <w:pPr>
        <w:spacing w:after="0" w:line="194" w:lineRule="exact"/>
        <w:rPr>
          <w:sz w:val="20"/>
          <w:szCs w:val="20"/>
          <w:color w:val="auto"/>
        </w:rPr>
      </w:pPr>
    </w:p>
    <w:p>
      <w:pPr>
        <w:jc w:val="both"/>
        <w:spacing w:after="0" w:line="369" w:lineRule="auto"/>
        <w:rPr>
          <w:sz w:val="20"/>
          <w:szCs w:val="20"/>
          <w:color w:val="auto"/>
        </w:rPr>
      </w:pPr>
      <w:r>
        <w:rPr>
          <w:rFonts w:ascii="Arial" w:cs="Arial" w:eastAsia="Arial" w:hAnsi="Arial"/>
          <w:sz w:val="15"/>
          <w:szCs w:val="15"/>
          <w:color w:val="auto"/>
        </w:rPr>
        <w:t>For the three months ended March 31, 2019, cash used in operating activities amounted to $297,696. Net income of $187,965 was the result of interest earned on securities held in the Trust Account of $382,862, offset by changes in operating assets and liabilities, which used $102,799 of cash for operating activities.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2020, A/Z Property has loaned us an aggregate of $548,787 in order to pay our Non-Business Combination Related Expenses and extension payments. Upon consummation of a Business Combination, up to $200,000 of the Non-Business Combination Related Expenses may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Investor has loaned us an aggregate of $1,631,869 in order to fund a portion of the extension payments.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our Sponsor a monthly fee of $10,000 for office space, utilities and administrative support provided to us. We began incurring these fees on November 20, 2017. Effective August 20, 2018, Sponsor agreed to stop charging us the monthly administrative fee.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We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apply the two-class method in calculating earnings per share. Common stock subject to possible redemption which is not currently redeemable and is not redeemable at fair value, has been excluded from the calculation of basic net loss per common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 short-term nature of the investments, we do not believe that there will be an associated material exposure to interest rate risk.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management, with the participation of, our Chief Executive Officer and Chief Financial Officer, carried out an evaluation of the effectiveness of the design and operation of our disclosure controls and procedures as of March 31, 2020. Based upon their evaluation, our Chief Executive Officer and Chief Financial Officer concluded that our disclosure controls and procedures (as defined in Rules 13a-15 (e) and 15d-15 (e) under the Exchange Act) were effective as of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30, 2020.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23, 2020, the Company's stockholders approved to amend its Amended and Restated Certificate of Incorporation to extend the period of time for which the Company is required to consummate a Business Combination to July 23, 2020. The number of shares of common stock presented for redemption in connection with the extension was 2,433,721. The Company paid cash in the aggregate amount of $26.1 million, or approximately $10.71 per share, to redeeming stockholders. For additional information, see Note 1 to the condensed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8"/>
        </w:trPr>
        <w:tc>
          <w:tcPr>
            <w:tcW w:w="340" w:type="dxa"/>
            <w:vAlign w:val="bottom"/>
            <w:shd w:val="clear" w:color="auto" w:fill="CCEEFF"/>
          </w:tcPr>
          <w:p>
            <w:pPr>
              <w:spacing w:after="0"/>
              <w:rPr>
                <w:rFonts w:ascii="Arial" w:cs="Arial" w:eastAsia="Arial" w:hAnsi="Arial"/>
                <w:sz w:val="18"/>
                <w:szCs w:val="18"/>
                <w:u w:val="single" w:color="auto"/>
                <w:color w:val="0000EE"/>
                <w:w w:val="91"/>
              </w:rPr>
            </w:pPr>
            <w:hyperlink w:anchor="page24">
              <w:r>
                <w:rPr>
                  <w:rFonts w:ascii="Arial" w:cs="Arial" w:eastAsia="Arial" w:hAnsi="Arial"/>
                  <w:sz w:val="18"/>
                  <w:szCs w:val="18"/>
                  <w:u w:val="single" w:color="auto"/>
                  <w:color w:val="0000EE"/>
                  <w:w w:val="91"/>
                </w:rPr>
                <w:t>31.1</w:t>
              </w:r>
            </w:hyperlink>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w w:val="88"/>
              </w:rPr>
              <w:t>Certification of Principal Executive Officer Pursuant to Securities Exchange Act Rules 13a-14(a) and 15(d)-14(a), as adopted Pursuant to Section</w:t>
            </w:r>
          </w:p>
        </w:tc>
      </w:tr>
      <w:tr>
        <w:trPr>
          <w:trHeight w:val="224"/>
        </w:trPr>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302 of the Sarbanes-Oxley Act of 2002</w:t>
            </w:r>
          </w:p>
        </w:tc>
      </w:tr>
      <w:tr>
        <w:trPr>
          <w:trHeight w:val="208"/>
        </w:trPr>
        <w:tc>
          <w:tcPr>
            <w:tcW w:w="340" w:type="dxa"/>
            <w:vAlign w:val="bottom"/>
          </w:tcPr>
          <w:p>
            <w:pPr>
              <w:spacing w:after="0"/>
              <w:rPr>
                <w:rFonts w:ascii="Arial" w:cs="Arial" w:eastAsia="Arial" w:hAnsi="Arial"/>
                <w:sz w:val="18"/>
                <w:szCs w:val="18"/>
                <w:u w:val="single" w:color="auto"/>
                <w:color w:val="0000EE"/>
                <w:w w:val="91"/>
              </w:rPr>
            </w:pPr>
            <w:hyperlink w:anchor="page25">
              <w:r>
                <w:rPr>
                  <w:rFonts w:ascii="Arial" w:cs="Arial" w:eastAsia="Arial" w:hAnsi="Arial"/>
                  <w:sz w:val="18"/>
                  <w:szCs w:val="18"/>
                  <w:u w:val="single" w:color="auto"/>
                  <w:color w:val="0000EE"/>
                  <w:w w:val="91"/>
                </w:rPr>
                <w:t>31.2</w:t>
              </w:r>
            </w:hyperlink>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Certification of Principal Financial Officer Pursuant to Securities Exchange Act Rules 13a-14(a) and 15(d)-14(a), as adopted Pursuant to Section</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209"/>
        </w:trPr>
        <w:tc>
          <w:tcPr>
            <w:tcW w:w="340" w:type="dxa"/>
            <w:vAlign w:val="bottom"/>
            <w:shd w:val="clear" w:color="auto" w:fill="CCEEFF"/>
          </w:tcPr>
          <w:p>
            <w:pPr>
              <w:spacing w:after="0"/>
              <w:rPr>
                <w:rFonts w:ascii="Arial" w:cs="Arial" w:eastAsia="Arial" w:hAnsi="Arial"/>
                <w:sz w:val="18"/>
                <w:szCs w:val="18"/>
                <w:u w:val="single" w:color="auto"/>
                <w:color w:val="0000EE"/>
                <w:w w:val="91"/>
              </w:rPr>
            </w:pPr>
            <w:hyperlink w:anchor="page26">
              <w:r>
                <w:rPr>
                  <w:rFonts w:ascii="Arial" w:cs="Arial" w:eastAsia="Arial" w:hAnsi="Arial"/>
                  <w:sz w:val="18"/>
                  <w:szCs w:val="18"/>
                  <w:u w:val="single" w:color="auto"/>
                  <w:color w:val="0000EE"/>
                  <w:w w:val="91"/>
                </w:rPr>
                <w:t>32.1</w:t>
              </w:r>
            </w:hyperlink>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w w:val="90"/>
              </w:rPr>
              <w:t>Certification of Principal Executive Officer Pursuant to 18 U.S.C. Section 1350, as adopted Pursuant to Section 906 of the Sarbanes-Oxley Act</w:t>
            </w:r>
          </w:p>
        </w:tc>
      </w:tr>
      <w:tr>
        <w:trPr>
          <w:trHeight w:val="224"/>
        </w:trPr>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of 2002</w:t>
            </w:r>
          </w:p>
        </w:tc>
      </w:tr>
      <w:tr>
        <w:trPr>
          <w:trHeight w:val="208"/>
        </w:trPr>
        <w:tc>
          <w:tcPr>
            <w:tcW w:w="340" w:type="dxa"/>
            <w:vAlign w:val="bottom"/>
          </w:tcPr>
          <w:p>
            <w:pPr>
              <w:spacing w:after="0"/>
              <w:rPr>
                <w:rFonts w:ascii="Arial" w:cs="Arial" w:eastAsia="Arial" w:hAnsi="Arial"/>
                <w:sz w:val="18"/>
                <w:szCs w:val="18"/>
                <w:u w:val="single" w:color="auto"/>
                <w:color w:val="0000EE"/>
                <w:w w:val="91"/>
              </w:rPr>
            </w:pPr>
            <w:hyperlink w:anchor="page27">
              <w:r>
                <w:rPr>
                  <w:rFonts w:ascii="Arial" w:cs="Arial" w:eastAsia="Arial" w:hAnsi="Arial"/>
                  <w:sz w:val="18"/>
                  <w:szCs w:val="18"/>
                  <w:u w:val="single" w:color="auto"/>
                  <w:color w:val="0000EE"/>
                  <w:w w:val="91"/>
                </w:rPr>
                <w:t>32.2</w:t>
              </w:r>
            </w:hyperlink>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217"/>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040" w:firstLine="8"/>
        <w:spacing w:after="0" w:line="331" w:lineRule="auto"/>
        <w:tabs>
          <w:tab w:leader="none" w:pos="1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6120" w:val="left"/>
          <w:tab w:leader="none" w:pos="668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10795</wp:posOffset>
            </wp:positionV>
            <wp:extent cx="28886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6120" w:val="left"/>
          <w:tab w:leader="none" w:pos="668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10795</wp:posOffset>
            </wp:positionV>
            <wp:extent cx="28886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Title:  Chief Financial Officer, Chief Investment Officer and</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460" w:hanging="452"/>
        <w:spacing w:after="0" w:line="369"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20" w:hanging="201"/>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jc w:val="both"/>
        <w:ind w:left="220" w:hanging="201"/>
        <w:spacing w:after="0" w:line="268"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460" w:hanging="452"/>
        <w:spacing w:after="0" w:line="33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20" w:hanging="201"/>
        <w:spacing w:after="0" w:line="268"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220" w:val="left"/>
          <w:tab w:leader="none" w:pos="678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10795</wp:posOffset>
            </wp:positionV>
            <wp:extent cx="28200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924560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460" w:hanging="452"/>
        <w:spacing w:after="0" w:line="369"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20" w:hanging="201"/>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jc w:val="both"/>
        <w:ind w:left="220" w:hanging="201"/>
        <w:spacing w:after="0" w:line="268"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460" w:hanging="452"/>
        <w:spacing w:after="0" w:line="33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20" w:hanging="201"/>
        <w:spacing w:after="0" w:line="268"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220" w:val="left"/>
          <w:tab w:leader="none" w:pos="678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10795</wp:posOffset>
            </wp:positionV>
            <wp:extent cx="28200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Title: Chief Financial Officer, Chief Investment Officer and</w:t>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March 31,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180" w:val="left"/>
          <w:tab w:leader="none" w:pos="674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March 31,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400" w:val="left"/>
          <w:tab w:leader="none" w:pos="696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10795</wp:posOffset>
            </wp:positionV>
            <wp:extent cx="27089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 Chief Investment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2020-05-15T15:25:03Z</dcterms:created>
  <dcterms:modified xsi:type="dcterms:W3CDTF">2020-05-15T15:25:03Z</dcterms:modified>
</cp:coreProperties>
</file>