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nrxp20260630_10q.htm"/>
      <w:bookmarkStart w:id="1" w:name="ksnrxp20260630_10q"/>
      <w:bookmarkEnd w:id="0"/>
      <w:bookmarkEnd w:id="1"/>
      <w:r>
        <w:rPr/>
        <w:t xml:space="preserve">  </w:t>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u w:val="single"/>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UNITED STATES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(Mark 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 w:hAnsi="Times New Roman"/>
          <w:b/>
          <w:caps w:val="false"/>
          <w:smallCaps w:val="false"/>
          <w:sz w:val="20"/>
        </w:rPr>
        <w:t>QUARTERLY REPORT PURSUANT TO SECTION</w:t>
      </w:r>
      <w:r>
        <w:rPr>
          <w:rFonts w:ascii="Times New Roman" w:hAnsi="Times New Roman"/>
          <w:caps w:val="false"/>
          <w:smallCaps w:val="false"/>
          <w:sz w:val="20"/>
        </w:rPr>
        <w:t> </w:t>
      </w:r>
      <w:r>
        <w:rPr>
          <w:rFonts w:ascii="Times New Roman" w:hAnsi="Times New Roman"/>
          <w:b/>
          <w:caps w:val="false"/>
          <w:smallCaps w:val="false"/>
          <w:sz w:val="20"/>
        </w:rPr>
        <w:t>13 OR 15(d)</w:t>
      </w:r>
      <w:r>
        <w:rPr>
          <w:rFonts w:ascii="Times New Roman" w:hAnsi="Times New Roman"/>
          <w:caps w:val="false"/>
          <w:smallCaps w:val="false"/>
          <w:sz w:val="20"/>
        </w:rPr>
        <w:t> </w:t>
      </w:r>
      <w:r>
        <w:rPr>
          <w:rFonts w:ascii="Times New Roman" w:hAnsi="Times New Roman"/>
          <w:b/>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 the Quarterly Period</w:t>
      </w:r>
      <w:r>
        <w:rPr>
          <w:rFonts w:ascii="Times New Roman" w:hAnsi="Times New Roman"/>
          <w:caps w:val="false"/>
          <w:smallCaps w:val="false"/>
          <w:sz w:val="20"/>
        </w:rPr>
        <w:t> </w:t>
      </w:r>
      <w:r>
        <w:rPr>
          <w:rFonts w:ascii="Times New Roman" w:hAnsi="Times New Roman"/>
          <w:b/>
          <w:caps w:val="false"/>
          <w:smallCaps w:val="false"/>
          <w:sz w:val="20"/>
        </w:rPr>
        <w:t>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 w:hAnsi="Times New Roman"/>
          <w:b/>
          <w:caps w:val="false"/>
          <w:smallCaps w:val="false"/>
          <w:sz w:val="20"/>
        </w:rPr>
        <w:t>TRANSITION REPORT PURSUANT TO SECTION</w:t>
      </w:r>
      <w:r>
        <w:rPr>
          <w:rFonts w:ascii="Times New Roman" w:hAnsi="Times New Roman"/>
          <w:caps w:val="false"/>
          <w:smallCaps w:val="false"/>
          <w:sz w:val="20"/>
        </w:rPr>
        <w:t> </w:t>
      </w:r>
      <w:r>
        <w:rPr>
          <w:rFonts w:ascii="Times New Roman" w:hAnsi="Times New Roman"/>
          <w:b/>
          <w:caps w:val="false"/>
          <w:smallCaps w:val="false"/>
          <w:sz w:val="20"/>
        </w:rPr>
        <w:t>13 OR 15(d)</w:t>
      </w:r>
      <w:r>
        <w:rPr>
          <w:rFonts w:ascii="Times New Roman" w:hAnsi="Times New Roman"/>
          <w:caps w:val="false"/>
          <w:smallCaps w:val="false"/>
          <w:sz w:val="20"/>
        </w:rPr>
        <w:t> </w:t>
      </w:r>
      <w:r>
        <w:rPr>
          <w:rFonts w:ascii="Times New Roman" w:hAnsi="Times New Roman"/>
          <w:b/>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transition period from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Number: 001-38302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NRX PHARMACEUTICALS,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2480"/>
        <w:gridCol w:w="1520"/>
      </w:tblGrid>
      <w:tr>
        <w:trPr/>
        <w:tc>
          <w:tcPr>
            <w:tcW w:w="24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152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82-2844431</w:t>
            </w:r>
          </w:p>
        </w:tc>
      </w:tr>
      <w:tr>
        <w:trPr/>
        <w:tc>
          <w:tcPr>
            <w:tcW w:w="248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w:t>
            </w:r>
          </w:p>
        </w:tc>
        <w:tc>
          <w:tcPr>
            <w:tcW w:w="15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w:t>
            </w:r>
          </w:p>
        </w:tc>
      </w:tr>
      <w:tr>
        <w:trPr/>
        <w:tc>
          <w:tcPr>
            <w:tcW w:w="248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incorporation or organization)</w:t>
            </w:r>
          </w:p>
        </w:tc>
        <w:tc>
          <w:tcPr>
            <w:tcW w:w="15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1201 Orange Street, Suite 600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Wilmington, DE 19801</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(484) 254-6134</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775" w:type="dxa"/>
        <w:jc w:val="left"/>
        <w:tblInd w:w="0" w:type="dxa"/>
        <w:tblLayout w:type="fixed"/>
        <w:tblCellMar>
          <w:top w:w="0" w:type="dxa"/>
          <w:left w:w="0" w:type="dxa"/>
          <w:bottom w:w="28" w:type="dxa"/>
          <w:right w:w="0" w:type="dxa"/>
        </w:tblCellMar>
      </w:tblPr>
      <w:tblGrid>
        <w:gridCol w:w="4040"/>
        <w:gridCol w:w="60"/>
        <w:gridCol w:w="860"/>
        <w:gridCol w:w="60"/>
        <w:gridCol w:w="3755"/>
      </w:tblGrid>
      <w:tr>
        <w:trPr/>
        <w:tc>
          <w:tcPr>
            <w:tcW w:w="404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86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Trading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Symbol(s)</w:t>
            </w:r>
          </w:p>
        </w:tc>
        <w:tc>
          <w:tcPr>
            <w:tcW w:w="60" w:type="dxa"/>
            <w:tcBorders/>
            <w:tcMar>
              <w:bottom w:w="0" w:type="dxa"/>
            </w:tcMar>
            <w:vAlign w:val="center"/>
          </w:tcPr>
          <w:p>
            <w:pPr>
              <w:pStyle w:val="TableContents"/>
              <w:bidi w:val="0"/>
              <w:spacing w:before="0" w:after="283"/>
              <w:jc w:val="left"/>
              <w:rPr/>
            </w:pPr>
            <w:r>
              <w:rPr/>
              <w:t> </w:t>
            </w:r>
          </w:p>
        </w:tc>
        <w:tc>
          <w:tcPr>
            <w:tcW w:w="375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404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par value $0.001 per share</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NRXP</w:t>
            </w:r>
          </w:p>
        </w:tc>
        <w:tc>
          <w:tcPr>
            <w:tcW w:w="60" w:type="dxa"/>
            <w:tcBorders/>
            <w:tcMar>
              <w:bottom w:w="0" w:type="dxa"/>
            </w:tcMar>
            <w:vAlign w:val="center"/>
          </w:tcPr>
          <w:p>
            <w:pPr>
              <w:pStyle w:val="TableContents"/>
              <w:bidi w:val="0"/>
              <w:spacing w:before="0" w:after="283"/>
              <w:jc w:val="left"/>
              <w:rPr/>
            </w:pPr>
            <w:r>
              <w:rPr/>
              <w:t> </w:t>
            </w:r>
          </w:p>
        </w:tc>
        <w:tc>
          <w:tcPr>
            <w:tcW w:w="375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Stock Market LLC</w:t>
            </w:r>
          </w:p>
        </w:tc>
      </w:tr>
      <w:tr>
        <w:trPr/>
        <w:tc>
          <w:tcPr>
            <w:tcW w:w="404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Warrants to purchase one share of Common Stock</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NRXPW</w:t>
            </w:r>
          </w:p>
        </w:tc>
        <w:tc>
          <w:tcPr>
            <w:tcW w:w="60" w:type="dxa"/>
            <w:tcBorders/>
            <w:tcMar>
              <w:bottom w:w="0" w:type="dxa"/>
            </w:tcMar>
            <w:vAlign w:val="center"/>
          </w:tcPr>
          <w:p>
            <w:pPr>
              <w:pStyle w:val="TableContents"/>
              <w:bidi w:val="0"/>
              <w:spacing w:before="0" w:after="283"/>
              <w:jc w:val="left"/>
              <w:rPr/>
            </w:pPr>
            <w:r>
              <w:rPr/>
              <w:t> </w:t>
            </w:r>
          </w:p>
        </w:tc>
        <w:tc>
          <w:tcPr>
            <w:tcW w:w="375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Securities registered pursuant to Section 12(g) of the Act: 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495" w:type="dxa"/>
        <w:jc w:val="left"/>
        <w:tblInd w:w="0" w:type="dxa"/>
        <w:tblLayout w:type="fixed"/>
        <w:tblCellMar>
          <w:top w:w="0" w:type="dxa"/>
          <w:left w:w="0" w:type="dxa"/>
          <w:bottom w:w="0" w:type="dxa"/>
          <w:right w:w="0" w:type="dxa"/>
        </w:tblCellMar>
      </w:tblPr>
      <w:tblGrid>
        <w:gridCol w:w="2045"/>
        <w:gridCol w:w="2450"/>
      </w:tblGrid>
      <w:tr>
        <w:trPr/>
        <w:tc>
          <w:tcPr>
            <w:tcW w:w="204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Large accelerated filer ☐</w:t>
            </w:r>
          </w:p>
        </w:tc>
        <w:tc>
          <w:tcPr>
            <w:tcW w:w="24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Accelerated filer ☐</w:t>
            </w:r>
          </w:p>
        </w:tc>
      </w:tr>
      <w:tr>
        <w:trPr/>
        <w:tc>
          <w:tcPr>
            <w:tcW w:w="204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Non-accelerated filer ☒</w:t>
            </w:r>
          </w:p>
        </w:tc>
        <w:tc>
          <w:tcPr>
            <w:tcW w:w="24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Smaller reporting company ☒</w:t>
            </w:r>
          </w:p>
        </w:tc>
      </w:tr>
      <w:tr>
        <w:trPr/>
        <w:tc>
          <w:tcPr>
            <w:tcW w:w="2045"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Emerging growth company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Exchange Act). Yes ☐ No ☒</w:t>
      </w:r>
    </w:p>
    <w:p>
      <w:pPr>
        <w:pStyle w:val="TextBody"/>
        <w:bidi w:val="0"/>
        <w:spacing w:before="0" w:after="283"/>
        <w:jc w:val="left"/>
        <w:rPr/>
      </w:pPr>
      <w:r>
        <w:rPr/>
        <w:t xml:space="preserve">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of August 14, 2026, the registrant had 43,295,767 shares of common stock, par value $0.001 per share (the “Common Stock”),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pPr>
      <w:r>
        <w:rPr/>
        <w:t> </w:t>
      </w:r>
      <w:bookmarkStart w:id="2" w:name="toc"/>
      <w:bookmarkEnd w:id="2"/>
      <w:r>
        <w:rPr>
          <w:rFonts w:ascii="Times New Roman" w:hAnsi="Times New Roman"/>
          <w:b/>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5"/>
        <w:gridCol w:w="8979"/>
        <w:gridCol w:w="441"/>
      </w:tblGrid>
      <w:tr>
        <w:trPr/>
        <w:tc>
          <w:tcPr>
            <w:tcW w:w="785" w:type="dxa"/>
            <w:tcBorders/>
            <w:vAlign w:val="center"/>
          </w:tcPr>
          <w:p>
            <w:pPr>
              <w:pStyle w:val="TableContents"/>
              <w:bidi w:val="0"/>
              <w:spacing w:before="0" w:after="283"/>
              <w:jc w:val="left"/>
              <w:rPr/>
            </w:pPr>
            <w:r>
              <w:rPr/>
              <w:t> </w:t>
            </w:r>
          </w:p>
        </w:tc>
        <w:tc>
          <w:tcPr>
            <w:tcW w:w="8979" w:type="dxa"/>
            <w:tcBorders/>
            <w:vAlign w:val="center"/>
          </w:tcPr>
          <w:p>
            <w:pPr>
              <w:pStyle w:val="TableContents"/>
              <w:bidi w:val="0"/>
              <w:spacing w:before="0" w:after="283"/>
              <w:jc w:val="left"/>
              <w:rPr/>
            </w:pPr>
            <w:r>
              <w:rPr/>
              <w:t> </w:t>
            </w:r>
          </w:p>
        </w:tc>
        <w:tc>
          <w:tcPr>
            <w:tcW w:w="4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Page</w:t>
            </w:r>
          </w:p>
        </w:tc>
      </w:tr>
      <w:tr>
        <w:trPr/>
        <w:tc>
          <w:tcPr>
            <w:tcW w:w="9764" w:type="dxa"/>
            <w:gridSpan w:val="2"/>
            <w:tcBorders/>
            <w:vAlign w:val="center"/>
          </w:tcPr>
          <w:p>
            <w:pPr>
              <w:pStyle w:val="TableContents"/>
              <w:bidi w:val="0"/>
              <w:spacing w:before="0" w:after="0"/>
              <w:ind w:left="0" w:right="0" w:hanging="0"/>
              <w:jc w:val="left"/>
              <w:rPr/>
            </w:pPr>
            <w:hyperlink w:anchor="part1">
              <w:r>
                <w:rPr>
                  <w:rStyle w:val="InternetLink"/>
                  <w:rFonts w:ascii="Times New Roman" w:hAnsi="Times New Roman"/>
                  <w:b/>
                  <w:caps w:val="false"/>
                  <w:smallCaps w:val="false"/>
                  <w:sz w:val="20"/>
                  <w:u w:val="single"/>
                </w:rPr>
                <w:t>PART I</w:t>
              </w:r>
            </w:hyperlink>
            <w:hyperlink w:anchor="part1">
              <w:r>
                <w:rPr>
                  <w:rStyle w:val="InternetLink"/>
                  <w:rFonts w:ascii="Times New Roman" w:hAnsi="Times New Roman"/>
                  <w:caps w:val="false"/>
                  <w:smallCaps w:val="false"/>
                  <w:sz w:val="20"/>
                  <w:u w:val="single"/>
                </w:rPr>
                <w:t> – </w:t>
              </w:r>
            </w:hyperlink>
            <w:hyperlink w:anchor="part1">
              <w:r>
                <w:rPr>
                  <w:rStyle w:val="InternetLink"/>
                  <w:rFonts w:ascii="Times New Roman" w:hAnsi="Times New Roman"/>
                  <w:b/>
                  <w:caps w:val="false"/>
                  <w:smallCaps w:val="false"/>
                  <w:sz w:val="20"/>
                  <w:u w:val="single"/>
                </w:rPr>
                <w:t xml:space="preserve">FINANCIAL INFORMATION </w:t>
              </w:r>
            </w:hyperlink>
          </w:p>
        </w:tc>
        <w:tc>
          <w:tcPr>
            <w:tcW w:w="441" w:type="dxa"/>
            <w:tcBorders/>
            <w:vAlign w:val="center"/>
          </w:tcPr>
          <w:p>
            <w:pPr>
              <w:pStyle w:val="TableContents"/>
              <w:bidi w:val="0"/>
              <w:spacing w:before="0" w:after="283"/>
              <w:jc w:val="center"/>
              <w:rPr/>
            </w:pPr>
            <w:hyperlink w:anchor="part1">
              <w:r>
                <w:rPr>
                  <w:rStyle w:val="InternetLink"/>
                </w:rPr>
                <w:t>3</w:t>
              </w:r>
            </w:hyperlink>
          </w:p>
        </w:tc>
      </w:tr>
      <w:tr>
        <w:trPr/>
        <w:tc>
          <w:tcPr>
            <w:tcW w:w="7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1.</w:t>
            </w:r>
          </w:p>
        </w:tc>
        <w:tc>
          <w:tcPr>
            <w:tcW w:w="8979" w:type="dxa"/>
            <w:tcBorders/>
            <w:vAlign w:val="center"/>
          </w:tcPr>
          <w:p>
            <w:pPr>
              <w:pStyle w:val="TableContents"/>
              <w:bidi w:val="0"/>
              <w:spacing w:before="0" w:after="0"/>
              <w:ind w:left="0" w:right="0" w:hanging="0"/>
              <w:jc w:val="left"/>
              <w:rPr/>
            </w:pPr>
            <w:hyperlink w:anchor="part1">
              <w:r>
                <w:rPr>
                  <w:rStyle w:val="InternetLink"/>
                  <w:rFonts w:ascii="Times New Roman" w:hAnsi="Times New Roman"/>
                  <w:caps w:val="false"/>
                  <w:smallCaps w:val="false"/>
                  <w:sz w:val="20"/>
                  <w:u w:val="single"/>
                </w:rPr>
                <w:t>Financial Statements</w:t>
              </w:r>
            </w:hyperlink>
          </w:p>
        </w:tc>
        <w:tc>
          <w:tcPr>
            <w:tcW w:w="441" w:type="dxa"/>
            <w:tcBorders/>
            <w:vAlign w:val="center"/>
          </w:tcPr>
          <w:p>
            <w:pPr>
              <w:pStyle w:val="TableContents"/>
              <w:bidi w:val="0"/>
              <w:spacing w:before="0" w:after="283"/>
              <w:jc w:val="center"/>
              <w:rPr/>
            </w:pPr>
            <w:hyperlink w:anchor="part1">
              <w:r>
                <w:rPr>
                  <w:rStyle w:val="InternetLink"/>
                </w:rPr>
                <w:t>3</w:t>
              </w:r>
            </w:hyperlink>
          </w:p>
        </w:tc>
      </w:tr>
      <w:tr>
        <w:trPr/>
        <w:tc>
          <w:tcPr>
            <w:tcW w:w="785" w:type="dxa"/>
            <w:tcBorders/>
            <w:vAlign w:val="center"/>
          </w:tcPr>
          <w:p>
            <w:pPr>
              <w:pStyle w:val="TableContents"/>
              <w:bidi w:val="0"/>
              <w:spacing w:before="0" w:after="283"/>
              <w:jc w:val="left"/>
              <w:rPr/>
            </w:pPr>
            <w:r>
              <w:rPr/>
              <w:t> </w:t>
            </w:r>
          </w:p>
        </w:tc>
        <w:tc>
          <w:tcPr>
            <w:tcW w:w="8979" w:type="dxa"/>
            <w:tcBorders/>
            <w:vAlign w:val="center"/>
          </w:tcPr>
          <w:p>
            <w:pPr>
              <w:pStyle w:val="TableContents"/>
              <w:bidi w:val="0"/>
              <w:spacing w:before="0" w:after="0"/>
              <w:ind w:left="160" w:right="0" w:hanging="160"/>
              <w:jc w:val="left"/>
              <w:rPr/>
            </w:pPr>
            <w:hyperlink w:anchor="part1">
              <w:r>
                <w:rPr>
                  <w:rStyle w:val="InternetLink"/>
                  <w:rFonts w:ascii="Times New Roman" w:hAnsi="Times New Roman"/>
                  <w:caps w:val="false"/>
                  <w:smallCaps w:val="false"/>
                  <w:sz w:val="20"/>
                  <w:u w:val="single"/>
                </w:rPr>
                <w:t>Unaudited Condensed Consolidated Balance Sheets as of June 30, 2026 and December 31, 2025</w:t>
              </w:r>
            </w:hyperlink>
          </w:p>
        </w:tc>
        <w:tc>
          <w:tcPr>
            <w:tcW w:w="441" w:type="dxa"/>
            <w:tcBorders/>
            <w:vAlign w:val="center"/>
          </w:tcPr>
          <w:p>
            <w:pPr>
              <w:pStyle w:val="TableContents"/>
              <w:bidi w:val="0"/>
              <w:spacing w:before="0" w:after="283"/>
              <w:jc w:val="center"/>
              <w:rPr/>
            </w:pPr>
            <w:hyperlink w:anchor="part1">
              <w:r>
                <w:rPr>
                  <w:rStyle w:val="InternetLink"/>
                </w:rPr>
                <w:t>3</w:t>
              </w:r>
            </w:hyperlink>
          </w:p>
        </w:tc>
      </w:tr>
      <w:tr>
        <w:trPr/>
        <w:tc>
          <w:tcPr>
            <w:tcW w:w="785" w:type="dxa"/>
            <w:tcBorders/>
            <w:vAlign w:val="center"/>
          </w:tcPr>
          <w:p>
            <w:pPr>
              <w:pStyle w:val="TableContents"/>
              <w:bidi w:val="0"/>
              <w:spacing w:before="0" w:after="283"/>
              <w:jc w:val="left"/>
              <w:rPr/>
            </w:pPr>
            <w:r>
              <w:rPr/>
              <w:t> </w:t>
            </w:r>
          </w:p>
        </w:tc>
        <w:tc>
          <w:tcPr>
            <w:tcW w:w="8979" w:type="dxa"/>
            <w:tcBorders/>
            <w:vAlign w:val="center"/>
          </w:tcPr>
          <w:p>
            <w:pPr>
              <w:pStyle w:val="TableContents"/>
              <w:bidi w:val="0"/>
              <w:spacing w:before="0" w:after="0"/>
              <w:ind w:left="0" w:right="0" w:hanging="0"/>
              <w:jc w:val="left"/>
              <w:rPr/>
            </w:pPr>
            <w:hyperlink w:anchor="is">
              <w:r>
                <w:rPr>
                  <w:rStyle w:val="InternetLink"/>
                  <w:rFonts w:ascii="Times New Roman" w:hAnsi="Times New Roman"/>
                  <w:caps w:val="false"/>
                  <w:smallCaps w:val="false"/>
                  <w:sz w:val="20"/>
                  <w:u w:val="single"/>
                </w:rPr>
                <w:t>Unaudited Condensed Consolidated Statements of Operations for the three and six months ended June 30, 2026 and 2025</w:t>
              </w:r>
            </w:hyperlink>
          </w:p>
        </w:tc>
        <w:tc>
          <w:tcPr>
            <w:tcW w:w="441" w:type="dxa"/>
            <w:tcBorders/>
            <w:vAlign w:val="center"/>
          </w:tcPr>
          <w:p>
            <w:pPr>
              <w:pStyle w:val="TableContents"/>
              <w:bidi w:val="0"/>
              <w:spacing w:before="0" w:after="283"/>
              <w:jc w:val="center"/>
              <w:rPr/>
            </w:pPr>
            <w:hyperlink w:anchor="is">
              <w:r>
                <w:rPr>
                  <w:rStyle w:val="InternetLink"/>
                </w:rPr>
                <w:t>4</w:t>
              </w:r>
            </w:hyperlink>
          </w:p>
        </w:tc>
      </w:tr>
      <w:tr>
        <w:trPr/>
        <w:tc>
          <w:tcPr>
            <w:tcW w:w="785" w:type="dxa"/>
            <w:tcBorders/>
            <w:vAlign w:val="center"/>
          </w:tcPr>
          <w:p>
            <w:pPr>
              <w:pStyle w:val="TableContents"/>
              <w:bidi w:val="0"/>
              <w:spacing w:before="0" w:after="283"/>
              <w:jc w:val="left"/>
              <w:rPr/>
            </w:pPr>
            <w:r>
              <w:rPr/>
              <w:t> </w:t>
            </w:r>
          </w:p>
        </w:tc>
        <w:tc>
          <w:tcPr>
            <w:tcW w:w="8979" w:type="dxa"/>
            <w:tcBorders/>
            <w:vAlign w:val="center"/>
          </w:tcPr>
          <w:p>
            <w:pPr>
              <w:pStyle w:val="TableContents"/>
              <w:bidi w:val="0"/>
              <w:spacing w:before="0" w:after="0"/>
              <w:ind w:left="0" w:right="0" w:hanging="0"/>
              <w:jc w:val="left"/>
              <w:rPr/>
            </w:pPr>
            <w:hyperlink w:anchor="es">
              <w:r>
                <w:rPr>
                  <w:rStyle w:val="InternetLink"/>
                  <w:rFonts w:ascii="Times New Roman" w:hAnsi="Times New Roman"/>
                  <w:caps w:val="false"/>
                  <w:smallCaps w:val="false"/>
                  <w:sz w:val="20"/>
                  <w:u w:val="single"/>
                </w:rPr>
                <w:t>Unaudited Condensed Consolidated Statements of Changes in Stockholders’ Deficit for the three and six months ended June 30, 2026 and 2025</w:t>
              </w:r>
            </w:hyperlink>
          </w:p>
        </w:tc>
        <w:tc>
          <w:tcPr>
            <w:tcW w:w="441" w:type="dxa"/>
            <w:tcBorders/>
            <w:vAlign w:val="center"/>
          </w:tcPr>
          <w:p>
            <w:pPr>
              <w:pStyle w:val="TableContents"/>
              <w:bidi w:val="0"/>
              <w:spacing w:before="0" w:after="283"/>
              <w:jc w:val="center"/>
              <w:rPr/>
            </w:pPr>
            <w:hyperlink w:anchor="es">
              <w:r>
                <w:rPr>
                  <w:rStyle w:val="InternetLink"/>
                </w:rPr>
                <w:t>5</w:t>
              </w:r>
            </w:hyperlink>
          </w:p>
        </w:tc>
      </w:tr>
      <w:tr>
        <w:trPr/>
        <w:tc>
          <w:tcPr>
            <w:tcW w:w="785" w:type="dxa"/>
            <w:tcBorders/>
            <w:vAlign w:val="center"/>
          </w:tcPr>
          <w:p>
            <w:pPr>
              <w:pStyle w:val="TableContents"/>
              <w:bidi w:val="0"/>
              <w:spacing w:before="0" w:after="283"/>
              <w:jc w:val="left"/>
              <w:rPr/>
            </w:pPr>
            <w:r>
              <w:rPr/>
              <w:t> </w:t>
            </w:r>
          </w:p>
        </w:tc>
        <w:tc>
          <w:tcPr>
            <w:tcW w:w="8979" w:type="dxa"/>
            <w:tcBorders/>
            <w:vAlign w:val="center"/>
          </w:tcPr>
          <w:p>
            <w:pPr>
              <w:pStyle w:val="TableContents"/>
              <w:bidi w:val="0"/>
              <w:spacing w:before="0" w:after="0"/>
              <w:ind w:left="0" w:right="0" w:hanging="0"/>
              <w:jc w:val="left"/>
              <w:rPr/>
            </w:pPr>
            <w:hyperlink w:anchor="cf">
              <w:r>
                <w:rPr>
                  <w:rStyle w:val="InternetLink"/>
                  <w:rFonts w:ascii="Times New Roman" w:hAnsi="Times New Roman"/>
                  <w:caps w:val="false"/>
                  <w:smallCaps w:val="false"/>
                  <w:sz w:val="20"/>
                  <w:u w:val="single"/>
                </w:rPr>
                <w:t>Unaudited Condensed Consolidated Statements of Cash Flows for the six months ended June 30, 2026 and 2025</w:t>
              </w:r>
            </w:hyperlink>
          </w:p>
        </w:tc>
        <w:tc>
          <w:tcPr>
            <w:tcW w:w="441" w:type="dxa"/>
            <w:tcBorders/>
            <w:vAlign w:val="center"/>
          </w:tcPr>
          <w:p>
            <w:pPr>
              <w:pStyle w:val="TableContents"/>
              <w:bidi w:val="0"/>
              <w:spacing w:before="0" w:after="283"/>
              <w:jc w:val="center"/>
              <w:rPr/>
            </w:pPr>
            <w:hyperlink w:anchor="cf">
              <w:r>
                <w:rPr>
                  <w:rStyle w:val="InternetLink"/>
                </w:rPr>
                <w:t>6</w:t>
              </w:r>
            </w:hyperlink>
          </w:p>
        </w:tc>
      </w:tr>
      <w:tr>
        <w:trPr/>
        <w:tc>
          <w:tcPr>
            <w:tcW w:w="785" w:type="dxa"/>
            <w:tcBorders/>
            <w:vAlign w:val="center"/>
          </w:tcPr>
          <w:p>
            <w:pPr>
              <w:pStyle w:val="TableContents"/>
              <w:bidi w:val="0"/>
              <w:spacing w:before="0" w:after="283"/>
              <w:jc w:val="left"/>
              <w:rPr/>
            </w:pPr>
            <w:r>
              <w:rPr/>
              <w:t> </w:t>
            </w:r>
          </w:p>
        </w:tc>
        <w:tc>
          <w:tcPr>
            <w:tcW w:w="8979" w:type="dxa"/>
            <w:tcBorders/>
            <w:vAlign w:val="center"/>
          </w:tcPr>
          <w:p>
            <w:pPr>
              <w:pStyle w:val="TableContents"/>
              <w:bidi w:val="0"/>
              <w:spacing w:before="0" w:after="0"/>
              <w:ind w:left="0" w:right="0" w:hanging="0"/>
              <w:jc w:val="left"/>
              <w:rPr/>
            </w:pPr>
            <w:hyperlink w:anchor="notes">
              <w:r>
                <w:rPr>
                  <w:rStyle w:val="InternetLink"/>
                  <w:rFonts w:ascii="Times New Roman" w:hAnsi="Times New Roman"/>
                  <w:caps w:val="false"/>
                  <w:smallCaps w:val="false"/>
                  <w:sz w:val="20"/>
                  <w:u w:val="single"/>
                </w:rPr>
                <w:t>Notes to Unaudited Condensed Consolidated Financial Statements</w:t>
              </w:r>
            </w:hyperlink>
          </w:p>
        </w:tc>
        <w:tc>
          <w:tcPr>
            <w:tcW w:w="441" w:type="dxa"/>
            <w:tcBorders/>
            <w:vAlign w:val="center"/>
          </w:tcPr>
          <w:p>
            <w:pPr>
              <w:pStyle w:val="TableContents"/>
              <w:bidi w:val="0"/>
              <w:spacing w:before="0" w:after="283"/>
              <w:jc w:val="center"/>
              <w:rPr/>
            </w:pPr>
            <w:hyperlink w:anchor="notes">
              <w:r>
                <w:rPr>
                  <w:rStyle w:val="InternetLink"/>
                </w:rPr>
                <w:t>7</w:t>
              </w:r>
            </w:hyperlink>
          </w:p>
        </w:tc>
      </w:tr>
      <w:tr>
        <w:trPr/>
        <w:tc>
          <w:tcPr>
            <w:tcW w:w="7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2.</w:t>
            </w:r>
          </w:p>
        </w:tc>
        <w:tc>
          <w:tcPr>
            <w:tcW w:w="8979" w:type="dxa"/>
            <w:tcBorders/>
            <w:vAlign w:val="center"/>
          </w:tcPr>
          <w:p>
            <w:pPr>
              <w:pStyle w:val="TableContents"/>
              <w:bidi w:val="0"/>
              <w:spacing w:before="0" w:after="0"/>
              <w:ind w:left="0" w:right="0" w:hanging="0"/>
              <w:jc w:val="left"/>
              <w:rPr/>
            </w:pPr>
            <w:hyperlink w:anchor="mda">
              <w:r>
                <w:rPr>
                  <w:rStyle w:val="InternetLink"/>
                  <w:rFonts w:ascii="Times New Roman" w:hAnsi="Times New Roman"/>
                  <w:caps w:val="false"/>
                  <w:smallCaps w:val="false"/>
                  <w:sz w:val="20"/>
                  <w:u w:val="single"/>
                </w:rPr>
                <w:t>Management’s Discussion and Analysis of Financial Condition and Results of Operations</w:t>
              </w:r>
            </w:hyperlink>
          </w:p>
        </w:tc>
        <w:tc>
          <w:tcPr>
            <w:tcW w:w="441" w:type="dxa"/>
            <w:tcBorders/>
            <w:vAlign w:val="center"/>
          </w:tcPr>
          <w:p>
            <w:pPr>
              <w:pStyle w:val="TableContents"/>
              <w:bidi w:val="0"/>
              <w:spacing w:before="0" w:after="283"/>
              <w:jc w:val="center"/>
              <w:rPr/>
            </w:pPr>
            <w:hyperlink w:anchor="mda">
              <w:r>
                <w:rPr>
                  <w:rStyle w:val="InternetLink"/>
                </w:rPr>
                <w:t>38</w:t>
              </w:r>
            </w:hyperlink>
          </w:p>
        </w:tc>
      </w:tr>
      <w:tr>
        <w:trPr/>
        <w:tc>
          <w:tcPr>
            <w:tcW w:w="7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3.</w:t>
            </w:r>
          </w:p>
        </w:tc>
        <w:tc>
          <w:tcPr>
            <w:tcW w:w="8979" w:type="dxa"/>
            <w:tcBorders/>
            <w:vAlign w:val="center"/>
          </w:tcPr>
          <w:p>
            <w:pPr>
              <w:pStyle w:val="TableContents"/>
              <w:bidi w:val="0"/>
              <w:spacing w:before="0" w:after="0"/>
              <w:ind w:left="0" w:right="0" w:hanging="0"/>
              <w:jc w:val="left"/>
              <w:rPr/>
            </w:pPr>
            <w:hyperlink w:anchor="qqd">
              <w:r>
                <w:rPr>
                  <w:rStyle w:val="InternetLink"/>
                  <w:rFonts w:ascii="Times New Roman" w:hAnsi="Times New Roman"/>
                  <w:caps w:val="false"/>
                  <w:smallCaps w:val="false"/>
                  <w:sz w:val="20"/>
                  <w:u w:val="single"/>
                </w:rPr>
                <w:t>Quantitative and Qualitative Disclosures about Market Risk</w:t>
              </w:r>
            </w:hyperlink>
          </w:p>
        </w:tc>
        <w:tc>
          <w:tcPr>
            <w:tcW w:w="441" w:type="dxa"/>
            <w:tcBorders/>
            <w:vAlign w:val="center"/>
          </w:tcPr>
          <w:p>
            <w:pPr>
              <w:pStyle w:val="TableContents"/>
              <w:bidi w:val="0"/>
              <w:spacing w:before="0" w:after="283"/>
              <w:jc w:val="center"/>
              <w:rPr/>
            </w:pPr>
            <w:hyperlink w:anchor="qqd">
              <w:r>
                <w:rPr>
                  <w:rStyle w:val="InternetLink"/>
                </w:rPr>
                <w:t>52</w:t>
              </w:r>
            </w:hyperlink>
          </w:p>
        </w:tc>
      </w:tr>
      <w:tr>
        <w:trPr/>
        <w:tc>
          <w:tcPr>
            <w:tcW w:w="7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4.</w:t>
            </w:r>
          </w:p>
        </w:tc>
        <w:tc>
          <w:tcPr>
            <w:tcW w:w="8979" w:type="dxa"/>
            <w:tcBorders/>
            <w:vAlign w:val="center"/>
          </w:tcPr>
          <w:p>
            <w:pPr>
              <w:pStyle w:val="TableContents"/>
              <w:bidi w:val="0"/>
              <w:spacing w:before="0" w:after="0"/>
              <w:ind w:left="0" w:right="0" w:hanging="0"/>
              <w:jc w:val="left"/>
              <w:rPr/>
            </w:pPr>
            <w:hyperlink w:anchor="cp">
              <w:r>
                <w:rPr>
                  <w:rStyle w:val="InternetLink"/>
                  <w:rFonts w:ascii="Times New Roman" w:hAnsi="Times New Roman"/>
                  <w:caps w:val="false"/>
                  <w:smallCaps w:val="false"/>
                  <w:sz w:val="20"/>
                  <w:u w:val="single"/>
                </w:rPr>
                <w:t>Controls and Procedures</w:t>
              </w:r>
            </w:hyperlink>
          </w:p>
        </w:tc>
        <w:tc>
          <w:tcPr>
            <w:tcW w:w="441" w:type="dxa"/>
            <w:tcBorders/>
            <w:vAlign w:val="center"/>
          </w:tcPr>
          <w:p>
            <w:pPr>
              <w:pStyle w:val="TableContents"/>
              <w:bidi w:val="0"/>
              <w:spacing w:before="0" w:after="283"/>
              <w:jc w:val="center"/>
              <w:rPr/>
            </w:pPr>
            <w:hyperlink w:anchor="cp">
              <w:r>
                <w:rPr>
                  <w:rStyle w:val="InternetLink"/>
                </w:rPr>
                <w:t>52</w:t>
              </w:r>
            </w:hyperlink>
          </w:p>
        </w:tc>
      </w:tr>
      <w:tr>
        <w:trPr/>
        <w:tc>
          <w:tcPr>
            <w:tcW w:w="785" w:type="dxa"/>
            <w:tcBorders/>
            <w:vAlign w:val="center"/>
          </w:tcPr>
          <w:p>
            <w:pPr>
              <w:pStyle w:val="TableContents"/>
              <w:bidi w:val="0"/>
              <w:spacing w:before="0" w:after="283"/>
              <w:jc w:val="left"/>
              <w:rPr/>
            </w:pPr>
            <w:r>
              <w:rPr/>
              <w:t> </w:t>
            </w:r>
          </w:p>
        </w:tc>
        <w:tc>
          <w:tcPr>
            <w:tcW w:w="8979"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r>
      <w:tr>
        <w:trPr/>
        <w:tc>
          <w:tcPr>
            <w:tcW w:w="9764" w:type="dxa"/>
            <w:gridSpan w:val="2"/>
            <w:tcBorders/>
            <w:vAlign w:val="center"/>
          </w:tcPr>
          <w:p>
            <w:pPr>
              <w:pStyle w:val="TableContents"/>
              <w:bidi w:val="0"/>
              <w:spacing w:before="0" w:after="0"/>
              <w:ind w:left="0" w:right="0" w:hanging="0"/>
              <w:jc w:val="left"/>
              <w:rPr/>
            </w:pPr>
            <w:hyperlink w:anchor="part2">
              <w:r>
                <w:rPr>
                  <w:rStyle w:val="InternetLink"/>
                  <w:rFonts w:ascii="Times New Roman" w:hAnsi="Times New Roman"/>
                  <w:b/>
                  <w:caps w:val="false"/>
                  <w:smallCaps w:val="false"/>
                  <w:sz w:val="20"/>
                  <w:u w:val="single"/>
                </w:rPr>
                <w:t>PART II</w:t>
              </w:r>
            </w:hyperlink>
            <w:hyperlink w:anchor="part2">
              <w:r>
                <w:rPr>
                  <w:rStyle w:val="InternetLink"/>
                  <w:rFonts w:ascii="Times New Roman" w:hAnsi="Times New Roman"/>
                  <w:caps w:val="false"/>
                  <w:smallCaps w:val="false"/>
                  <w:sz w:val="20"/>
                  <w:u w:val="single"/>
                </w:rPr>
                <w:t> – </w:t>
              </w:r>
            </w:hyperlink>
            <w:hyperlink w:anchor="part2">
              <w:r>
                <w:rPr>
                  <w:rStyle w:val="InternetLink"/>
                  <w:rFonts w:ascii="Times New Roman" w:hAnsi="Times New Roman"/>
                  <w:b/>
                  <w:caps w:val="false"/>
                  <w:smallCaps w:val="false"/>
                  <w:sz w:val="20"/>
                  <w:u w:val="single"/>
                </w:rPr>
                <w:t>OTHER INFORMATION</w:t>
              </w:r>
            </w:hyperlink>
          </w:p>
        </w:tc>
        <w:tc>
          <w:tcPr>
            <w:tcW w:w="441" w:type="dxa"/>
            <w:tcBorders/>
            <w:vAlign w:val="center"/>
          </w:tcPr>
          <w:p>
            <w:pPr>
              <w:pStyle w:val="TableContents"/>
              <w:bidi w:val="0"/>
              <w:spacing w:before="0" w:after="283"/>
              <w:jc w:val="center"/>
              <w:rPr/>
            </w:pPr>
            <w:hyperlink w:anchor="part2">
              <w:r>
                <w:rPr>
                  <w:rStyle w:val="InternetLink"/>
                </w:rPr>
                <w:t>53</w:t>
              </w:r>
            </w:hyperlink>
          </w:p>
        </w:tc>
      </w:tr>
      <w:tr>
        <w:trPr/>
        <w:tc>
          <w:tcPr>
            <w:tcW w:w="7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1.</w:t>
            </w:r>
          </w:p>
        </w:tc>
        <w:tc>
          <w:tcPr>
            <w:tcW w:w="8979" w:type="dxa"/>
            <w:tcBorders/>
            <w:vAlign w:val="center"/>
          </w:tcPr>
          <w:p>
            <w:pPr>
              <w:pStyle w:val="TableContents"/>
              <w:bidi w:val="0"/>
              <w:spacing w:before="0" w:after="0"/>
              <w:ind w:left="0" w:right="0" w:hanging="0"/>
              <w:jc w:val="left"/>
              <w:rPr/>
            </w:pPr>
            <w:hyperlink w:anchor="lp">
              <w:r>
                <w:rPr>
                  <w:rStyle w:val="InternetLink"/>
                  <w:rFonts w:ascii="Times New Roman" w:hAnsi="Times New Roman"/>
                  <w:caps w:val="false"/>
                  <w:smallCaps w:val="false"/>
                  <w:sz w:val="20"/>
                  <w:u w:val="single"/>
                </w:rPr>
                <w:t>Legal Proceedings</w:t>
              </w:r>
            </w:hyperlink>
          </w:p>
        </w:tc>
        <w:tc>
          <w:tcPr>
            <w:tcW w:w="441" w:type="dxa"/>
            <w:tcBorders/>
            <w:vAlign w:val="center"/>
          </w:tcPr>
          <w:p>
            <w:pPr>
              <w:pStyle w:val="TableContents"/>
              <w:bidi w:val="0"/>
              <w:spacing w:before="0" w:after="283"/>
              <w:jc w:val="center"/>
              <w:rPr/>
            </w:pPr>
            <w:hyperlink w:anchor="lp">
              <w:r>
                <w:rPr>
                  <w:rStyle w:val="InternetLink"/>
                </w:rPr>
                <w:t>53</w:t>
              </w:r>
            </w:hyperlink>
          </w:p>
        </w:tc>
      </w:tr>
      <w:tr>
        <w:trPr/>
        <w:tc>
          <w:tcPr>
            <w:tcW w:w="7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1A.</w:t>
            </w:r>
          </w:p>
        </w:tc>
        <w:tc>
          <w:tcPr>
            <w:tcW w:w="8979" w:type="dxa"/>
            <w:tcBorders/>
            <w:vAlign w:val="center"/>
          </w:tcPr>
          <w:p>
            <w:pPr>
              <w:pStyle w:val="TableContents"/>
              <w:bidi w:val="0"/>
              <w:spacing w:before="0" w:after="0"/>
              <w:ind w:left="0" w:right="0" w:hanging="0"/>
              <w:jc w:val="left"/>
              <w:rPr/>
            </w:pPr>
            <w:hyperlink w:anchor="rf">
              <w:r>
                <w:rPr>
                  <w:rStyle w:val="InternetLink"/>
                  <w:rFonts w:ascii="Times New Roman" w:hAnsi="Times New Roman"/>
                  <w:caps w:val="false"/>
                  <w:smallCaps w:val="false"/>
                  <w:sz w:val="20"/>
                  <w:u w:val="single"/>
                </w:rPr>
                <w:t>Risk Factors</w:t>
              </w:r>
            </w:hyperlink>
          </w:p>
        </w:tc>
        <w:tc>
          <w:tcPr>
            <w:tcW w:w="441" w:type="dxa"/>
            <w:tcBorders/>
            <w:vAlign w:val="center"/>
          </w:tcPr>
          <w:p>
            <w:pPr>
              <w:pStyle w:val="TableContents"/>
              <w:bidi w:val="0"/>
              <w:spacing w:before="0" w:after="283"/>
              <w:jc w:val="center"/>
              <w:rPr/>
            </w:pPr>
            <w:hyperlink w:anchor="rf">
              <w:r>
                <w:rPr>
                  <w:rStyle w:val="InternetLink"/>
                </w:rPr>
                <w:t>53</w:t>
              </w:r>
            </w:hyperlink>
          </w:p>
        </w:tc>
      </w:tr>
      <w:tr>
        <w:trPr/>
        <w:tc>
          <w:tcPr>
            <w:tcW w:w="7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2.</w:t>
            </w:r>
          </w:p>
        </w:tc>
        <w:tc>
          <w:tcPr>
            <w:tcW w:w="8979" w:type="dxa"/>
            <w:tcBorders/>
            <w:vAlign w:val="center"/>
          </w:tcPr>
          <w:p>
            <w:pPr>
              <w:pStyle w:val="TableContents"/>
              <w:bidi w:val="0"/>
              <w:spacing w:before="0" w:after="0"/>
              <w:ind w:left="0" w:right="0" w:hanging="0"/>
              <w:jc w:val="left"/>
              <w:rPr/>
            </w:pPr>
            <w:hyperlink w:anchor="uses">
              <w:r>
                <w:rPr>
                  <w:rStyle w:val="InternetLink"/>
                  <w:rFonts w:ascii="Times New Roman" w:hAnsi="Times New Roman"/>
                  <w:caps w:val="false"/>
                  <w:smallCaps w:val="false"/>
                  <w:sz w:val="20"/>
                  <w:u w:val="single"/>
                </w:rPr>
                <w:t>Unregistered Sales of Equity Securities and Use of Proceeds</w:t>
              </w:r>
            </w:hyperlink>
          </w:p>
        </w:tc>
        <w:tc>
          <w:tcPr>
            <w:tcW w:w="441" w:type="dxa"/>
            <w:tcBorders/>
            <w:vAlign w:val="center"/>
          </w:tcPr>
          <w:p>
            <w:pPr>
              <w:pStyle w:val="TableContents"/>
              <w:bidi w:val="0"/>
              <w:spacing w:before="0" w:after="283"/>
              <w:jc w:val="center"/>
              <w:rPr/>
            </w:pPr>
            <w:hyperlink w:anchor="uses">
              <w:r>
                <w:rPr>
                  <w:rStyle w:val="InternetLink"/>
                </w:rPr>
                <w:t>53</w:t>
              </w:r>
            </w:hyperlink>
          </w:p>
        </w:tc>
      </w:tr>
      <w:tr>
        <w:trPr/>
        <w:tc>
          <w:tcPr>
            <w:tcW w:w="7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3.</w:t>
            </w:r>
          </w:p>
        </w:tc>
        <w:tc>
          <w:tcPr>
            <w:tcW w:w="8979" w:type="dxa"/>
            <w:tcBorders/>
            <w:vAlign w:val="center"/>
          </w:tcPr>
          <w:p>
            <w:pPr>
              <w:pStyle w:val="TableContents"/>
              <w:bidi w:val="0"/>
              <w:spacing w:before="0" w:after="0"/>
              <w:ind w:left="0" w:right="0" w:hanging="0"/>
              <w:jc w:val="left"/>
              <w:rPr/>
            </w:pPr>
            <w:hyperlink w:anchor="duss">
              <w:r>
                <w:rPr>
                  <w:rStyle w:val="InternetLink"/>
                  <w:rFonts w:ascii="Times New Roman" w:hAnsi="Times New Roman"/>
                  <w:caps w:val="false"/>
                  <w:smallCaps w:val="false"/>
                  <w:sz w:val="20"/>
                  <w:u w:val="single"/>
                </w:rPr>
                <w:t>Defaults Upon Senior Securities</w:t>
              </w:r>
            </w:hyperlink>
          </w:p>
        </w:tc>
        <w:tc>
          <w:tcPr>
            <w:tcW w:w="441" w:type="dxa"/>
            <w:tcBorders/>
            <w:vAlign w:val="center"/>
          </w:tcPr>
          <w:p>
            <w:pPr>
              <w:pStyle w:val="TableContents"/>
              <w:bidi w:val="0"/>
              <w:spacing w:before="0" w:after="283"/>
              <w:jc w:val="center"/>
              <w:rPr/>
            </w:pPr>
            <w:hyperlink w:anchor="duss">
              <w:r>
                <w:rPr>
                  <w:rStyle w:val="InternetLink"/>
                </w:rPr>
                <w:t>53</w:t>
              </w:r>
            </w:hyperlink>
          </w:p>
        </w:tc>
      </w:tr>
      <w:tr>
        <w:trPr/>
        <w:tc>
          <w:tcPr>
            <w:tcW w:w="7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4.</w:t>
            </w:r>
          </w:p>
        </w:tc>
        <w:tc>
          <w:tcPr>
            <w:tcW w:w="8979" w:type="dxa"/>
            <w:tcBorders/>
            <w:vAlign w:val="center"/>
          </w:tcPr>
          <w:p>
            <w:pPr>
              <w:pStyle w:val="TableContents"/>
              <w:bidi w:val="0"/>
              <w:spacing w:before="0" w:after="0"/>
              <w:ind w:left="0" w:right="0" w:hanging="0"/>
              <w:jc w:val="left"/>
              <w:rPr/>
            </w:pPr>
            <w:hyperlink w:anchor="msd">
              <w:r>
                <w:rPr>
                  <w:rStyle w:val="InternetLink"/>
                  <w:rFonts w:ascii="Times New Roman" w:hAnsi="Times New Roman"/>
                  <w:caps w:val="false"/>
                  <w:smallCaps w:val="false"/>
                  <w:sz w:val="20"/>
                  <w:u w:val="single"/>
                </w:rPr>
                <w:t>Mine Safety Disclosures</w:t>
              </w:r>
            </w:hyperlink>
          </w:p>
        </w:tc>
        <w:tc>
          <w:tcPr>
            <w:tcW w:w="441" w:type="dxa"/>
            <w:tcBorders/>
            <w:vAlign w:val="center"/>
          </w:tcPr>
          <w:p>
            <w:pPr>
              <w:pStyle w:val="TableContents"/>
              <w:bidi w:val="0"/>
              <w:spacing w:before="0" w:after="283"/>
              <w:jc w:val="center"/>
              <w:rPr/>
            </w:pPr>
            <w:hyperlink w:anchor="msd">
              <w:r>
                <w:rPr>
                  <w:rStyle w:val="InternetLink"/>
                </w:rPr>
                <w:t>53</w:t>
              </w:r>
            </w:hyperlink>
          </w:p>
        </w:tc>
      </w:tr>
      <w:tr>
        <w:trPr/>
        <w:tc>
          <w:tcPr>
            <w:tcW w:w="7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5.</w:t>
            </w:r>
          </w:p>
        </w:tc>
        <w:tc>
          <w:tcPr>
            <w:tcW w:w="8979" w:type="dxa"/>
            <w:tcBorders/>
            <w:vAlign w:val="center"/>
          </w:tcPr>
          <w:p>
            <w:pPr>
              <w:pStyle w:val="TableContents"/>
              <w:bidi w:val="0"/>
              <w:spacing w:before="0" w:after="0"/>
              <w:ind w:left="0" w:right="0" w:hanging="0"/>
              <w:jc w:val="left"/>
              <w:rPr/>
            </w:pPr>
            <w:hyperlink w:anchor="oi">
              <w:r>
                <w:rPr>
                  <w:rStyle w:val="InternetLink"/>
                  <w:rFonts w:ascii="Times New Roman" w:hAnsi="Times New Roman"/>
                  <w:caps w:val="false"/>
                  <w:smallCaps w:val="false"/>
                  <w:sz w:val="20"/>
                  <w:u w:val="single"/>
                </w:rPr>
                <w:t>Other Information</w:t>
              </w:r>
            </w:hyperlink>
          </w:p>
        </w:tc>
        <w:tc>
          <w:tcPr>
            <w:tcW w:w="441" w:type="dxa"/>
            <w:tcBorders/>
            <w:vAlign w:val="center"/>
          </w:tcPr>
          <w:p>
            <w:pPr>
              <w:pStyle w:val="TableContents"/>
              <w:bidi w:val="0"/>
              <w:spacing w:before="0" w:after="283"/>
              <w:jc w:val="center"/>
              <w:rPr/>
            </w:pPr>
            <w:hyperlink w:anchor="oi">
              <w:r>
                <w:rPr>
                  <w:rStyle w:val="InternetLink"/>
                </w:rPr>
                <w:t>53</w:t>
              </w:r>
            </w:hyperlink>
          </w:p>
        </w:tc>
      </w:tr>
      <w:tr>
        <w:trPr/>
        <w:tc>
          <w:tcPr>
            <w:tcW w:w="7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6.</w:t>
            </w:r>
          </w:p>
        </w:tc>
        <w:tc>
          <w:tcPr>
            <w:tcW w:w="8979" w:type="dxa"/>
            <w:tcBorders/>
            <w:vAlign w:val="center"/>
          </w:tcPr>
          <w:p>
            <w:pPr>
              <w:pStyle w:val="TableContents"/>
              <w:bidi w:val="0"/>
              <w:spacing w:before="0" w:after="0"/>
              <w:ind w:left="0" w:right="0" w:hanging="0"/>
              <w:jc w:val="left"/>
              <w:rPr/>
            </w:pPr>
            <w:hyperlink w:anchor="ex">
              <w:r>
                <w:rPr>
                  <w:rStyle w:val="InternetLink"/>
                  <w:rFonts w:ascii="Times New Roman" w:hAnsi="Times New Roman"/>
                  <w:caps w:val="false"/>
                  <w:smallCaps w:val="false"/>
                  <w:sz w:val="20"/>
                  <w:u w:val="single"/>
                </w:rPr>
                <w:t>Exhibits</w:t>
              </w:r>
            </w:hyperlink>
          </w:p>
        </w:tc>
        <w:tc>
          <w:tcPr>
            <w:tcW w:w="441" w:type="dxa"/>
            <w:tcBorders/>
            <w:vAlign w:val="center"/>
          </w:tcPr>
          <w:p>
            <w:pPr>
              <w:pStyle w:val="TableContents"/>
              <w:bidi w:val="0"/>
              <w:spacing w:before="0" w:after="283"/>
              <w:jc w:val="center"/>
              <w:rPr/>
            </w:pPr>
            <w:hyperlink w:anchor="ex">
              <w:r>
                <w:rPr>
                  <w:rStyle w:val="InternetLink"/>
                </w:rPr>
                <w:t>54</w:t>
              </w:r>
            </w:hyperlink>
          </w:p>
        </w:tc>
      </w:tr>
      <w:tr>
        <w:trPr/>
        <w:tc>
          <w:tcPr>
            <w:tcW w:w="785" w:type="dxa"/>
            <w:tcBorders/>
            <w:vAlign w:val="center"/>
          </w:tcPr>
          <w:p>
            <w:pPr>
              <w:pStyle w:val="TableContents"/>
              <w:bidi w:val="0"/>
              <w:spacing w:before="0" w:after="283"/>
              <w:jc w:val="left"/>
              <w:rPr/>
            </w:pPr>
            <w:r>
              <w:rPr/>
              <w:t> </w:t>
            </w:r>
          </w:p>
        </w:tc>
        <w:tc>
          <w:tcPr>
            <w:tcW w:w="8979"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r>
      <w:tr>
        <w:trPr/>
        <w:tc>
          <w:tcPr>
            <w:tcW w:w="9764" w:type="dxa"/>
            <w:gridSpan w:val="2"/>
            <w:tcBorders/>
            <w:vAlign w:val="center"/>
          </w:tcPr>
          <w:p>
            <w:pPr>
              <w:pStyle w:val="TableContents"/>
              <w:bidi w:val="0"/>
              <w:spacing w:before="0" w:after="0"/>
              <w:ind w:left="0" w:right="0" w:hanging="0"/>
              <w:jc w:val="left"/>
              <w:rPr/>
            </w:pPr>
            <w:hyperlink w:anchor="sigs">
              <w:r>
                <w:rPr>
                  <w:rStyle w:val="InternetLink"/>
                  <w:rFonts w:ascii="Times New Roman" w:hAnsi="Times New Roman"/>
                  <w:b/>
                  <w:caps w:val="false"/>
                  <w:smallCaps w:val="false"/>
                  <w:sz w:val="20"/>
                  <w:u w:val="single"/>
                </w:rPr>
                <w:t>SIGNATURES</w:t>
              </w:r>
            </w:hyperlink>
          </w:p>
        </w:tc>
        <w:tc>
          <w:tcPr>
            <w:tcW w:w="441" w:type="dxa"/>
            <w:tcBorders/>
            <w:vAlign w:val="center"/>
          </w:tcPr>
          <w:p>
            <w:pPr>
              <w:pStyle w:val="TableContents"/>
              <w:bidi w:val="0"/>
              <w:spacing w:before="0" w:after="283"/>
              <w:jc w:val="center"/>
              <w:rPr/>
            </w:pPr>
            <w:hyperlink w:anchor="sigs">
              <w:r>
                <w:rPr>
                  <w:rStyle w:val="InternetLink"/>
                </w:rPr>
                <w:t>55</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3" w:name="part1"/>
      <w:bookmarkEnd w:id="3"/>
      <w:r>
        <w:rPr>
          <w:rFonts w:ascii="Times New Roman" w:hAnsi="Times New Roman"/>
          <w:b/>
          <w:caps w:val="false"/>
          <w:smallCaps w:val="false"/>
          <w:sz w:val="20"/>
        </w:rPr>
        <w:t>PART I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1. Financial Statements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NRX PHARMACEUTICALS,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BALANCE SHEETS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70"/>
        <w:gridCol w:w="60"/>
        <w:gridCol w:w="131"/>
        <w:gridCol w:w="801"/>
        <w:gridCol w:w="80"/>
        <w:gridCol w:w="60"/>
        <w:gridCol w:w="144"/>
        <w:gridCol w:w="876"/>
        <w:gridCol w:w="83"/>
      </w:tblGrid>
      <w:tr>
        <w:trPr/>
        <w:tc>
          <w:tcPr>
            <w:tcW w:w="7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32"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83" w:type="dxa"/>
            <w:tcBorders/>
            <w:vAlign w:val="center"/>
          </w:tcPr>
          <w:p>
            <w:pPr>
              <w:pStyle w:val="TableContents"/>
              <w:bidi w:val="0"/>
              <w:spacing w:before="0" w:after="283"/>
              <w:jc w:val="left"/>
              <w:rPr/>
            </w:pPr>
            <w:r>
              <w:rPr/>
              <w:t> </w:t>
            </w:r>
          </w:p>
        </w:tc>
      </w:tr>
      <w:tr>
        <w:trPr/>
        <w:tc>
          <w:tcPr>
            <w:tcW w:w="7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3" w:type="dxa"/>
            <w:tcBorders/>
            <w:vAlign w:val="center"/>
          </w:tcPr>
          <w:p>
            <w:pPr>
              <w:pStyle w:val="TableContents"/>
              <w:bidi w:val="0"/>
              <w:spacing w:before="0" w:after="283"/>
              <w:jc w:val="left"/>
              <w:rPr/>
            </w:pPr>
            <w:r>
              <w:rPr/>
              <w:t> </w:t>
            </w:r>
          </w:p>
        </w:tc>
      </w:tr>
      <w:tr>
        <w:trPr/>
        <w:tc>
          <w:tcPr>
            <w:tcW w:w="7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32"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876" w:type="dxa"/>
            <w:tcBorders/>
            <w:vAlign w:val="center"/>
          </w:tcPr>
          <w:p>
            <w:pPr>
              <w:pStyle w:val="TableContents"/>
              <w:bidi w:val="0"/>
              <w:spacing w:before="0" w:after="283"/>
              <w:jc w:val="center"/>
              <w:rPr/>
            </w:pPr>
            <w:r>
              <w:rPr/>
              <w:t> </w:t>
            </w:r>
          </w:p>
        </w:tc>
        <w:tc>
          <w:tcPr>
            <w:tcW w:w="83" w:type="dxa"/>
            <w:tcBorders/>
            <w:vAlign w:val="center"/>
          </w:tcPr>
          <w:p>
            <w:pPr>
              <w:pStyle w:val="TableContents"/>
              <w:bidi w:val="0"/>
              <w:spacing w:before="0" w:after="283"/>
              <w:jc w:val="left"/>
              <w:rPr/>
            </w:pPr>
            <w:r>
              <w:rPr/>
              <w:t> </w:t>
            </w:r>
          </w:p>
        </w:tc>
      </w:tr>
      <w:tr>
        <w:trPr/>
        <w:tc>
          <w:tcPr>
            <w:tcW w:w="7970" w:type="dxa"/>
            <w:tcBorders/>
            <w:shd w:fill="CCEE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center"/>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9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9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7,797</w:t>
            </w:r>
          </w:p>
        </w:tc>
        <w:tc>
          <w:tcPr>
            <w:tcW w:w="83" w:type="dxa"/>
            <w:tcBorders/>
            <w:shd w:fill="CCEEFF" w:val="clear"/>
            <w:vAlign w:val="center"/>
          </w:tcPr>
          <w:p>
            <w:pPr>
              <w:pStyle w:val="TableContents"/>
              <w:bidi w:val="0"/>
              <w:spacing w:before="0" w:after="283"/>
              <w:jc w:val="left"/>
              <w:rPr/>
            </w:pPr>
            <w:r>
              <w:rPr/>
              <w:t> </w:t>
            </w:r>
          </w:p>
        </w:tc>
      </w:tr>
      <w:tr>
        <w:trPr/>
        <w:tc>
          <w:tcPr>
            <w:tcW w:w="79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net</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w:t>
            </w:r>
          </w:p>
        </w:tc>
        <w:tc>
          <w:tcPr>
            <w:tcW w:w="83" w:type="dxa"/>
            <w:tcBorders/>
            <w:shd w:fill="FFFFFF" w:val="clear"/>
            <w:vAlign w:val="center"/>
          </w:tcPr>
          <w:p>
            <w:pPr>
              <w:pStyle w:val="TableContents"/>
              <w:bidi w:val="0"/>
              <w:spacing w:before="0" w:after="283"/>
              <w:jc w:val="left"/>
              <w:rPr/>
            </w:pPr>
            <w:r>
              <w:rPr/>
              <w:t> </w:t>
            </w:r>
          </w:p>
        </w:tc>
      </w:tr>
      <w:tr>
        <w:trPr/>
        <w:tc>
          <w:tcPr>
            <w:tcW w:w="79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 and other current assets</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934</w:t>
            </w:r>
          </w:p>
        </w:tc>
        <w:tc>
          <w:tcPr>
            <w:tcW w:w="83" w:type="dxa"/>
            <w:tcBorders/>
            <w:shd w:fill="CCEEFF" w:val="clear"/>
            <w:vAlign w:val="center"/>
          </w:tcPr>
          <w:p>
            <w:pPr>
              <w:pStyle w:val="TableContents"/>
              <w:bidi w:val="0"/>
              <w:spacing w:before="0" w:after="283"/>
              <w:jc w:val="left"/>
              <w:rPr/>
            </w:pPr>
            <w:r>
              <w:rPr/>
              <w:t> </w:t>
            </w:r>
          </w:p>
        </w:tc>
      </w:tr>
      <w:tr>
        <w:trPr/>
        <w:tc>
          <w:tcPr>
            <w:tcW w:w="797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8,892</w:t>
            </w:r>
          </w:p>
        </w:tc>
        <w:tc>
          <w:tcPr>
            <w:tcW w:w="83" w:type="dxa"/>
            <w:tcBorders/>
            <w:shd w:fill="FFFFFF" w:val="clear"/>
            <w:vAlign w:val="center"/>
          </w:tcPr>
          <w:p>
            <w:pPr>
              <w:pStyle w:val="TableContents"/>
              <w:bidi w:val="0"/>
              <w:spacing w:before="0" w:after="283"/>
              <w:jc w:val="left"/>
              <w:rPr/>
            </w:pPr>
            <w:r>
              <w:rPr/>
              <w:t> </w:t>
            </w:r>
          </w:p>
        </w:tc>
      </w:tr>
      <w:tr>
        <w:trPr/>
        <w:tc>
          <w:tcPr>
            <w:tcW w:w="79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8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w:t>
            </w:r>
          </w:p>
        </w:tc>
        <w:tc>
          <w:tcPr>
            <w:tcW w:w="83" w:type="dxa"/>
            <w:tcBorders/>
            <w:shd w:fill="CCEEFF" w:val="clear"/>
            <w:vAlign w:val="center"/>
          </w:tcPr>
          <w:p>
            <w:pPr>
              <w:pStyle w:val="TableContents"/>
              <w:bidi w:val="0"/>
              <w:spacing w:before="0" w:after="283"/>
              <w:jc w:val="left"/>
              <w:rPr/>
            </w:pPr>
            <w:r>
              <w:rPr/>
              <w:t> </w:t>
            </w:r>
          </w:p>
        </w:tc>
      </w:tr>
      <w:tr>
        <w:trPr/>
        <w:tc>
          <w:tcPr>
            <w:tcW w:w="79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net</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w:t>
            </w:r>
          </w:p>
        </w:tc>
        <w:tc>
          <w:tcPr>
            <w:tcW w:w="83" w:type="dxa"/>
            <w:tcBorders/>
            <w:shd w:fill="FFFFFF" w:val="clear"/>
            <w:vAlign w:val="center"/>
          </w:tcPr>
          <w:p>
            <w:pPr>
              <w:pStyle w:val="TableContents"/>
              <w:bidi w:val="0"/>
              <w:spacing w:before="0" w:after="283"/>
              <w:jc w:val="left"/>
              <w:rPr/>
            </w:pPr>
            <w:r>
              <w:rPr/>
              <w:t> </w:t>
            </w:r>
          </w:p>
        </w:tc>
      </w:tr>
      <w:tr>
        <w:trPr/>
        <w:tc>
          <w:tcPr>
            <w:tcW w:w="79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Right-of-use assets, net</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8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w:t>
            </w:r>
          </w:p>
        </w:tc>
        <w:tc>
          <w:tcPr>
            <w:tcW w:w="83" w:type="dxa"/>
            <w:tcBorders/>
            <w:shd w:fill="CCEEFF" w:val="clear"/>
            <w:vAlign w:val="center"/>
          </w:tcPr>
          <w:p>
            <w:pPr>
              <w:pStyle w:val="TableContents"/>
              <w:bidi w:val="0"/>
              <w:spacing w:before="0" w:after="283"/>
              <w:jc w:val="left"/>
              <w:rPr/>
            </w:pPr>
            <w:r>
              <w:rPr/>
              <w:t> </w:t>
            </w:r>
          </w:p>
        </w:tc>
      </w:tr>
      <w:tr>
        <w:trPr/>
        <w:tc>
          <w:tcPr>
            <w:tcW w:w="79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Right-of-use asset - related party, net</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w:t>
            </w:r>
          </w:p>
        </w:tc>
        <w:tc>
          <w:tcPr>
            <w:tcW w:w="83" w:type="dxa"/>
            <w:tcBorders/>
            <w:shd w:fill="FFFFFF" w:val="clear"/>
            <w:vAlign w:val="center"/>
          </w:tcPr>
          <w:p>
            <w:pPr>
              <w:pStyle w:val="TableContents"/>
              <w:bidi w:val="0"/>
              <w:spacing w:before="0" w:after="283"/>
              <w:jc w:val="left"/>
              <w:rPr/>
            </w:pPr>
            <w:r>
              <w:rPr/>
              <w:t> </w:t>
            </w:r>
          </w:p>
        </w:tc>
      </w:tr>
      <w:tr>
        <w:trPr/>
        <w:tc>
          <w:tcPr>
            <w:tcW w:w="79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 net (provisional)</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8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925</w:t>
            </w:r>
          </w:p>
        </w:tc>
        <w:tc>
          <w:tcPr>
            <w:tcW w:w="83" w:type="dxa"/>
            <w:tcBorders/>
            <w:shd w:fill="CCEEFF" w:val="clear"/>
            <w:vAlign w:val="center"/>
          </w:tcPr>
          <w:p>
            <w:pPr>
              <w:pStyle w:val="TableContents"/>
              <w:bidi w:val="0"/>
              <w:spacing w:before="0" w:after="283"/>
              <w:jc w:val="left"/>
              <w:rPr/>
            </w:pPr>
            <w:r>
              <w:rPr/>
              <w:t> </w:t>
            </w:r>
          </w:p>
        </w:tc>
      </w:tr>
      <w:tr>
        <w:trPr/>
        <w:tc>
          <w:tcPr>
            <w:tcW w:w="79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 (provisional)</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1,793</w:t>
            </w:r>
          </w:p>
        </w:tc>
        <w:tc>
          <w:tcPr>
            <w:tcW w:w="83" w:type="dxa"/>
            <w:tcBorders/>
            <w:shd w:fill="FFFFFF" w:val="clear"/>
            <w:vAlign w:val="center"/>
          </w:tcPr>
          <w:p>
            <w:pPr>
              <w:pStyle w:val="TableContents"/>
              <w:bidi w:val="0"/>
              <w:spacing w:before="0" w:after="283"/>
              <w:jc w:val="left"/>
              <w:rPr/>
            </w:pPr>
            <w:r>
              <w:rPr/>
              <w:t> </w:t>
            </w:r>
          </w:p>
        </w:tc>
      </w:tr>
      <w:tr>
        <w:trPr/>
        <w:tc>
          <w:tcPr>
            <w:tcW w:w="79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w:t>
            </w:r>
          </w:p>
        </w:tc>
        <w:tc>
          <w:tcPr>
            <w:tcW w:w="83" w:type="dxa"/>
            <w:tcBorders/>
            <w:shd w:fill="CCEEFF" w:val="clear"/>
            <w:vAlign w:val="center"/>
          </w:tcPr>
          <w:p>
            <w:pPr>
              <w:pStyle w:val="TableContents"/>
              <w:bidi w:val="0"/>
              <w:spacing w:before="0" w:after="283"/>
              <w:jc w:val="left"/>
              <w:rPr/>
            </w:pPr>
            <w:r>
              <w:rPr/>
              <w:t> </w:t>
            </w:r>
          </w:p>
        </w:tc>
      </w:tr>
      <w:tr>
        <w:trPr/>
        <w:tc>
          <w:tcPr>
            <w:tcW w:w="797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12,956</w:t>
            </w:r>
          </w:p>
        </w:tc>
        <w:tc>
          <w:tcPr>
            <w:tcW w:w="83" w:type="dxa"/>
            <w:tcBorders/>
            <w:shd w:fill="FFFFFF" w:val="clear"/>
            <w:vAlign w:val="center"/>
          </w:tcPr>
          <w:p>
            <w:pPr>
              <w:pStyle w:val="TableContents"/>
              <w:bidi w:val="0"/>
              <w:spacing w:before="0" w:after="283"/>
              <w:jc w:val="left"/>
              <w:rPr/>
            </w:pPr>
            <w:r>
              <w:rPr/>
              <w:t> </w:t>
            </w:r>
          </w:p>
        </w:tc>
      </w:tr>
      <w:tr>
        <w:trPr/>
        <w:tc>
          <w:tcPr>
            <w:tcW w:w="797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b/>
                <w:caps w:val="false"/>
                <w:smallCaps w:val="false"/>
                <w:sz w:val="20"/>
              </w:rPr>
              <w:t>LIABILITIES AND STOCKHOLDERS</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DEFICIT</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center"/>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9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9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4,270</w:t>
            </w:r>
          </w:p>
        </w:tc>
        <w:tc>
          <w:tcPr>
            <w:tcW w:w="83" w:type="dxa"/>
            <w:tcBorders/>
            <w:shd w:fill="CCEEFF" w:val="clear"/>
            <w:vAlign w:val="center"/>
          </w:tcPr>
          <w:p>
            <w:pPr>
              <w:pStyle w:val="TableContents"/>
              <w:bidi w:val="0"/>
              <w:spacing w:before="0" w:after="283"/>
              <w:jc w:val="left"/>
              <w:rPr/>
            </w:pPr>
            <w:r>
              <w:rPr/>
              <w:t> </w:t>
            </w:r>
          </w:p>
        </w:tc>
      </w:tr>
      <w:tr>
        <w:trPr/>
        <w:tc>
          <w:tcPr>
            <w:tcW w:w="79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and other current liabilities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11,337</w:t>
            </w:r>
          </w:p>
        </w:tc>
        <w:tc>
          <w:tcPr>
            <w:tcW w:w="83" w:type="dxa"/>
            <w:tcBorders/>
            <w:shd w:fill="FFFFFF" w:val="clear"/>
            <w:vAlign w:val="center"/>
          </w:tcPr>
          <w:p>
            <w:pPr>
              <w:pStyle w:val="TableContents"/>
              <w:bidi w:val="0"/>
              <w:spacing w:before="0" w:after="283"/>
              <w:jc w:val="left"/>
              <w:rPr/>
            </w:pPr>
            <w:r>
              <w:rPr/>
              <w:t> </w:t>
            </w:r>
          </w:p>
        </w:tc>
      </w:tr>
      <w:tr>
        <w:trPr/>
        <w:tc>
          <w:tcPr>
            <w:tcW w:w="79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clinical site costs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8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w:t>
            </w:r>
          </w:p>
        </w:tc>
        <w:tc>
          <w:tcPr>
            <w:tcW w:w="83" w:type="dxa"/>
            <w:tcBorders/>
            <w:shd w:fill="CCEEFF" w:val="clear"/>
            <w:vAlign w:val="center"/>
          </w:tcPr>
          <w:p>
            <w:pPr>
              <w:pStyle w:val="TableContents"/>
              <w:bidi w:val="0"/>
              <w:spacing w:before="0" w:after="283"/>
              <w:jc w:val="left"/>
              <w:rPr/>
            </w:pPr>
            <w:r>
              <w:rPr/>
              <w:t> </w:t>
            </w:r>
          </w:p>
        </w:tc>
      </w:tr>
      <w:tr>
        <w:trPr/>
        <w:tc>
          <w:tcPr>
            <w:tcW w:w="79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Insurance loan payable</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76" w:type="dxa"/>
            <w:tcBorders/>
            <w:shd w:fill="FFFFFF" w:val="clear"/>
            <w:vAlign w:val="center"/>
          </w:tcPr>
          <w:p>
            <w:pPr>
              <w:pStyle w:val="TableContents"/>
              <w:bidi w:val="0"/>
              <w:spacing w:before="0" w:after="283"/>
              <w:ind w:left="0" w:right="0" w:hanging="0"/>
              <w:jc w:val="right"/>
              <w:rPr/>
            </w:pPr>
            <w:r>
              <w:rPr/>
              <w:t>—</w:t>
            </w:r>
          </w:p>
        </w:tc>
        <w:tc>
          <w:tcPr>
            <w:tcW w:w="83" w:type="dxa"/>
            <w:tcBorders/>
            <w:shd w:fill="FFFFFF" w:val="clear"/>
            <w:vAlign w:val="center"/>
          </w:tcPr>
          <w:p>
            <w:pPr>
              <w:pStyle w:val="TableContents"/>
              <w:bidi w:val="0"/>
              <w:spacing w:before="0" w:after="283"/>
              <w:jc w:val="left"/>
              <w:rPr/>
            </w:pPr>
            <w:r>
              <w:rPr/>
              <w:t> </w:t>
            </w:r>
          </w:p>
        </w:tc>
      </w:tr>
      <w:tr>
        <w:trPr/>
        <w:tc>
          <w:tcPr>
            <w:tcW w:w="79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 liabilities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8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12,304</w:t>
            </w:r>
          </w:p>
        </w:tc>
        <w:tc>
          <w:tcPr>
            <w:tcW w:w="83" w:type="dxa"/>
            <w:tcBorders/>
            <w:shd w:fill="CCEEFF" w:val="clear"/>
            <w:vAlign w:val="center"/>
          </w:tcPr>
          <w:p>
            <w:pPr>
              <w:pStyle w:val="TableContents"/>
              <w:bidi w:val="0"/>
              <w:spacing w:before="0" w:after="283"/>
              <w:jc w:val="left"/>
              <w:rPr/>
            </w:pPr>
            <w:r>
              <w:rPr/>
              <w:t> </w:t>
            </w:r>
          </w:p>
        </w:tc>
      </w:tr>
      <w:tr>
        <w:trPr/>
        <w:tc>
          <w:tcPr>
            <w:tcW w:w="79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liability, short term</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w:t>
            </w:r>
          </w:p>
        </w:tc>
        <w:tc>
          <w:tcPr>
            <w:tcW w:w="83" w:type="dxa"/>
            <w:tcBorders/>
            <w:shd w:fill="FFFFFF" w:val="clear"/>
            <w:vAlign w:val="center"/>
          </w:tcPr>
          <w:p>
            <w:pPr>
              <w:pStyle w:val="TableContents"/>
              <w:bidi w:val="0"/>
              <w:spacing w:before="0" w:after="283"/>
              <w:jc w:val="left"/>
              <w:rPr/>
            </w:pPr>
            <w:r>
              <w:rPr/>
              <w:t> </w:t>
            </w:r>
          </w:p>
        </w:tc>
      </w:tr>
      <w:tr>
        <w:trPr/>
        <w:tc>
          <w:tcPr>
            <w:tcW w:w="79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liability, short term - related party</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w:t>
            </w:r>
          </w:p>
        </w:tc>
        <w:tc>
          <w:tcPr>
            <w:tcW w:w="83" w:type="dxa"/>
            <w:tcBorders/>
            <w:shd w:fill="CCEEFF" w:val="clear"/>
            <w:vAlign w:val="center"/>
          </w:tcPr>
          <w:p>
            <w:pPr>
              <w:pStyle w:val="TableContents"/>
              <w:bidi w:val="0"/>
              <w:spacing w:before="0" w:after="283"/>
              <w:jc w:val="left"/>
              <w:rPr/>
            </w:pPr>
            <w:r>
              <w:rPr/>
              <w:t> </w:t>
            </w:r>
          </w:p>
        </w:tc>
      </w:tr>
      <w:tr>
        <w:trPr/>
        <w:tc>
          <w:tcPr>
            <w:tcW w:w="797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33,874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28,578</w:t>
            </w:r>
          </w:p>
        </w:tc>
        <w:tc>
          <w:tcPr>
            <w:tcW w:w="83" w:type="dxa"/>
            <w:tcBorders/>
            <w:shd w:fill="FFFFFF" w:val="clear"/>
            <w:vAlign w:val="center"/>
          </w:tcPr>
          <w:p>
            <w:pPr>
              <w:pStyle w:val="TableContents"/>
              <w:bidi w:val="0"/>
              <w:spacing w:before="0" w:after="283"/>
              <w:jc w:val="left"/>
              <w:rPr/>
            </w:pPr>
            <w:r>
              <w:rPr/>
              <w:t> </w:t>
            </w:r>
          </w:p>
        </w:tc>
      </w:tr>
      <w:tr>
        <w:trPr/>
        <w:tc>
          <w:tcPr>
            <w:tcW w:w="79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liability, noncurrent</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8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w:t>
            </w:r>
          </w:p>
        </w:tc>
        <w:tc>
          <w:tcPr>
            <w:tcW w:w="83" w:type="dxa"/>
            <w:tcBorders/>
            <w:shd w:fill="CCEEFF" w:val="clear"/>
            <w:vAlign w:val="center"/>
          </w:tcPr>
          <w:p>
            <w:pPr>
              <w:pStyle w:val="TableContents"/>
              <w:bidi w:val="0"/>
              <w:spacing w:before="0" w:after="283"/>
              <w:jc w:val="left"/>
              <w:rPr/>
            </w:pPr>
            <w:r>
              <w:rPr/>
              <w:t> </w:t>
            </w:r>
          </w:p>
        </w:tc>
      </w:tr>
      <w:tr>
        <w:trPr/>
        <w:tc>
          <w:tcPr>
            <w:tcW w:w="79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liability, noncurrent - related party</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w:t>
            </w:r>
          </w:p>
        </w:tc>
        <w:tc>
          <w:tcPr>
            <w:tcW w:w="83" w:type="dxa"/>
            <w:tcBorders/>
            <w:shd w:fill="FFFFFF" w:val="clear"/>
            <w:vAlign w:val="center"/>
          </w:tcPr>
          <w:p>
            <w:pPr>
              <w:pStyle w:val="TableContents"/>
              <w:bidi w:val="0"/>
              <w:spacing w:before="0" w:after="283"/>
              <w:jc w:val="left"/>
              <w:rPr/>
            </w:pPr>
            <w:r>
              <w:rPr/>
              <w:t> </w:t>
            </w:r>
          </w:p>
        </w:tc>
      </w:tr>
      <w:tr>
        <w:trPr/>
        <w:tc>
          <w:tcPr>
            <w:tcW w:w="797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28,893</w:t>
            </w:r>
          </w:p>
        </w:tc>
        <w:tc>
          <w:tcPr>
            <w:tcW w:w="83" w:type="dxa"/>
            <w:tcBorders/>
            <w:shd w:fill="CCEEFF" w:val="clear"/>
            <w:vAlign w:val="center"/>
          </w:tcPr>
          <w:p>
            <w:pPr>
              <w:pStyle w:val="TableContents"/>
              <w:bidi w:val="0"/>
              <w:spacing w:before="0" w:after="283"/>
              <w:jc w:val="left"/>
              <w:rPr/>
            </w:pPr>
            <w:r>
              <w:rPr/>
              <w:t> </w:t>
            </w:r>
          </w:p>
        </w:tc>
      </w:tr>
      <w:tr>
        <w:trPr/>
        <w:tc>
          <w:tcPr>
            <w:tcW w:w="7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9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Commitments and Contingencies (Note 10)</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9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Stockholders’ deficit:</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9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Preferred stock, $0.001 par value, 50,000,000 shares authorized.</w:t>
            </w:r>
          </w:p>
        </w:tc>
        <w:tc>
          <w:tcPr>
            <w:tcW w:w="60" w:type="dxa"/>
            <w:tcBorders/>
            <w:shd w:fill="FFFFFF" w:val="clear"/>
            <w:vAlign w:val="center"/>
          </w:tcPr>
          <w:p>
            <w:pPr>
              <w:pStyle w:val="TableContents"/>
              <w:bidi w:val="0"/>
              <w:spacing w:before="0" w:after="283"/>
              <w:ind w:left="0" w:right="0" w:hanging="0"/>
              <w:jc w:val="left"/>
              <w:rPr/>
            </w:pPr>
            <w:r>
              <w:rPr/>
              <w:t> </w:t>
            </w:r>
          </w:p>
        </w:tc>
        <w:tc>
          <w:tcPr>
            <w:tcW w:w="13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tcBorders/>
            <w:shd w:fill="FFFFFF" w:val="clear"/>
            <w:vAlign w:val="center"/>
          </w:tcPr>
          <w:p>
            <w:pPr>
              <w:pStyle w:val="TableContents"/>
              <w:bidi w:val="0"/>
              <w:spacing w:before="0" w:after="283"/>
              <w:ind w:left="0" w:right="0" w:hanging="0"/>
              <w:jc w:val="right"/>
              <w:rPr/>
            </w:pPr>
            <w:r>
              <w:rPr/>
              <w:t>—</w:t>
            </w:r>
          </w:p>
        </w:tc>
        <w:tc>
          <w:tcPr>
            <w:tcW w:w="83" w:type="dxa"/>
            <w:tcBorders/>
            <w:shd w:fill="FFFFFF" w:val="clear"/>
            <w:vAlign w:val="center"/>
          </w:tcPr>
          <w:p>
            <w:pPr>
              <w:pStyle w:val="TableContents"/>
              <w:bidi w:val="0"/>
              <w:spacing w:before="0" w:after="283"/>
              <w:jc w:val="left"/>
              <w:rPr/>
            </w:pPr>
            <w:r>
              <w:rPr/>
              <w:t> </w:t>
            </w:r>
          </w:p>
        </w:tc>
      </w:tr>
      <w:tr>
        <w:trPr/>
        <w:tc>
          <w:tcPr>
            <w:tcW w:w="79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Series A convertible preferred stock, $0.001 par value, 12,000,000 shares authorized; 0 shares issued and outstanding as of June 30, 2026 and December 31, 2025</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876" w:type="dxa"/>
            <w:tcBorders/>
            <w:shd w:fill="CCEEFF" w:val="clear"/>
            <w:vAlign w:val="center"/>
          </w:tcPr>
          <w:p>
            <w:pPr>
              <w:pStyle w:val="TableContents"/>
              <w:bidi w:val="0"/>
              <w:spacing w:before="0" w:after="283"/>
              <w:ind w:left="0" w:right="0" w:hanging="0"/>
              <w:jc w:val="right"/>
              <w:rPr/>
            </w:pPr>
            <w:r>
              <w:rPr/>
              <w:t>—</w:t>
            </w:r>
          </w:p>
        </w:tc>
        <w:tc>
          <w:tcPr>
            <w:tcW w:w="83" w:type="dxa"/>
            <w:tcBorders/>
            <w:shd w:fill="CCEEFF" w:val="clear"/>
            <w:vAlign w:val="center"/>
          </w:tcPr>
          <w:p>
            <w:pPr>
              <w:pStyle w:val="TableContents"/>
              <w:bidi w:val="0"/>
              <w:spacing w:before="0" w:after="283"/>
              <w:jc w:val="left"/>
              <w:rPr/>
            </w:pPr>
            <w:r>
              <w:rPr/>
              <w:t> </w:t>
            </w:r>
          </w:p>
        </w:tc>
      </w:tr>
      <w:tr>
        <w:trPr/>
        <w:tc>
          <w:tcPr>
            <w:tcW w:w="79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$0.001 par value, 500,000,000 shares authorized; 43,157,744 and 31,734,333 shares issued and outstanding as of June 30, 2026 and December 31, 2025, respectively</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83" w:type="dxa"/>
            <w:tcBorders/>
            <w:shd w:fill="FFFFFF" w:val="clear"/>
            <w:vAlign w:val="center"/>
          </w:tcPr>
          <w:p>
            <w:pPr>
              <w:pStyle w:val="TableContents"/>
              <w:bidi w:val="0"/>
              <w:spacing w:before="0" w:after="283"/>
              <w:jc w:val="left"/>
              <w:rPr/>
            </w:pPr>
            <w:r>
              <w:rPr/>
              <w:t> </w:t>
            </w:r>
          </w:p>
        </w:tc>
      </w:tr>
      <w:tr>
        <w:trPr/>
        <w:tc>
          <w:tcPr>
            <w:tcW w:w="79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324,632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8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290,926</w:t>
            </w:r>
          </w:p>
        </w:tc>
        <w:tc>
          <w:tcPr>
            <w:tcW w:w="83" w:type="dxa"/>
            <w:tcBorders/>
            <w:shd w:fill="CCEEFF" w:val="clear"/>
            <w:vAlign w:val="center"/>
          </w:tcPr>
          <w:p>
            <w:pPr>
              <w:pStyle w:val="TableContents"/>
              <w:bidi w:val="0"/>
              <w:spacing w:before="0" w:after="283"/>
              <w:jc w:val="left"/>
              <w:rPr/>
            </w:pPr>
            <w:r>
              <w:rPr/>
              <w:t> </w:t>
            </w:r>
          </w:p>
        </w:tc>
      </w:tr>
      <w:tr>
        <w:trPr/>
        <w:tc>
          <w:tcPr>
            <w:tcW w:w="79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deficit</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(324,845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(306,895</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97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stockholders’ deficit</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(15,937</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97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and stockholders' deficit</w:t>
            </w:r>
          </w:p>
        </w:tc>
        <w:tc>
          <w:tcPr>
            <w:tcW w:w="60" w:type="dxa"/>
            <w:tcBorders/>
            <w:shd w:fill="FFFF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12,956</w:t>
            </w:r>
          </w:p>
        </w:tc>
        <w:tc>
          <w:tcPr>
            <w:tcW w:w="8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4" w:name="is"/>
      <w:bookmarkEnd w:id="4"/>
      <w:r>
        <w:rPr>
          <w:rFonts w:ascii="Times New Roman" w:hAnsi="Times New Roman"/>
          <w:b/>
          <w:caps w:val="false"/>
          <w:smallCaps w:val="false"/>
          <w:sz w:val="20"/>
        </w:rPr>
        <w:t>NRX PHARMACEUTICALS,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OPERATIONS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 and per share data)</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9139" w:type="dxa"/>
        <w:jc w:val="left"/>
        <w:tblInd w:w="0" w:type="dxa"/>
        <w:tblLayout w:type="fixed"/>
        <w:tblCellMar>
          <w:top w:w="0" w:type="dxa"/>
          <w:left w:w="0" w:type="dxa"/>
          <w:bottom w:w="0" w:type="dxa"/>
          <w:right w:w="0" w:type="dxa"/>
        </w:tblCellMar>
      </w:tblPr>
      <w:tblGrid>
        <w:gridCol w:w="4025"/>
        <w:gridCol w:w="60"/>
        <w:gridCol w:w="138"/>
        <w:gridCol w:w="1053"/>
        <w:gridCol w:w="88"/>
        <w:gridCol w:w="66"/>
        <w:gridCol w:w="138"/>
        <w:gridCol w:w="1053"/>
        <w:gridCol w:w="80"/>
        <w:gridCol w:w="60"/>
        <w:gridCol w:w="125"/>
        <w:gridCol w:w="954"/>
        <w:gridCol w:w="80"/>
        <w:gridCol w:w="60"/>
        <w:gridCol w:w="125"/>
        <w:gridCol w:w="954"/>
        <w:gridCol w:w="80"/>
      </w:tblGrid>
      <w:tr>
        <w:trPr/>
        <w:tc>
          <w:tcPr>
            <w:tcW w:w="4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3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9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80" w:type="dxa"/>
            <w:tcBorders/>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8"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ind w:left="0" w:right="0" w:hanging="0"/>
              <w:jc w:val="left"/>
              <w:rPr/>
            </w:pPr>
            <w:r>
              <w:rPr/>
              <w:t> </w:t>
            </w:r>
          </w:p>
        </w:tc>
        <w:tc>
          <w:tcPr>
            <w:tcW w:w="11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patient service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1,101</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patient services</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10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675</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105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10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2,116</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10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1,791</w:t>
            </w:r>
          </w:p>
        </w:tc>
        <w:tc>
          <w:tcPr>
            <w:tcW w:w="80"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10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4,745</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10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5,686</w:t>
            </w:r>
          </w:p>
        </w:tc>
        <w:tc>
          <w:tcPr>
            <w:tcW w:w="80"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10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105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Settlement expense (income)</w:t>
            </w:r>
          </w:p>
        </w:tc>
        <w:tc>
          <w:tcPr>
            <w:tcW w:w="60"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80"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7,606</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7,577</w:t>
            </w:r>
          </w:p>
        </w:tc>
        <w:tc>
          <w:tcPr>
            <w:tcW w:w="80"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w:t>
            </w:r>
          </w:p>
        </w:tc>
        <w:tc>
          <w:tcPr>
            <w:tcW w:w="60"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(6,505</w:t>
            </w:r>
          </w:p>
        </w:tc>
        <w:tc>
          <w:tcPr>
            <w:tcW w:w="8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(11,250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(7,577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expenses (income):</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10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10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10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105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convertible notes payable</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1053" w:type="dxa"/>
            <w:tcBorders/>
            <w:shd w:fill="FFFFFF" w:val="clear"/>
            <w:vAlign w:val="center"/>
          </w:tcPr>
          <w:p>
            <w:pPr>
              <w:pStyle w:val="TableContents"/>
              <w:bidi w:val="0"/>
              <w:spacing w:before="0" w:after="283"/>
              <w:ind w:left="0" w:right="0" w:hanging="0"/>
              <w:jc w:val="right"/>
              <w:rPr/>
            </w:pPr>
            <w:r>
              <w:rPr/>
              <w:t>—</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10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6,530</w:t>
            </w:r>
          </w:p>
        </w:tc>
        <w:tc>
          <w:tcPr>
            <w:tcW w:w="80"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warrant liabilities</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10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9,784</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10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3,518</w:t>
            </w:r>
          </w:p>
        </w:tc>
        <w:tc>
          <w:tcPr>
            <w:tcW w:w="80"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issuance of Registered Direct Offering</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1053" w:type="dxa"/>
            <w:tcBorders/>
            <w:shd w:fill="FFFFFF" w:val="clear"/>
            <w:vAlign w:val="center"/>
          </w:tcPr>
          <w:p>
            <w:pPr>
              <w:pStyle w:val="TableContents"/>
              <w:bidi w:val="0"/>
              <w:spacing w:before="0" w:after="283"/>
              <w:ind w:left="0" w:right="0" w:hanging="0"/>
              <w:jc w:val="right"/>
              <w:rPr/>
            </w:pPr>
            <w:r>
              <w:rPr/>
              <w:t>—</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105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729</w:t>
            </w:r>
          </w:p>
        </w:tc>
        <w:tc>
          <w:tcPr>
            <w:tcW w:w="80"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Consideration Shares and Warrants</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1053" w:type="dxa"/>
            <w:tcBorders/>
            <w:shd w:fill="CCEEFF" w:val="clear"/>
            <w:vAlign w:val="center"/>
          </w:tcPr>
          <w:p>
            <w:pPr>
              <w:pStyle w:val="TableContents"/>
              <w:bidi w:val="0"/>
              <w:spacing w:before="0" w:after="283"/>
              <w:ind w:left="0" w:right="0" w:hanging="0"/>
              <w:jc w:val="right"/>
              <w:rPr/>
            </w:pPr>
            <w:r>
              <w:rPr/>
              <w:t>—</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105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1,277</w:t>
            </w:r>
          </w:p>
        </w:tc>
        <w:tc>
          <w:tcPr>
            <w:tcW w:w="80"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convertible note conversions</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1053" w:type="dxa"/>
            <w:tcBorders/>
            <w:shd w:fill="FFFFFF" w:val="clear"/>
            <w:vAlign w:val="center"/>
          </w:tcPr>
          <w:p>
            <w:pPr>
              <w:pStyle w:val="TableContents"/>
              <w:bidi w:val="0"/>
              <w:spacing w:before="0" w:after="283"/>
              <w:ind w:left="0" w:right="0" w:hanging="0"/>
              <w:jc w:val="right"/>
              <w:rPr/>
            </w:pPr>
            <w:r>
              <w:rPr/>
              <w:t>—</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10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3,467</w:t>
            </w:r>
          </w:p>
        </w:tc>
        <w:tc>
          <w:tcPr>
            <w:tcW w:w="80"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from equity method investment</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expense, net</w:t>
            </w:r>
          </w:p>
        </w:tc>
        <w:tc>
          <w:tcPr>
            <w:tcW w:w="60"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10,015</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15,515</w:t>
            </w:r>
          </w:p>
        </w:tc>
        <w:tc>
          <w:tcPr>
            <w:tcW w:w="80"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(16,520</w:t>
            </w:r>
          </w:p>
        </w:tc>
        <w:tc>
          <w:tcPr>
            <w:tcW w:w="8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CCEEFF" w:val="cle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(17,581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(17,950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(23,092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per share:</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and 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(0.44</w:t>
            </w:r>
          </w:p>
        </w:tc>
        <w:tc>
          <w:tcPr>
            <w:tcW w:w="8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CCEEFF" w:val="clear"/>
            <w:vAlign w:val="center"/>
          </w:tcPr>
          <w:p>
            <w:pPr>
              <w:pStyle w:val="TableContents"/>
              <w:bidi w:val="0"/>
              <w:spacing w:before="0" w:after="283"/>
              <w:ind w:left="0" w:right="0" w:hanging="0"/>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Common Stock outstanding:</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and diluted</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37,649,382</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17,934,196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34,933,437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17,176,339</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condensed consolidated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5" w:name="es"/>
      <w:bookmarkEnd w:id="5"/>
      <w:r>
        <w:rPr>
          <w:rFonts w:ascii="Times New Roman" w:hAnsi="Times New Roman"/>
          <w:b/>
          <w:caps w:val="false"/>
          <w:smallCaps w:val="false"/>
          <w:sz w:val="20"/>
        </w:rPr>
        <w:t>NRX PHARMACEUTICALS,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CONDENSED CONSOLIDATED STATEMENTS OF CHANGES IN STOCKHOLDERS</w:t>
      </w:r>
      <w:r>
        <w:rPr>
          <w:rFonts w:ascii="Times New Roman" w:hAnsi="Times New Roman"/>
          <w:caps w:val="false"/>
          <w:smallCaps w:val="false"/>
          <w:sz w:val="20"/>
        </w:rPr>
        <w:t xml:space="preserve">’ </w:t>
      </w:r>
      <w:r>
        <w:rPr>
          <w:rFonts w:ascii="Times New Roman" w:hAnsi="Times New Roman"/>
          <w:b/>
          <w:caps w:val="false"/>
          <w:smallCaps w:val="false"/>
          <w:sz w:val="20"/>
        </w:rPr>
        <w:t>DEFICIT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 data)</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20"/>
        <w:gridCol w:w="60"/>
        <w:gridCol w:w="93"/>
        <w:gridCol w:w="407"/>
        <w:gridCol w:w="71"/>
        <w:gridCol w:w="71"/>
        <w:gridCol w:w="179"/>
        <w:gridCol w:w="426"/>
        <w:gridCol w:w="60"/>
        <w:gridCol w:w="60"/>
        <w:gridCol w:w="103"/>
        <w:gridCol w:w="419"/>
        <w:gridCol w:w="78"/>
        <w:gridCol w:w="78"/>
        <w:gridCol w:w="190"/>
        <w:gridCol w:w="429"/>
        <w:gridCol w:w="60"/>
        <w:gridCol w:w="60"/>
        <w:gridCol w:w="60"/>
        <w:gridCol w:w="830"/>
        <w:gridCol w:w="60"/>
        <w:gridCol w:w="60"/>
        <w:gridCol w:w="179"/>
        <w:gridCol w:w="426"/>
        <w:gridCol w:w="60"/>
        <w:gridCol w:w="60"/>
        <w:gridCol w:w="120"/>
        <w:gridCol w:w="665"/>
        <w:gridCol w:w="80"/>
        <w:gridCol w:w="60"/>
        <w:gridCol w:w="136"/>
        <w:gridCol w:w="829"/>
        <w:gridCol w:w="80"/>
        <w:gridCol w:w="60"/>
        <w:gridCol w:w="155"/>
        <w:gridCol w:w="819"/>
        <w:gridCol w:w="102"/>
      </w:tblGrid>
      <w:tr>
        <w:trPr/>
        <w:tc>
          <w:tcPr>
            <w:tcW w:w="2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center"/>
              <w:rPr/>
            </w:pPr>
            <w:r>
              <w:rPr/>
              <w:t> </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42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7"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 xml:space="preserve">Series A Preferred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42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Additional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829"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 xml:space="preserve">Total </w:t>
            </w:r>
          </w:p>
        </w:tc>
        <w:tc>
          <w:tcPr>
            <w:tcW w:w="102" w:type="dxa"/>
            <w:tcBorders/>
            <w:vAlign w:val="center"/>
          </w:tcPr>
          <w:p>
            <w:pPr>
              <w:pStyle w:val="TableContents"/>
              <w:bidi w:val="0"/>
              <w:spacing w:before="0" w:after="283"/>
              <w:jc w:val="left"/>
              <w:rPr/>
            </w:pPr>
            <w:r>
              <w:rPr/>
              <w:t> </w:t>
            </w:r>
          </w:p>
        </w:tc>
      </w:tr>
      <w:tr>
        <w:trPr/>
        <w:tc>
          <w:tcPr>
            <w:tcW w:w="2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4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1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Paid-in-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Stockholders’</w:t>
            </w:r>
          </w:p>
        </w:tc>
        <w:tc>
          <w:tcPr>
            <w:tcW w:w="102" w:type="dxa"/>
            <w:tcBorders/>
            <w:vAlign w:val="center"/>
          </w:tcPr>
          <w:p>
            <w:pPr>
              <w:pStyle w:val="TableContents"/>
              <w:bidi w:val="0"/>
              <w:spacing w:before="0" w:after="283"/>
              <w:jc w:val="left"/>
              <w:rPr/>
            </w:pPr>
            <w:r>
              <w:rPr/>
              <w:t> </w:t>
            </w:r>
          </w:p>
        </w:tc>
      </w:tr>
      <w:tr>
        <w:trPr/>
        <w:tc>
          <w:tcPr>
            <w:tcW w:w="2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Shares</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Shares</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ind w:left="0" w:right="0" w:hanging="0"/>
              <w:jc w:val="left"/>
              <w:rPr/>
            </w:pPr>
            <w:r>
              <w:rPr/>
              <w:t> </w:t>
            </w:r>
          </w:p>
        </w:tc>
        <w:tc>
          <w:tcPr>
            <w:tcW w:w="6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Capital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Deficit</w:t>
            </w:r>
          </w:p>
        </w:tc>
        <w:tc>
          <w:tcPr>
            <w:tcW w:w="102" w:type="dxa"/>
            <w:tcBorders/>
            <w:vAlign w:val="center"/>
          </w:tcPr>
          <w:p>
            <w:pPr>
              <w:pStyle w:val="TableContents"/>
              <w:bidi w:val="0"/>
              <w:spacing w:before="0" w:after="283"/>
              <w:jc w:val="left"/>
              <w:rPr/>
            </w:pPr>
            <w:r>
              <w:rPr/>
              <w:t> </w:t>
            </w:r>
          </w:p>
        </w:tc>
      </w:tr>
      <w:tr>
        <w:trPr/>
        <w:tc>
          <w:tcPr>
            <w:tcW w:w="25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b/>
                <w:caps w:val="false"/>
                <w:smallCaps w:val="false"/>
                <w:sz w:val="16"/>
              </w:rPr>
              <w:t xml:space="preserve">Balance </w:t>
            </w:r>
            <w:r>
              <w:rPr>
                <w:rFonts w:ascii="Times New Roman;Times;serif" w:hAnsi="Times New Roman;Times;serif"/>
                <w:caps w:val="false"/>
                <w:smallCaps w:val="false"/>
                <w:sz w:val="16"/>
              </w:rPr>
              <w:t xml:space="preserve">– </w:t>
            </w:r>
            <w:r>
              <w:rPr>
                <w:rFonts w:ascii="Times New Roman;Times;serif" w:hAnsi="Times New Roman;Times;serif"/>
                <w:b/>
                <w:caps w:val="false"/>
                <w:smallCaps w:val="false"/>
                <w:sz w:val="16"/>
              </w:rPr>
              <w:t>December 31, 2025</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407" w:type="dxa"/>
            <w:tcBorders/>
            <w:shd w:fill="CCEEFF" w:val="clear"/>
            <w:vAlign w:val="center"/>
          </w:tcPr>
          <w:p>
            <w:pPr>
              <w:pStyle w:val="TableContents"/>
              <w:bidi w:val="0"/>
              <w:spacing w:before="0" w:after="283"/>
              <w:ind w:left="0" w:right="0" w:hanging="0"/>
              <w:jc w:val="right"/>
              <w:rPr/>
            </w:pPr>
            <w:r>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179"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ind w:left="0" w:right="0" w:hanging="0"/>
              <w:jc w:val="left"/>
              <w:rPr/>
            </w:pPr>
            <w:r>
              <w:rPr/>
              <w:t> </w:t>
            </w:r>
          </w:p>
        </w:tc>
        <w:tc>
          <w:tcPr>
            <w:tcW w:w="419" w:type="dxa"/>
            <w:tcBorders/>
            <w:shd w:fill="CCEEFF" w:val="clear"/>
            <w:vAlign w:val="center"/>
          </w:tcPr>
          <w:p>
            <w:pPr>
              <w:pStyle w:val="TableContents"/>
              <w:bidi w:val="0"/>
              <w:spacing w:before="0" w:after="283"/>
              <w:ind w:left="0" w:right="0" w:hanging="0"/>
              <w:jc w:val="right"/>
              <w:rPr/>
            </w:pPr>
            <w:r>
              <w:rPr/>
              <w:t>—</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0" w:right="0" w:hanging="0"/>
              <w:jc w:val="left"/>
              <w:rPr/>
            </w:pPr>
            <w:r>
              <w:rPr/>
              <w:t> </w:t>
            </w:r>
          </w:p>
        </w:tc>
        <w:tc>
          <w:tcPr>
            <w:tcW w:w="19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2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31,734,333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426"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290,926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2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(306,895</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1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(15,937</w:t>
            </w:r>
          </w:p>
        </w:tc>
        <w:tc>
          <w:tcPr>
            <w:tcW w:w="102"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r>
      <w:tr>
        <w:trPr/>
        <w:tc>
          <w:tcPr>
            <w:tcW w:w="25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At-the-market “ATM” offering, net of offering costs of $81</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407" w:type="dxa"/>
            <w:tcBorders/>
            <w:shd w:fill="FFFFFF" w:val="clear"/>
            <w:vAlign w:val="center"/>
          </w:tcPr>
          <w:p>
            <w:pPr>
              <w:pStyle w:val="TableContents"/>
              <w:bidi w:val="0"/>
              <w:spacing w:before="0" w:after="283"/>
              <w:ind w:left="0" w:right="0" w:hanging="0"/>
              <w:jc w:val="right"/>
              <w:rPr/>
            </w:pPr>
            <w:r>
              <w:rPr>
                <w:rStyle w:val="Emphasis"/>
              </w:rPr>
              <w:t>—</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419" w:type="dxa"/>
            <w:tcBorders/>
            <w:shd w:fill="FFFFFF" w:val="clear"/>
            <w:vAlign w:val="center"/>
          </w:tcPr>
          <w:p>
            <w:pPr>
              <w:pStyle w:val="TableContents"/>
              <w:bidi w:val="0"/>
              <w:spacing w:before="0" w:after="283"/>
              <w:ind w:left="0" w:right="0" w:hanging="0"/>
              <w:jc w:val="right"/>
              <w:rPr/>
            </w:pPr>
            <w:r>
              <w:rPr/>
              <w:t>—</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42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1,736,982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82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81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3,424</w:t>
            </w:r>
          </w:p>
        </w:tc>
        <w:tc>
          <w:tcPr>
            <w:tcW w:w="102" w:type="dxa"/>
            <w:tcBorders/>
            <w:shd w:fill="FFFFFF" w:val="clear"/>
            <w:vAlign w:val="center"/>
          </w:tcPr>
          <w:p>
            <w:pPr>
              <w:pStyle w:val="TableContents"/>
              <w:bidi w:val="0"/>
              <w:spacing w:before="0" w:after="283"/>
              <w:jc w:val="left"/>
              <w:rPr/>
            </w:pPr>
            <w:r>
              <w:rPr/>
              <w:t> </w:t>
            </w:r>
          </w:p>
        </w:tc>
      </w:tr>
      <w:tr>
        <w:trPr/>
        <w:tc>
          <w:tcPr>
            <w:tcW w:w="25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Amortization of prepaid offering costs</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407" w:type="dxa"/>
            <w:tcBorders/>
            <w:shd w:fill="CCEEFF" w:val="clear"/>
            <w:vAlign w:val="center"/>
          </w:tcPr>
          <w:p>
            <w:pPr>
              <w:pStyle w:val="TableContents"/>
              <w:bidi w:val="0"/>
              <w:spacing w:before="0" w:after="283"/>
              <w:ind w:left="0" w:right="0" w:hanging="0"/>
              <w:jc w:val="right"/>
              <w:rPr/>
            </w:pPr>
            <w:r>
              <w:rPr>
                <w:rStyle w:val="Emphasis"/>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ind w:left="0" w:right="0" w:hanging="0"/>
              <w:jc w:val="left"/>
              <w:rPr/>
            </w:pPr>
            <w:r>
              <w:rPr/>
              <w:t> </w:t>
            </w:r>
          </w:p>
        </w:tc>
        <w:tc>
          <w:tcPr>
            <w:tcW w:w="419" w:type="dxa"/>
            <w:tcBorders/>
            <w:shd w:fill="CCEEFF" w:val="clear"/>
            <w:vAlign w:val="center"/>
          </w:tcPr>
          <w:p>
            <w:pPr>
              <w:pStyle w:val="TableContents"/>
              <w:bidi w:val="0"/>
              <w:spacing w:before="0" w:after="283"/>
              <w:ind w:left="0" w:right="0" w:hanging="0"/>
              <w:jc w:val="right"/>
              <w:rPr/>
            </w:pPr>
            <w:r>
              <w:rPr>
                <w:rStyle w:val="Emphasis"/>
              </w:rPr>
              <w:t>—</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429"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(24</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829"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819"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(24</w:t>
            </w:r>
          </w:p>
        </w:tc>
        <w:tc>
          <w:tcPr>
            <w:tcW w:w="102"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5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Stock-based compensation</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407" w:type="dxa"/>
            <w:tcBorders/>
            <w:shd w:fill="FFFFFF" w:val="clear"/>
            <w:vAlign w:val="center"/>
          </w:tcPr>
          <w:p>
            <w:pPr>
              <w:pStyle w:val="TableContents"/>
              <w:bidi w:val="0"/>
              <w:spacing w:before="0" w:after="283"/>
              <w:ind w:left="0" w:right="0" w:hanging="0"/>
              <w:jc w:val="right"/>
              <w:rPr/>
            </w:pPr>
            <w:r>
              <w:rPr>
                <w:rStyle w:val="Emphasis"/>
              </w:rPr>
              <w:t>—</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419" w:type="dxa"/>
            <w:tcBorders/>
            <w:shd w:fill="FFFFFF" w:val="clear"/>
            <w:vAlign w:val="center"/>
          </w:tcPr>
          <w:p>
            <w:pPr>
              <w:pStyle w:val="TableContents"/>
              <w:bidi w:val="0"/>
              <w:spacing w:before="0" w:after="283"/>
              <w:ind w:left="0" w:right="0" w:hanging="0"/>
              <w:jc w:val="right"/>
              <w:rPr/>
            </w:pPr>
            <w:r>
              <w:rPr>
                <w:rStyle w:val="Emphasis"/>
              </w:rPr>
              <w:t>—</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42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82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81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151</w:t>
            </w:r>
          </w:p>
        </w:tc>
        <w:tc>
          <w:tcPr>
            <w:tcW w:w="102" w:type="dxa"/>
            <w:tcBorders/>
            <w:shd w:fill="FFFFFF" w:val="clear"/>
            <w:vAlign w:val="center"/>
          </w:tcPr>
          <w:p>
            <w:pPr>
              <w:pStyle w:val="TableContents"/>
              <w:bidi w:val="0"/>
              <w:spacing w:before="0" w:after="283"/>
              <w:jc w:val="left"/>
              <w:rPr/>
            </w:pPr>
            <w:r>
              <w:rPr/>
              <w:t> </w:t>
            </w:r>
          </w:p>
        </w:tc>
      </w:tr>
      <w:tr>
        <w:trPr/>
        <w:tc>
          <w:tcPr>
            <w:tcW w:w="25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loss</w:t>
            </w:r>
          </w:p>
        </w:tc>
        <w:tc>
          <w:tcPr>
            <w:tcW w:w="60" w:type="dxa"/>
            <w:tcBorders/>
            <w:shd w:fill="CCEEFF" w:val="clear"/>
            <w:vAlign w:val="center"/>
          </w:tcPr>
          <w:p>
            <w:pPr>
              <w:pStyle w:val="TableContents"/>
              <w:bidi w:val="0"/>
              <w:spacing w:before="0" w:after="283"/>
              <w:jc w:val="left"/>
              <w:rPr/>
            </w:pPr>
            <w:r>
              <w:rPr/>
              <w:t> </w:t>
            </w:r>
          </w:p>
        </w:tc>
        <w:tc>
          <w:tcPr>
            <w:tcW w:w="9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1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9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(1,430</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(1,430</w:t>
            </w:r>
          </w:p>
        </w:tc>
        <w:tc>
          <w:tcPr>
            <w:tcW w:w="102"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5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b/>
                <w:caps w:val="false"/>
                <w:smallCaps w:val="false"/>
                <w:sz w:val="16"/>
              </w:rPr>
              <w:t xml:space="preserve">Balance </w:t>
            </w:r>
            <w:r>
              <w:rPr>
                <w:rFonts w:ascii="Times New Roman;Times;serif" w:hAnsi="Times New Roman;Times;serif"/>
                <w:caps w:val="false"/>
                <w:smallCaps w:val="false"/>
                <w:sz w:val="16"/>
              </w:rPr>
              <w:t xml:space="preserve">– </w:t>
            </w:r>
            <w:r>
              <w:rPr>
                <w:rFonts w:ascii="Times New Roman;Times;serif" w:hAnsi="Times New Roman;Times;serif"/>
                <w:b/>
                <w:caps w:val="false"/>
                <w:smallCaps w:val="false"/>
                <w:sz w:val="16"/>
              </w:rPr>
              <w:t>March 31, 2026</w:t>
            </w:r>
          </w:p>
        </w:tc>
        <w:tc>
          <w:tcPr>
            <w:tcW w:w="60" w:type="dxa"/>
            <w:tcBorders/>
            <w:shd w:fill="FFFFFF" w:val="clear"/>
            <w:vAlign w:val="center"/>
          </w:tcPr>
          <w:p>
            <w:pPr>
              <w:pStyle w:val="TableContents"/>
              <w:bidi w:val="0"/>
              <w:spacing w:before="0" w:after="283"/>
              <w:jc w:val="left"/>
              <w:rPr/>
            </w:pPr>
            <w:r>
              <w:rPr/>
              <w:t> </w:t>
            </w:r>
          </w:p>
        </w:tc>
        <w:tc>
          <w:tcPr>
            <w:tcW w:w="9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2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1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19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2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33,471,315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42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294,476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2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(308,325</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1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(13,816</w:t>
            </w:r>
          </w:p>
        </w:tc>
        <w:tc>
          <w:tcPr>
            <w:tcW w:w="102"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r>
      <w:tr>
        <w:trPr/>
        <w:tc>
          <w:tcPr>
            <w:tcW w:w="25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At-the-market “ATM” offering, net of offering costs of $188</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407" w:type="dxa"/>
            <w:tcBorders/>
            <w:shd w:fill="CCEEFF" w:val="clear"/>
            <w:vAlign w:val="center"/>
          </w:tcPr>
          <w:p>
            <w:pPr>
              <w:pStyle w:val="TableContents"/>
              <w:bidi w:val="0"/>
              <w:spacing w:before="0" w:after="283"/>
              <w:ind w:left="0" w:right="0" w:hanging="0"/>
              <w:jc w:val="right"/>
              <w:rPr/>
            </w:pPr>
            <w:r>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ind w:left="0" w:right="0" w:hanging="0"/>
              <w:jc w:val="left"/>
              <w:rPr/>
            </w:pPr>
            <w:r>
              <w:rPr/>
              <w:t> </w:t>
            </w:r>
          </w:p>
        </w:tc>
        <w:tc>
          <w:tcPr>
            <w:tcW w:w="419" w:type="dxa"/>
            <w:tcBorders/>
            <w:shd w:fill="CCEEFF" w:val="clear"/>
            <w:vAlign w:val="center"/>
          </w:tcPr>
          <w:p>
            <w:pPr>
              <w:pStyle w:val="TableContents"/>
              <w:bidi w:val="0"/>
              <w:spacing w:before="0" w:after="283"/>
              <w:ind w:left="0" w:right="0" w:hanging="0"/>
              <w:jc w:val="right"/>
              <w:rPr/>
            </w:pPr>
            <w:r>
              <w:rPr/>
              <w:t>—</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42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3,075,990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8,401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82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81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8,404</w:t>
            </w:r>
          </w:p>
        </w:tc>
        <w:tc>
          <w:tcPr>
            <w:tcW w:w="102" w:type="dxa"/>
            <w:tcBorders/>
            <w:shd w:fill="CCEEFF" w:val="clear"/>
            <w:vAlign w:val="center"/>
          </w:tcPr>
          <w:p>
            <w:pPr>
              <w:pStyle w:val="TableContents"/>
              <w:bidi w:val="0"/>
              <w:spacing w:before="0" w:after="283"/>
              <w:jc w:val="left"/>
              <w:rPr/>
            </w:pPr>
            <w:r>
              <w:rPr/>
              <w:t> </w:t>
            </w:r>
          </w:p>
        </w:tc>
      </w:tr>
      <w:tr>
        <w:trPr/>
        <w:tc>
          <w:tcPr>
            <w:tcW w:w="25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Amortization of prepaid offering costs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407" w:type="dxa"/>
            <w:tcBorders/>
            <w:shd w:fill="FFFFFF" w:val="clear"/>
            <w:vAlign w:val="center"/>
          </w:tcPr>
          <w:p>
            <w:pPr>
              <w:pStyle w:val="TableContents"/>
              <w:bidi w:val="0"/>
              <w:spacing w:before="0" w:after="283"/>
              <w:ind w:left="0" w:right="0" w:hanging="0"/>
              <w:jc w:val="right"/>
              <w:rPr/>
            </w:pPr>
            <w:r>
              <w:rPr>
                <w:rStyle w:val="Emphasis"/>
              </w:rPr>
              <w:t>—</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419" w:type="dxa"/>
            <w:tcBorders/>
            <w:shd w:fill="FFFFFF" w:val="clear"/>
            <w:vAlign w:val="center"/>
          </w:tcPr>
          <w:p>
            <w:pPr>
              <w:pStyle w:val="TableContents"/>
              <w:bidi w:val="0"/>
              <w:spacing w:before="0" w:after="283"/>
              <w:ind w:left="0" w:right="0" w:hanging="0"/>
              <w:jc w:val="right"/>
              <w:rPr/>
            </w:pPr>
            <w:r>
              <w:rPr>
                <w:rStyle w:val="Emphasis"/>
              </w:rPr>
              <w:t>—</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429"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(65</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829"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819"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(65</w:t>
            </w:r>
          </w:p>
        </w:tc>
        <w:tc>
          <w:tcPr>
            <w:tcW w:w="102"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5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Common stock issued as a result of cashless exercise of warrants</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407" w:type="dxa"/>
            <w:tcBorders/>
            <w:shd w:fill="CCEEFF" w:val="clear"/>
            <w:vAlign w:val="center"/>
          </w:tcPr>
          <w:p>
            <w:pPr>
              <w:pStyle w:val="TableContents"/>
              <w:bidi w:val="0"/>
              <w:spacing w:before="0" w:after="283"/>
              <w:ind w:left="0" w:right="0" w:hanging="0"/>
              <w:jc w:val="right"/>
              <w:rPr/>
            </w:pPr>
            <w:r>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ind w:left="0" w:right="0" w:hanging="0"/>
              <w:jc w:val="left"/>
              <w:rPr/>
            </w:pPr>
            <w:r>
              <w:rPr/>
              <w:t> </w:t>
            </w:r>
          </w:p>
        </w:tc>
        <w:tc>
          <w:tcPr>
            <w:tcW w:w="419" w:type="dxa"/>
            <w:tcBorders/>
            <w:shd w:fill="CCEEFF" w:val="clear"/>
            <w:vAlign w:val="center"/>
          </w:tcPr>
          <w:p>
            <w:pPr>
              <w:pStyle w:val="TableContents"/>
              <w:bidi w:val="0"/>
              <w:spacing w:before="0" w:after="283"/>
              <w:ind w:left="0" w:right="0" w:hanging="0"/>
              <w:jc w:val="right"/>
              <w:rPr/>
            </w:pPr>
            <w:r>
              <w:rPr/>
              <w:t>—</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42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82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819" w:type="dxa"/>
            <w:tcBorders/>
            <w:shd w:fill="CCEEFF" w:val="clear"/>
            <w:vAlign w:val="center"/>
          </w:tcPr>
          <w:p>
            <w:pPr>
              <w:pStyle w:val="TableContents"/>
              <w:bidi w:val="0"/>
              <w:spacing w:before="0" w:after="283"/>
              <w:ind w:left="0" w:right="0" w:hanging="0"/>
              <w:jc w:val="right"/>
              <w:rPr/>
            </w:pPr>
            <w:r>
              <w:rPr/>
              <w:t>—</w:t>
            </w:r>
          </w:p>
        </w:tc>
        <w:tc>
          <w:tcPr>
            <w:tcW w:w="102" w:type="dxa"/>
            <w:tcBorders/>
            <w:shd w:fill="CCEEFF" w:val="clear"/>
            <w:vAlign w:val="center"/>
          </w:tcPr>
          <w:p>
            <w:pPr>
              <w:pStyle w:val="TableContents"/>
              <w:bidi w:val="0"/>
              <w:spacing w:before="0" w:after="283"/>
              <w:jc w:val="left"/>
              <w:rPr/>
            </w:pPr>
            <w:r>
              <w:rPr/>
              <w:t> </w:t>
            </w:r>
          </w:p>
        </w:tc>
      </w:tr>
      <w:tr>
        <w:trPr/>
        <w:tc>
          <w:tcPr>
            <w:tcW w:w="25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Stock-based compensation</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407" w:type="dxa"/>
            <w:tcBorders/>
            <w:shd w:fill="FFFFFF" w:val="clear"/>
            <w:vAlign w:val="center"/>
          </w:tcPr>
          <w:p>
            <w:pPr>
              <w:pStyle w:val="TableContents"/>
              <w:bidi w:val="0"/>
              <w:spacing w:before="0" w:after="283"/>
              <w:ind w:left="0" w:right="0" w:hanging="0"/>
              <w:jc w:val="right"/>
              <w:rPr/>
            </w:pPr>
            <w:r>
              <w:rPr>
                <w:rStyle w:val="Emphasis"/>
              </w:rPr>
              <w:t>—</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419" w:type="dxa"/>
            <w:tcBorders/>
            <w:shd w:fill="FFFFFF" w:val="clear"/>
            <w:vAlign w:val="center"/>
          </w:tcPr>
          <w:p>
            <w:pPr>
              <w:pStyle w:val="TableContents"/>
              <w:bidi w:val="0"/>
              <w:spacing w:before="0" w:after="283"/>
              <w:ind w:left="0" w:right="0" w:hanging="0"/>
              <w:jc w:val="right"/>
              <w:rPr/>
            </w:pPr>
            <w:r>
              <w:rPr>
                <w:rStyle w:val="Emphasis"/>
              </w:rPr>
              <w:t>—</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42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82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81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95</w:t>
            </w:r>
          </w:p>
        </w:tc>
        <w:tc>
          <w:tcPr>
            <w:tcW w:w="102" w:type="dxa"/>
            <w:tcBorders/>
            <w:shd w:fill="FFFFFF" w:val="clear"/>
            <w:vAlign w:val="center"/>
          </w:tcPr>
          <w:p>
            <w:pPr>
              <w:pStyle w:val="TableContents"/>
              <w:bidi w:val="0"/>
              <w:spacing w:before="0" w:after="283"/>
              <w:jc w:val="left"/>
              <w:rPr/>
            </w:pPr>
            <w:r>
              <w:rPr/>
              <w:t> </w:t>
            </w:r>
          </w:p>
        </w:tc>
      </w:tr>
      <w:tr>
        <w:trPr/>
        <w:tc>
          <w:tcPr>
            <w:tcW w:w="25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Common stock issued in exchange for services</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407" w:type="dxa"/>
            <w:tcBorders/>
            <w:shd w:fill="CCEEFF" w:val="clear"/>
            <w:vAlign w:val="center"/>
          </w:tcPr>
          <w:p>
            <w:pPr>
              <w:pStyle w:val="TableContents"/>
              <w:bidi w:val="0"/>
              <w:spacing w:before="0" w:after="283"/>
              <w:ind w:left="0" w:right="0" w:hanging="0"/>
              <w:jc w:val="right"/>
              <w:rPr/>
            </w:pPr>
            <w:r>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ind w:left="0" w:right="0" w:hanging="0"/>
              <w:jc w:val="left"/>
              <w:rPr/>
            </w:pPr>
            <w:r>
              <w:rPr/>
              <w:t> </w:t>
            </w:r>
          </w:p>
        </w:tc>
        <w:tc>
          <w:tcPr>
            <w:tcW w:w="419" w:type="dxa"/>
            <w:tcBorders/>
            <w:shd w:fill="CCEEFF" w:val="clear"/>
            <w:vAlign w:val="center"/>
          </w:tcPr>
          <w:p>
            <w:pPr>
              <w:pStyle w:val="TableContents"/>
              <w:bidi w:val="0"/>
              <w:spacing w:before="0" w:after="283"/>
              <w:ind w:left="0" w:right="0" w:hanging="0"/>
              <w:jc w:val="right"/>
              <w:rPr/>
            </w:pPr>
            <w:r>
              <w:rPr/>
              <w:t>—</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42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218,161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82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81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972</w:t>
            </w:r>
          </w:p>
        </w:tc>
        <w:tc>
          <w:tcPr>
            <w:tcW w:w="102" w:type="dxa"/>
            <w:tcBorders/>
            <w:shd w:fill="CCEEFF" w:val="clear"/>
            <w:vAlign w:val="center"/>
          </w:tcPr>
          <w:p>
            <w:pPr>
              <w:pStyle w:val="TableContents"/>
              <w:bidi w:val="0"/>
              <w:spacing w:before="0" w:after="283"/>
              <w:jc w:val="left"/>
              <w:rPr/>
            </w:pPr>
            <w:r>
              <w:rPr/>
              <w:t> </w:t>
            </w:r>
          </w:p>
        </w:tc>
      </w:tr>
      <w:tr>
        <w:trPr/>
        <w:tc>
          <w:tcPr>
            <w:tcW w:w="25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Vesting of restricted stock awards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407" w:type="dxa"/>
            <w:tcBorders/>
            <w:shd w:fill="FFFFFF" w:val="clear"/>
            <w:vAlign w:val="center"/>
          </w:tcPr>
          <w:p>
            <w:pPr>
              <w:pStyle w:val="TableContents"/>
              <w:bidi w:val="0"/>
              <w:spacing w:before="0" w:after="283"/>
              <w:ind w:left="0" w:right="0" w:hanging="0"/>
              <w:jc w:val="right"/>
              <w:rPr/>
            </w:pPr>
            <w:r>
              <w:rPr/>
              <w:t>—</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419" w:type="dxa"/>
            <w:tcBorders/>
            <w:shd w:fill="FFFFFF" w:val="clear"/>
            <w:vAlign w:val="center"/>
          </w:tcPr>
          <w:p>
            <w:pPr>
              <w:pStyle w:val="TableContents"/>
              <w:bidi w:val="0"/>
              <w:spacing w:before="0" w:after="283"/>
              <w:ind w:left="0" w:right="0" w:hanging="0"/>
              <w:jc w:val="right"/>
              <w:rPr/>
            </w:pPr>
            <w:r>
              <w:rPr/>
              <w:t>—</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42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82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81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w:t>
            </w:r>
          </w:p>
        </w:tc>
        <w:tc>
          <w:tcPr>
            <w:tcW w:w="102" w:type="dxa"/>
            <w:tcBorders/>
            <w:shd w:fill="FFFFFF" w:val="clear"/>
            <w:vAlign w:val="center"/>
          </w:tcPr>
          <w:p>
            <w:pPr>
              <w:pStyle w:val="TableContents"/>
              <w:bidi w:val="0"/>
              <w:spacing w:before="0" w:after="283"/>
              <w:jc w:val="left"/>
              <w:rPr/>
            </w:pPr>
            <w:r>
              <w:rPr/>
              <w:t> </w:t>
            </w:r>
          </w:p>
        </w:tc>
      </w:tr>
      <w:tr>
        <w:trPr/>
        <w:tc>
          <w:tcPr>
            <w:tcW w:w="25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Shares issued with underwritten public offering, net</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407" w:type="dxa"/>
            <w:tcBorders/>
            <w:shd w:fill="CCEEFF" w:val="clear"/>
            <w:vAlign w:val="center"/>
          </w:tcPr>
          <w:p>
            <w:pPr>
              <w:pStyle w:val="TableContents"/>
              <w:bidi w:val="0"/>
              <w:spacing w:before="0" w:after="283"/>
              <w:ind w:left="0" w:right="0" w:hanging="0"/>
              <w:jc w:val="right"/>
              <w:rPr/>
            </w:pPr>
            <w:r>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ind w:left="0" w:right="0" w:hanging="0"/>
              <w:jc w:val="left"/>
              <w:rPr/>
            </w:pPr>
            <w:r>
              <w:rPr/>
              <w:t> </w:t>
            </w:r>
          </w:p>
        </w:tc>
        <w:tc>
          <w:tcPr>
            <w:tcW w:w="419" w:type="dxa"/>
            <w:tcBorders/>
            <w:shd w:fill="CCEEFF" w:val="clear"/>
            <w:vAlign w:val="center"/>
          </w:tcPr>
          <w:p>
            <w:pPr>
              <w:pStyle w:val="TableContents"/>
              <w:bidi w:val="0"/>
              <w:spacing w:before="0" w:after="283"/>
              <w:ind w:left="0" w:right="0" w:hanging="0"/>
              <w:jc w:val="right"/>
              <w:rPr/>
            </w:pPr>
            <w:r>
              <w:rPr/>
              <w:t>—</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42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6,378,942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20,709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82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81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20,716</w:t>
            </w:r>
          </w:p>
        </w:tc>
        <w:tc>
          <w:tcPr>
            <w:tcW w:w="102" w:type="dxa"/>
            <w:tcBorders/>
            <w:shd w:fill="CCEEFF" w:val="clear"/>
            <w:vAlign w:val="center"/>
          </w:tcPr>
          <w:p>
            <w:pPr>
              <w:pStyle w:val="TableContents"/>
              <w:bidi w:val="0"/>
              <w:spacing w:before="0" w:after="283"/>
              <w:jc w:val="left"/>
              <w:rPr/>
            </w:pPr>
            <w:r>
              <w:rPr/>
              <w:t> </w:t>
            </w:r>
          </w:p>
        </w:tc>
      </w:tr>
      <w:tr>
        <w:trPr/>
        <w:tc>
          <w:tcPr>
            <w:tcW w:w="25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loss</w:t>
            </w:r>
          </w:p>
        </w:tc>
        <w:tc>
          <w:tcPr>
            <w:tcW w:w="60" w:type="dxa"/>
            <w:tcBorders/>
            <w:shd w:fill="FFFFFF" w:val="clear"/>
            <w:vAlign w:val="center"/>
          </w:tcPr>
          <w:p>
            <w:pPr>
              <w:pStyle w:val="TableContents"/>
              <w:bidi w:val="0"/>
              <w:spacing w:before="0" w:after="283"/>
              <w:jc w:val="left"/>
              <w:rPr/>
            </w:pPr>
            <w:r>
              <w:rPr/>
              <w:t> </w:t>
            </w:r>
          </w:p>
        </w:tc>
        <w:tc>
          <w:tcPr>
            <w:tcW w:w="9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9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(16,520</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(16,520</w:t>
            </w:r>
          </w:p>
        </w:tc>
        <w:tc>
          <w:tcPr>
            <w:tcW w:w="102"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5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 at June 30, 2026</w:t>
            </w:r>
          </w:p>
        </w:tc>
        <w:tc>
          <w:tcPr>
            <w:tcW w:w="60" w:type="dxa"/>
            <w:tcBorders/>
            <w:shd w:fill="CCEEFF" w:val="clear"/>
            <w:vAlign w:val="center"/>
          </w:tcPr>
          <w:p>
            <w:pPr>
              <w:pStyle w:val="TableContents"/>
              <w:bidi w:val="0"/>
              <w:spacing w:before="0" w:after="283"/>
              <w:jc w:val="left"/>
              <w:rPr/>
            </w:pPr>
            <w:r>
              <w:rPr/>
              <w:t> </w:t>
            </w:r>
          </w:p>
        </w:tc>
        <w:tc>
          <w:tcPr>
            <w:tcW w:w="9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1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0" w:right="0" w:hanging="0"/>
              <w:jc w:val="left"/>
              <w:rPr/>
            </w:pPr>
            <w:r>
              <w:rPr/>
              <w:t> </w:t>
            </w:r>
          </w:p>
        </w:tc>
        <w:tc>
          <w:tcPr>
            <w:tcW w:w="19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43,157,744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4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324,632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(324,845</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1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(170</w:t>
            </w:r>
          </w:p>
        </w:tc>
        <w:tc>
          <w:tcPr>
            <w:tcW w:w="102"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66"/>
        <w:gridCol w:w="60"/>
        <w:gridCol w:w="93"/>
        <w:gridCol w:w="407"/>
        <w:gridCol w:w="70"/>
        <w:gridCol w:w="70"/>
        <w:gridCol w:w="179"/>
        <w:gridCol w:w="426"/>
        <w:gridCol w:w="60"/>
        <w:gridCol w:w="60"/>
        <w:gridCol w:w="100"/>
        <w:gridCol w:w="413"/>
        <w:gridCol w:w="75"/>
        <w:gridCol w:w="75"/>
        <w:gridCol w:w="184"/>
        <w:gridCol w:w="426"/>
        <w:gridCol w:w="60"/>
        <w:gridCol w:w="60"/>
        <w:gridCol w:w="60"/>
        <w:gridCol w:w="830"/>
        <w:gridCol w:w="60"/>
        <w:gridCol w:w="60"/>
        <w:gridCol w:w="179"/>
        <w:gridCol w:w="426"/>
        <w:gridCol w:w="60"/>
        <w:gridCol w:w="60"/>
        <w:gridCol w:w="120"/>
        <w:gridCol w:w="665"/>
        <w:gridCol w:w="80"/>
        <w:gridCol w:w="60"/>
        <w:gridCol w:w="136"/>
        <w:gridCol w:w="829"/>
        <w:gridCol w:w="80"/>
        <w:gridCol w:w="60"/>
        <w:gridCol w:w="155"/>
        <w:gridCol w:w="817"/>
        <w:gridCol w:w="84"/>
      </w:tblGrid>
      <w:tr>
        <w:trPr/>
        <w:tc>
          <w:tcPr>
            <w:tcW w:w="256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center"/>
              <w:rPr/>
            </w:pPr>
            <w:r>
              <w:rPr/>
              <w:t> </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42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73"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Series A Preferred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42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Additional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829"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2"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Total</w:t>
            </w:r>
          </w:p>
        </w:tc>
        <w:tc>
          <w:tcPr>
            <w:tcW w:w="84" w:type="dxa"/>
            <w:tcBorders/>
            <w:vAlign w:val="center"/>
          </w:tcPr>
          <w:p>
            <w:pPr>
              <w:pStyle w:val="TableContents"/>
              <w:bidi w:val="0"/>
              <w:spacing w:before="0" w:after="283"/>
              <w:jc w:val="left"/>
              <w:rPr/>
            </w:pPr>
            <w:r>
              <w:rPr/>
              <w:t> </w:t>
            </w:r>
          </w:p>
        </w:tc>
      </w:tr>
      <w:tr>
        <w:trPr/>
        <w:tc>
          <w:tcPr>
            <w:tcW w:w="256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4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7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1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Paid-in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2"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Stockholders’</w:t>
            </w:r>
          </w:p>
        </w:tc>
        <w:tc>
          <w:tcPr>
            <w:tcW w:w="84" w:type="dxa"/>
            <w:tcBorders/>
            <w:vAlign w:val="center"/>
          </w:tcPr>
          <w:p>
            <w:pPr>
              <w:pStyle w:val="TableContents"/>
              <w:bidi w:val="0"/>
              <w:spacing w:before="0" w:after="283"/>
              <w:jc w:val="left"/>
              <w:rPr/>
            </w:pPr>
            <w:r>
              <w:rPr/>
              <w:t> </w:t>
            </w:r>
          </w:p>
        </w:tc>
      </w:tr>
      <w:tr>
        <w:trPr/>
        <w:tc>
          <w:tcPr>
            <w:tcW w:w="256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Shares</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Shares</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Capital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Deficit</w:t>
            </w:r>
          </w:p>
        </w:tc>
        <w:tc>
          <w:tcPr>
            <w:tcW w:w="84" w:type="dxa"/>
            <w:tcBorders/>
            <w:vAlign w:val="center"/>
          </w:tcPr>
          <w:p>
            <w:pPr>
              <w:pStyle w:val="TableContents"/>
              <w:bidi w:val="0"/>
              <w:spacing w:before="0" w:after="283"/>
              <w:jc w:val="left"/>
              <w:rPr/>
            </w:pPr>
            <w:r>
              <w:rPr/>
              <w:t> </w:t>
            </w:r>
          </w:p>
        </w:tc>
      </w:tr>
      <w:tr>
        <w:trPr/>
        <w:tc>
          <w:tcPr>
            <w:tcW w:w="2566"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 - December 31, 2024</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407" w:type="dxa"/>
            <w:tcBorders/>
            <w:shd w:fill="CCEEFF" w:val="clear"/>
            <w:vAlign w:val="center"/>
          </w:tcPr>
          <w:p>
            <w:pPr>
              <w:pStyle w:val="TableContents"/>
              <w:bidi w:val="0"/>
              <w:spacing w:before="0" w:after="283"/>
              <w:ind w:left="0" w:right="0" w:hanging="0"/>
              <w:jc w:val="right"/>
              <w:rPr/>
            </w:pPr>
            <w:r>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179"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413" w:type="dxa"/>
            <w:tcBorders/>
            <w:shd w:fill="CCEEFF" w:val="clear"/>
            <w:vAlign w:val="center"/>
          </w:tcPr>
          <w:p>
            <w:pPr>
              <w:pStyle w:val="TableContents"/>
              <w:bidi w:val="0"/>
              <w:spacing w:before="0" w:after="283"/>
              <w:ind w:left="0" w:right="0" w:hanging="0"/>
              <w:jc w:val="right"/>
              <w:rPr/>
            </w:pPr>
            <w:r>
              <w:rPr/>
              <w:t>—</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14,591,505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426"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255,035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2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(278,273</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17"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(23,223</w:t>
            </w:r>
          </w:p>
        </w:tc>
        <w:tc>
          <w:tcPr>
            <w:tcW w:w="84"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r>
      <w:tr>
        <w:trPr/>
        <w:tc>
          <w:tcPr>
            <w:tcW w:w="256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Shares issued as repayment of principal and interest for convertible note</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407" w:type="dxa"/>
            <w:tcBorders/>
            <w:shd w:fill="FFFFFF" w:val="clear"/>
            <w:vAlign w:val="center"/>
          </w:tcPr>
          <w:p>
            <w:pPr>
              <w:pStyle w:val="TableContents"/>
              <w:bidi w:val="0"/>
              <w:spacing w:before="0" w:after="283"/>
              <w:ind w:left="0" w:right="0" w:hanging="0"/>
              <w:jc w:val="right"/>
              <w:rPr/>
            </w:pPr>
            <w:r>
              <w:rPr>
                <w:rStyle w:val="Emphasis"/>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413" w:type="dxa"/>
            <w:tcBorders/>
            <w:shd w:fill="FFFFFF" w:val="clear"/>
            <w:vAlign w:val="center"/>
          </w:tcPr>
          <w:p>
            <w:pPr>
              <w:pStyle w:val="TableContents"/>
              <w:bidi w:val="0"/>
              <w:spacing w:before="0" w:after="283"/>
              <w:ind w:left="0" w:right="0" w:hanging="0"/>
              <w:jc w:val="right"/>
              <w:rPr/>
            </w:pPr>
            <w:r>
              <w:rPr/>
              <w:t>—</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1,009,518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82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817"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2,940</w:t>
            </w:r>
          </w:p>
        </w:tc>
        <w:tc>
          <w:tcPr>
            <w:tcW w:w="84" w:type="dxa"/>
            <w:tcBorders/>
            <w:shd w:fill="FFFFFF" w:val="clear"/>
            <w:vAlign w:val="center"/>
          </w:tcPr>
          <w:p>
            <w:pPr>
              <w:pStyle w:val="TableContents"/>
              <w:bidi w:val="0"/>
              <w:spacing w:before="0" w:after="283"/>
              <w:jc w:val="left"/>
              <w:rPr/>
            </w:pPr>
            <w:r>
              <w:rPr/>
              <w:t> </w:t>
            </w:r>
          </w:p>
        </w:tc>
      </w:tr>
      <w:tr>
        <w:trPr/>
        <w:tc>
          <w:tcPr>
            <w:tcW w:w="256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Shares issued with register direct offering, net of offering cost</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407" w:type="dxa"/>
            <w:tcBorders/>
            <w:shd w:fill="CCEEFF" w:val="clear"/>
            <w:vAlign w:val="center"/>
          </w:tcPr>
          <w:p>
            <w:pPr>
              <w:pStyle w:val="TableContents"/>
              <w:bidi w:val="0"/>
              <w:spacing w:before="0" w:after="283"/>
              <w:ind w:left="0" w:right="0" w:hanging="0"/>
              <w:jc w:val="right"/>
              <w:rPr/>
            </w:pPr>
            <w:r>
              <w:rPr>
                <w:rStyle w:val="Emphasis"/>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413" w:type="dxa"/>
            <w:tcBorders/>
            <w:shd w:fill="CCEEFF" w:val="clear"/>
            <w:vAlign w:val="center"/>
          </w:tcPr>
          <w:p>
            <w:pPr>
              <w:pStyle w:val="TableContents"/>
              <w:bidi w:val="0"/>
              <w:spacing w:before="0" w:after="283"/>
              <w:ind w:left="0" w:right="0" w:hanging="0"/>
              <w:jc w:val="right"/>
              <w:rPr/>
            </w:pPr>
            <w:r>
              <w:rPr/>
              <w:t>—</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1,215,278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82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81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3,255</w:t>
            </w:r>
          </w:p>
        </w:tc>
        <w:tc>
          <w:tcPr>
            <w:tcW w:w="84" w:type="dxa"/>
            <w:tcBorders/>
            <w:shd w:fill="CCEEFF" w:val="cle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Fair Value of warrants issued with register direct offering</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407" w:type="dxa"/>
            <w:tcBorders/>
            <w:shd w:fill="FFFFFF" w:val="clear"/>
            <w:vAlign w:val="center"/>
          </w:tcPr>
          <w:p>
            <w:pPr>
              <w:pStyle w:val="TableContents"/>
              <w:bidi w:val="0"/>
              <w:spacing w:before="0" w:after="283"/>
              <w:ind w:left="0" w:right="0" w:hanging="0"/>
              <w:jc w:val="right"/>
              <w:rPr/>
            </w:pPr>
            <w:r>
              <w:rPr>
                <w:rStyle w:val="Emphasis"/>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413" w:type="dxa"/>
            <w:tcBorders/>
            <w:shd w:fill="FFFFFF" w:val="clear"/>
            <w:vAlign w:val="center"/>
          </w:tcPr>
          <w:p>
            <w:pPr>
              <w:pStyle w:val="TableContents"/>
              <w:bidi w:val="0"/>
              <w:spacing w:before="0" w:after="283"/>
              <w:ind w:left="0" w:right="0" w:hanging="0"/>
              <w:jc w:val="right"/>
              <w:rPr/>
            </w:pPr>
            <w:r>
              <w:rPr>
                <w:rStyle w:val="Emphasis"/>
              </w:rPr>
              <w:t>—</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(3,255</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82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817"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(3,255</w:t>
            </w:r>
          </w:p>
        </w:tc>
        <w:tc>
          <w:tcPr>
            <w:tcW w:w="84"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56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Amortization of prepaid offering costs</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407" w:type="dxa"/>
            <w:tcBorders/>
            <w:shd w:fill="CCEEFF" w:val="clear"/>
            <w:vAlign w:val="center"/>
          </w:tcPr>
          <w:p>
            <w:pPr>
              <w:pStyle w:val="TableContents"/>
              <w:bidi w:val="0"/>
              <w:spacing w:before="0" w:after="283"/>
              <w:ind w:left="0" w:right="0" w:hanging="0"/>
              <w:jc w:val="right"/>
              <w:rPr/>
            </w:pPr>
            <w:r>
              <w:rPr>
                <w:rStyle w:val="Emphasis"/>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413" w:type="dxa"/>
            <w:tcBorders/>
            <w:shd w:fill="CCEEFF" w:val="clear"/>
            <w:vAlign w:val="center"/>
          </w:tcPr>
          <w:p>
            <w:pPr>
              <w:pStyle w:val="TableContents"/>
              <w:bidi w:val="0"/>
              <w:spacing w:before="0" w:after="283"/>
              <w:ind w:left="0" w:right="0" w:hanging="0"/>
              <w:jc w:val="right"/>
              <w:rPr/>
            </w:pPr>
            <w:r>
              <w:rPr>
                <w:rStyle w:val="Emphasis"/>
              </w:rPr>
              <w:t>—</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82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81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w:t>
            </w:r>
          </w:p>
        </w:tc>
        <w:tc>
          <w:tcPr>
            <w:tcW w:w="84"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56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Shares issued as a result of repricing under VWAP</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407" w:type="dxa"/>
            <w:tcBorders/>
            <w:shd w:fill="FFFFFF" w:val="clear"/>
            <w:vAlign w:val="center"/>
          </w:tcPr>
          <w:p>
            <w:pPr>
              <w:pStyle w:val="TableContents"/>
              <w:bidi w:val="0"/>
              <w:spacing w:before="0" w:after="283"/>
              <w:ind w:left="0" w:right="0" w:hanging="0"/>
              <w:jc w:val="right"/>
              <w:rPr/>
            </w:pPr>
            <w:r>
              <w:rPr>
                <w:rStyle w:val="Emphasis"/>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413" w:type="dxa"/>
            <w:tcBorders/>
            <w:shd w:fill="FFFFFF" w:val="clear"/>
            <w:vAlign w:val="center"/>
          </w:tcPr>
          <w:p>
            <w:pPr>
              <w:pStyle w:val="TableContents"/>
              <w:bidi w:val="0"/>
              <w:spacing w:before="0" w:after="283"/>
              <w:ind w:left="0" w:right="0" w:hanging="0"/>
              <w:jc w:val="right"/>
              <w:rPr/>
            </w:pPr>
            <w:r>
              <w:rPr/>
              <w:t>—</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303,819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82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817"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629</w:t>
            </w:r>
          </w:p>
        </w:tc>
        <w:tc>
          <w:tcPr>
            <w:tcW w:w="84" w:type="dxa"/>
            <w:tcBorders/>
            <w:shd w:fill="FFFFFF" w:val="clear"/>
            <w:vAlign w:val="center"/>
          </w:tcPr>
          <w:p>
            <w:pPr>
              <w:pStyle w:val="TableContents"/>
              <w:bidi w:val="0"/>
              <w:spacing w:before="0" w:after="283"/>
              <w:jc w:val="left"/>
              <w:rPr/>
            </w:pPr>
            <w:r>
              <w:rPr/>
              <w:t> </w:t>
            </w:r>
          </w:p>
        </w:tc>
      </w:tr>
      <w:tr>
        <w:trPr/>
        <w:tc>
          <w:tcPr>
            <w:tcW w:w="256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Stock-based compensation</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407" w:type="dxa"/>
            <w:tcBorders/>
            <w:shd w:fill="CCEEFF" w:val="clear"/>
            <w:vAlign w:val="center"/>
          </w:tcPr>
          <w:p>
            <w:pPr>
              <w:pStyle w:val="TableContents"/>
              <w:bidi w:val="0"/>
              <w:spacing w:before="0" w:after="283"/>
              <w:ind w:left="0" w:right="0" w:hanging="0"/>
              <w:jc w:val="right"/>
              <w:rPr/>
            </w:pPr>
            <w:r>
              <w:rPr>
                <w:rStyle w:val="Emphasis"/>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413" w:type="dxa"/>
            <w:tcBorders/>
            <w:shd w:fill="CCEEFF" w:val="clear"/>
            <w:vAlign w:val="center"/>
          </w:tcPr>
          <w:p>
            <w:pPr>
              <w:pStyle w:val="TableContents"/>
              <w:bidi w:val="0"/>
              <w:spacing w:before="0" w:after="283"/>
              <w:ind w:left="0" w:right="0" w:hanging="0"/>
              <w:jc w:val="right"/>
              <w:rPr/>
            </w:pPr>
            <w:r>
              <w:rPr>
                <w:rStyle w:val="Emphasis"/>
              </w:rPr>
              <w:t>—</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82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81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w:t>
            </w:r>
          </w:p>
        </w:tc>
        <w:tc>
          <w:tcPr>
            <w:tcW w:w="84" w:type="dxa"/>
            <w:tcBorders/>
            <w:shd w:fill="CCEEFF" w:val="cle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loss</w:t>
            </w:r>
          </w:p>
        </w:tc>
        <w:tc>
          <w:tcPr>
            <w:tcW w:w="60" w:type="dxa"/>
            <w:tcBorders/>
            <w:shd w:fill="FFFFFF" w:val="clear"/>
            <w:vAlign w:val="center"/>
          </w:tcPr>
          <w:p>
            <w:pPr>
              <w:pStyle w:val="TableContents"/>
              <w:bidi w:val="0"/>
              <w:spacing w:before="0" w:after="283"/>
              <w:jc w:val="left"/>
              <w:rPr/>
            </w:pPr>
            <w:r>
              <w:rPr/>
              <w:t> </w:t>
            </w:r>
          </w:p>
        </w:tc>
        <w:tc>
          <w:tcPr>
            <w:tcW w:w="9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(5,512</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(5,512</w:t>
            </w:r>
          </w:p>
        </w:tc>
        <w:tc>
          <w:tcPr>
            <w:tcW w:w="84"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566"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 - March 31, 2025</w:t>
            </w:r>
          </w:p>
        </w:tc>
        <w:tc>
          <w:tcPr>
            <w:tcW w:w="60" w:type="dxa"/>
            <w:tcBorders/>
            <w:shd w:fill="CCEEFF" w:val="clear"/>
            <w:vAlign w:val="center"/>
          </w:tcPr>
          <w:p>
            <w:pPr>
              <w:pStyle w:val="TableContents"/>
              <w:bidi w:val="0"/>
              <w:spacing w:before="0" w:after="283"/>
              <w:jc w:val="left"/>
              <w:rPr/>
            </w:pPr>
            <w:r>
              <w:rPr/>
              <w:t> </w:t>
            </w:r>
          </w:p>
        </w:tc>
        <w:tc>
          <w:tcPr>
            <w:tcW w:w="9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1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17,120,120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4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258,607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(283,785</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(25,161</w:t>
            </w:r>
          </w:p>
        </w:tc>
        <w:tc>
          <w:tcPr>
            <w:tcW w:w="84"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r>
      <w:tr>
        <w:trPr/>
        <w:tc>
          <w:tcPr>
            <w:tcW w:w="256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Shares issued in exchange for services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407" w:type="dxa"/>
            <w:tcBorders/>
            <w:shd w:fill="FFFFFF" w:val="clear"/>
            <w:vAlign w:val="center"/>
          </w:tcPr>
          <w:p>
            <w:pPr>
              <w:pStyle w:val="TableContents"/>
              <w:bidi w:val="0"/>
              <w:spacing w:before="0" w:after="283"/>
              <w:ind w:left="0" w:right="0" w:hanging="0"/>
              <w:jc w:val="right"/>
              <w:rPr/>
            </w:pPr>
            <w:r>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413" w:type="dxa"/>
            <w:tcBorders/>
            <w:shd w:fill="FFFFFF" w:val="clear"/>
            <w:vAlign w:val="center"/>
          </w:tcPr>
          <w:p>
            <w:pPr>
              <w:pStyle w:val="TableContents"/>
              <w:bidi w:val="0"/>
              <w:spacing w:before="0" w:after="283"/>
              <w:ind w:left="0" w:right="0" w:hanging="0"/>
              <w:jc w:val="right"/>
              <w:rPr/>
            </w:pPr>
            <w:r>
              <w:rPr/>
              <w:t>—</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82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817"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150</w:t>
            </w:r>
          </w:p>
        </w:tc>
        <w:tc>
          <w:tcPr>
            <w:tcW w:w="84" w:type="dxa"/>
            <w:tcBorders/>
            <w:shd w:fill="FFFFFF" w:val="clear"/>
            <w:vAlign w:val="center"/>
          </w:tcPr>
          <w:p>
            <w:pPr>
              <w:pStyle w:val="TableContents"/>
              <w:bidi w:val="0"/>
              <w:spacing w:before="0" w:after="283"/>
              <w:jc w:val="left"/>
              <w:rPr/>
            </w:pPr>
            <w:r>
              <w:rPr/>
              <w:t> </w:t>
            </w:r>
          </w:p>
        </w:tc>
      </w:tr>
      <w:tr>
        <w:trPr/>
        <w:tc>
          <w:tcPr>
            <w:tcW w:w="256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Shares issued as conversion of principal and interest for convertible note</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407" w:type="dxa"/>
            <w:tcBorders/>
            <w:shd w:fill="CCEEFF" w:val="clear"/>
            <w:vAlign w:val="center"/>
          </w:tcPr>
          <w:p>
            <w:pPr>
              <w:pStyle w:val="TableContents"/>
              <w:bidi w:val="0"/>
              <w:spacing w:before="0" w:after="283"/>
              <w:ind w:left="0" w:right="0" w:hanging="0"/>
              <w:jc w:val="right"/>
              <w:rPr/>
            </w:pPr>
            <w:r>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413" w:type="dxa"/>
            <w:tcBorders/>
            <w:shd w:fill="CCEEFF" w:val="clear"/>
            <w:vAlign w:val="center"/>
          </w:tcPr>
          <w:p>
            <w:pPr>
              <w:pStyle w:val="TableContents"/>
              <w:bidi w:val="0"/>
              <w:spacing w:before="0" w:after="283"/>
              <w:ind w:left="0" w:right="0" w:hanging="0"/>
              <w:jc w:val="right"/>
              <w:rPr/>
            </w:pPr>
            <w:r>
              <w:rPr/>
              <w:t>—</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1,879,406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5,981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82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81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5,983</w:t>
            </w:r>
          </w:p>
        </w:tc>
        <w:tc>
          <w:tcPr>
            <w:tcW w:w="84" w:type="dxa"/>
            <w:tcBorders/>
            <w:shd w:fill="CCEEFF" w:val="cle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Amortization of deferred offering costs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407" w:type="dxa"/>
            <w:tcBorders/>
            <w:shd w:fill="FFFFFF" w:val="clear"/>
            <w:vAlign w:val="center"/>
          </w:tcPr>
          <w:p>
            <w:pPr>
              <w:pStyle w:val="TableContents"/>
              <w:bidi w:val="0"/>
              <w:spacing w:before="0" w:after="283"/>
              <w:ind w:left="0" w:right="0" w:hanging="0"/>
              <w:jc w:val="right"/>
              <w:rPr/>
            </w:pPr>
            <w:r>
              <w:rPr>
                <w:rStyle w:val="Emphasis"/>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413" w:type="dxa"/>
            <w:tcBorders/>
            <w:shd w:fill="FFFFFF" w:val="clear"/>
            <w:vAlign w:val="center"/>
          </w:tcPr>
          <w:p>
            <w:pPr>
              <w:pStyle w:val="TableContents"/>
              <w:bidi w:val="0"/>
              <w:spacing w:before="0" w:after="283"/>
              <w:ind w:left="0" w:right="0" w:hanging="0"/>
              <w:jc w:val="right"/>
              <w:rPr/>
            </w:pPr>
            <w:r>
              <w:rPr>
                <w:rStyle w:val="Emphasis"/>
              </w:rPr>
              <w:t>—</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(85</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82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817"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(85</w:t>
            </w:r>
          </w:p>
        </w:tc>
        <w:tc>
          <w:tcPr>
            <w:tcW w:w="84"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56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At-the-market “ATM” offering, net of offering costs of $26</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407" w:type="dxa"/>
            <w:tcBorders/>
            <w:shd w:fill="CCEEFF" w:val="clear"/>
            <w:vAlign w:val="center"/>
          </w:tcPr>
          <w:p>
            <w:pPr>
              <w:pStyle w:val="TableContents"/>
              <w:bidi w:val="0"/>
              <w:spacing w:before="0" w:after="283"/>
              <w:ind w:left="0" w:right="0" w:hanging="0"/>
              <w:jc w:val="right"/>
              <w:rPr/>
            </w:pPr>
            <w:r>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413" w:type="dxa"/>
            <w:tcBorders/>
            <w:shd w:fill="CCEEFF" w:val="clear"/>
            <w:vAlign w:val="center"/>
          </w:tcPr>
          <w:p>
            <w:pPr>
              <w:pStyle w:val="TableContents"/>
              <w:bidi w:val="0"/>
              <w:spacing w:before="0" w:after="283"/>
              <w:ind w:left="0" w:right="0" w:hanging="0"/>
              <w:jc w:val="right"/>
              <w:rPr/>
            </w:pPr>
            <w:r>
              <w:rPr/>
              <w:t>—</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399,078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82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81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1,012</w:t>
            </w:r>
          </w:p>
        </w:tc>
        <w:tc>
          <w:tcPr>
            <w:tcW w:w="84" w:type="dxa"/>
            <w:tcBorders/>
            <w:shd w:fill="CCEEFF" w:val="cle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Stock-based compensation</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407" w:type="dxa"/>
            <w:tcBorders/>
            <w:shd w:fill="FFFFFF" w:val="clear"/>
            <w:vAlign w:val="center"/>
          </w:tcPr>
          <w:p>
            <w:pPr>
              <w:pStyle w:val="TableContents"/>
              <w:bidi w:val="0"/>
              <w:spacing w:before="0" w:after="283"/>
              <w:ind w:left="0" w:right="0" w:hanging="0"/>
              <w:jc w:val="right"/>
              <w:rPr/>
            </w:pPr>
            <w:r>
              <w:rPr>
                <w:rStyle w:val="Emphasis"/>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413" w:type="dxa"/>
            <w:tcBorders/>
            <w:shd w:fill="FFFFFF" w:val="clear"/>
            <w:vAlign w:val="center"/>
          </w:tcPr>
          <w:p>
            <w:pPr>
              <w:pStyle w:val="TableContents"/>
              <w:bidi w:val="0"/>
              <w:spacing w:before="0" w:after="283"/>
              <w:ind w:left="0" w:right="0" w:hanging="0"/>
              <w:jc w:val="right"/>
              <w:rPr/>
            </w:pPr>
            <w:r>
              <w:rPr>
                <w:rStyle w:val="Emphasis"/>
              </w:rPr>
              <w:t>—</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82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817"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67</w:t>
            </w:r>
          </w:p>
        </w:tc>
        <w:tc>
          <w:tcPr>
            <w:tcW w:w="84" w:type="dxa"/>
            <w:tcBorders/>
            <w:shd w:fill="FFFFFF" w:val="clear"/>
            <w:vAlign w:val="center"/>
          </w:tcPr>
          <w:p>
            <w:pPr>
              <w:pStyle w:val="TableContents"/>
              <w:bidi w:val="0"/>
              <w:spacing w:before="0" w:after="283"/>
              <w:jc w:val="left"/>
              <w:rPr/>
            </w:pPr>
            <w:r>
              <w:rPr/>
              <w:t> </w:t>
            </w:r>
          </w:p>
        </w:tc>
      </w:tr>
      <w:tr>
        <w:trPr/>
        <w:tc>
          <w:tcPr>
            <w:tcW w:w="256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loss</w:t>
            </w:r>
          </w:p>
        </w:tc>
        <w:tc>
          <w:tcPr>
            <w:tcW w:w="60" w:type="dxa"/>
            <w:tcBorders/>
            <w:shd w:fill="CCEEFF" w:val="clear"/>
            <w:vAlign w:val="center"/>
          </w:tcPr>
          <w:p>
            <w:pPr>
              <w:pStyle w:val="TableContents"/>
              <w:bidi w:val="0"/>
              <w:spacing w:before="0" w:after="283"/>
              <w:jc w:val="left"/>
              <w:rPr/>
            </w:pPr>
            <w:r>
              <w:rPr/>
              <w:t> </w:t>
            </w:r>
          </w:p>
        </w:tc>
        <w:tc>
          <w:tcPr>
            <w:tcW w:w="9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(17,581</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(17,581</w:t>
            </w:r>
          </w:p>
        </w:tc>
        <w:tc>
          <w:tcPr>
            <w:tcW w:w="84"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56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b/>
                <w:caps w:val="false"/>
                <w:smallCaps w:val="false"/>
                <w:sz w:val="16"/>
              </w:rPr>
              <w:t xml:space="preserve">Balance </w:t>
            </w:r>
            <w:r>
              <w:rPr>
                <w:rFonts w:ascii="Times New Roman;Times;serif" w:hAnsi="Times New Roman;Times;serif"/>
                <w:caps w:val="false"/>
                <w:smallCaps w:val="false"/>
                <w:sz w:val="16"/>
              </w:rPr>
              <w:t xml:space="preserve">– </w:t>
            </w:r>
            <w:r>
              <w:rPr>
                <w:rFonts w:ascii="Times New Roman;Times;serif" w:hAnsi="Times New Roman;Times;serif"/>
                <w:b/>
                <w:caps w:val="false"/>
                <w:smallCaps w:val="false"/>
                <w:sz w:val="16"/>
              </w:rPr>
              <w:t>June 30, 2025</w:t>
            </w:r>
          </w:p>
        </w:tc>
        <w:tc>
          <w:tcPr>
            <w:tcW w:w="60" w:type="dxa"/>
            <w:tcBorders/>
            <w:shd w:fill="FFFFFF" w:val="clear"/>
            <w:vAlign w:val="center"/>
          </w:tcPr>
          <w:p>
            <w:pPr>
              <w:pStyle w:val="TableContents"/>
              <w:bidi w:val="0"/>
              <w:spacing w:before="0" w:after="283"/>
              <w:jc w:val="left"/>
              <w:rPr/>
            </w:pPr>
            <w:r>
              <w:rPr/>
              <w:t> </w:t>
            </w:r>
          </w:p>
        </w:tc>
        <w:tc>
          <w:tcPr>
            <w:tcW w:w="9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2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1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2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19,473,604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42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265,732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2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(301,366</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1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(35,615</w:t>
            </w:r>
          </w:p>
        </w:tc>
        <w:tc>
          <w:tcPr>
            <w:tcW w:w="84"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6" w:name="cf"/>
      <w:bookmarkEnd w:id="6"/>
      <w:r>
        <w:rPr>
          <w:rFonts w:ascii="Times New Roman" w:hAnsi="Times New Roman"/>
          <w:b/>
          <w:caps w:val="false"/>
          <w:smallCaps w:val="false"/>
          <w:sz w:val="20"/>
        </w:rPr>
        <w:t>NRX PHARMACEUTICALS,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CASH FLOWS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58"/>
        <w:gridCol w:w="60"/>
        <w:gridCol w:w="163"/>
        <w:gridCol w:w="849"/>
        <w:gridCol w:w="103"/>
        <w:gridCol w:w="77"/>
        <w:gridCol w:w="163"/>
        <w:gridCol w:w="849"/>
        <w:gridCol w:w="83"/>
      </w:tblGrid>
      <w:tr>
        <w:trPr/>
        <w:tc>
          <w:tcPr>
            <w:tcW w:w="78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0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83" w:type="dxa"/>
            <w:tcBorders/>
            <w:vAlign w:val="center"/>
          </w:tcPr>
          <w:p>
            <w:pPr>
              <w:pStyle w:val="TableContents"/>
              <w:bidi w:val="0"/>
              <w:spacing w:before="0" w:after="283"/>
              <w:jc w:val="left"/>
              <w:rPr/>
            </w:pPr>
            <w:r>
              <w:rPr/>
              <w:t> </w:t>
            </w:r>
          </w:p>
        </w:tc>
      </w:tr>
      <w:tr>
        <w:trPr/>
        <w:tc>
          <w:tcPr>
            <w:tcW w:w="78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03"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ind w:left="0" w:right="0" w:hanging="0"/>
              <w:jc w:val="left"/>
              <w:rPr/>
            </w:pPr>
            <w:r>
              <w:rPr/>
              <w:t> </w:t>
            </w:r>
          </w:p>
        </w:tc>
        <w:tc>
          <w:tcPr>
            <w:tcW w:w="10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3" w:type="dxa"/>
            <w:tcBorders/>
            <w:vAlign w:val="center"/>
          </w:tcPr>
          <w:p>
            <w:pPr>
              <w:pStyle w:val="TableContents"/>
              <w:bidi w:val="0"/>
              <w:spacing w:before="0" w:after="283"/>
              <w:jc w:val="left"/>
              <w:rPr/>
            </w:pPr>
            <w:r>
              <w:rPr/>
              <w:t> </w:t>
            </w:r>
          </w:p>
        </w:tc>
      </w:tr>
      <w:tr>
        <w:trPr/>
        <w:tc>
          <w:tcPr>
            <w:tcW w:w="7858"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85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6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(17,950</w:t>
            </w:r>
          </w:p>
        </w:tc>
        <w:tc>
          <w:tcPr>
            <w:tcW w:w="1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FFFFFF" w:val="clear"/>
            <w:vAlign w:val="center"/>
          </w:tcPr>
          <w:p>
            <w:pPr>
              <w:pStyle w:val="TableContents"/>
              <w:bidi w:val="0"/>
              <w:spacing w:before="0" w:after="283"/>
              <w:ind w:left="0" w:right="0" w:hanging="0"/>
              <w:jc w:val="left"/>
              <w:rPr/>
            </w:pPr>
            <w:r>
              <w:rPr/>
              <w:t> </w:t>
            </w:r>
          </w:p>
        </w:tc>
        <w:tc>
          <w:tcPr>
            <w:tcW w:w="16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(23,092</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85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 expense</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8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849" w:type="dxa"/>
            <w:tcBorders/>
            <w:shd w:fill="FFFFFF" w:val="clear"/>
            <w:vAlign w:val="center"/>
          </w:tcPr>
          <w:p>
            <w:pPr>
              <w:pStyle w:val="TableContents"/>
              <w:bidi w:val="0"/>
              <w:spacing w:before="0" w:after="283"/>
              <w:ind w:left="0" w:right="0" w:hanging="0"/>
              <w:jc w:val="right"/>
              <w:rPr/>
            </w:pPr>
            <w:r>
              <w:rPr/>
              <w:t>—</w:t>
            </w:r>
          </w:p>
        </w:tc>
        <w:tc>
          <w:tcPr>
            <w:tcW w:w="83" w:type="dxa"/>
            <w:tcBorders/>
            <w:shd w:fill="FFFFFF" w:val="clear"/>
            <w:vAlign w:val="center"/>
          </w:tcPr>
          <w:p>
            <w:pPr>
              <w:pStyle w:val="TableContents"/>
              <w:bidi w:val="0"/>
              <w:spacing w:before="0" w:after="283"/>
              <w:jc w:val="left"/>
              <w:rPr/>
            </w:pPr>
            <w:r>
              <w:rPr/>
              <w:t> </w:t>
            </w:r>
          </w:p>
        </w:tc>
      </w:tr>
      <w:tr>
        <w:trPr/>
        <w:tc>
          <w:tcPr>
            <w:tcW w:w="785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operating right of use assets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8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849" w:type="dxa"/>
            <w:tcBorders/>
            <w:shd w:fill="CCEEFF" w:val="clear"/>
            <w:vAlign w:val="center"/>
          </w:tcPr>
          <w:p>
            <w:pPr>
              <w:pStyle w:val="TableContents"/>
              <w:bidi w:val="0"/>
              <w:spacing w:before="0" w:after="283"/>
              <w:ind w:left="0" w:right="0" w:hanging="0"/>
              <w:jc w:val="right"/>
              <w:rPr/>
            </w:pPr>
            <w:r>
              <w:rPr/>
              <w:t>—</w:t>
            </w:r>
          </w:p>
        </w:tc>
        <w:tc>
          <w:tcPr>
            <w:tcW w:w="83" w:type="dxa"/>
            <w:tcBorders/>
            <w:shd w:fill="CCEEFF" w:val="clear"/>
            <w:vAlign w:val="center"/>
          </w:tcPr>
          <w:p>
            <w:pPr>
              <w:pStyle w:val="TableContents"/>
              <w:bidi w:val="0"/>
              <w:spacing w:before="0" w:after="283"/>
              <w:jc w:val="left"/>
              <w:rPr/>
            </w:pPr>
            <w:r>
              <w:rPr/>
              <w:t> </w:t>
            </w:r>
          </w:p>
        </w:tc>
      </w:tr>
      <w:tr>
        <w:trPr/>
        <w:tc>
          <w:tcPr>
            <w:tcW w:w="785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8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8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w:t>
            </w:r>
          </w:p>
        </w:tc>
        <w:tc>
          <w:tcPr>
            <w:tcW w:w="83" w:type="dxa"/>
            <w:tcBorders/>
            <w:shd w:fill="FFFFFF" w:val="clear"/>
            <w:vAlign w:val="center"/>
          </w:tcPr>
          <w:p>
            <w:pPr>
              <w:pStyle w:val="TableContents"/>
              <w:bidi w:val="0"/>
              <w:spacing w:before="0" w:after="283"/>
              <w:jc w:val="left"/>
              <w:rPr/>
            </w:pPr>
            <w:r>
              <w:rPr/>
              <w:t> </w:t>
            </w:r>
          </w:p>
        </w:tc>
      </w:tr>
      <w:tr>
        <w:trPr/>
        <w:tc>
          <w:tcPr>
            <w:tcW w:w="785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issued in exchange for services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8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972</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8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w:t>
            </w:r>
          </w:p>
        </w:tc>
        <w:tc>
          <w:tcPr>
            <w:tcW w:w="83" w:type="dxa"/>
            <w:tcBorders/>
            <w:shd w:fill="CCEEFF" w:val="clear"/>
            <w:vAlign w:val="center"/>
          </w:tcPr>
          <w:p>
            <w:pPr>
              <w:pStyle w:val="TableContents"/>
              <w:bidi w:val="0"/>
              <w:spacing w:before="0" w:after="283"/>
              <w:jc w:val="left"/>
              <w:rPr/>
            </w:pPr>
            <w:r>
              <w:rPr/>
              <w:t> </w:t>
            </w:r>
          </w:p>
        </w:tc>
      </w:tr>
      <w:tr>
        <w:trPr/>
        <w:tc>
          <w:tcPr>
            <w:tcW w:w="785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credit losses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8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849" w:type="dxa"/>
            <w:tcBorders/>
            <w:shd w:fill="FFFFFF" w:val="clear"/>
            <w:vAlign w:val="center"/>
          </w:tcPr>
          <w:p>
            <w:pPr>
              <w:pStyle w:val="TableContents"/>
              <w:bidi w:val="0"/>
              <w:spacing w:before="0" w:after="283"/>
              <w:ind w:left="0" w:right="0" w:hanging="0"/>
              <w:jc w:val="right"/>
              <w:rPr/>
            </w:pPr>
            <w:r>
              <w:rPr/>
              <w:t>—</w:t>
            </w:r>
          </w:p>
        </w:tc>
        <w:tc>
          <w:tcPr>
            <w:tcW w:w="83" w:type="dxa"/>
            <w:tcBorders/>
            <w:shd w:fill="FFFFFF" w:val="clear"/>
            <w:vAlign w:val="center"/>
          </w:tcPr>
          <w:p>
            <w:pPr>
              <w:pStyle w:val="TableContents"/>
              <w:bidi w:val="0"/>
              <w:spacing w:before="0" w:after="283"/>
              <w:jc w:val="left"/>
              <w:rPr/>
            </w:pPr>
            <w:r>
              <w:rPr/>
              <w:t> </w:t>
            </w:r>
          </w:p>
        </w:tc>
      </w:tr>
      <w:tr>
        <w:trPr/>
        <w:tc>
          <w:tcPr>
            <w:tcW w:w="785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warrant liabilities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8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6,246</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8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3,518</w:t>
            </w:r>
          </w:p>
        </w:tc>
        <w:tc>
          <w:tcPr>
            <w:tcW w:w="83" w:type="dxa"/>
            <w:tcBorders/>
            <w:shd w:fill="CCEEFF" w:val="clear"/>
            <w:vAlign w:val="center"/>
          </w:tcPr>
          <w:p>
            <w:pPr>
              <w:pStyle w:val="TableContents"/>
              <w:bidi w:val="0"/>
              <w:spacing w:before="0" w:after="283"/>
              <w:jc w:val="left"/>
              <w:rPr/>
            </w:pPr>
            <w:r>
              <w:rPr/>
              <w:t> </w:t>
            </w:r>
          </w:p>
        </w:tc>
      </w:tr>
      <w:tr>
        <w:trPr/>
        <w:tc>
          <w:tcPr>
            <w:tcW w:w="785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convertible promissory notes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849" w:type="dxa"/>
            <w:tcBorders/>
            <w:shd w:fill="FFFFFF" w:val="clear"/>
            <w:vAlign w:val="center"/>
          </w:tcPr>
          <w:p>
            <w:pPr>
              <w:pStyle w:val="TableContents"/>
              <w:bidi w:val="0"/>
              <w:spacing w:before="0" w:after="283"/>
              <w:ind w:left="0" w:right="0" w:hanging="0"/>
              <w:jc w:val="right"/>
              <w:rPr/>
            </w:pPr>
            <w:r>
              <w:rPr/>
              <w:t>—</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8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6,530</w:t>
            </w:r>
          </w:p>
        </w:tc>
        <w:tc>
          <w:tcPr>
            <w:tcW w:w="83" w:type="dxa"/>
            <w:tcBorders/>
            <w:shd w:fill="FFFFFF" w:val="clear"/>
            <w:vAlign w:val="center"/>
          </w:tcPr>
          <w:p>
            <w:pPr>
              <w:pStyle w:val="TableContents"/>
              <w:bidi w:val="0"/>
              <w:spacing w:before="0" w:after="283"/>
              <w:jc w:val="left"/>
              <w:rPr/>
            </w:pPr>
            <w:r>
              <w:rPr/>
              <w:t> </w:t>
            </w:r>
          </w:p>
        </w:tc>
      </w:tr>
      <w:tr>
        <w:trPr/>
        <w:tc>
          <w:tcPr>
            <w:tcW w:w="785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convertible note conversions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849" w:type="dxa"/>
            <w:tcBorders/>
            <w:shd w:fill="CCEEFF" w:val="clear"/>
            <w:vAlign w:val="center"/>
          </w:tcPr>
          <w:p>
            <w:pPr>
              <w:pStyle w:val="TableContents"/>
              <w:bidi w:val="0"/>
              <w:spacing w:before="0" w:after="283"/>
              <w:ind w:left="0" w:right="0" w:hanging="0"/>
              <w:jc w:val="right"/>
              <w:rPr/>
            </w:pPr>
            <w:r>
              <w:rPr/>
              <w:t>—</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8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3,467</w:t>
            </w:r>
          </w:p>
        </w:tc>
        <w:tc>
          <w:tcPr>
            <w:tcW w:w="83" w:type="dxa"/>
            <w:tcBorders/>
            <w:shd w:fill="CCEEFF" w:val="clear"/>
            <w:vAlign w:val="center"/>
          </w:tcPr>
          <w:p>
            <w:pPr>
              <w:pStyle w:val="TableContents"/>
              <w:bidi w:val="0"/>
              <w:spacing w:before="0" w:after="283"/>
              <w:jc w:val="left"/>
              <w:rPr/>
            </w:pPr>
            <w:r>
              <w:rPr/>
              <w:t> </w:t>
            </w:r>
          </w:p>
        </w:tc>
      </w:tr>
      <w:tr>
        <w:trPr/>
        <w:tc>
          <w:tcPr>
            <w:tcW w:w="785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issuance of registered direct Common Stock</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849" w:type="dxa"/>
            <w:tcBorders/>
            <w:shd w:fill="FFFFFF" w:val="clear"/>
            <w:vAlign w:val="center"/>
          </w:tcPr>
          <w:p>
            <w:pPr>
              <w:pStyle w:val="TableContents"/>
              <w:bidi w:val="0"/>
              <w:spacing w:before="0" w:after="283"/>
              <w:ind w:left="0" w:right="0" w:hanging="0"/>
              <w:jc w:val="right"/>
              <w:rPr/>
            </w:pPr>
            <w:r>
              <w:rPr/>
              <w:t>—</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8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729</w:t>
            </w:r>
          </w:p>
        </w:tc>
        <w:tc>
          <w:tcPr>
            <w:tcW w:w="83" w:type="dxa"/>
            <w:tcBorders/>
            <w:shd w:fill="FFFFFF" w:val="clear"/>
            <w:vAlign w:val="center"/>
          </w:tcPr>
          <w:p>
            <w:pPr>
              <w:pStyle w:val="TableContents"/>
              <w:bidi w:val="0"/>
              <w:spacing w:before="0" w:after="283"/>
              <w:jc w:val="left"/>
              <w:rPr/>
            </w:pPr>
            <w:r>
              <w:rPr/>
              <w:t> </w:t>
            </w:r>
          </w:p>
        </w:tc>
      </w:tr>
      <w:tr>
        <w:trPr/>
        <w:tc>
          <w:tcPr>
            <w:tcW w:w="785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Consideration Shares and Warrants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849" w:type="dxa"/>
            <w:tcBorders/>
            <w:shd w:fill="CCEEFF" w:val="clear"/>
            <w:vAlign w:val="center"/>
          </w:tcPr>
          <w:p>
            <w:pPr>
              <w:pStyle w:val="TableContents"/>
              <w:bidi w:val="0"/>
              <w:spacing w:before="0" w:after="283"/>
              <w:ind w:left="0" w:right="0" w:hanging="0"/>
              <w:jc w:val="right"/>
              <w:rPr/>
            </w:pPr>
            <w:r>
              <w:rPr/>
              <w:t>—</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8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1,277</w:t>
            </w:r>
          </w:p>
        </w:tc>
        <w:tc>
          <w:tcPr>
            <w:tcW w:w="83" w:type="dxa"/>
            <w:tcBorders/>
            <w:shd w:fill="CCEEFF" w:val="clear"/>
            <w:vAlign w:val="center"/>
          </w:tcPr>
          <w:p>
            <w:pPr>
              <w:pStyle w:val="TableContents"/>
              <w:bidi w:val="0"/>
              <w:spacing w:before="0" w:after="283"/>
              <w:jc w:val="left"/>
              <w:rPr/>
            </w:pPr>
            <w:r>
              <w:rPr/>
              <w:t> </w:t>
            </w:r>
          </w:p>
        </w:tc>
      </w:tr>
      <w:tr>
        <w:trPr/>
        <w:tc>
          <w:tcPr>
            <w:tcW w:w="785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from equity method investments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8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1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849" w:type="dxa"/>
            <w:tcBorders/>
            <w:shd w:fill="FFFFFF" w:val="clear"/>
            <w:vAlign w:val="center"/>
          </w:tcPr>
          <w:p>
            <w:pPr>
              <w:pStyle w:val="TableContents"/>
              <w:bidi w:val="0"/>
              <w:spacing w:before="0" w:after="283"/>
              <w:ind w:left="0" w:right="0" w:hanging="0"/>
              <w:jc w:val="right"/>
              <w:rPr/>
            </w:pPr>
            <w:r>
              <w:rPr/>
              <w:t>—</w:t>
            </w:r>
          </w:p>
        </w:tc>
        <w:tc>
          <w:tcPr>
            <w:tcW w:w="83" w:type="dxa"/>
            <w:tcBorders/>
            <w:shd w:fill="FFFFFF" w:val="clear"/>
            <w:vAlign w:val="center"/>
          </w:tcPr>
          <w:p>
            <w:pPr>
              <w:pStyle w:val="TableContents"/>
              <w:bidi w:val="0"/>
              <w:spacing w:before="0" w:after="283"/>
              <w:jc w:val="left"/>
              <w:rPr/>
            </w:pPr>
            <w:r>
              <w:rPr/>
              <w:t> </w:t>
            </w:r>
          </w:p>
        </w:tc>
      </w:tr>
      <w:tr>
        <w:trPr/>
        <w:tc>
          <w:tcPr>
            <w:tcW w:w="785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Expense for debt issuance costs due to fair value election on Anson Notes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849" w:type="dxa"/>
            <w:tcBorders/>
            <w:shd w:fill="CCEEFF" w:val="clear"/>
            <w:vAlign w:val="center"/>
          </w:tcPr>
          <w:p>
            <w:pPr>
              <w:pStyle w:val="TableContents"/>
              <w:bidi w:val="0"/>
              <w:spacing w:before="0" w:after="283"/>
              <w:ind w:left="0" w:right="0" w:hanging="0"/>
              <w:jc w:val="right"/>
              <w:rPr/>
            </w:pPr>
            <w:r>
              <w:rPr/>
              <w:t>—</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8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w:t>
            </w:r>
          </w:p>
        </w:tc>
        <w:tc>
          <w:tcPr>
            <w:tcW w:w="83" w:type="dxa"/>
            <w:tcBorders/>
            <w:shd w:fill="CCEEFF" w:val="clear"/>
            <w:vAlign w:val="center"/>
          </w:tcPr>
          <w:p>
            <w:pPr>
              <w:pStyle w:val="TableContents"/>
              <w:bidi w:val="0"/>
              <w:spacing w:before="0" w:after="283"/>
              <w:jc w:val="left"/>
              <w:rPr/>
            </w:pPr>
            <w:r>
              <w:rPr/>
              <w:t> </w:t>
            </w:r>
          </w:p>
        </w:tc>
      </w:tr>
      <w:tr>
        <w:trPr/>
        <w:tc>
          <w:tcPr>
            <w:tcW w:w="785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85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 and other assets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8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(1,392</w:t>
            </w:r>
          </w:p>
        </w:tc>
        <w:tc>
          <w:tcPr>
            <w:tcW w:w="1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8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w:t>
            </w:r>
          </w:p>
        </w:tc>
        <w:tc>
          <w:tcPr>
            <w:tcW w:w="83" w:type="dxa"/>
            <w:tcBorders/>
            <w:shd w:fill="CCEEFF" w:val="clear"/>
            <w:vAlign w:val="center"/>
          </w:tcPr>
          <w:p>
            <w:pPr>
              <w:pStyle w:val="TableContents"/>
              <w:bidi w:val="0"/>
              <w:spacing w:before="0" w:after="283"/>
              <w:jc w:val="left"/>
              <w:rPr/>
            </w:pPr>
            <w:r>
              <w:rPr/>
              <w:t> </w:t>
            </w:r>
          </w:p>
        </w:tc>
      </w:tr>
      <w:tr>
        <w:trPr/>
        <w:tc>
          <w:tcPr>
            <w:tcW w:w="785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 receivable</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8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w:t>
            </w:r>
          </w:p>
        </w:tc>
        <w:tc>
          <w:tcPr>
            <w:tcW w:w="1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849" w:type="dxa"/>
            <w:tcBorders/>
            <w:shd w:fill="FFFFFF" w:val="clear"/>
            <w:vAlign w:val="center"/>
          </w:tcPr>
          <w:p>
            <w:pPr>
              <w:pStyle w:val="TableContents"/>
              <w:bidi w:val="0"/>
              <w:spacing w:before="0" w:after="283"/>
              <w:ind w:left="0" w:right="0" w:hanging="0"/>
              <w:jc w:val="right"/>
              <w:rPr/>
            </w:pPr>
            <w:r>
              <w:rPr/>
              <w:t>—</w:t>
            </w:r>
          </w:p>
        </w:tc>
        <w:tc>
          <w:tcPr>
            <w:tcW w:w="83" w:type="dxa"/>
            <w:tcBorders/>
            <w:shd w:fill="FFFFFF" w:val="clear"/>
            <w:vAlign w:val="center"/>
          </w:tcPr>
          <w:p>
            <w:pPr>
              <w:pStyle w:val="TableContents"/>
              <w:bidi w:val="0"/>
              <w:spacing w:before="0" w:after="283"/>
              <w:jc w:val="left"/>
              <w:rPr/>
            </w:pPr>
            <w:r>
              <w:rPr/>
              <w:t> </w:t>
            </w:r>
          </w:p>
        </w:tc>
      </w:tr>
      <w:tr>
        <w:trPr/>
        <w:tc>
          <w:tcPr>
            <w:tcW w:w="785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8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(1,124</w:t>
            </w:r>
          </w:p>
        </w:tc>
        <w:tc>
          <w:tcPr>
            <w:tcW w:w="1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8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(501</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8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w:t>
            </w:r>
          </w:p>
        </w:tc>
        <w:tc>
          <w:tcPr>
            <w:tcW w:w="1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849" w:type="dxa"/>
            <w:tcBorders/>
            <w:shd w:fill="FFFFFF" w:val="clear"/>
            <w:vAlign w:val="center"/>
          </w:tcPr>
          <w:p>
            <w:pPr>
              <w:pStyle w:val="TableContents"/>
              <w:bidi w:val="0"/>
              <w:spacing w:before="0" w:after="283"/>
              <w:ind w:left="0" w:right="0" w:hanging="0"/>
              <w:jc w:val="right"/>
              <w:rPr/>
            </w:pPr>
            <w:r>
              <w:rPr/>
              <w:t>—</w:t>
            </w:r>
          </w:p>
        </w:tc>
        <w:tc>
          <w:tcPr>
            <w:tcW w:w="83" w:type="dxa"/>
            <w:tcBorders/>
            <w:shd w:fill="FFFFFF" w:val="clear"/>
            <w:vAlign w:val="center"/>
          </w:tcPr>
          <w:p>
            <w:pPr>
              <w:pStyle w:val="TableContents"/>
              <w:bidi w:val="0"/>
              <w:spacing w:before="0" w:after="283"/>
              <w:jc w:val="left"/>
              <w:rPr/>
            </w:pPr>
            <w:r>
              <w:rPr/>
              <w:t> </w:t>
            </w:r>
          </w:p>
        </w:tc>
      </w:tr>
      <w:tr>
        <w:trPr/>
        <w:tc>
          <w:tcPr>
            <w:tcW w:w="785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expense and other liabilities</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w:t>
            </w:r>
          </w:p>
        </w:tc>
        <w:tc>
          <w:tcPr>
            <w:tcW w:w="1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CCEEFF" w:val="clear"/>
            <w:vAlign w:val="center"/>
          </w:tcPr>
          <w:p>
            <w:pPr>
              <w:pStyle w:val="TableContents"/>
              <w:bidi w:val="0"/>
              <w:spacing w:before="0" w:after="283"/>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(13,170</w:t>
            </w:r>
          </w:p>
        </w:tc>
        <w:tc>
          <w:tcPr>
            <w:tcW w:w="1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FFFFFF" w:val="clear"/>
            <w:vAlign w:val="center"/>
          </w:tcPr>
          <w:p>
            <w:pPr>
              <w:pStyle w:val="TableContents"/>
              <w:bidi w:val="0"/>
              <w:spacing w:before="0" w:after="283"/>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(7,508</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8"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85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 of Property and equipment</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(897</w:t>
            </w:r>
          </w:p>
        </w:tc>
        <w:tc>
          <w:tcPr>
            <w:tcW w:w="1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FFFFFF" w:val="clear"/>
            <w:vAlign w:val="center"/>
          </w:tcPr>
          <w:p>
            <w:pPr>
              <w:pStyle w:val="TableContents"/>
              <w:bidi w:val="0"/>
              <w:spacing w:before="0" w:after="283"/>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3" w:type="dxa"/>
            <w:tcBorders/>
            <w:shd w:fill="FFFFFF" w:val="clear"/>
            <w:vAlign w:val="center"/>
          </w:tcPr>
          <w:p>
            <w:pPr>
              <w:pStyle w:val="TableContents"/>
              <w:bidi w:val="0"/>
              <w:spacing w:before="0" w:after="283"/>
              <w:jc w:val="left"/>
              <w:rPr/>
            </w:pPr>
            <w:r>
              <w:rPr/>
              <w:t> </w:t>
            </w:r>
          </w:p>
        </w:tc>
      </w:tr>
      <w:tr>
        <w:trPr/>
        <w:tc>
          <w:tcPr>
            <w:tcW w:w="785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(897</w:t>
            </w:r>
          </w:p>
        </w:tc>
        <w:tc>
          <w:tcPr>
            <w:tcW w:w="1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CCEEFF" w:val="clear"/>
            <w:vAlign w:val="center"/>
          </w:tcPr>
          <w:p>
            <w:pPr>
              <w:pStyle w:val="TableContents"/>
              <w:bidi w:val="0"/>
              <w:spacing w:before="0" w:after="283"/>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3" w:type="dxa"/>
            <w:tcBorders/>
            <w:shd w:fill="CCEEFF" w:val="clear"/>
            <w:vAlign w:val="center"/>
          </w:tcPr>
          <w:p>
            <w:pPr>
              <w:pStyle w:val="TableContents"/>
              <w:bidi w:val="0"/>
              <w:spacing w:before="0" w:after="283"/>
              <w:jc w:val="left"/>
              <w:rPr/>
            </w:pPr>
            <w:r>
              <w:rPr/>
              <w:t> </w:t>
            </w:r>
          </w:p>
        </w:tc>
      </w:tr>
      <w:tr>
        <w:trPr/>
        <w:tc>
          <w:tcPr>
            <w:tcW w:w="7858"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85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 of insurance note</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8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1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8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Expense for debt issuance costs due to fair value election on Anson Notes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849" w:type="dxa"/>
            <w:tcBorders/>
            <w:shd w:fill="FFFFFF" w:val="clear"/>
            <w:vAlign w:val="center"/>
          </w:tcPr>
          <w:p>
            <w:pPr>
              <w:pStyle w:val="TableContents"/>
              <w:bidi w:val="0"/>
              <w:spacing w:before="0" w:after="283"/>
              <w:ind w:left="0" w:right="0" w:hanging="0"/>
              <w:jc w:val="right"/>
              <w:rPr/>
            </w:pPr>
            <w:r>
              <w:rPr/>
              <w:t>—</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8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ATM offering, net of offering costs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8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11,828</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8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1,012</w:t>
            </w:r>
          </w:p>
        </w:tc>
        <w:tc>
          <w:tcPr>
            <w:tcW w:w="83" w:type="dxa"/>
            <w:tcBorders/>
            <w:shd w:fill="CCEEFF" w:val="clear"/>
            <w:vAlign w:val="center"/>
          </w:tcPr>
          <w:p>
            <w:pPr>
              <w:pStyle w:val="TableContents"/>
              <w:bidi w:val="0"/>
              <w:spacing w:before="0" w:after="283"/>
              <w:jc w:val="left"/>
              <w:rPr/>
            </w:pPr>
            <w:r>
              <w:rPr/>
              <w:t> </w:t>
            </w:r>
          </w:p>
        </w:tc>
      </w:tr>
      <w:tr>
        <w:trPr/>
        <w:tc>
          <w:tcPr>
            <w:tcW w:w="785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issuance of insurance loan</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8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462</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8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452</w:t>
            </w:r>
          </w:p>
        </w:tc>
        <w:tc>
          <w:tcPr>
            <w:tcW w:w="83" w:type="dxa"/>
            <w:tcBorders/>
            <w:shd w:fill="FFFFFF" w:val="clear"/>
            <w:vAlign w:val="center"/>
          </w:tcPr>
          <w:p>
            <w:pPr>
              <w:pStyle w:val="TableContents"/>
              <w:bidi w:val="0"/>
              <w:spacing w:before="0" w:after="283"/>
              <w:jc w:val="left"/>
              <w:rPr/>
            </w:pPr>
            <w:r>
              <w:rPr/>
              <w:t> </w:t>
            </w:r>
          </w:p>
        </w:tc>
      </w:tr>
      <w:tr>
        <w:trPr/>
        <w:tc>
          <w:tcPr>
            <w:tcW w:w="785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issuance of Common Stock in underwritten public offering, net of issuance costs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8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20,716</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849" w:type="dxa"/>
            <w:tcBorders/>
            <w:shd w:fill="CCEEFF" w:val="clear"/>
            <w:vAlign w:val="center"/>
          </w:tcPr>
          <w:p>
            <w:pPr>
              <w:pStyle w:val="TableContents"/>
              <w:bidi w:val="0"/>
              <w:spacing w:before="0" w:after="283"/>
              <w:ind w:left="0" w:right="0" w:hanging="0"/>
              <w:jc w:val="right"/>
              <w:rPr/>
            </w:pPr>
            <w:r>
              <w:rPr/>
              <w:t>—</w:t>
            </w:r>
          </w:p>
        </w:tc>
        <w:tc>
          <w:tcPr>
            <w:tcW w:w="83" w:type="dxa"/>
            <w:tcBorders/>
            <w:shd w:fill="CCEEFF" w:val="clear"/>
            <w:vAlign w:val="center"/>
          </w:tcPr>
          <w:p>
            <w:pPr>
              <w:pStyle w:val="TableContents"/>
              <w:bidi w:val="0"/>
              <w:spacing w:before="0" w:after="283"/>
              <w:jc w:val="left"/>
              <w:rPr/>
            </w:pPr>
            <w:r>
              <w:rPr/>
              <w:t> </w:t>
            </w:r>
          </w:p>
        </w:tc>
      </w:tr>
      <w:tr>
        <w:trPr/>
        <w:tc>
          <w:tcPr>
            <w:tcW w:w="785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issuance of Common Stock and warrants issued in registered direct offering, net of issuance costs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849" w:type="dxa"/>
            <w:tcBorders/>
            <w:shd w:fill="FFFFFF" w:val="clear"/>
            <w:vAlign w:val="center"/>
          </w:tcPr>
          <w:p>
            <w:pPr>
              <w:pStyle w:val="TableContents"/>
              <w:bidi w:val="0"/>
              <w:spacing w:before="0" w:after="283"/>
              <w:ind w:left="0" w:right="0" w:hanging="0"/>
              <w:jc w:val="right"/>
              <w:rPr/>
            </w:pPr>
            <w:r>
              <w:rPr/>
              <w:t>—</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8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3,255</w:t>
            </w:r>
          </w:p>
        </w:tc>
        <w:tc>
          <w:tcPr>
            <w:tcW w:w="83" w:type="dxa"/>
            <w:tcBorders/>
            <w:shd w:fill="FFFFFF" w:val="clear"/>
            <w:vAlign w:val="center"/>
          </w:tcPr>
          <w:p>
            <w:pPr>
              <w:pStyle w:val="TableContents"/>
              <w:bidi w:val="0"/>
              <w:spacing w:before="0" w:after="283"/>
              <w:jc w:val="left"/>
              <w:rPr/>
            </w:pPr>
            <w:r>
              <w:rPr/>
              <w:t> </w:t>
            </w:r>
          </w:p>
        </w:tc>
      </w:tr>
      <w:tr>
        <w:trPr/>
        <w:tc>
          <w:tcPr>
            <w:tcW w:w="785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Anson convertible notes, net of OID</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w:t>
            </w:r>
          </w:p>
        </w:tc>
        <w:tc>
          <w:tcPr>
            <w:tcW w:w="83" w:type="dxa"/>
            <w:tcBorders/>
            <w:shd w:fill="CCEEFF" w:val="clear"/>
            <w:vAlign w:val="center"/>
          </w:tcPr>
          <w:p>
            <w:pPr>
              <w:pStyle w:val="TableContents"/>
              <w:bidi w:val="0"/>
              <w:spacing w:before="0" w:after="283"/>
              <w:jc w:val="left"/>
              <w:rPr/>
            </w:pPr>
            <w:r>
              <w:rPr/>
              <w:t> </w:t>
            </w:r>
          </w:p>
        </w:tc>
      </w:tr>
      <w:tr>
        <w:trPr/>
        <w:tc>
          <w:tcPr>
            <w:tcW w:w="785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32,956</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8,975</w:t>
            </w:r>
          </w:p>
        </w:tc>
        <w:tc>
          <w:tcPr>
            <w:tcW w:w="83" w:type="dxa"/>
            <w:tcBorders/>
            <w:shd w:fill="FFFFFF" w:val="clear"/>
            <w:vAlign w:val="center"/>
          </w:tcPr>
          <w:p>
            <w:pPr>
              <w:pStyle w:val="TableContents"/>
              <w:bidi w:val="0"/>
              <w:spacing w:before="0" w:after="283"/>
              <w:jc w:val="left"/>
              <w:rPr/>
            </w:pPr>
            <w:r>
              <w:rPr/>
              <w:t> </w:t>
            </w:r>
          </w:p>
        </w:tc>
      </w:tr>
      <w:tr>
        <w:trPr/>
        <w:tc>
          <w:tcPr>
            <w:tcW w:w="78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858"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increase in cash and cash equivalents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8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18,889</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8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1,467</w:t>
            </w:r>
          </w:p>
        </w:tc>
        <w:tc>
          <w:tcPr>
            <w:tcW w:w="83" w:type="dxa"/>
            <w:tcBorders/>
            <w:shd w:fill="FFFFFF" w:val="clear"/>
            <w:vAlign w:val="center"/>
          </w:tcPr>
          <w:p>
            <w:pPr>
              <w:pStyle w:val="TableContents"/>
              <w:bidi w:val="0"/>
              <w:spacing w:before="0" w:after="283"/>
              <w:jc w:val="left"/>
              <w:rPr/>
            </w:pPr>
            <w:r>
              <w:rPr/>
              <w:t> </w:t>
            </w:r>
          </w:p>
        </w:tc>
      </w:tr>
      <w:tr>
        <w:trPr/>
        <w:tc>
          <w:tcPr>
            <w:tcW w:w="785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at beginning of period</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7,797</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1,443</w:t>
            </w:r>
          </w:p>
        </w:tc>
        <w:tc>
          <w:tcPr>
            <w:tcW w:w="83" w:type="dxa"/>
            <w:tcBorders/>
            <w:shd w:fill="CCEEFF" w:val="clear"/>
            <w:vAlign w:val="center"/>
          </w:tcPr>
          <w:p>
            <w:pPr>
              <w:pStyle w:val="TableContents"/>
              <w:bidi w:val="0"/>
              <w:spacing w:before="0" w:after="283"/>
              <w:jc w:val="left"/>
              <w:rPr/>
            </w:pPr>
            <w:r>
              <w:rPr/>
              <w:t> </w:t>
            </w:r>
          </w:p>
        </w:tc>
      </w:tr>
      <w:tr>
        <w:trPr/>
        <w:tc>
          <w:tcPr>
            <w:tcW w:w="785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26,686</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2,910</w:t>
            </w:r>
          </w:p>
        </w:tc>
        <w:tc>
          <w:tcPr>
            <w:tcW w:w="83" w:type="dxa"/>
            <w:tcBorders/>
            <w:shd w:fill="FFFFFF" w:val="clear"/>
            <w:vAlign w:val="center"/>
          </w:tcPr>
          <w:p>
            <w:pPr>
              <w:pStyle w:val="TableContents"/>
              <w:bidi w:val="0"/>
              <w:spacing w:before="0" w:after="283"/>
              <w:jc w:val="left"/>
              <w:rPr/>
            </w:pPr>
            <w:r>
              <w:rPr/>
              <w:t> </w:t>
            </w:r>
          </w:p>
        </w:tc>
      </w:tr>
      <w:tr>
        <w:trPr/>
        <w:tc>
          <w:tcPr>
            <w:tcW w:w="7858"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Supplemental disclosure of cash flow information:</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85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interest</w:t>
            </w:r>
          </w:p>
        </w:tc>
        <w:tc>
          <w:tcPr>
            <w:tcW w:w="60" w:type="dxa"/>
            <w:tcBorders/>
            <w:shd w:fill="FFFFFF" w:val="clear"/>
            <w:vAlign w:val="center"/>
          </w:tcPr>
          <w:p>
            <w:pPr>
              <w:pStyle w:val="TableContents"/>
              <w:bidi w:val="0"/>
              <w:spacing w:before="0" w:after="283"/>
              <w:ind w:left="0" w:right="0" w:hanging="0"/>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3" w:type="dxa"/>
            <w:tcBorders/>
            <w:shd w:fill="FFFFFF" w:val="clear"/>
            <w:vAlign w:val="center"/>
          </w:tcPr>
          <w:p>
            <w:pPr>
              <w:pStyle w:val="TableContents"/>
              <w:bidi w:val="0"/>
              <w:spacing w:before="0" w:after="283"/>
              <w:jc w:val="left"/>
              <w:rPr/>
            </w:pPr>
            <w:r>
              <w:rPr/>
              <w:t> </w:t>
            </w:r>
          </w:p>
        </w:tc>
      </w:tr>
      <w:tr>
        <w:trPr/>
        <w:tc>
          <w:tcPr>
            <w:tcW w:w="785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taxes</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3" w:type="dxa"/>
            <w:tcBorders/>
            <w:shd w:fill="CCEEFF" w:val="clear"/>
            <w:vAlign w:val="center"/>
          </w:tcPr>
          <w:p>
            <w:pPr>
              <w:pStyle w:val="TableContents"/>
              <w:bidi w:val="0"/>
              <w:spacing w:before="0" w:after="283"/>
              <w:jc w:val="left"/>
              <w:rPr/>
            </w:pPr>
            <w:r>
              <w:rPr/>
              <w:t> </w:t>
            </w:r>
          </w:p>
        </w:tc>
      </w:tr>
      <w:tr>
        <w:trPr/>
        <w:tc>
          <w:tcPr>
            <w:tcW w:w="7858"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85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Stock as principal and interest repayment for convertible notes</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5,456</w:t>
            </w:r>
          </w:p>
        </w:tc>
        <w:tc>
          <w:tcPr>
            <w:tcW w:w="83" w:type="dxa"/>
            <w:tcBorders/>
            <w:shd w:fill="CCEEFF" w:val="clear"/>
            <w:vAlign w:val="center"/>
          </w:tcPr>
          <w:p>
            <w:pPr>
              <w:pStyle w:val="TableContents"/>
              <w:bidi w:val="0"/>
              <w:spacing w:before="0" w:after="283"/>
              <w:jc w:val="left"/>
              <w:rPr/>
            </w:pPr>
            <w:r>
              <w:rPr/>
              <w:t> </w:t>
            </w:r>
          </w:p>
        </w:tc>
      </w:tr>
      <w:tr>
        <w:trPr/>
        <w:tc>
          <w:tcPr>
            <w:tcW w:w="785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right of use asset and lease liability</w:t>
            </w:r>
          </w:p>
        </w:tc>
        <w:tc>
          <w:tcPr>
            <w:tcW w:w="60" w:type="dxa"/>
            <w:tcBorders/>
            <w:shd w:fill="FFFFFF" w:val="clear"/>
            <w:vAlign w:val="center"/>
          </w:tcPr>
          <w:p>
            <w:pPr>
              <w:pStyle w:val="TableContents"/>
              <w:bidi w:val="0"/>
              <w:spacing w:before="0" w:after="283"/>
              <w:ind w:left="0" w:right="0" w:hanging="0"/>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3" w:type="dxa"/>
            <w:tcBorders/>
            <w:shd w:fill="FFFFFF" w:val="clear"/>
            <w:vAlign w:val="center"/>
          </w:tcPr>
          <w:p>
            <w:pPr>
              <w:pStyle w:val="TableContents"/>
              <w:bidi w:val="0"/>
              <w:spacing w:before="0" w:after="283"/>
              <w:jc w:val="left"/>
              <w:rPr/>
            </w:pPr>
            <w:r>
              <w:rPr/>
              <w:t> </w:t>
            </w:r>
          </w:p>
        </w:tc>
      </w:tr>
      <w:tr>
        <w:trPr/>
        <w:tc>
          <w:tcPr>
            <w:tcW w:w="785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deferred offering costs to additional paid-in capital</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w:t>
            </w:r>
          </w:p>
        </w:tc>
        <w:tc>
          <w:tcPr>
            <w:tcW w:w="8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7" w:name="notes"/>
      <w:bookmarkEnd w:id="7"/>
      <w:r>
        <w:rPr>
          <w:rFonts w:ascii="Times New Roman" w:hAnsi="Times New Roman"/>
          <w:b/>
          <w:caps w:val="false"/>
          <w:smallCaps w:val="false"/>
          <w:sz w:val="20"/>
        </w:rPr>
        <w:t>NRX PHARMACEUTICALS,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30, 2026</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w:t>
      </w:r>
      <w:r>
        <w:rPr>
          <w:rFonts w:ascii="Times New Roman" w:hAnsi="Times New Roman"/>
          <w:b/>
          <w:caps w:val="false"/>
          <w:smallCaps w:val="false"/>
          <w:sz w:val="20"/>
        </w:rPr>
        <w:t xml:space="preserve"> Business and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The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NRx Pharmaceuticals, Inc. (Nasdaq: NRXP) (“NRx”, the “Company”, “we”, “us” or “our”) is a clinical-stage bio-pharmaceutical company which develops and expects to distribute, through its wholly-owned operating subsidiary, NeuroRx, Inc. (NeuroRx), novel therapeutics for the treatment of central nervous system disorders including suicidal depression, chronic pain, post-traumatic stress disorder (PTSD) and schizophrenia. NeuroRx drug development activities have focused on drugs that enhance neuroplasticity by modulating the N-methyl-D-aspartate (NMDA) receptor in the brain and nervous system, a neurochemical pathway that has been disclosed in detail in our annual filings. NRx is additionally the founder and majority owner of HOPE Therapeutics, Inc. (HOPE), a medical services company that offers interventional psychiatry care to patients with treatment-resistant depression and PTSD with a combination of neuroplastic drugs, transcranial magnetic stimulation (TMS), digital therapeutics, and hyperbaric therapy.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NRx founded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additional Florida-based subsidiaries: NRx Defense Systems, Inc. (NRXD) and GeNeuro, Inc. (GeNeuro). NRXD focuses on military and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-responder uses of NRx/HOPE technology in partnership with the Department of War, the Defense Advanced, Research Projects Agency, the Walter Reed National Military Medical Center/Henry Jackson Foundation, and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responder organizations. GeNeuro has developed patented monoclonal antibodies to treat Amyotrophic Lateral Sclerosis (ALS), Multiple Sclerosis (MS), Psychosis, and Type I Diabetes (</w:t>
      </w:r>
      <w:r>
        <w:rPr>
          <w:rStyle w:val="Emphasis"/>
          <w:rFonts w:ascii="Times New Roman" w:hAnsi="Times New Roman"/>
          <w:caps w:val="false"/>
          <w:smallCaps w:val="false"/>
          <w:sz w:val="20"/>
        </w:rPr>
        <w:t>T1D</w:t>
      </w:r>
      <w:r>
        <w:rPr>
          <w:rFonts w:ascii="Times New Roman" w:hAnsi="Times New Roman"/>
          <w:caps w:val="false"/>
          <w:smallCaps w:val="false"/>
          <w:sz w:val="20"/>
        </w:rPr>
        <w:t xml:space="preserve">)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caused by Human Endogenous Retroviruses (HERVs). GeNeuro is partnered with the US National Institutes of Health (NIH) through a Cooperative Research and Development Agreement (CRADA) and shared patents and has been selected in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round of the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Congressionally Directed Medical Research Program (CDMRP). GeNeuro is additionally partnered through shared patents related to treatment of Schizophrenia with the Fondation FundaMental of France. The GeNeuro assets were originally developed by GeNeuro SA (EPN:GNRO) and awarded to GeNeuro Inc. by the Courts of Switzerland in </w:t>
      </w:r>
      <w:r>
        <w:rPr>
          <w:rStyle w:val="Emphasis"/>
          <w:rFonts w:ascii="Times New Roman" w:hAnsi="Times New Roman"/>
          <w:caps w:val="false"/>
          <w:smallCaps w:val="false"/>
          <w:sz w:val="20"/>
        </w:rPr>
        <w:t xml:space="preserve">June 2026. </w:t>
      </w:r>
      <w:r>
        <w:rPr>
          <w:rFonts w:ascii="Times New Roman" w:hAnsi="Times New Roman"/>
          <w:caps w:val="false"/>
          <w:smallCaps w:val="false"/>
          <w:sz w:val="20"/>
        </w:rPr>
        <w:t>NRXD and GeNeuro are intended to be funded by sources that are nondilutive to NRXP.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NRx has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lead drug candidates – NRX-</w:t>
      </w:r>
      <w:r>
        <w:rPr>
          <w:rStyle w:val="Emphasis"/>
          <w:rFonts w:ascii="Times New Roman" w:hAnsi="Times New Roman"/>
          <w:caps w:val="false"/>
          <w:smallCaps w:val="false"/>
          <w:sz w:val="20"/>
        </w:rPr>
        <w:t>100,</w:t>
      </w:r>
      <w:r>
        <w:rPr>
          <w:rFonts w:ascii="Times New Roman" w:hAnsi="Times New Roman"/>
          <w:caps w:val="false"/>
          <w:smallCaps w:val="false"/>
          <w:sz w:val="20"/>
        </w:rPr>
        <w:t xml:space="preserve"> a preservative-free formulation of ketamine for intravenous infusion, a generic preservative-free formulation of ketamine (KETAFREE™) and NRX-</w:t>
      </w:r>
      <w:r>
        <w:rPr>
          <w:rStyle w:val="Emphasis"/>
          <w:rFonts w:ascii="Times New Roman" w:hAnsi="Times New Roman"/>
          <w:caps w:val="false"/>
          <w:smallCaps w:val="false"/>
          <w:sz w:val="20"/>
        </w:rPr>
        <w:t>101,</w:t>
      </w:r>
      <w:r>
        <w:rPr>
          <w:rFonts w:ascii="Times New Roman" w:hAnsi="Times New Roman"/>
          <w:caps w:val="false"/>
          <w:smallCaps w:val="false"/>
          <w:sz w:val="20"/>
        </w:rPr>
        <w:t xml:space="preserve"> an oral fixed dose combination of D-cycloserine (DCS) and lurasidone, together with a preclinical drug NRX-</w:t>
      </w:r>
      <w:r>
        <w:rPr>
          <w:rStyle w:val="Emphasis"/>
          <w:rFonts w:ascii="Times New Roman" w:hAnsi="Times New Roman"/>
          <w:caps w:val="false"/>
          <w:smallCaps w:val="false"/>
          <w:sz w:val="20"/>
        </w:rPr>
        <w:t>200,</w:t>
      </w:r>
      <w:r>
        <w:rPr>
          <w:rFonts w:ascii="Times New Roman" w:hAnsi="Times New Roman"/>
          <w:caps w:val="false"/>
          <w:smallCaps w:val="false"/>
          <w:sz w:val="20"/>
        </w:rPr>
        <w:t xml:space="preserve"> pH neutral form of ketamine suitable for subcutaneous administration. GeNeuro has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clinical stage drug candidate (Temelimab), a monoclonal antibody against HERV-W envelope protein that has shown clinical benefit in clinical trials conducted in MS, Type I Diabetes, and Long Covid. Temelimab has additionally shown preclinical benefit in schizophrenia. GeNeuro has a preclinical asset, GNK-</w:t>
      </w:r>
      <w:r>
        <w:rPr>
          <w:rStyle w:val="Emphasis"/>
          <w:rFonts w:ascii="Times New Roman" w:hAnsi="Times New Roman"/>
          <w:caps w:val="false"/>
          <w:smallCaps w:val="false"/>
          <w:sz w:val="20"/>
        </w:rPr>
        <w:t>301,</w:t>
      </w:r>
      <w:r>
        <w:rPr>
          <w:rFonts w:ascii="Times New Roman" w:hAnsi="Times New Roman"/>
          <w:caps w:val="false"/>
          <w:smallCaps w:val="false"/>
          <w:sz w:val="20"/>
        </w:rPr>
        <w:t xml:space="preserve"> developed in partnership with the NIH, that has shown reduction of ALS-like neurodegeneration in non-clinical subjects and human brain cell culture.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February 2024, </w:t>
      </w:r>
      <w:r>
        <w:rPr>
          <w:rFonts w:ascii="Times New Roman" w:hAnsi="Times New Roman"/>
          <w:caps w:val="false"/>
          <w:smallCaps w:val="false"/>
          <w:sz w:val="20"/>
        </w:rPr>
        <w:t>NRx incorporated HOPE Therapeutics with the intent of developing a medical care delivery organization focused on providing cutting-edge, comprehensive interventional psychiatric treatment with the most effective treatments available, including NMDA-targeted and other neuroplastic drugs, such as ketamine, Spravato and NRX-</w:t>
      </w:r>
      <w:r>
        <w:rPr>
          <w:rStyle w:val="Emphasis"/>
          <w:rFonts w:ascii="Times New Roman" w:hAnsi="Times New Roman"/>
          <w:caps w:val="false"/>
          <w:smallCaps w:val="false"/>
          <w:sz w:val="20"/>
        </w:rPr>
        <w:t>101,</w:t>
      </w:r>
      <w:r>
        <w:rPr>
          <w:rFonts w:ascii="Times New Roman" w:hAnsi="Times New Roman"/>
          <w:caps w:val="false"/>
          <w:smallCaps w:val="false"/>
          <w:sz w:val="20"/>
        </w:rPr>
        <w:t xml:space="preserve"> neuromodulatory devices, such as Transcranial Magnetic Stimulation (TMS), hyperbaric therapy, digital therapeutics, and medication management. During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Company developed the operating model for HOPE and made initial clinic acquisitions with funding from the B-Group. HOPE generated its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clinical revenue in </w:t>
      </w:r>
      <w:r>
        <w:rPr>
          <w:rStyle w:val="Emphasis"/>
          <w:rFonts w:ascii="Times New Roman" w:hAnsi="Times New Roman"/>
          <w:caps w:val="false"/>
          <w:smallCaps w:val="false"/>
          <w:sz w:val="20"/>
        </w:rPr>
        <w:t>Q4</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and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operates in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locations in Florida.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HOPE is supported by HTX Management Company, LLC (HTX), subsidiary organized as a Delaware limited liability company, for the purpose of supporting future back-end operations associated with the growing network of HOPE clinics.</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September 8, 2025, </w:t>
      </w:r>
      <w:r>
        <w:rPr>
          <w:rFonts w:ascii="Times New Roman" w:hAnsi="Times New Roman"/>
          <w:caps w:val="false"/>
          <w:smallCaps w:val="false"/>
          <w:sz w:val="20"/>
        </w:rPr>
        <w:t xml:space="preserve">HOPE became a revenue-generating clinical enterprise through its completion of the previously announced acquisition of Dura Medical, LLC (Dura), a Florida limited liability company, and a revenue-generating clinical organization with locations in Naples and Ft. Myers, Florida. Founded in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Dura offers precision-based interventional psychiatry services, including ketamine infusion therapy, TMS, Spravato®, stellate ganglion blocks, and psychotherapy (See Note </w:t>
      </w:r>
      <w:r>
        <w:rPr>
          <w:rStyle w:val="Emphasis"/>
          <w:rFonts w:ascii="Times New Roman" w:hAnsi="Times New Roman"/>
          <w:caps w:val="false"/>
          <w:smallCaps w:val="false"/>
          <w:sz w:val="20"/>
        </w:rPr>
        <w:t>16</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October 17, 2025, </w:t>
      </w:r>
      <w:r>
        <w:rPr>
          <w:rFonts w:ascii="Times New Roman" w:hAnsi="Times New Roman"/>
          <w:caps w:val="false"/>
          <w:smallCaps w:val="false"/>
          <w:sz w:val="20"/>
        </w:rPr>
        <w:t>the Company completed the addition of Cohen and Associates, based in Sarasota, Florida, to the HOPE Network with a strategic minority investment, which expanded HOPE’s footprint on the West Coast of Florida, and related appointment of Dr. Rebecca Cohen as HOPE’s Medical Director.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6, 2026, </w:t>
      </w:r>
      <w:r>
        <w:rPr>
          <w:rFonts w:ascii="Times New Roman" w:hAnsi="Times New Roman"/>
          <w:caps w:val="false"/>
          <w:smallCaps w:val="false"/>
          <w:sz w:val="20"/>
        </w:rPr>
        <w:t>the Company completed the acquisition of clinic assets and leases formerly owned by KMD Wellness of Boca Raton, FL and has incorporated its leadership into HOPE.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NRX PHARMACEUTICALS,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pPr>
      <w:r>
        <w:rPr>
          <w:rStyle w:val="Emphasis"/>
          <w:rFonts w:ascii="Times New Roman;Times;serif" w:hAnsi="Times New Roman;Times;serif"/>
          <w:b/>
          <w:sz w:val="20"/>
        </w:rPr>
        <w:t>JUNE 30, 2026</w:t>
      </w:r>
      <w:r>
        <w:rPr>
          <w:rFonts w:ascii="Times New Roman;Times;serif" w:hAnsi="Times New Roman;Times;serif"/>
          <w:b/>
          <w:sz w:val="20"/>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(Unaudited)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2.</w:t>
      </w:r>
      <w:r>
        <w:rPr>
          <w:rFonts w:ascii="Times New Roman" w:hAnsi="Times New Roman"/>
          <w:b/>
          <w:caps w:val="false"/>
          <w:smallCaps w:val="false"/>
          <w:sz w:val="20"/>
        </w:rPr>
        <w:t xml:space="preserve">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Basis of Presentation and Principles of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accompanying unaudited interim condensed consolidated financial statements have been prepared in accordance with generally accepted accounting principles in the United States of America (“GAAP”) as determined by the Financial Accounting Standards Board (“FASB”) Accounting Standards Codification (“ASC”) and the rules and regulations of the Securities and Exchange Commission (“SEC”) for interim financial information. Accordingly, they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all of the information and footnotes required by GAAP for complete financial statements. In the opinion of management, the unaudited interim condensed consolidated financial statements reflect all adjustments, which include only normal recurring adjustments, necessary for the fair presentation of the condensed consolidated balance sheet, statements of operations, and cash flows for the interim periods presented. The results of operations for any interim periods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the results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expected for the entire fiscal year or any other interim period. The condensed consolidated financial statements include the accounts of NRx Pharmaceuticals, Inc. and its wholly and majority owned subsidiaries. All intercompany transactions and balances have been eliminated in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Liquidity and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accompanying unaudited condensed consolidated financial statements have been prepared assuming the Company will continue as a going concern, which contemplates the realization of assets and the satisfaction of liabilities in the ordinary course of business. Since inception, the Company has incurred recurring operating losses and negative cash flows from operations.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the Company reported a net loss of approximately $17.9 million, used cash in operations of approximately $13.2 million, had a shareholders' deficit of approximately $0.2 million.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the Company had cash and cash equivalents of $26.7 million and a working capital deficit of $4.7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generated initial patient service revenue of approximately $1.1 million and $2.2 million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respectively, following the acquisition of Dura on </w:t>
      </w:r>
      <w:r>
        <w:rPr>
          <w:rStyle w:val="Emphasis"/>
          <w:rFonts w:ascii="Times New Roman" w:hAnsi="Times New Roman"/>
          <w:caps w:val="false"/>
          <w:smallCaps w:val="false"/>
          <w:sz w:val="20"/>
        </w:rPr>
        <w:t xml:space="preserve">September 8, 2025. </w:t>
      </w:r>
      <w:r>
        <w:rPr>
          <w:rFonts w:ascii="Times New Roman" w:hAnsi="Times New Roman"/>
          <w:caps w:val="false"/>
          <w:smallCaps w:val="false"/>
          <w:sz w:val="20"/>
        </w:rPr>
        <w:t xml:space="preserve">Management expects to continue incurring operating losses through at least the remainder of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as it integrates Dura and pursues additional acquisitions through its HOPE subsidiary. While management projects incremental revenue from clinical operations and, upon regulatory approval, from pharmaceutical product sales, these projections are subject to significant uncertainty, including successful completion of pending acquisitions and receipt of FDA approval for NRX-</w:t>
      </w:r>
      <w:r>
        <w:rPr>
          <w:rStyle w:val="Emphasis"/>
          <w:rFonts w:ascii="Times New Roman" w:hAnsi="Times New Roman"/>
          <w:caps w:val="false"/>
          <w:smallCaps w:val="false"/>
          <w:sz w:val="20"/>
        </w:rPr>
        <w:t>100</w:t>
      </w:r>
      <w:r>
        <w:rPr>
          <w:rFonts w:ascii="Times New Roman" w:hAnsi="Times New Roman"/>
          <w:caps w:val="false"/>
          <w:smallCaps w:val="false"/>
          <w:sz w:val="20"/>
        </w:rPr>
        <w:t xml:space="preserve"> and NRX-</w:t>
      </w:r>
      <w:r>
        <w:rPr>
          <w:rStyle w:val="Emphasis"/>
          <w:rFonts w:ascii="Times New Roman" w:hAnsi="Times New Roman"/>
          <w:caps w:val="false"/>
          <w:smallCaps w:val="false"/>
          <w:sz w:val="20"/>
        </w:rPr>
        <w:t>101.</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has secured operating capital that it anticipates as sufficient to fund its drug development operations through at least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2027</w:t>
      </w:r>
      <w:r>
        <w:rPr>
          <w:rFonts w:ascii="Times New Roman" w:hAnsi="Times New Roman"/>
          <w:caps w:val="false"/>
          <w:smallCaps w:val="false"/>
          <w:sz w:val="20"/>
        </w:rPr>
        <w:t xml:space="preserve"> solely from existing cash on hand to finance submission of FDA NDAs for KETAFREE™, NRX-</w:t>
      </w:r>
      <w:r>
        <w:rPr>
          <w:rStyle w:val="Emphasis"/>
          <w:rFonts w:ascii="Times New Roman" w:hAnsi="Times New Roman"/>
          <w:caps w:val="false"/>
          <w:smallCaps w:val="false"/>
          <w:sz w:val="20"/>
        </w:rPr>
        <w:t>100</w:t>
      </w:r>
      <w:r>
        <w:rPr>
          <w:rFonts w:ascii="Times New Roman" w:hAnsi="Times New Roman"/>
          <w:caps w:val="false"/>
          <w:smallCaps w:val="false"/>
          <w:sz w:val="20"/>
        </w:rPr>
        <w:t xml:space="preserve"> and NRX-</w:t>
      </w:r>
      <w:r>
        <w:rPr>
          <w:rStyle w:val="Emphasis"/>
          <w:rFonts w:ascii="Times New Roman" w:hAnsi="Times New Roman"/>
          <w:caps w:val="false"/>
          <w:smallCaps w:val="false"/>
          <w:sz w:val="20"/>
        </w:rPr>
        <w:t>101.</w:t>
      </w:r>
      <w:r>
        <w:rPr>
          <w:rFonts w:ascii="Times New Roman" w:hAnsi="Times New Roman"/>
          <w:caps w:val="false"/>
          <w:smallCaps w:val="false"/>
          <w:sz w:val="20"/>
        </w:rPr>
        <w:t xml:space="preserve"> The Company additionally expects to continue to accrue revenue from clinical operations and utilize its existing at-the-market offering to provide cash resources to further support operations.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pursue additional equity or debt financing or refinancing opportunities in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to fund ongoing clinical activities and for general corporate purposes. Such arrangements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take the form of loans, equity offerings, strategic agreements, licensing agreements, joint ventures, or other agreements. The sale of equity could result in additional dilution to the Company’s existing stockholders. The Company cannot make any assurances that additional financing will be available to it and, if available, on acceptable terms, or that it will be able to refinance its existing debt obligations which could negatively impact the Company’s business and operations and could also lead to a reduction in the Company’s operations. The Company will continue to carefully monitor the impact of its continuing operations on the Company’s working capital needs and debt repayment obligations. As such, the Company has concluded that substantial doubt exists regarding the Company’s ability to continue as a going concern for a period of at least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months from the date of issuance of these consolidated financial statements. The accompanying consolidated financial statements have been prepared assuming the Company will continue to operate as a going concern basis, which contemplates the realization of assets and satisfaction of liabilities in the ordinary course of business. They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any adjustments to reflect the possible future effects on the recoverability and classification of recorded asset amounts and classifications of liabilities that might be necessary should the company be unable to continue as a going concern.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addition, the Company's independent registered public accounting firm, in its report on the Company's consolidated financial statements for the year ended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included an explanatory paragraph about the substantial doubt about the Company's ability to continue as a going concern. These condensed consolidated financial statements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any adjustments that might result from this uncertainty.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preparation of these unaudited condensed consolidated financial statements in conformity with GAAP requires management to make estimates and assumptions that affect the reported amounts of assets, liabilities and expenses, and the disclosure of contingent assets and. The most significant estimates in the Company’s consolidated financial statements relate to the allowance for credit losses on accounts receivable, fair value of the convertible notes payable, fair value of warrant liabilities, fair value of stock options and warrants, fair value of the Common Stock shares granted for services, fair value of the purchase price and the assets acquired and liabilities assumed in business combinations, the fair value of intangible assets and goodwill, the fair value of lease liabilities and related right of use assets, and the utilization of deferred tax assets. Actual results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differ from these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Reclassifications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Certain prior</w:t>
        <w:noBreakHyphen/>
        <w:t xml:space="preserve">year amounts have been reclassified to conform to the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Certain Risks and Uncertainties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Company’s activities are subject to significant risks and uncertainties, including the risk of failure to secure additional funding to properly execute the Company’s business plan. The Company is subject to risks that are common to companies in the pharmaceutical industry, including,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limited to, development by the Company or its competitors of new technological innovations, dependence on key personnel, reliance on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party manufacturers, protection of proprietary technology, and compliance with regulatory requirements.</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NRX PHARMACEUTICALS,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pPr>
      <w:r>
        <w:rPr>
          <w:rStyle w:val="Emphasis"/>
          <w:rFonts w:ascii="Times New Roman;Times;serif" w:hAnsi="Times New Roman;Times;serif"/>
          <w:b/>
          <w:sz w:val="20"/>
        </w:rPr>
        <w:t>JUNE 30, 2026</w:t>
      </w:r>
      <w:r>
        <w:rPr>
          <w:rFonts w:ascii="Times New Roman;Times;serif" w:hAnsi="Times New Roman;Times;serif"/>
          <w:b/>
          <w:sz w:val="20"/>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(Unaudited)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Fair Value of 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FASB ASC Topic </w:t>
      </w:r>
      <w:r>
        <w:rPr>
          <w:rStyle w:val="Emphasis"/>
          <w:rFonts w:ascii="Times New Roman" w:hAnsi="Times New Roman"/>
          <w:caps w:val="false"/>
          <w:smallCaps w:val="false"/>
          <w:sz w:val="20"/>
        </w:rPr>
        <w:t>820,</w:t>
      </w:r>
      <w:r>
        <w:rPr>
          <w:rFonts w:ascii="Times New Roman" w:hAnsi="Times New Roman"/>
          <w:caps w:val="false"/>
          <w:smallCaps w:val="false"/>
          <w:sz w:val="20"/>
        </w:rPr>
        <w:t xml:space="preserve"> Fair Value Measurements (ASC </w:t>
      </w:r>
      <w:r>
        <w:rPr>
          <w:rStyle w:val="Emphasis"/>
          <w:rFonts w:ascii="Times New Roman" w:hAnsi="Times New Roman"/>
          <w:caps w:val="false"/>
          <w:smallCaps w:val="false"/>
          <w:sz w:val="20"/>
        </w:rPr>
        <w:t>820</w:t>
      </w:r>
      <w:r>
        <w:rPr>
          <w:rFonts w:ascii="Times New Roman" w:hAnsi="Times New Roman"/>
          <w:caps w:val="false"/>
          <w:smallCaps w:val="false"/>
          <w:sz w:val="20"/>
        </w:rPr>
        <w:t>), provides guidance on the development and disclosure of fair value measurements. Under this accounting guidance, fair value is defined as an exit price, representing the amount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a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accounting guidance classifies fair value measurements in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of the following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categories for disclosure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Times New Roman" w:hAnsi="Times New Roman"/>
          <w:caps w:val="false"/>
          <w:smallCaps w:val="false"/>
          <w:sz w:val="20"/>
        </w:rPr>
        <w:t xml:space="preserve">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Observable inputs such as quoted prices in active markets for identical assets or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Times New Roman" w:hAnsi="Times New Roman"/>
          <w:caps w:val="false"/>
          <w:smallCaps w:val="false"/>
          <w:sz w:val="20"/>
        </w:rPr>
        <w:t xml:space="preserve">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Inputs other than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prices for similar assets or liabilities that are directly or indirectly observable in the marketplace.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Times New Roman" w:hAnsi="Times New Roman"/>
          <w:caps w:val="false"/>
          <w:smallCaps w:val="false"/>
          <w:sz w:val="20"/>
        </w:rPr>
        <w:t xml:space="preserve">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Unobservable inputs which are supported by little or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market activity and values determined using pricing models, discounted cash flow methodologies, or similar techniques, as well as instruments for which the determination of fair value requires significant judgment or estimation (Refer to Note </w:t>
      </w:r>
      <w:r>
        <w:rPr>
          <w:rStyle w:val="Emphasis"/>
          <w:rFonts w:ascii="Times New Roman" w:hAnsi="Times New Roman"/>
          <w:caps w:val="false"/>
          <w:smallCaps w:val="false"/>
          <w:sz w:val="20"/>
        </w:rPr>
        <w:t>13</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Business 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recognizes and measures identifiable tangible and intangible assets acquired and liabilities assumed as of the acquisition date at fair value. Fair value measurements require extensive use of estimates and assumptions, including estimates of future cash flows to be generated by the acquired assets. The operating results of the acquired business are included in our consolidated financial statements beginning on the date of acquisition. The purchase price is equivalent to the fair value of consideration transferred. Goodwill is recognized for the excess of purchase price over the net fair value of assets acquired and liabilities assumed. Acquisition-related costs are expensed as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Cash and Cash Equivalents</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considers all highly liquid investments with an original maturity of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or less at the time of initial purchase to be cash equivalents, including balances held in the Company’s money market accounts. The Company maintains its cash and cash equivalents with financial institutions, in which balances from time to time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exceed the U.S. federally insured limits. The objectives of the Company’s cash management policy are to safeguard and preserve funds to maintain liquidity sufficient to meet the Company’s cash flow requirements, and to attain a market rate of return.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Financial instruments that potentially expose the Company to concentrations of credit risk consist primarily of cash and cash equivalents. Cash equivalents are occasionally invested in certificates of deposit. The Company maintains each of its cash balances with high-quality and accredited financial institutions and accordingly, such funds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exposed to unusual credit risk beyond the normal credit risk associated with commercial banking relationships. Deposits in financial institutions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from time to time, exceed federally insured limits.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the Company’s cash and cash equivalents balance within money market accounts was in excess of the U.S. federally insured limits by $26.4 million. The Company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experienced any losses on its deposits of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Accounts Receivable,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Accounts receivable are recorded at the estimated transaction price (net of contractual adjustments, discounts, and implicit price concessions). The Company applies the Current Expected Credit Loss (CECL) model to estimate lifetime expected credit losses on trade receivables and contract assets, pooling receivables by payer type and aging and incorporating historical loss experience, current conditions, and reasonable</w:t>
        <w:noBreakHyphen/>
        <w:t>and</w:t>
        <w:noBreakHyphen/>
        <w:t>supportable forecasts with reversion to historical loss information beyond the forecast horizon. Receivables are written off when collection is deemed remote; recoveries are recognized when received. The Company does not have any off-balance sheet credit exposure related to its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NRX PHARMACEUTICALS,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pPr>
      <w:r>
        <w:rPr>
          <w:rStyle w:val="Emphasis"/>
          <w:rFonts w:ascii="Times New Roman;Times;serif" w:hAnsi="Times New Roman;Times;serif"/>
          <w:b/>
          <w:sz w:val="20"/>
        </w:rPr>
        <w:t>JUNE 30, 2026</w:t>
      </w:r>
      <w:r>
        <w:rPr>
          <w:rFonts w:ascii="Times New Roman;Times;serif" w:hAnsi="Times New Roman;Times;serif"/>
          <w:b/>
          <w:sz w:val="20"/>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(Unaudited)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intangible assets consist of customer relationships, trade name, and non-compete agreements. Customer relationships represent the value of established patient relationships and referral sources that are expected to generate recurring revenue streams. Trade name represents the value associated with the brand name in place at the date of the acquisition. The customer relationships and trade name are being amortized over a 3-year term and 10-year term, respectively, based on the estimated economic useful life of the customer relationships and trademark. The amortization of intangible assets is computed using the straight-line method.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evaluates its definite-lived intangible assets for impairment whenever events or changes in circumstances indicate that the carrying amount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recoverable. Such indicators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include adverse changes in market conditions, legal or regulatory developments, or underperformance relative to expectations. If indicators are present, the Company performs a recoverability test by comparing the asset’s carrying amount to the undiscounted future cash flows expected to result from its use and eventual disposition. If the carrying amount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recoverable, an impairment loss is recognized for the excess of the carrying amount over the asset’s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Goodwill represents the excess of the cost of an acquired business over the fair value assigned to its net assets. Goodwill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amortized but is tested for impairment at a reporting unit level on an annual basis or when an event occurs, or circumstances change that would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reduce the fair value of a reporting unit below its carrying amount. Events or changes in circumstances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trigger interim impairment reviews include,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limited to, significant adverse changes in business climate, operating results, planned investments in the reporting unit, or an expectation that the carrying amount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recoverable, among other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w:t>
      </w:r>
      <w:r>
        <w:rPr>
          <w:rStyle w:val="Emphasis"/>
          <w:rFonts w:ascii="Times New Roman" w:hAnsi="Times New Roman"/>
          <w:caps w:val="false"/>
          <w:smallCaps w:val="false"/>
          <w:sz w:val="20"/>
        </w:rPr>
        <w:t>may first</w:t>
      </w:r>
      <w:r>
        <w:rPr>
          <w:rFonts w:ascii="Times New Roman" w:hAnsi="Times New Roman"/>
          <w:caps w:val="false"/>
          <w:smallCaps w:val="false"/>
          <w:sz w:val="20"/>
        </w:rPr>
        <w:t xml:space="preserve"> assess qualitative factors to determine whether it is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the fair value of a reporting unit is less than its carrying amount. If, after assessing the totality of events and circumstances, the Company determines it is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the fair value of the reporting unit is greater than its carrying amount, an impairment test is unnecessary. If an impairment test is necessary, the Company will estimate the fair value of its related reporting units. If the carrying value of a reporting unit exceeds its fair value, the goodwill of that reporting unit is determined to be impaired, and the Company will proceed with recording an impairment charge equal to the excess of the carrying value over the related fair value. No impairment of goodwill was recorded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Property and Equipment, net</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Property and equipment, net is stated at cost less accumulated depreciation. These assets are depreciated over their estimated useful lives of five to seven years using the straight-line method.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adheres to ASC </w:t>
      </w:r>
      <w:r>
        <w:rPr>
          <w:rStyle w:val="Emphasis"/>
          <w:rFonts w:ascii="Times New Roman" w:hAnsi="Times New Roman"/>
          <w:caps w:val="false"/>
          <w:smallCaps w:val="false"/>
          <w:sz w:val="20"/>
        </w:rPr>
        <w:t>360,</w:t>
      </w:r>
      <w:r>
        <w:rPr>
          <w:rFonts w:ascii="Times New Roman" w:hAnsi="Times New Roman"/>
          <w:caps w:val="false"/>
          <w:smallCaps w:val="false"/>
          <w:sz w:val="20"/>
        </w:rPr>
        <w:t xml:space="preserve"> </w:t>
      </w:r>
      <w:r>
        <w:rPr>
          <w:rFonts w:ascii="Times New Roman" w:hAnsi="Times New Roman"/>
          <w:i/>
          <w:caps w:val="false"/>
          <w:smallCaps w:val="false"/>
          <w:sz w:val="20"/>
        </w:rPr>
        <w:t>Property, Plant, and Equipment</w:t>
      </w:r>
      <w:r>
        <w:rPr>
          <w:rFonts w:ascii="Times New Roman" w:hAnsi="Times New Roman"/>
          <w:caps w:val="false"/>
          <w:smallCaps w:val="false"/>
          <w:sz w:val="20"/>
        </w:rPr>
        <w:t xml:space="preserve"> and periodically evaluates whether current facts or circumstances indicate that the carrying value of its depreciable assets to be held and used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recoverable. If such circumstances are determined to exist, an estimate of undiscounted future cash flows produced by the long-lived assets, or the appropriate grouping of assets, is compared to the carrying value to determine whether impairment exists. If an asset is determined to be impaired, the loss is measured based on the difference between the asset’s fair value and its carrying value. For long-lived assets, the estimate of fair value is based on various valuation techniques, including a discounted value of estimated future cash flows. The Company reports an asset to be disposed of at the lower of its carrying value or its fair value less costs to sell. There were no impairment losses for long-lived assets recorded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Lease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determines if an arrangement is a lease at inception. Operating leases are included in right-of-use assets (ROU), lease liabilities, and lease liabilities – related party. Lease liabilities are recognized based on the present value of the future minimum lease payments over the lease term at commencement date. </w:t>
      </w:r>
      <w:r>
        <w:rPr>
          <w:rStyle w:val="Emphasis"/>
          <w:rFonts w:ascii="Times New Roman" w:hAnsi="Times New Roman"/>
          <w:caps w:val="false"/>
          <w:smallCaps w:val="false"/>
          <w:sz w:val="20"/>
        </w:rPr>
        <w:t>None</w:t>
      </w:r>
      <w:r>
        <w:rPr>
          <w:rFonts w:ascii="Times New Roman" w:hAnsi="Times New Roman"/>
          <w:caps w:val="false"/>
          <w:smallCaps w:val="false"/>
          <w:sz w:val="20"/>
        </w:rPr>
        <w:t xml:space="preserve"> of the leases entered into have an implicit rate, the Company uses its incremental borrowing rate based on the information available at lease commencement date in determining the present value of future payments. Incremental borrowing rate is estimated to approximate the interest rate on a collateralized basis with similar terms and payments, and in economic environments where the leased asset is located. The ROU assets also include any prepaid lease payments made and initial direct costs incurred and exclude lease incentives. The Company’s lease terms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include options to extend or terminate the lease, which is recognized when it is reasonably certain that the Company will exercise that option. Lease expense for minimum lease payments is recognized on a straight-line basis over the lease term. Leases with an initial term of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months or less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recorded on the balance sheet.</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NRX PHARMACEUTICALS,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pPr>
      <w:r>
        <w:rPr>
          <w:rStyle w:val="Emphasis"/>
          <w:rFonts w:ascii="Times New Roman;Times;serif" w:hAnsi="Times New Roman;Times;serif"/>
          <w:b/>
          <w:sz w:val="20"/>
        </w:rPr>
        <w:t>JUNE 30, 2026</w:t>
      </w:r>
      <w:r>
        <w:rPr>
          <w:rFonts w:ascii="Times New Roman;Times;serif" w:hAnsi="Times New Roman;Times;serif"/>
          <w:b/>
          <w:sz w:val="20"/>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(Unaudited)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Revenue Recognition</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accounts for revenue under FASB ASC Topic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w:t>
      </w:r>
      <w:r>
        <w:rPr>
          <w:rFonts w:ascii="Times New Roman" w:hAnsi="Times New Roman"/>
          <w:i/>
          <w:caps w:val="false"/>
          <w:smallCaps w:val="false"/>
          <w:sz w:val="20"/>
        </w:rPr>
        <w:t>Revenue for Contract with Customers</w:t>
      </w:r>
      <w:r>
        <w:rPr>
          <w:rFonts w:ascii="Times New Roman" w:hAnsi="Times New Roman"/>
          <w:caps w:val="false"/>
          <w:smallCaps w:val="false"/>
          <w:sz w:val="20"/>
        </w:rPr>
        <w:t xml:space="preserve"> (ASC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Patient service revenue is recognized as performance obligations are satisfied, which occurs over time as patients simultaneously receive and consume services. Each treatment or visit generally represents a separate contract. Procedural services (e.g., ketamine infusions, esketamine administration, TMS sessions, SGB/epidural procedures) are recognized at the point in time when rendered; therapy and medication management services are recognized as sessions occur. The transaction price includes variable consideration such as contractual adjustments, expected denials, and implicit price concessions, which are estimated and constrained to amounts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expected to reverse. The Company applies the portfolio approach for contracts with similar characteristics by payer and service type. The Company elected the practical expedient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to assess a significant financing component because the period between service and payment is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or less. The Company acts as principal in its patient service arrangements and records revenue on a gross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Patient service revenue is primarily derived from services rendered to patients for outpatient behavioral health care, interventional psychiatry, and pain management procedures. The Company’s services have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fixed duration and can generally be terminated by the patient or the Company at any time; therefore, each treatment or visit is considered its own stand-alone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disaggregates Patient service revenue from contracts with customers by service type including procedural services and therapy services and by payor type including commercial insurance, Medicare, and self-pay. Management believes this presentation best reflects the nature, amount, timing, and uncertainty of the Company’s patient service revenue and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Cost of Patient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Cost of patient services includes direct costs associated with providing healthcare services, such as salaries and benefits for clinical personnel, medical supplies, pharmaceuticals, and other costs directly attributable to patient care. These costs are expensed as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Research and Development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Research and development expense consists primarily of costs associated with the Company’s clinical trials, salaries, payroll taxes, employee benefits, and stock-based compensation charges for those individuals involved in ongoing research and development efforts. Research and development costs are expensed as incurred. Advance payments for goods and services that will be used in future research and development activities are recorded as prepaid assets and expensed when the activity has been performed or when the goods have been received.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Non-Cancellable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record certain obligations as liabilities related to non-cancellable contracts. If appropriate, the offsetting costs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recorded as a deferred cost asset.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NRX PHARMACEUTICALS,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pPr>
      <w:r>
        <w:rPr>
          <w:rStyle w:val="Emphasis"/>
          <w:rFonts w:ascii="Times New Roman;Times;serif" w:hAnsi="Times New Roman;Times;serif"/>
          <w:b/>
          <w:sz w:val="20"/>
        </w:rPr>
        <w:t>JUNE 30, 2026</w:t>
      </w:r>
      <w:r>
        <w:rPr>
          <w:rFonts w:ascii="Times New Roman;Times;serif" w:hAnsi="Times New Roman;Times;serif"/>
          <w:b/>
          <w:sz w:val="20"/>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(Unaudited)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expenses stock-based compensation to employees and non-employees over the requisite service period based on the estimated grant-date fair value of the awards. The Company accounts for forfeitures as they occur. Stock-based awards with graded-vesting schedules are recognized on a straight-line basis over the requisite service period for each separately vesting portion of the award. The Company estimates the fair value of stock option grants using the Black-Scholes option pricing model, and the assumptions used in calculating the fair value of stock-based awards represent management’s best estimates and involve inherent uncertainties and the application of management’s judgment. The Company estimates the fair value of restricted stock award grants using the closing trading price of the Company’s Common Stock on the date of issuance. All stock-based compensation costs are recorded in selling, general and administrative or research and development expenses in the consolidated statements of operations based upon the underlying individual’s role at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accounts for warrants as either equity-classified or liability-classified instruments based on an assessment of the warrant’s specific terms and applicable authoritative guidance in FASB ASC Topic </w:t>
      </w:r>
      <w:r>
        <w:rPr>
          <w:rStyle w:val="Emphasis"/>
          <w:rFonts w:ascii="Times New Roman" w:hAnsi="Times New Roman"/>
          <w:caps w:val="false"/>
          <w:smallCaps w:val="false"/>
          <w:sz w:val="20"/>
        </w:rPr>
        <w:t>480,</w:t>
      </w:r>
      <w:r>
        <w:rPr>
          <w:rFonts w:ascii="Times New Roman" w:hAnsi="Times New Roman"/>
          <w:caps w:val="false"/>
          <w:smallCaps w:val="false"/>
          <w:sz w:val="20"/>
        </w:rPr>
        <w:t xml:space="preserve"> </w:t>
      </w:r>
      <w:r>
        <w:rPr>
          <w:rFonts w:ascii="Times New Roman" w:hAnsi="Times New Roman"/>
          <w:i/>
          <w:caps w:val="false"/>
          <w:smallCaps w:val="false"/>
          <w:sz w:val="20"/>
        </w:rPr>
        <w:t>Distinguishing Liabilities from Equity</w:t>
      </w:r>
      <w:r>
        <w:rPr>
          <w:rFonts w:ascii="Times New Roman" w:hAnsi="Times New Roman"/>
          <w:caps w:val="false"/>
          <w:smallCaps w:val="false"/>
          <w:sz w:val="20"/>
        </w:rPr>
        <w:t xml:space="preserve"> (ASC </w:t>
      </w:r>
      <w:r>
        <w:rPr>
          <w:rStyle w:val="Emphasis"/>
          <w:rFonts w:ascii="Times New Roman" w:hAnsi="Times New Roman"/>
          <w:caps w:val="false"/>
          <w:smallCaps w:val="false"/>
          <w:sz w:val="20"/>
        </w:rPr>
        <w:t>480</w:t>
      </w:r>
      <w:r>
        <w:rPr>
          <w:rFonts w:ascii="Times New Roman" w:hAnsi="Times New Roman"/>
          <w:caps w:val="false"/>
          <w:smallCaps w:val="false"/>
          <w:sz w:val="20"/>
        </w:rPr>
        <w:t xml:space="preserve">) and FASB ASC Topic </w:t>
      </w:r>
      <w:r>
        <w:rPr>
          <w:rStyle w:val="Emphasis"/>
          <w:rFonts w:ascii="Times New Roman" w:hAnsi="Times New Roman"/>
          <w:caps w:val="false"/>
          <w:smallCaps w:val="false"/>
          <w:sz w:val="20"/>
        </w:rPr>
        <w:t>815,</w:t>
      </w:r>
      <w:r>
        <w:rPr>
          <w:rFonts w:ascii="Times New Roman" w:hAnsi="Times New Roman"/>
          <w:caps w:val="false"/>
          <w:smallCaps w:val="false"/>
          <w:sz w:val="20"/>
        </w:rPr>
        <w:t xml:space="preserve"> </w:t>
      </w:r>
      <w:r>
        <w:rPr>
          <w:rFonts w:ascii="Times New Roman" w:hAnsi="Times New Roman"/>
          <w:i/>
          <w:caps w:val="false"/>
          <w:smallCaps w:val="false"/>
          <w:sz w:val="20"/>
        </w:rPr>
        <w:t>Derivatives and Hedging</w:t>
      </w:r>
      <w:r>
        <w:rPr>
          <w:rFonts w:ascii="Times New Roman" w:hAnsi="Times New Roman"/>
          <w:caps w:val="false"/>
          <w:smallCaps w:val="false"/>
          <w:sz w:val="20"/>
        </w:rPr>
        <w:t xml:space="preserve"> (ASC </w:t>
      </w:r>
      <w:r>
        <w:rPr>
          <w:rStyle w:val="Emphasis"/>
          <w:rFonts w:ascii="Times New Roman" w:hAnsi="Times New Roman"/>
          <w:caps w:val="false"/>
          <w:smallCaps w:val="false"/>
          <w:sz w:val="20"/>
        </w:rPr>
        <w:t>815</w:t>
      </w:r>
      <w:r>
        <w:rPr>
          <w:rFonts w:ascii="Times New Roman" w:hAnsi="Times New Roman"/>
          <w:caps w:val="false"/>
          <w:smallCaps w:val="false"/>
          <w:sz w:val="20"/>
        </w:rPr>
        <w:t xml:space="preserve">). The assessment considers whether the warrants are freestanding financial instruments pursuant to ASC </w:t>
      </w:r>
      <w:r>
        <w:rPr>
          <w:rStyle w:val="Emphasis"/>
          <w:rFonts w:ascii="Times New Roman" w:hAnsi="Times New Roman"/>
          <w:caps w:val="false"/>
          <w:smallCaps w:val="false"/>
          <w:sz w:val="20"/>
        </w:rPr>
        <w:t>480,</w:t>
      </w:r>
      <w:r>
        <w:rPr>
          <w:rFonts w:ascii="Times New Roman" w:hAnsi="Times New Roman"/>
          <w:caps w:val="false"/>
          <w:smallCaps w:val="false"/>
          <w:sz w:val="20"/>
        </w:rPr>
        <w:t xml:space="preserve"> meet the definition of a liability pursuant to ASC </w:t>
      </w:r>
      <w:r>
        <w:rPr>
          <w:rStyle w:val="Emphasis"/>
          <w:rFonts w:ascii="Times New Roman" w:hAnsi="Times New Roman"/>
          <w:caps w:val="false"/>
          <w:smallCaps w:val="false"/>
          <w:sz w:val="20"/>
        </w:rPr>
        <w:t>480,</w:t>
      </w:r>
      <w:r>
        <w:rPr>
          <w:rFonts w:ascii="Times New Roman" w:hAnsi="Times New Roman"/>
          <w:caps w:val="false"/>
          <w:smallCaps w:val="false"/>
          <w:sz w:val="20"/>
        </w:rPr>
        <w:t xml:space="preserve"> and whether the warrants meet all of the requirements for equity classification under ASC </w:t>
      </w:r>
      <w:r>
        <w:rPr>
          <w:rStyle w:val="Emphasis"/>
          <w:rFonts w:ascii="Times New Roman" w:hAnsi="Times New Roman"/>
          <w:caps w:val="false"/>
          <w:smallCaps w:val="false"/>
          <w:sz w:val="20"/>
        </w:rPr>
        <w:t>815,</w:t>
      </w:r>
      <w:r>
        <w:rPr>
          <w:rFonts w:ascii="Times New Roman" w:hAnsi="Times New Roman"/>
          <w:caps w:val="false"/>
          <w:smallCaps w:val="false"/>
          <w:sz w:val="20"/>
        </w:rPr>
        <w:t xml:space="preserve"> including whether the warrants are indexed to the Company’s own Common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For issued or modified warrants that meet all of the criteria for equity classification, the warrants are required to be recorded as a component of additional paid-in capital at the time of issuance. For issued or modified warrants that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meet all the criteria for equity classification, the warrants are required to be liability classified and recorded at their initial fair value on the date of issuance and remeasured at fair value and each balance sheet date thereafter. Changes in the estimated fair value of the warrants are recognized as a non-cash gain or loss on the statements of operations. The Company generally determines fair value of the Common Stock Warrants using a Black-Scholes valuation methodology.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 change in any of the terms or conditions of warrants is accounted for as a modification. The accounting for incremental fair value of warrants is based on the specific facts and circumstances related to the modification which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result in a reduction of additional paid-in capital, recognition of costs for services rendered, or recognized as a deemed dividend.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accordance with ASC </w:t>
      </w:r>
      <w:r>
        <w:rPr>
          <w:rStyle w:val="Emphasis"/>
          <w:rFonts w:ascii="Times New Roman" w:hAnsi="Times New Roman"/>
          <w:caps w:val="false"/>
          <w:smallCaps w:val="false"/>
          <w:sz w:val="20"/>
        </w:rPr>
        <w:t>480,</w:t>
      </w:r>
      <w:r>
        <w:rPr>
          <w:rFonts w:ascii="Times New Roman" w:hAnsi="Times New Roman"/>
          <w:caps w:val="false"/>
          <w:smallCaps w:val="false"/>
          <w:sz w:val="20"/>
        </w:rPr>
        <w:t xml:space="preserve"> the Company’s Series A preferred stock was classified as permanent equity as it 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mandatorily redeemable upon an event that is considered outside of the Company’s control. Further, in accordance with ASC </w:t>
      </w:r>
      <w:r>
        <w:rPr>
          <w:rStyle w:val="Emphasis"/>
          <w:rFonts w:ascii="Times New Roman" w:hAnsi="Times New Roman"/>
          <w:caps w:val="false"/>
          <w:smallCaps w:val="false"/>
          <w:sz w:val="20"/>
        </w:rPr>
        <w:t>815</w:t>
      </w:r>
      <w:r>
        <w:rPr>
          <w:rFonts w:ascii="Times New Roman" w:hAnsi="Times New Roman"/>
          <w:caps w:val="false"/>
          <w:smallCaps w:val="false"/>
          <w:sz w:val="20"/>
        </w:rPr>
        <w:t>-</w:t>
      </w:r>
      <w:r>
        <w:rPr>
          <w:rStyle w:val="Emphasis"/>
          <w:rFonts w:ascii="Times New Roman" w:hAnsi="Times New Roman"/>
          <w:caps w:val="false"/>
          <w:smallCaps w:val="false"/>
          <w:sz w:val="20"/>
        </w:rPr>
        <w:t>40,</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Derivatives and Hedging </w:t>
      </w:r>
      <w:r>
        <w:rPr>
          <w:rFonts w:ascii="Times New Roman" w:hAnsi="Times New Roman"/>
          <w:caps w:val="false"/>
          <w:smallCaps w:val="false"/>
          <w:sz w:val="20"/>
        </w:rPr>
        <w:t xml:space="preserve">– </w:t>
      </w:r>
      <w:r>
        <w:rPr>
          <w:rFonts w:ascii="Times New Roman" w:hAnsi="Times New Roman"/>
          <w:i/>
          <w:caps w:val="false"/>
          <w:smallCaps w:val="false"/>
          <w:sz w:val="20"/>
        </w:rPr>
        <w:t>Contracts in an Entity</w:t>
      </w:r>
      <w:r>
        <w:rPr>
          <w:rFonts w:ascii="Times New Roman" w:hAnsi="Times New Roman"/>
          <w:caps w:val="false"/>
          <w:smallCaps w:val="false"/>
          <w:sz w:val="20"/>
        </w:rPr>
        <w:t>’</w:t>
      </w:r>
      <w:r>
        <w:rPr>
          <w:rFonts w:ascii="Times New Roman" w:hAnsi="Times New Roman"/>
          <w:i/>
          <w:caps w:val="false"/>
          <w:smallCaps w:val="false"/>
          <w:sz w:val="20"/>
        </w:rPr>
        <w:t>s Own Equity</w:t>
      </w:r>
      <w:r>
        <w:rPr>
          <w:rFonts w:ascii="Times New Roman" w:hAnsi="Times New Roman"/>
          <w:caps w:val="false"/>
          <w:smallCaps w:val="false"/>
          <w:sz w:val="20"/>
        </w:rPr>
        <w:t xml:space="preserve">, the Series A preferred stock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meet any of the criteria that would preclude equity classification. The Company concluded that the Series A preferred stock was more akin to an equity-type instrument than a debt-type instrument, therefore the conversion features associated with the convertible preferred stock were deemed to be clearly and closely related to the host instrument and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bifurcated as a derivative under ASC </w:t>
      </w:r>
      <w:r>
        <w:rPr>
          <w:rStyle w:val="Emphasis"/>
          <w:rFonts w:ascii="Times New Roman" w:hAnsi="Times New Roman"/>
          <w:caps w:val="false"/>
          <w:smallCaps w:val="false"/>
          <w:sz w:val="20"/>
        </w:rPr>
        <w:t>815.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Segment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The Company’s Chief Operating Decision Maker (CODM) is its Chief Executive Officer, who reviews financial information presented for purposes of making operating decisions, assessing financial performance, and allocating resources. The Company operates through two reportable segments: (i) a pharmaceutical development segment focused on the research and development of novel therapeutics for the treatment of central nervous system disorders, including suicidal depression, chronic pain, PTSD, and schizophrenia, and (ii) a clinical services segment that generates patient service revenue through the Company’s clinical operations. The CODM evaluates the operating results and financial performance of each segment separately for purposes of resource allocation and performance assessment. See Note </w:t>
      </w:r>
      <w:r>
        <w:rPr>
          <w:rStyle w:val="Emphasis"/>
          <w:rFonts w:ascii="Times New Roman" w:hAnsi="Times New Roman"/>
          <w:caps w:val="false"/>
          <w:smallCaps w:val="false"/>
          <w:sz w:val="20"/>
        </w:rPr>
        <w:t>14</w:t>
      </w:r>
      <w:r>
        <w:rPr>
          <w:rFonts w:ascii="Times New Roman" w:hAnsi="Times New Roman"/>
          <w:caps w:val="false"/>
          <w:smallCaps w:val="false"/>
          <w:sz w:val="20"/>
        </w:rPr>
        <w:t xml:space="preserve"> for further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Equity Method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Investments in entities over which the Company has the ability to exercise significant influence, but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control, are accounted for under the equity method of accounting in accordance with ASC Topic </w:t>
      </w:r>
      <w:r>
        <w:rPr>
          <w:rStyle w:val="Emphasis"/>
          <w:rFonts w:ascii="Times New Roman" w:hAnsi="Times New Roman"/>
          <w:caps w:val="false"/>
          <w:smallCaps w:val="false"/>
          <w:sz w:val="20"/>
        </w:rPr>
        <w:t>323,</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Investments </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Equity Method and Joint Ventures </w:t>
      </w:r>
      <w:r>
        <w:rPr>
          <w:rFonts w:ascii="Times New Roman" w:hAnsi="Times New Roman"/>
          <w:caps w:val="false"/>
          <w:smallCaps w:val="false"/>
          <w:sz w:val="20"/>
        </w:rPr>
        <w:t xml:space="preserve">(“ASC </w:t>
      </w:r>
      <w:r>
        <w:rPr>
          <w:rStyle w:val="Emphasis"/>
          <w:rFonts w:ascii="Times New Roman" w:hAnsi="Times New Roman"/>
          <w:caps w:val="false"/>
          <w:smallCaps w:val="false"/>
          <w:sz w:val="20"/>
        </w:rPr>
        <w:t>323”</w:t>
      </w:r>
      <w:r>
        <w:rPr>
          <w:rFonts w:ascii="Times New Roman" w:hAnsi="Times New Roman"/>
          <w:caps w:val="false"/>
          <w:smallCaps w:val="false"/>
          <w:sz w:val="20"/>
        </w:rPr>
        <w:t xml:space="preserve">). Under the equity method, investments are initially recorded at cost and subsequently adjusted to reflect the Company’s proportionate share of the investee’s net income or loss, which is recorded in equity method income (loss) in the statements of operations. Distributions received from investees reduce the carrying amount of the investment. The Company evaluates its equity method investments for impairment whenever events or changes in circumstances indicate that the carrying value of the investment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recoverable.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Income taxes are recorded in accordance with FASB ASC Topic </w:t>
      </w:r>
      <w:r>
        <w:rPr>
          <w:rStyle w:val="Emphasis"/>
          <w:rFonts w:ascii="Times New Roman" w:hAnsi="Times New Roman"/>
          <w:caps w:val="false"/>
          <w:smallCaps w:val="false"/>
          <w:sz w:val="20"/>
        </w:rPr>
        <w:t>740,</w:t>
      </w:r>
      <w:r>
        <w:rPr>
          <w:rFonts w:ascii="Times New Roman" w:hAnsi="Times New Roman"/>
          <w:caps w:val="false"/>
          <w:smallCaps w:val="false"/>
          <w:sz w:val="20"/>
        </w:rPr>
        <w:t xml:space="preserve"> </w:t>
      </w:r>
      <w:r>
        <w:rPr>
          <w:rFonts w:ascii="Times New Roman" w:hAnsi="Times New Roman"/>
          <w:i/>
          <w:caps w:val="false"/>
          <w:smallCaps w:val="false"/>
          <w:sz w:val="20"/>
        </w:rPr>
        <w:t>Income Taxes</w:t>
      </w:r>
      <w:r>
        <w:rPr>
          <w:rFonts w:ascii="Times New Roman" w:hAnsi="Times New Roman"/>
          <w:caps w:val="false"/>
          <w:smallCaps w:val="false"/>
          <w:sz w:val="20"/>
        </w:rPr>
        <w:t xml:space="preserve"> (“ASC </w:t>
      </w:r>
      <w:r>
        <w:rPr>
          <w:rStyle w:val="Emphasis"/>
          <w:rFonts w:ascii="Times New Roman" w:hAnsi="Times New Roman"/>
          <w:caps w:val="false"/>
          <w:smallCaps w:val="false"/>
          <w:sz w:val="20"/>
        </w:rPr>
        <w:t>740”</w:t>
      </w:r>
      <w:r>
        <w:rPr>
          <w:rFonts w:ascii="Times New Roman" w:hAnsi="Times New Roman"/>
          <w:caps w:val="false"/>
          <w:smallCaps w:val="false"/>
          <w:sz w:val="20"/>
        </w:rPr>
        <w:t xml:space="preserve">), which provides for deferred taxes using an asset and liability approach. The Company recognizes deferred tax assets and liabilities for the expected future tax consequences of events that have been included in the financial statements or tax returns. Deferred tax assets and liabilities are determined based on the difference between the financial statement and tax basis of assets and liabilities using enacted tax rates in effect for the year in which the differences are expected to be recovered or settled. Valuation allowances are provided, if based upon the weight of available evidence, it is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some or all of the deferred tax assets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realized. The Company accounts for uncertain tax positions in accordance with the provisions of ASC </w:t>
      </w:r>
      <w:r>
        <w:rPr>
          <w:rStyle w:val="Emphasis"/>
          <w:rFonts w:ascii="Times New Roman" w:hAnsi="Times New Roman"/>
          <w:caps w:val="false"/>
          <w:smallCaps w:val="false"/>
          <w:sz w:val="20"/>
        </w:rPr>
        <w:t>740.</w:t>
      </w:r>
      <w:r>
        <w:rPr>
          <w:rFonts w:ascii="Times New Roman" w:hAnsi="Times New Roman"/>
          <w:caps w:val="false"/>
          <w:smallCaps w:val="false"/>
          <w:sz w:val="20"/>
        </w:rPr>
        <w:t xml:space="preserve"> When uncertain tax positions exist, the Company recognizes the tax benefit of tax positions to the extent that the benefit would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realized assuming examination by the taxing authority. The determination as to whether the tax benefit will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realized is based upon the technical merits of the tax position as well as consideration of the available facts and circumstances. The Company recognizes any interest and penalties accrued related to unrecognized tax benefits as income tax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NRX PHARMACEUTICALS,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pPr>
      <w:r>
        <w:rPr>
          <w:rStyle w:val="Emphasis"/>
          <w:rFonts w:ascii="Times New Roman;Times;serif" w:hAnsi="Times New Roman;Times;serif"/>
          <w:b/>
          <w:sz w:val="20"/>
        </w:rPr>
        <w:t>JUNE 30, 2026</w:t>
      </w:r>
      <w:r>
        <w:rPr>
          <w:rFonts w:ascii="Times New Roman;Times;serif" w:hAnsi="Times New Roman;Times;serif"/>
          <w:b/>
          <w:sz w:val="20"/>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(Unaudited)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applies the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-class method when computing net income or loss per share attributable to Common Stockholders. In determining net income or loss attributable to Common Stockholders, the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-class method requires income or loss allocable to participating securities for the period to be allocated between common and participating securities based on their respective rights to share in the earnings as if all of the income or loss allocable for the period had been distributed. In periods of net loss, there is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allocation required under the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-class method as the participating securities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an obligation to fund the losses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Basic loss per share of Common Stock is computed by dividing net loss attributable to Common Stockholders by the weighted average number of shares of Common Stock outstanding for the period. Diluted loss per share reflects the potential dilution that could occur if stock options, restricted stock awards and warrants were to vest and be exercised. Diluted earnings per share excludes, when applicable, the potential impact of stock options, Common Stock warrant shares, convertible notes, and other dilutive instruments because their effect would be anti-dilutive in the periods in which the Company incurs a net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outstanding shares of Common Stock equivalents were excluded from the computation of the diluted net loss per share attributable to Common Stock for the periods in which a net loss is presented because their effect would have been anti-dilutive.</w:t>
      </w:r>
    </w:p>
    <w:p>
      <w:pPr>
        <w:pStyle w:val="TextBody"/>
        <w:bidi w:val="0"/>
        <w:spacing w:before="0" w:after="0"/>
        <w:ind w:left="0" w:right="0" w:hanging="0"/>
        <w:jc w:val="left"/>
        <w:rPr>
          <w:caps w:val="false"/>
          <w:smallCaps w:val="false"/>
        </w:rPr>
      </w:pPr>
      <w:r>
        <w:rPr>
          <w:caps w:val="false"/>
          <w:smallCaps w:val="false"/>
        </w:rPr>
        <w:t> </w:t>
      </w:r>
    </w:p>
    <w:tbl>
      <w:tblPr>
        <w:tblW w:w="6840" w:type="dxa"/>
        <w:jc w:val="left"/>
        <w:tblInd w:w="0" w:type="dxa"/>
        <w:tblLayout w:type="fixed"/>
        <w:tblCellMar>
          <w:top w:w="0" w:type="dxa"/>
          <w:left w:w="0" w:type="dxa"/>
          <w:bottom w:w="0" w:type="dxa"/>
          <w:right w:w="0" w:type="dxa"/>
        </w:tblCellMar>
      </w:tblPr>
      <w:tblGrid>
        <w:gridCol w:w="4685"/>
        <w:gridCol w:w="60"/>
        <w:gridCol w:w="60"/>
        <w:gridCol w:w="845"/>
        <w:gridCol w:w="60"/>
        <w:gridCol w:w="60"/>
        <w:gridCol w:w="60"/>
        <w:gridCol w:w="950"/>
        <w:gridCol w:w="60"/>
      </w:tblGrid>
      <w:tr>
        <w:trPr/>
        <w:tc>
          <w:tcPr>
            <w:tcW w:w="4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3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60" w:type="dxa"/>
            <w:tcBorders/>
            <w:vAlign w:val="center"/>
          </w:tcPr>
          <w:p>
            <w:pPr>
              <w:pStyle w:val="TableContents"/>
              <w:bidi w:val="0"/>
              <w:spacing w:before="0" w:after="283"/>
              <w:jc w:val="left"/>
              <w:rPr/>
            </w:pPr>
            <w:r>
              <w:rPr/>
              <w:t> </w:t>
            </w:r>
          </w:p>
        </w:tc>
      </w:tr>
      <w:tr>
        <w:trPr/>
        <w:tc>
          <w:tcPr>
            <w:tcW w:w="4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r>
      <w:tr>
        <w:trPr/>
        <w:tc>
          <w:tcPr>
            <w:tcW w:w="46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673,838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663,453</w:t>
            </w:r>
          </w:p>
        </w:tc>
        <w:tc>
          <w:tcPr>
            <w:tcW w:w="60" w:type="dxa"/>
            <w:tcBorders/>
            <w:shd w:fill="CCEEFF"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8,986,823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9,536,222</w:t>
            </w:r>
          </w:p>
        </w:tc>
        <w:tc>
          <w:tcPr>
            <w:tcW w:w="60" w:type="dxa"/>
            <w:tcBorders/>
            <w:shd w:fill="FFFFFF" w:val="clear"/>
            <w:vAlign w:val="center"/>
          </w:tcPr>
          <w:p>
            <w:pPr>
              <w:pStyle w:val="TableContents"/>
              <w:bidi w:val="0"/>
              <w:spacing w:before="0" w:after="283"/>
              <w:jc w:val="left"/>
              <w:rPr/>
            </w:pPr>
            <w:r>
              <w:rPr/>
              <w:t> </w:t>
            </w:r>
          </w:p>
        </w:tc>
      </w:tr>
      <w:tr>
        <w:trPr/>
        <w:tc>
          <w:tcPr>
            <w:tcW w:w="46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Unvested Restricted Stock awards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issuable upon conversion of Anson Notes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3,716,836</w:t>
            </w:r>
          </w:p>
        </w:tc>
        <w:tc>
          <w:tcPr>
            <w:tcW w:w="60" w:type="dxa"/>
            <w:tcBorders/>
            <w:shd w:fill="FFFFFF" w:val="clear"/>
            <w:vAlign w:val="center"/>
          </w:tcPr>
          <w:p>
            <w:pPr>
              <w:pStyle w:val="TableContents"/>
              <w:bidi w:val="0"/>
              <w:spacing w:before="0" w:after="283"/>
              <w:jc w:val="left"/>
              <w:rPr/>
            </w:pPr>
            <w:r>
              <w:rPr/>
              <w:t> </w:t>
            </w:r>
          </w:p>
        </w:tc>
      </w:tr>
      <w:tr>
        <w:trPr/>
        <w:tc>
          <w:tcPr>
            <w:tcW w:w="46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9,693,556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13,916,511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Recent Accounting Pronouncements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From time to time, new accounting pronouncements are issued by the FASB or other standard setting bodies and are adopted by the Company as of the specified effective date.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November 2024,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w:t>
      </w:r>
      <w:r>
        <w:rPr>
          <w:rFonts w:ascii="Times New Roman" w:hAnsi="Times New Roman"/>
          <w:i/>
          <w:caps w:val="false"/>
          <w:smallCaps w:val="false"/>
          <w:sz w:val="20"/>
        </w:rPr>
        <w:t>Income Statement</w:t>
      </w:r>
      <w:r>
        <w:rPr>
          <w:rFonts w:ascii="Times New Roman" w:hAnsi="Times New Roman"/>
          <w:caps w:val="false"/>
          <w:smallCaps w:val="false"/>
          <w:sz w:val="20"/>
        </w:rPr>
        <w:t>—</w:t>
      </w:r>
      <w:r>
        <w:rPr>
          <w:rFonts w:ascii="Times New Roman" w:hAnsi="Times New Roman"/>
          <w:i/>
          <w:caps w:val="false"/>
          <w:smallCaps w:val="false"/>
          <w:sz w:val="20"/>
        </w:rPr>
        <w:t>Reporting Comprehensive Income</w:t>
      </w:r>
      <w:r>
        <w:rPr>
          <w:rFonts w:ascii="Times New Roman" w:hAnsi="Times New Roman"/>
          <w:caps w:val="false"/>
          <w:smallCaps w:val="false"/>
          <w:sz w:val="20"/>
        </w:rPr>
        <w:t>—</w:t>
      </w:r>
      <w:r>
        <w:rPr>
          <w:rFonts w:ascii="Times New Roman" w:hAnsi="Times New Roman"/>
          <w:i/>
          <w:caps w:val="false"/>
          <w:smallCaps w:val="false"/>
          <w:sz w:val="20"/>
        </w:rPr>
        <w:t xml:space="preserve">Expense Disaggregation Disclosures (Subtopic </w:t>
      </w:r>
      <w:r>
        <w:rPr>
          <w:rStyle w:val="Emphasis"/>
          <w:rFonts w:ascii="Times New Roman" w:hAnsi="Times New Roman"/>
          <w:i/>
          <w:caps w:val="false"/>
          <w:smallCaps w:val="false"/>
          <w:sz w:val="20"/>
        </w:rPr>
        <w:t>220</w:t>
      </w:r>
      <w:r>
        <w:rPr>
          <w:rFonts w:ascii="Times New Roman" w:hAnsi="Times New Roman"/>
          <w:i/>
          <w:caps w:val="false"/>
          <w:smallCaps w:val="false"/>
          <w:sz w:val="20"/>
        </w:rPr>
        <w:t>-</w:t>
      </w:r>
      <w:r>
        <w:rPr>
          <w:rStyle w:val="Emphasis"/>
          <w:rFonts w:ascii="Times New Roman" w:hAnsi="Times New Roman"/>
          <w:i/>
          <w:caps w:val="false"/>
          <w:smallCaps w:val="false"/>
          <w:sz w:val="20"/>
        </w:rPr>
        <w:t>40</w:t>
      </w:r>
      <w:r>
        <w:rPr>
          <w:rFonts w:ascii="Times New Roman" w:hAnsi="Times New Roman"/>
          <w:i/>
          <w:caps w:val="false"/>
          <w:smallCaps w:val="false"/>
          <w:sz w:val="20"/>
        </w:rPr>
        <w:t>): Disaggregation of Income Statement Expenses</w:t>
      </w:r>
      <w:r>
        <w:rPr>
          <w:rFonts w:ascii="Times New Roman" w:hAnsi="Times New Roman"/>
          <w:caps w:val="false"/>
          <w:smallCaps w:val="false"/>
          <w:sz w:val="20"/>
        </w:rPr>
        <w:t xml:space="preserve">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and in </w:t>
      </w:r>
      <w:r>
        <w:rPr>
          <w:rStyle w:val="Emphasis"/>
          <w:rFonts w:ascii="Times New Roman" w:hAnsi="Times New Roman"/>
          <w:caps w:val="false"/>
          <w:smallCaps w:val="false"/>
          <w:sz w:val="20"/>
        </w:rPr>
        <w:t xml:space="preserve">January 2025,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01,</w:t>
      </w:r>
      <w:r>
        <w:rPr>
          <w:rFonts w:ascii="Times New Roman" w:hAnsi="Times New Roman"/>
          <w:caps w:val="false"/>
          <w:smallCaps w:val="false"/>
          <w:sz w:val="20"/>
        </w:rPr>
        <w:t> </w:t>
      </w:r>
      <w:r>
        <w:rPr>
          <w:rFonts w:ascii="Times New Roman" w:hAnsi="Times New Roman"/>
          <w:i/>
          <w:caps w:val="false"/>
          <w:smallCaps w:val="false"/>
          <w:sz w:val="20"/>
        </w:rPr>
        <w:t>Income Statement</w:t>
      </w:r>
      <w:r>
        <w:rPr>
          <w:rFonts w:ascii="Times New Roman" w:hAnsi="Times New Roman"/>
          <w:caps w:val="false"/>
          <w:smallCaps w:val="false"/>
          <w:sz w:val="20"/>
        </w:rPr>
        <w:t>—</w:t>
      </w:r>
      <w:r>
        <w:rPr>
          <w:rFonts w:ascii="Times New Roman" w:hAnsi="Times New Roman"/>
          <w:i/>
          <w:caps w:val="false"/>
          <w:smallCaps w:val="false"/>
          <w:sz w:val="20"/>
        </w:rPr>
        <w:t>Reporting Comprehensive Income</w:t>
      </w:r>
      <w:r>
        <w:rPr>
          <w:rFonts w:ascii="Times New Roman" w:hAnsi="Times New Roman"/>
          <w:caps w:val="false"/>
          <w:smallCaps w:val="false"/>
          <w:sz w:val="20"/>
        </w:rPr>
        <w:t>—</w:t>
      </w:r>
      <w:r>
        <w:rPr>
          <w:rFonts w:ascii="Times New Roman" w:hAnsi="Times New Roman"/>
          <w:i/>
          <w:caps w:val="false"/>
          <w:smallCaps w:val="false"/>
          <w:sz w:val="20"/>
        </w:rPr>
        <w:t xml:space="preserve">Expense Disaggregation Disclosures (Subtopic </w:t>
      </w:r>
      <w:r>
        <w:rPr>
          <w:rStyle w:val="Emphasis"/>
          <w:rFonts w:ascii="Times New Roman" w:hAnsi="Times New Roman"/>
          <w:i/>
          <w:caps w:val="false"/>
          <w:smallCaps w:val="false"/>
          <w:sz w:val="20"/>
        </w:rPr>
        <w:t>220</w:t>
      </w:r>
      <w:r>
        <w:rPr>
          <w:rFonts w:ascii="Times New Roman" w:hAnsi="Times New Roman"/>
          <w:i/>
          <w:caps w:val="false"/>
          <w:smallCaps w:val="false"/>
          <w:sz w:val="20"/>
        </w:rPr>
        <w:t>-</w:t>
      </w:r>
      <w:r>
        <w:rPr>
          <w:rStyle w:val="Emphasis"/>
          <w:rFonts w:ascii="Times New Roman" w:hAnsi="Times New Roman"/>
          <w:i/>
          <w:caps w:val="false"/>
          <w:smallCaps w:val="false"/>
          <w:sz w:val="20"/>
        </w:rPr>
        <w:t>40</w:t>
      </w:r>
      <w:r>
        <w:rPr>
          <w:rFonts w:ascii="Times New Roman" w:hAnsi="Times New Roman"/>
          <w:i/>
          <w:caps w:val="false"/>
          <w:smallCaps w:val="false"/>
          <w:sz w:val="20"/>
        </w:rPr>
        <w:t>): Clarifying the Effective Date</w:t>
      </w:r>
      <w:r>
        <w:rPr>
          <w:rFonts w:ascii="Times New Roman" w:hAnsi="Times New Roman"/>
          <w:caps w:val="false"/>
          <w:smallCaps w:val="false"/>
          <w:sz w:val="20"/>
        </w:rPr>
        <w:t xml:space="preserve">, which clarified the effective date of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will require the Company to disclose the amounts of purchases of inventory, employee compensation, depreciation, and intangible asset amortization, as applicable, included in certain expense captions in the Consolidated Statements of Operations, as well as qualitatively describe remaining amounts included in those captions.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will also require the Company to disclose both the amount and the Company’s definition of selling expenses. The Company is currently evaluating the impact of adopting of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NRX PHARMACEUTICALS,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pPr>
      <w:r>
        <w:rPr>
          <w:rStyle w:val="Emphasis"/>
          <w:rFonts w:ascii="Times New Roman;Times;serif" w:hAnsi="Times New Roman;Times;serif"/>
          <w:b/>
          <w:sz w:val="20"/>
        </w:rPr>
        <w:t>JUNE 30, 2026</w:t>
      </w:r>
      <w:r>
        <w:rPr>
          <w:rFonts w:ascii="Times New Roman;Times;serif" w:hAnsi="Times New Roman;Times;serif"/>
          <w:b/>
          <w:sz w:val="20"/>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(Unaudited)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3.</w:t>
      </w:r>
      <w:r>
        <w:rPr>
          <w:rFonts w:ascii="Times New Roman" w:hAnsi="Times New Roman"/>
          <w:b/>
          <w:caps w:val="false"/>
          <w:smallCaps w:val="false"/>
          <w:sz w:val="20"/>
        </w:rPr>
        <w:t xml:space="preserve"> Revenue and accounts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Revenue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is derived from services rendered to patients for outpatient behavioral health care, interventional psychiatry, and pain management procedures. The Company’s services have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fixed duration and can generally be terminated by the patient or the Company at any time; therefore, each treatment or visit is considered its own stand-alone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disaggregates revenue from contracts with customers by service type and by payor, as management believes this best depicts the nature, amount, timing, and uncertainty of revenue and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Revenue by Service Type (in thousands):</w:t>
      </w:r>
    </w:p>
    <w:p>
      <w:pPr>
        <w:pStyle w:val="TextBody"/>
        <w:bidi w:val="0"/>
        <w:spacing w:before="0" w:after="0"/>
        <w:ind w:left="0" w:right="0" w:hanging="0"/>
        <w:jc w:val="left"/>
        <w:rPr>
          <w:caps w:val="false"/>
          <w:smallCaps w:val="false"/>
        </w:rPr>
      </w:pPr>
      <w:r>
        <w:rPr>
          <w:caps w:val="false"/>
          <w:smallCaps w:val="false"/>
        </w:rPr>
        <w:t> </w:t>
      </w:r>
    </w:p>
    <w:tbl>
      <w:tblPr>
        <w:tblW w:w="5293" w:type="dxa"/>
        <w:jc w:val="left"/>
        <w:tblInd w:w="0" w:type="dxa"/>
        <w:tblLayout w:type="fixed"/>
        <w:tblCellMar>
          <w:top w:w="0" w:type="dxa"/>
          <w:left w:w="0" w:type="dxa"/>
          <w:bottom w:w="0" w:type="dxa"/>
          <w:right w:w="0" w:type="dxa"/>
        </w:tblCellMar>
      </w:tblPr>
      <w:tblGrid>
        <w:gridCol w:w="2675"/>
        <w:gridCol w:w="60"/>
        <w:gridCol w:w="243"/>
        <w:gridCol w:w="946"/>
        <w:gridCol w:w="60"/>
        <w:gridCol w:w="60"/>
        <w:gridCol w:w="243"/>
        <w:gridCol w:w="946"/>
        <w:gridCol w:w="60"/>
      </w:tblGrid>
      <w:tr>
        <w:trPr/>
        <w:tc>
          <w:tcPr>
            <w:tcW w:w="26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three</w:t>
              <w:br/>
              <w:t>months ended</w:t>
              <w:b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six</w:t>
              <w:br/>
              <w:t>months ended</w:t>
              <w:br/>
              <w:t>June 30, 2026</w:t>
            </w:r>
          </w:p>
        </w:tc>
        <w:tc>
          <w:tcPr>
            <w:tcW w:w="60" w:type="dxa"/>
            <w:tcBorders/>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Procedures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537</w:t>
            </w:r>
          </w:p>
        </w:tc>
        <w:tc>
          <w:tcPr>
            <w:tcW w:w="60" w:type="dxa"/>
            <w:tcBorders/>
            <w:shd w:fill="CCEEFF" w:val="clear"/>
            <w:vAlign w:val="center"/>
          </w:tcPr>
          <w:p>
            <w:pPr>
              <w:pStyle w:val="TableContents"/>
              <w:bidi w:val="0"/>
              <w:spacing w:before="0" w:after="283"/>
              <w:jc w:val="left"/>
              <w:rPr/>
            </w:pPr>
            <w:r>
              <w:rPr/>
              <w:t> </w:t>
            </w:r>
          </w:p>
        </w:tc>
      </w:tr>
      <w:tr>
        <w:trPr/>
        <w:tc>
          <w:tcPr>
            <w:tcW w:w="26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Therapy services</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1,632</w:t>
            </w:r>
          </w:p>
        </w:tc>
        <w:tc>
          <w:tcPr>
            <w:tcW w:w="60" w:type="dxa"/>
            <w:tcBorders/>
            <w:shd w:fill="FFFFFF" w:val="clear"/>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 patient service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Revenue by payor (in thousands):</w:t>
      </w:r>
    </w:p>
    <w:p>
      <w:pPr>
        <w:pStyle w:val="TextBody"/>
        <w:bidi w:val="0"/>
        <w:spacing w:before="0" w:after="0"/>
        <w:ind w:left="0" w:right="0" w:hanging="0"/>
        <w:jc w:val="left"/>
        <w:rPr>
          <w:caps w:val="false"/>
          <w:smallCaps w:val="false"/>
        </w:rPr>
      </w:pPr>
      <w:r>
        <w:rPr>
          <w:caps w:val="false"/>
          <w:smallCaps w:val="false"/>
        </w:rPr>
        <w:t> </w:t>
      </w:r>
    </w:p>
    <w:tbl>
      <w:tblPr>
        <w:tblW w:w="5293" w:type="dxa"/>
        <w:jc w:val="left"/>
        <w:tblInd w:w="0" w:type="dxa"/>
        <w:tblLayout w:type="fixed"/>
        <w:tblCellMar>
          <w:top w:w="0" w:type="dxa"/>
          <w:left w:w="0" w:type="dxa"/>
          <w:bottom w:w="0" w:type="dxa"/>
          <w:right w:w="0" w:type="dxa"/>
        </w:tblCellMar>
      </w:tblPr>
      <w:tblGrid>
        <w:gridCol w:w="2675"/>
        <w:gridCol w:w="60"/>
        <w:gridCol w:w="243"/>
        <w:gridCol w:w="946"/>
        <w:gridCol w:w="60"/>
        <w:gridCol w:w="60"/>
        <w:gridCol w:w="243"/>
        <w:gridCol w:w="946"/>
        <w:gridCol w:w="60"/>
      </w:tblGrid>
      <w:tr>
        <w:trPr/>
        <w:tc>
          <w:tcPr>
            <w:tcW w:w="26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three</w:t>
              <w:br/>
              <w:t>months ended</w:t>
              <w:b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six</w:t>
              <w:br/>
              <w:t>months ended</w:t>
              <w:br/>
              <w:t>June 30, 2026</w:t>
            </w:r>
          </w:p>
        </w:tc>
        <w:tc>
          <w:tcPr>
            <w:tcW w:w="60" w:type="dxa"/>
            <w:tcBorders/>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Insurance</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1,508</w:t>
            </w:r>
          </w:p>
        </w:tc>
        <w:tc>
          <w:tcPr>
            <w:tcW w:w="60" w:type="dxa"/>
            <w:tcBorders/>
            <w:shd w:fill="CCEEFF" w:val="clear"/>
            <w:vAlign w:val="center"/>
          </w:tcPr>
          <w:p>
            <w:pPr>
              <w:pStyle w:val="TableContents"/>
              <w:bidi w:val="0"/>
              <w:spacing w:before="0" w:after="283"/>
              <w:jc w:val="left"/>
              <w:rPr/>
            </w:pPr>
            <w:r>
              <w:rPr/>
              <w:t> </w:t>
            </w:r>
          </w:p>
        </w:tc>
      </w:tr>
      <w:tr>
        <w:trPr/>
        <w:tc>
          <w:tcPr>
            <w:tcW w:w="26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Medicare</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w:t>
            </w:r>
          </w:p>
        </w:tc>
        <w:tc>
          <w:tcPr>
            <w:tcW w:w="60" w:type="dxa"/>
            <w:tcBorders/>
            <w:shd w:fill="FFFFFF" w:val="clear"/>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Self-Pay</w:t>
            </w:r>
          </w:p>
        </w:tc>
        <w:tc>
          <w:tcPr>
            <w:tcW w:w="60" w:type="dxa"/>
            <w:tcBorders/>
            <w:shd w:fill="CCEEFF" w:val="clear"/>
            <w:vAlign w:val="center"/>
          </w:tcPr>
          <w:p>
            <w:pPr>
              <w:pStyle w:val="TableContents"/>
              <w:bidi w:val="0"/>
              <w:spacing w:before="0" w:after="283"/>
              <w:jc w:val="left"/>
              <w:rPr/>
            </w:pPr>
            <w:r>
              <w:rPr/>
              <w:t> </w:t>
            </w:r>
          </w:p>
        </w:tc>
        <w:tc>
          <w:tcPr>
            <w:tcW w:w="2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w:t>
            </w:r>
          </w:p>
        </w:tc>
        <w:tc>
          <w:tcPr>
            <w:tcW w:w="60" w:type="dxa"/>
            <w:tcBorders/>
            <w:shd w:fill="CCEEFF" w:val="clear"/>
            <w:vAlign w:val="center"/>
          </w:tcPr>
          <w:p>
            <w:pPr>
              <w:pStyle w:val="TableContents"/>
              <w:bidi w:val="0"/>
              <w:spacing w:before="0" w:after="283"/>
              <w:jc w:val="left"/>
              <w:rPr/>
            </w:pPr>
            <w:r>
              <w:rPr/>
              <w:t> </w:t>
            </w:r>
          </w:p>
        </w:tc>
      </w:tr>
      <w:tr>
        <w:trPr/>
        <w:tc>
          <w:tcPr>
            <w:tcW w:w="26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 patient service revenue</w:t>
            </w:r>
          </w:p>
        </w:tc>
        <w:tc>
          <w:tcPr>
            <w:tcW w:w="60" w:type="dxa"/>
            <w:tcBorders/>
            <w:shd w:fill="FFFF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2,169</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receives payments from the following sources: (i) commercial insurers; (ii) the federal government under the Medicare program administered by the Centers for Medicare and Medicaid Services (CMS) and other programs; (iii) state governments under Medicaid and related programs; and (iv) individual patients and clients.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determines the transaction price based on established billing rates reduced by contractual adjustments, discounts, and implicit price concessions, which represent amounts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 to collect based on historical experience and other relevant factors. Contractual adjustments and discounts are based on contractual agreements with commercial insurance and Medicare, discount policies, and historical experience. Implicit price concessions are based on historical collection experience. Most of the Company’s services have contracts containing variable considerations, such as contractual adjustments, discounts, and implicit price concessions, which are estimated and reflected as reductions to revenue in the period the services are provided. However, it is unlikely a significant reversal of revenue will occur when the uncertainty is resolved, and therefore, the Company includes the variable consideration in the estimated transaction price. Subsequent changes resulting from a patient’s ability to pay are recorded as credit loss expense, which is included in other 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derives a significant portion of its revenue from Medicare, and other payors that receive discounts from established billing rates. The Medicare regulations and various managed care contracts under which these discounts must be estimated are complex, subject to interpretation and adjustment,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include multiple reimbursement mechanisms for different types of services provided. Management estimates the transaction price on a payor specific basis given its interpretation of the applicable regulations or contract terms. The services authorized and provided and related reimbursement are often subject to interpretation that could result in payments that differ from the Company’s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Accounts Receivable and allowance for credit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Accounts Receivable (in thousands):</w:t>
      </w:r>
    </w:p>
    <w:p>
      <w:pPr>
        <w:pStyle w:val="TextBody"/>
        <w:bidi w:val="0"/>
        <w:spacing w:before="0" w:after="0"/>
        <w:ind w:left="0" w:right="0" w:hanging="0"/>
        <w:jc w:val="left"/>
        <w:rPr>
          <w:caps w:val="false"/>
          <w:smallCaps w:val="false"/>
        </w:rPr>
      </w:pPr>
      <w:r>
        <w:rPr>
          <w:caps w:val="false"/>
          <w:smallCaps w:val="false"/>
        </w:rPr>
        <w:t> </w:t>
      </w:r>
    </w:p>
    <w:tbl>
      <w:tblPr>
        <w:tblW w:w="4794" w:type="dxa"/>
        <w:jc w:val="left"/>
        <w:tblInd w:w="0" w:type="dxa"/>
        <w:tblLayout w:type="fixed"/>
        <w:tblCellMar>
          <w:top w:w="0" w:type="dxa"/>
          <w:left w:w="0" w:type="dxa"/>
          <w:bottom w:w="0" w:type="dxa"/>
          <w:right w:w="0" w:type="dxa"/>
        </w:tblCellMar>
      </w:tblPr>
      <w:tblGrid>
        <w:gridCol w:w="2615"/>
        <w:gridCol w:w="60"/>
        <w:gridCol w:w="174"/>
        <w:gridCol w:w="550"/>
        <w:gridCol w:w="80"/>
        <w:gridCol w:w="60"/>
        <w:gridCol w:w="282"/>
        <w:gridCol w:w="893"/>
        <w:gridCol w:w="80"/>
      </w:tblGrid>
      <w:tr>
        <w:trPr/>
        <w:tc>
          <w:tcPr>
            <w:tcW w:w="26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80"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gross</w:t>
            </w:r>
          </w:p>
        </w:tc>
        <w:tc>
          <w:tcPr>
            <w:tcW w:w="60" w:type="dxa"/>
            <w:tcBorders/>
            <w:shd w:fill="CCEEFF" w:val="clear"/>
            <w:vAlign w:val="center"/>
          </w:tcPr>
          <w:p>
            <w:pPr>
              <w:pStyle w:val="TableContents"/>
              <w:bidi w:val="0"/>
              <w:spacing w:before="0" w:after="283"/>
              <w:ind w:left="0" w:right="0" w:hanging="0"/>
              <w:jc w:val="left"/>
              <w:rPr/>
            </w:pPr>
            <w:r>
              <w:rPr/>
              <w:t> </w:t>
            </w:r>
          </w:p>
        </w:tc>
        <w:tc>
          <w:tcPr>
            <w:tcW w:w="17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w:t>
            </w:r>
          </w:p>
        </w:tc>
        <w:tc>
          <w:tcPr>
            <w:tcW w:w="80" w:type="dxa"/>
            <w:tcBorders/>
            <w:shd w:fill="CCEEFF" w:val="clear"/>
            <w:vAlign w:val="center"/>
          </w:tcPr>
          <w:p>
            <w:pPr>
              <w:pStyle w:val="TableContents"/>
              <w:bidi w:val="0"/>
              <w:spacing w:before="0" w:after="283"/>
              <w:jc w:val="left"/>
              <w:rPr/>
            </w:pPr>
            <w:r>
              <w:rPr/>
              <w:t> </w:t>
            </w:r>
          </w:p>
        </w:tc>
      </w:tr>
      <w:tr>
        <w:trPr/>
        <w:tc>
          <w:tcPr>
            <w:tcW w:w="26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allowance for credit losses</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net</w:t>
            </w:r>
          </w:p>
        </w:tc>
        <w:tc>
          <w:tcPr>
            <w:tcW w:w="60" w:type="dxa"/>
            <w:tcBorders/>
            <w:shd w:fill="CCEEFF" w:val="clear"/>
            <w:vAlign w:val="center"/>
          </w:tcPr>
          <w:p>
            <w:pPr>
              <w:pStyle w:val="TableContents"/>
              <w:bidi w:val="0"/>
              <w:spacing w:before="0" w:after="283"/>
              <w:ind w:left="0" w:right="0" w:hanging="0"/>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NRX PHARMACEUTICALS,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pPr>
      <w:r>
        <w:rPr>
          <w:rStyle w:val="Emphasis"/>
          <w:rFonts w:ascii="Times New Roman;Times;serif" w:hAnsi="Times New Roman;Times;serif"/>
          <w:b/>
          <w:sz w:val="20"/>
        </w:rPr>
        <w:t>JUNE 30, 2026</w:t>
      </w:r>
      <w:r>
        <w:rPr>
          <w:rFonts w:ascii="Times New Roman;Times;serif" w:hAnsi="Times New Roman;Times;serif"/>
          <w:b/>
          <w:sz w:val="20"/>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(Unaudited)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Allowance for credit losses roll-forward (in thousands):</w:t>
      </w:r>
    </w:p>
    <w:p>
      <w:pPr>
        <w:pStyle w:val="TextBody"/>
        <w:bidi w:val="0"/>
        <w:spacing w:before="0" w:after="0"/>
        <w:ind w:left="0" w:right="0" w:hanging="0"/>
        <w:jc w:val="left"/>
        <w:rPr>
          <w:caps w:val="false"/>
          <w:smallCaps w:val="false"/>
        </w:rPr>
      </w:pPr>
      <w:r>
        <w:rPr>
          <w:caps w:val="false"/>
          <w:smallCaps w:val="false"/>
        </w:rPr>
        <w:t> </w:t>
      </w:r>
    </w:p>
    <w:tbl>
      <w:tblPr>
        <w:tblW w:w="4335" w:type="dxa"/>
        <w:jc w:val="left"/>
        <w:tblInd w:w="0" w:type="dxa"/>
        <w:tblLayout w:type="fixed"/>
        <w:tblCellMar>
          <w:top w:w="0" w:type="dxa"/>
          <w:left w:w="0" w:type="dxa"/>
          <w:bottom w:w="0" w:type="dxa"/>
          <w:right w:w="0" w:type="dxa"/>
        </w:tblCellMar>
      </w:tblPr>
      <w:tblGrid>
        <w:gridCol w:w="3755"/>
        <w:gridCol w:w="60"/>
        <w:gridCol w:w="125"/>
        <w:gridCol w:w="335"/>
        <w:gridCol w:w="60"/>
      </w:tblGrid>
      <w:tr>
        <w:trPr/>
        <w:tc>
          <w:tcPr>
            <w:tcW w:w="37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balance as of December 31, 2025</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w:t>
            </w:r>
          </w:p>
        </w:tc>
        <w:tc>
          <w:tcPr>
            <w:tcW w:w="60"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(recovery) for expected credit losses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60"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Write-offs, net of recoveries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Ending Balance as of June 30, 2026</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Accounts Receivable by payor (in thousands):</w:t>
      </w:r>
    </w:p>
    <w:p>
      <w:pPr>
        <w:pStyle w:val="TextBody"/>
        <w:bidi w:val="0"/>
        <w:spacing w:before="0" w:after="0"/>
        <w:ind w:left="0" w:right="0" w:hanging="0"/>
        <w:jc w:val="left"/>
        <w:rPr>
          <w:caps w:val="false"/>
          <w:smallCaps w:val="false"/>
        </w:rPr>
      </w:pPr>
      <w:r>
        <w:rPr>
          <w:caps w:val="false"/>
          <w:smallCaps w:val="false"/>
        </w:rPr>
        <w:t> </w:t>
      </w:r>
    </w:p>
    <w:tbl>
      <w:tblPr>
        <w:tblW w:w="4318" w:type="dxa"/>
        <w:jc w:val="left"/>
        <w:tblInd w:w="0" w:type="dxa"/>
        <w:tblLayout w:type="fixed"/>
        <w:tblCellMar>
          <w:top w:w="0" w:type="dxa"/>
          <w:left w:w="0" w:type="dxa"/>
          <w:bottom w:w="0" w:type="dxa"/>
          <w:right w:w="0" w:type="dxa"/>
        </w:tblCellMar>
      </w:tblPr>
      <w:tblGrid>
        <w:gridCol w:w="2180"/>
        <w:gridCol w:w="60"/>
        <w:gridCol w:w="197"/>
        <w:gridCol w:w="527"/>
        <w:gridCol w:w="60"/>
        <w:gridCol w:w="60"/>
        <w:gridCol w:w="318"/>
        <w:gridCol w:w="856"/>
        <w:gridCol w:w="60"/>
      </w:tblGrid>
      <w:tr>
        <w:trPr/>
        <w:tc>
          <w:tcPr>
            <w:tcW w:w="21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60" w:type="dxa"/>
            <w:tcBorders/>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r>
      <w:tr>
        <w:trPr/>
        <w:tc>
          <w:tcPr>
            <w:tcW w:w="21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insurance</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1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w:t>
            </w:r>
          </w:p>
        </w:tc>
        <w:tc>
          <w:tcPr>
            <w:tcW w:w="60" w:type="dxa"/>
            <w:tcBorders/>
            <w:shd w:fill="CCEEFF" w:val="clear"/>
            <w:vAlign w:val="center"/>
          </w:tcPr>
          <w:p>
            <w:pPr>
              <w:pStyle w:val="TableContents"/>
              <w:bidi w:val="0"/>
              <w:spacing w:before="0" w:after="283"/>
              <w:jc w:val="left"/>
              <w:rPr/>
            </w:pPr>
            <w:r>
              <w:rPr/>
              <w:t> </w:t>
            </w:r>
          </w:p>
        </w:tc>
      </w:tr>
      <w:tr>
        <w:trPr/>
        <w:tc>
          <w:tcPr>
            <w:tcW w:w="21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Medicare</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5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ind w:left="0" w:right="0" w:hanging="0"/>
              <w:jc w:val="left"/>
              <w:rPr/>
            </w:pPr>
            <w:r>
              <w:rPr/>
              <w:t> </w:t>
            </w:r>
          </w:p>
        </w:tc>
        <w:tc>
          <w:tcPr>
            <w:tcW w:w="8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60" w:type="dxa"/>
            <w:tcBorders/>
            <w:shd w:fill="FFFFFF" w:val="clear"/>
            <w:vAlign w:val="center"/>
          </w:tcPr>
          <w:p>
            <w:pPr>
              <w:pStyle w:val="TableContents"/>
              <w:bidi w:val="0"/>
              <w:spacing w:before="0" w:after="283"/>
              <w:jc w:val="left"/>
              <w:rPr/>
            </w:pPr>
            <w:r>
              <w:rPr/>
              <w:t> </w:t>
            </w:r>
          </w:p>
        </w:tc>
      </w:tr>
      <w:tr>
        <w:trPr/>
        <w:tc>
          <w:tcPr>
            <w:tcW w:w="21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Self-pay</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w:t>
            </w:r>
          </w:p>
        </w:tc>
        <w:tc>
          <w:tcPr>
            <w:tcW w:w="60" w:type="dxa"/>
            <w:tcBorders/>
            <w:shd w:fill="CCEEFF" w:val="clear"/>
            <w:vAlign w:val="center"/>
          </w:tcPr>
          <w:p>
            <w:pPr>
              <w:pStyle w:val="TableContents"/>
              <w:bidi w:val="0"/>
              <w:spacing w:before="0" w:after="283"/>
              <w:jc w:val="left"/>
              <w:rPr/>
            </w:pPr>
            <w:r>
              <w:rPr/>
              <w:t> </w:t>
            </w:r>
          </w:p>
        </w:tc>
      </w:tr>
      <w:tr>
        <w:trPr/>
        <w:tc>
          <w:tcPr>
            <w:tcW w:w="21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gross</w:t>
            </w:r>
          </w:p>
        </w:tc>
        <w:tc>
          <w:tcPr>
            <w:tcW w:w="60" w:type="dxa"/>
            <w:tcBorders/>
            <w:shd w:fill="FFFFFF" w:val="clear"/>
            <w:vAlign w:val="center"/>
          </w:tcPr>
          <w:p>
            <w:pPr>
              <w:pStyle w:val="TableContents"/>
              <w:bidi w:val="0"/>
              <w:spacing w:before="0" w:after="283"/>
              <w:ind w:left="0" w:right="0" w:hanging="0"/>
              <w:jc w:val="left"/>
              <w:rPr/>
            </w:pPr>
            <w:r>
              <w:rPr/>
              <w:t> </w:t>
            </w:r>
          </w:p>
        </w:tc>
        <w:tc>
          <w:tcPr>
            <w:tcW w:w="19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1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Estimation inputs and credit quality information (summary):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Receivables are pooled by payer class and aging; loss rates reflect historical experience updated for current conditions and reasonable</w:t>
              <w:noBreakHyphen/>
              <w:t>and</w:t>
              <w:noBreakHyphen/>
              <w:t>supportable forecasts with reversion to long</w:t>
              <w:noBreakHyphen/>
              <w:t>run averages beyond the forecast horizon. The Company does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suspend recognition of revenue on a “nonaccrual” basis for trade receivables.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4.</w:t>
      </w:r>
      <w:r>
        <w:rPr>
          <w:rFonts w:ascii="Times New Roman" w:hAnsi="Times New Roman"/>
          <w:caps w:val="false"/>
          <w:smallCaps w:val="false"/>
          <w:sz w:val="20"/>
        </w:rPr>
        <w:t xml:space="preserve"> </w:t>
      </w:r>
      <w:r>
        <w:rPr>
          <w:rFonts w:ascii="Times New Roman" w:hAnsi="Times New Roman"/>
          <w:b/>
          <w:caps w:val="false"/>
          <w:smallCaps w:val="false"/>
          <w:sz w:val="20"/>
        </w:rPr>
        <w:t>Prepaid Expense and Other Current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Prepaid expense and other current assets consisted of the following at the dates indicated (in thousands):</w:t>
      </w:r>
    </w:p>
    <w:p>
      <w:pPr>
        <w:pStyle w:val="TextBody"/>
        <w:bidi w:val="0"/>
        <w:spacing w:before="0" w:after="0"/>
        <w:ind w:left="0" w:right="0" w:hanging="0"/>
        <w:jc w:val="left"/>
        <w:rPr>
          <w:caps w:val="false"/>
          <w:smallCaps w:val="false"/>
        </w:rPr>
      </w:pPr>
      <w:r>
        <w:rPr>
          <w:caps w:val="false"/>
          <w:smallCaps w:val="false"/>
        </w:rPr>
        <w:t> </w:t>
      </w:r>
    </w:p>
    <w:tbl>
      <w:tblPr>
        <w:tblW w:w="5983" w:type="dxa"/>
        <w:jc w:val="left"/>
        <w:tblInd w:w="0" w:type="dxa"/>
        <w:tblLayout w:type="fixed"/>
        <w:tblCellMar>
          <w:top w:w="0" w:type="dxa"/>
          <w:left w:w="0" w:type="dxa"/>
          <w:bottom w:w="0" w:type="dxa"/>
          <w:right w:w="0" w:type="dxa"/>
        </w:tblCellMar>
      </w:tblPr>
      <w:tblGrid>
        <w:gridCol w:w="3755"/>
        <w:gridCol w:w="60"/>
        <w:gridCol w:w="157"/>
        <w:gridCol w:w="612"/>
        <w:gridCol w:w="60"/>
        <w:gridCol w:w="60"/>
        <w:gridCol w:w="330"/>
        <w:gridCol w:w="889"/>
        <w:gridCol w:w="60"/>
      </w:tblGrid>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June 30,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31,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 and other current assets: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61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0"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insurance</w:t>
            </w:r>
          </w:p>
        </w:tc>
        <w:tc>
          <w:tcPr>
            <w:tcW w:w="60" w:type="dxa"/>
            <w:tcBorders/>
            <w:shd w:fill="FFFFFF" w:val="clear"/>
            <w:vAlign w:val="center"/>
          </w:tcPr>
          <w:p>
            <w:pPr>
              <w:pStyle w:val="TableContents"/>
              <w:bidi w:val="0"/>
              <w:spacing w:before="0" w:after="283"/>
              <w:ind w:left="0" w:right="0" w:hanging="0"/>
              <w:jc w:val="left"/>
              <w:rPr/>
            </w:pPr>
            <w:r>
              <w:rPr/>
              <w:t> </w:t>
            </w:r>
          </w:p>
        </w:tc>
        <w:tc>
          <w:tcPr>
            <w:tcW w:w="15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w:t>
            </w:r>
          </w:p>
        </w:tc>
        <w:tc>
          <w:tcPr>
            <w:tcW w:w="60"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clinical development costs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6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0" w:type="dxa"/>
            <w:tcBorders/>
            <w:shd w:fill="CCEEFF" w:val="clear"/>
            <w:vAlign w:val="center"/>
          </w:tcPr>
          <w:p>
            <w:pPr>
              <w:pStyle w:val="TableContents"/>
              <w:bidi w:val="0"/>
              <w:spacing w:before="0" w:after="283"/>
              <w:ind w:left="0" w:right="0" w:hanging="0"/>
              <w:jc w:val="left"/>
              <w:rPr/>
            </w:pPr>
            <w:r>
              <w:rPr/>
              <w:t> </w:t>
            </w:r>
          </w:p>
        </w:tc>
        <w:tc>
          <w:tcPr>
            <w:tcW w:w="8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w:t>
            </w:r>
          </w:p>
        </w:tc>
        <w:tc>
          <w:tcPr>
            <w:tcW w:w="60"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prepaid expense</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w:t>
            </w:r>
          </w:p>
        </w:tc>
        <w:tc>
          <w:tcPr>
            <w:tcW w:w="60"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prepaid expense and other current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5.</w:t>
      </w:r>
      <w:r>
        <w:rPr>
          <w:rFonts w:ascii="Times New Roman" w:hAnsi="Times New Roman"/>
          <w:b/>
          <w:caps w:val="false"/>
          <w:smallCaps w:val="false"/>
          <w:sz w:val="20"/>
        </w:rPr>
        <w:t xml:space="preserve"> Property and equipment,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property and equipment, net,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4763" w:type="dxa"/>
        <w:jc w:val="left"/>
        <w:tblInd w:w="0" w:type="dxa"/>
        <w:tblLayout w:type="fixed"/>
        <w:tblCellMar>
          <w:top w:w="0" w:type="dxa"/>
          <w:left w:w="0" w:type="dxa"/>
          <w:bottom w:w="0" w:type="dxa"/>
          <w:right w:w="0" w:type="dxa"/>
        </w:tblCellMar>
      </w:tblPr>
      <w:tblGrid>
        <w:gridCol w:w="2585"/>
        <w:gridCol w:w="60"/>
        <w:gridCol w:w="197"/>
        <w:gridCol w:w="527"/>
        <w:gridCol w:w="80"/>
        <w:gridCol w:w="60"/>
        <w:gridCol w:w="353"/>
        <w:gridCol w:w="821"/>
        <w:gridCol w:w="80"/>
      </w:tblGrid>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80"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Medical equipment</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5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Computer equipment</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5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ind w:left="0" w:right="0" w:hanging="0"/>
              <w:jc w:val="left"/>
              <w:rPr/>
            </w:pPr>
            <w:r>
              <w:rPr/>
              <w:t> </w:t>
            </w:r>
          </w:p>
        </w:tc>
        <w:tc>
          <w:tcPr>
            <w:tcW w:w="8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8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Aircraft</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5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ind w:left="0" w:right="0" w:hanging="0"/>
              <w:jc w:val="left"/>
              <w:rPr/>
            </w:pPr>
            <w:r>
              <w:rPr/>
              <w:t> </w:t>
            </w:r>
          </w:p>
        </w:tc>
        <w:tc>
          <w:tcPr>
            <w:tcW w:w="82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Furniture and fixtures</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5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ind w:left="0" w:right="0" w:hanging="0"/>
              <w:jc w:val="left"/>
              <w:rPr/>
            </w:pPr>
            <w:r>
              <w:rPr/>
              <w:t> </w:t>
            </w:r>
          </w:p>
        </w:tc>
        <w:tc>
          <w:tcPr>
            <w:tcW w:w="8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Leasehold improvement</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property and equipment</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5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ind w:left="0" w:right="0" w:hanging="0"/>
              <w:jc w:val="left"/>
              <w:rPr/>
            </w:pPr>
            <w:r>
              <w:rPr/>
              <w:t> </w:t>
            </w:r>
          </w:p>
        </w:tc>
        <w:tc>
          <w:tcPr>
            <w:tcW w:w="8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w:t>
            </w:r>
          </w:p>
        </w:tc>
        <w:tc>
          <w:tcPr>
            <w:tcW w:w="8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accumulated depreciation</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8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net</w:t>
            </w:r>
          </w:p>
        </w:tc>
        <w:tc>
          <w:tcPr>
            <w:tcW w:w="60" w:type="dxa"/>
            <w:tcBorders/>
            <w:shd w:fill="FFFFFF" w:val="clear"/>
            <w:vAlign w:val="center"/>
          </w:tcPr>
          <w:p>
            <w:pPr>
              <w:pStyle w:val="TableContents"/>
              <w:bidi w:val="0"/>
              <w:spacing w:before="0" w:after="283"/>
              <w:ind w:left="0" w:right="0" w:hanging="0"/>
              <w:jc w:val="left"/>
              <w:rPr/>
            </w:pPr>
            <w:r>
              <w:rPr/>
              <w:t> </w:t>
            </w:r>
          </w:p>
        </w:tc>
        <w:tc>
          <w:tcPr>
            <w:tcW w:w="19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Depreciation expense was less than $0.1 million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NRX PHARMACEUTICALS,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pPr>
      <w:r>
        <w:rPr>
          <w:rStyle w:val="Emphasis"/>
          <w:rFonts w:ascii="Times New Roman;Times;serif" w:hAnsi="Times New Roman;Times;serif"/>
          <w:b/>
          <w:sz w:val="20"/>
        </w:rPr>
        <w:t>JUNE 30, 2026</w:t>
      </w:r>
      <w:r>
        <w:rPr>
          <w:rFonts w:ascii="Times New Roman;Times;serif" w:hAnsi="Times New Roman;Times;serif"/>
          <w:b/>
          <w:sz w:val="20"/>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(Unaudited)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6.</w:t>
      </w:r>
      <w:r>
        <w:rPr>
          <w:rFonts w:ascii="Times New Roman" w:hAnsi="Times New Roman"/>
          <w:b/>
          <w:caps w:val="false"/>
          <w:smallCaps w:val="false"/>
          <w:sz w:val="20"/>
        </w:rPr>
        <w:t xml:space="preserve">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has operating leases for three healthcare clinics in Naples, Fort Myers, and West Palm Beach, Florida and operating leases for certain medical equipment: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Naples Lease (Related Party): The Company leases its Naples clinic from Dura Properties, LLC, an entity owned and controlled by Dura’s former sole member prior to the acquisition. Following the acquisition on </w:t>
            </w:r>
            <w:r>
              <w:rPr>
                <w:rStyle w:val="Emphasis"/>
                <w:rFonts w:ascii="Times New Roman;Times;serif" w:hAnsi="Times New Roman;Times;serif"/>
                <w:caps w:val="false"/>
                <w:smallCaps w:val="false"/>
                <w:sz w:val="20"/>
              </w:rPr>
              <w:t xml:space="preserve">September 8, 2025, </w:t>
            </w:r>
            <w:r>
              <w:rPr>
                <w:rFonts w:ascii="Times New Roman;Times;serif" w:hAnsi="Times New Roman;Times;serif"/>
                <w:caps w:val="false"/>
                <w:smallCaps w:val="false"/>
                <w:sz w:val="20"/>
              </w:rPr>
              <w:t xml:space="preserve">the former member became a director and minority shareholder of the Company. Right-of-use (ROU) assets and operating lease liabilities was measured under ASC </w:t>
            </w:r>
            <w:r>
              <w:rPr>
                <w:rStyle w:val="Emphasis"/>
                <w:rFonts w:ascii="Times New Roman;Times;serif" w:hAnsi="Times New Roman;Times;serif"/>
                <w:caps w:val="false"/>
                <w:smallCaps w:val="false"/>
                <w:sz w:val="20"/>
              </w:rPr>
              <w:t>805</w:t>
            </w:r>
            <w:r>
              <w:rPr>
                <w:rFonts w:ascii="Times New Roman;Times;serif" w:hAnsi="Times New Roman;Times;serif"/>
                <w:caps w:val="false"/>
                <w:smallCaps w:val="false"/>
                <w:sz w:val="20"/>
              </w:rPr>
              <w:t xml:space="preserve"> as if the leases were new at the acquisition date. The amended lease commenced on </w:t>
            </w:r>
            <w:r>
              <w:rPr>
                <w:rStyle w:val="Emphasis"/>
                <w:rFonts w:ascii="Times New Roman;Times;serif" w:hAnsi="Times New Roman;Times;serif"/>
                <w:caps w:val="false"/>
                <w:smallCaps w:val="false"/>
                <w:sz w:val="20"/>
              </w:rPr>
              <w:t xml:space="preserve">September 8, 2025 </w:t>
            </w:r>
            <w:r>
              <w:rPr>
                <w:rFonts w:ascii="Times New Roman;Times;serif" w:hAnsi="Times New Roman;Times;serif"/>
                <w:caps w:val="false"/>
                <w:smallCaps w:val="false"/>
                <w:sz w:val="20"/>
              </w:rPr>
              <w:t xml:space="preserve">and expires on </w:t>
            </w:r>
            <w:r>
              <w:rPr>
                <w:rStyle w:val="Emphasis"/>
                <w:rFonts w:ascii="Times New Roman;Times;serif" w:hAnsi="Times New Roman;Times;serif"/>
                <w:caps w:val="false"/>
                <w:smallCaps w:val="false"/>
                <w:sz w:val="20"/>
              </w:rPr>
              <w:t>December 31, 2027. </w:t>
            </w:r>
            <w:r>
              <w:rPr>
                <w:rFonts w:ascii="Times New Roman;Times;serif" w:hAnsi="Times New Roman;Times;serif"/>
                <w:caps w:val="false"/>
                <w:smallCaps w:val="false"/>
                <w:sz w:val="20"/>
              </w:rPr>
              <w:t>It is non-cancelable and requires monthly base rent of $6,000 (subject to 3% annual escalations), plus $2,000 in common area maintenance charges, and $1 thousand in taxes.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Fort Myers Lease (Third Party): The Company amended a lease for its Fort Myers clinic on </w:t>
            </w:r>
            <w:r>
              <w:rPr>
                <w:rStyle w:val="Emphasis"/>
                <w:rFonts w:ascii="Times New Roman;Times;serif" w:hAnsi="Times New Roman;Times;serif"/>
                <w:caps w:val="false"/>
                <w:smallCaps w:val="false"/>
                <w:sz w:val="20"/>
              </w:rPr>
              <w:t xml:space="preserve">September 8, 2025, </w:t>
            </w:r>
            <w:r>
              <w:rPr>
                <w:rFonts w:ascii="Times New Roman;Times;serif" w:hAnsi="Times New Roman;Times;serif"/>
                <w:caps w:val="false"/>
                <w:smallCaps w:val="false"/>
                <w:sz w:val="20"/>
              </w:rPr>
              <w:t xml:space="preserve">with a commencement date of </w:t>
            </w:r>
            <w:r>
              <w:rPr>
                <w:rStyle w:val="Emphasis"/>
                <w:rFonts w:ascii="Times New Roman;Times;serif" w:hAnsi="Times New Roman;Times;serif"/>
                <w:caps w:val="false"/>
                <w:smallCaps w:val="false"/>
                <w:sz w:val="20"/>
              </w:rPr>
              <w:t xml:space="preserve">September 8, 2025, </w:t>
            </w:r>
            <w:r>
              <w:rPr>
                <w:rFonts w:ascii="Times New Roman;Times;serif" w:hAnsi="Times New Roman;Times;serif"/>
                <w:caps w:val="false"/>
                <w:smallCaps w:val="false"/>
                <w:sz w:val="20"/>
              </w:rPr>
              <w:t xml:space="preserve">and an expiration date of </w:t>
            </w:r>
            <w:r>
              <w:rPr>
                <w:rStyle w:val="Emphasis"/>
                <w:rFonts w:ascii="Times New Roman;Times;serif" w:hAnsi="Times New Roman;Times;serif"/>
                <w:caps w:val="false"/>
                <w:smallCaps w:val="false"/>
                <w:sz w:val="20"/>
              </w:rPr>
              <w:t xml:space="preserve">November 30, 2026. </w:t>
            </w:r>
            <w:r>
              <w:rPr>
                <w:rFonts w:ascii="Times New Roman;Times;serif" w:hAnsi="Times New Roman;Times;serif"/>
                <w:caps w:val="false"/>
                <w:smallCaps w:val="false"/>
                <w:sz w:val="20"/>
              </w:rPr>
              <w:t xml:space="preserve">Right-of-use (ROU) assets and operating lease liabilities were measured under ASC </w:t>
            </w:r>
            <w:r>
              <w:rPr>
                <w:rStyle w:val="Emphasis"/>
                <w:rFonts w:ascii="Times New Roman;Times;serif" w:hAnsi="Times New Roman;Times;serif"/>
                <w:caps w:val="false"/>
                <w:smallCaps w:val="false"/>
                <w:sz w:val="20"/>
              </w:rPr>
              <w:t>805</w:t>
            </w:r>
            <w:r>
              <w:rPr>
                <w:rFonts w:ascii="Times New Roman;Times;serif" w:hAnsi="Times New Roman;Times;serif"/>
                <w:caps w:val="false"/>
                <w:smallCaps w:val="false"/>
                <w:sz w:val="20"/>
              </w:rPr>
              <w:t xml:space="preserve"> as if the leases were new at the acquisition date. The amended lease is non-cancellable and requires monthly base rent of $5,000 in the </w:t>
            </w:r>
            <w:r>
              <w:rPr>
                <w:rStyle w:val="Emphasis"/>
                <w:rFonts w:ascii="Times New Roman;Times;serif" w:hAnsi="Times New Roman;Times;serif"/>
                <w:caps w:val="false"/>
                <w:smallCaps w:val="false"/>
                <w:sz w:val="20"/>
              </w:rPr>
              <w:t>first</w:t>
            </w:r>
            <w:r>
              <w:rPr>
                <w:rFonts w:ascii="Times New Roman;Times;serif" w:hAnsi="Times New Roman;Times;serif"/>
                <w:caps w:val="false"/>
                <w:smallCaps w:val="false"/>
                <w:sz w:val="20"/>
              </w:rPr>
              <w:t xml:space="preserve"> year, plus $2,000 in common area maintenance charges, subject to 3% annual escalations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West Palm Beach Lease (Third Party): On </w:t>
            </w:r>
            <w:r>
              <w:rPr>
                <w:rStyle w:val="Emphasis"/>
                <w:rFonts w:ascii="Times New Roman;Times;serif" w:hAnsi="Times New Roman;Times;serif"/>
                <w:caps w:val="false"/>
                <w:smallCaps w:val="false"/>
                <w:sz w:val="20"/>
              </w:rPr>
              <w:t xml:space="preserve">November 14, 2025, </w:t>
            </w:r>
            <w:r>
              <w:rPr>
                <w:rFonts w:ascii="Times New Roman;Times;serif" w:hAnsi="Times New Roman;Times;serif"/>
                <w:caps w:val="false"/>
                <w:smallCaps w:val="false"/>
                <w:sz w:val="20"/>
              </w:rPr>
              <w:t xml:space="preserve">the Company entered into a sublease agreement with Third Party of office space located at West Palm Beach, Florida. The sublease commenced on </w:t>
            </w:r>
            <w:r>
              <w:rPr>
                <w:rStyle w:val="Emphasis"/>
                <w:rFonts w:ascii="Times New Roman;Times;serif" w:hAnsi="Times New Roman;Times;serif"/>
                <w:caps w:val="false"/>
                <w:smallCaps w:val="false"/>
                <w:sz w:val="20"/>
              </w:rPr>
              <w:t xml:space="preserve">December 1, 2025 </w:t>
            </w:r>
            <w:r>
              <w:rPr>
                <w:rFonts w:ascii="Times New Roman;Times;serif" w:hAnsi="Times New Roman;Times;serif"/>
                <w:caps w:val="false"/>
                <w:smallCaps w:val="false"/>
                <w:sz w:val="20"/>
              </w:rPr>
              <w:t xml:space="preserve">and expires on </w:t>
            </w:r>
            <w:r>
              <w:rPr>
                <w:rStyle w:val="Emphasis"/>
                <w:rFonts w:ascii="Times New Roman;Times;serif" w:hAnsi="Times New Roman;Times;serif"/>
                <w:caps w:val="false"/>
                <w:smallCaps w:val="false"/>
                <w:sz w:val="20"/>
              </w:rPr>
              <w:t xml:space="preserve">April 5, 2028. </w:t>
            </w:r>
            <w:r>
              <w:rPr>
                <w:rFonts w:ascii="Times New Roman;Times;serif" w:hAnsi="Times New Roman;Times;serif"/>
                <w:caps w:val="false"/>
                <w:smallCaps w:val="false"/>
                <w:sz w:val="20"/>
              </w:rPr>
              <w:t xml:space="preserve">The sublease provides for fixed annual rent of approximately $151,000 in the </w:t>
            </w:r>
            <w:r>
              <w:rPr>
                <w:rStyle w:val="Emphasis"/>
                <w:rFonts w:ascii="Times New Roman;Times;serif" w:hAnsi="Times New Roman;Times;serif"/>
                <w:caps w:val="false"/>
                <w:smallCaps w:val="false"/>
                <w:sz w:val="20"/>
              </w:rPr>
              <w:t>first</w:t>
            </w:r>
            <w:r>
              <w:rPr>
                <w:rFonts w:ascii="Times New Roman;Times;serif" w:hAnsi="Times New Roman;Times;serif"/>
                <w:caps w:val="false"/>
                <w:smallCaps w:val="false"/>
                <w:sz w:val="20"/>
              </w:rPr>
              <w:t xml:space="preserve"> lease year, subject to contractual escalations, and includes a five</w:t>
              <w:noBreakHyphen/>
              <w:t>month rent abatement at commencement. The Company is also responsible for its proportionate share of operating expenses and other additional rent in accordance with the sublease terms.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Medical Equipment Leases (Third Party): On </w:t>
            </w:r>
            <w:r>
              <w:rPr>
                <w:rStyle w:val="Emphasis"/>
                <w:rFonts w:ascii="Times New Roman;Times;serif" w:hAnsi="Times New Roman;Times;serif"/>
                <w:caps w:val="false"/>
                <w:smallCaps w:val="false"/>
                <w:sz w:val="20"/>
              </w:rPr>
              <w:t xml:space="preserve">January 7, 2026, </w:t>
            </w:r>
            <w:r>
              <w:rPr>
                <w:rFonts w:ascii="Times New Roman;Times;serif" w:hAnsi="Times New Roman;Times;serif"/>
                <w:caps w:val="false"/>
                <w:smallCaps w:val="false"/>
                <w:sz w:val="20"/>
              </w:rPr>
              <w:t xml:space="preserve">the Company entered into three commercial rental agreements with Third Party for certain medical equipment and related accessories. The agreement commenced on </w:t>
            </w:r>
            <w:r>
              <w:rPr>
                <w:rStyle w:val="Emphasis"/>
                <w:rFonts w:ascii="Times New Roman;Times;serif" w:hAnsi="Times New Roman;Times;serif"/>
                <w:caps w:val="false"/>
                <w:smallCaps w:val="false"/>
                <w:sz w:val="20"/>
              </w:rPr>
              <w:t xml:space="preserve">January 7, 2026 </w:t>
            </w:r>
            <w:r>
              <w:rPr>
                <w:rFonts w:ascii="Times New Roman;Times;serif" w:hAnsi="Times New Roman;Times;serif"/>
                <w:caps w:val="false"/>
                <w:smallCaps w:val="false"/>
                <w:sz w:val="20"/>
              </w:rPr>
              <w:t>and has a base rental term of 48 months. The agreements provide for fixed monthly rental payments at an aggregate of $10,000.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components of lease expense included in the Company’s statement of operations were as follows (in thousands):</w:t>
      </w:r>
    </w:p>
    <w:p>
      <w:pPr>
        <w:pStyle w:val="TextBody"/>
        <w:bidi w:val="0"/>
        <w:spacing w:before="0" w:after="0"/>
        <w:ind w:left="0" w:right="0" w:hanging="0"/>
        <w:jc w:val="left"/>
        <w:rPr>
          <w:caps w:val="false"/>
          <w:smallCaps w:val="false"/>
        </w:rPr>
      </w:pPr>
      <w:r>
        <w:rPr>
          <w:caps w:val="false"/>
          <w:smallCaps w:val="false"/>
        </w:rPr>
        <w:t> </w:t>
      </w:r>
    </w:p>
    <w:tbl>
      <w:tblPr>
        <w:tblW w:w="9364" w:type="dxa"/>
        <w:jc w:val="left"/>
        <w:tblInd w:w="0" w:type="dxa"/>
        <w:tblLayout w:type="fixed"/>
        <w:tblCellMar>
          <w:top w:w="0" w:type="dxa"/>
          <w:left w:w="0" w:type="dxa"/>
          <w:bottom w:w="0" w:type="dxa"/>
          <w:right w:w="0" w:type="dxa"/>
        </w:tblCellMar>
      </w:tblPr>
      <w:tblGrid>
        <w:gridCol w:w="4175"/>
        <w:gridCol w:w="2915"/>
        <w:gridCol w:w="60"/>
        <w:gridCol w:w="302"/>
        <w:gridCol w:w="812"/>
        <w:gridCol w:w="60"/>
        <w:gridCol w:w="60"/>
        <w:gridCol w:w="250"/>
        <w:gridCol w:w="670"/>
        <w:gridCol w:w="60"/>
      </w:tblGrid>
      <w:tr>
        <w:trPr/>
        <w:tc>
          <w:tcPr>
            <w:tcW w:w="4175"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three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six</w:t>
            </w:r>
          </w:p>
        </w:tc>
        <w:tc>
          <w:tcPr>
            <w:tcW w:w="60"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months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months </w:t>
            </w:r>
          </w:p>
        </w:tc>
        <w:tc>
          <w:tcPr>
            <w:tcW w:w="60"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ended</w:t>
            </w:r>
          </w:p>
        </w:tc>
        <w:tc>
          <w:tcPr>
            <w:tcW w:w="60"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60"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ind w:left="0" w:right="0" w:hanging="0"/>
              <w:jc w:val="left"/>
              <w:rPr/>
            </w:pPr>
            <w:r>
              <w:rPr/>
              <w:t> </w:t>
            </w:r>
          </w:p>
        </w:tc>
        <w:tc>
          <w:tcPr>
            <w:tcW w:w="291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Expense Classification</w:t>
            </w:r>
          </w:p>
        </w:tc>
        <w:tc>
          <w:tcPr>
            <w:tcW w:w="60" w:type="dxa"/>
            <w:tcBorders/>
            <w:vAlign w:val="center"/>
          </w:tcPr>
          <w:p>
            <w:pPr>
              <w:pStyle w:val="TableContents"/>
              <w:bidi w:val="0"/>
              <w:spacing w:before="0" w:after="283"/>
              <w:ind w:left="0" w:right="0" w:hanging="0"/>
              <w:jc w:val="left"/>
              <w:rPr/>
            </w:pPr>
            <w:r>
              <w:rPr/>
              <w:t> </w:t>
            </w:r>
          </w:p>
        </w:tc>
        <w:tc>
          <w:tcPr>
            <w:tcW w:w="11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lease expense:</w:t>
            </w:r>
          </w:p>
        </w:tc>
        <w:tc>
          <w:tcPr>
            <w:tcW w:w="29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 </w:t>
            </w:r>
          </w:p>
        </w:tc>
        <w:tc>
          <w:tcPr>
            <w:tcW w:w="81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1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ROU asset</w:t>
            </w:r>
          </w:p>
        </w:tc>
        <w:tc>
          <w:tcPr>
            <w:tcW w:w="2915" w:type="dxa"/>
            <w:tcBorders/>
            <w:shd w:fill="FFFF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Selling, general and administrative</w:t>
            </w:r>
          </w:p>
        </w:tc>
        <w:tc>
          <w:tcPr>
            <w:tcW w:w="60" w:type="dxa"/>
            <w:tcBorders/>
            <w:shd w:fill="FFFFFF" w:val="clear"/>
            <w:vAlign w:val="center"/>
          </w:tcPr>
          <w:p>
            <w:pPr>
              <w:pStyle w:val="TableContents"/>
              <w:bidi w:val="0"/>
              <w:spacing w:before="0" w:after="283"/>
              <w:ind w:left="0" w:right="0" w:hanging="0"/>
              <w:jc w:val="left"/>
              <w:rPr/>
            </w:pPr>
            <w:r>
              <w:rPr/>
              <w:t> </w:t>
            </w:r>
          </w:p>
        </w:tc>
        <w:tc>
          <w:tcPr>
            <w:tcW w:w="30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w:t>
            </w:r>
          </w:p>
        </w:tc>
        <w:tc>
          <w:tcPr>
            <w:tcW w:w="60" w:type="dxa"/>
            <w:tcBorders/>
            <w:shd w:fill="FFFFFF" w:val="clear"/>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Accretion of operating lease liability</w:t>
            </w:r>
          </w:p>
        </w:tc>
        <w:tc>
          <w:tcPr>
            <w:tcW w:w="2915" w:type="dxa"/>
            <w:tcBorders/>
            <w:shd w:fill="CCEE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ind w:left="0" w:right="0" w:hanging="0"/>
              <w:jc w:val="left"/>
              <w:rPr/>
            </w:pPr>
            <w:r>
              <w:rPr/>
              <w:t> </w:t>
            </w:r>
          </w:p>
        </w:tc>
        <w:tc>
          <w:tcPr>
            <w:tcW w:w="8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ind w:left="0" w:right="0" w:hanging="0"/>
              <w:jc w:val="left"/>
              <w:rPr/>
            </w:pPr>
            <w:r>
              <w:rPr/>
              <w:t> </w:t>
            </w:r>
          </w:p>
        </w:tc>
        <w:tc>
          <w:tcPr>
            <w:tcW w:w="6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60" w:type="dxa"/>
            <w:tcBorders/>
            <w:shd w:fill="CCEEFF" w:val="clear"/>
            <w:vAlign w:val="center"/>
          </w:tcPr>
          <w:p>
            <w:pPr>
              <w:pStyle w:val="TableContents"/>
              <w:bidi w:val="0"/>
              <w:spacing w:before="0" w:after="283"/>
              <w:jc w:val="left"/>
              <w:rPr/>
            </w:pPr>
            <w:r>
              <w:rPr/>
              <w:t> </w:t>
            </w:r>
          </w:p>
        </w:tc>
      </w:tr>
      <w:tr>
        <w:trPr/>
        <w:tc>
          <w:tcPr>
            <w:tcW w:w="41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ROU asset - related party</w:t>
            </w:r>
          </w:p>
        </w:tc>
        <w:tc>
          <w:tcPr>
            <w:tcW w:w="2915" w:type="dxa"/>
            <w:tcBorders/>
            <w:shd w:fill="FFFF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ind w:left="0" w:right="0" w:hanging="0"/>
              <w:jc w:val="left"/>
              <w:rPr/>
            </w:pPr>
            <w:r>
              <w:rPr/>
              <w:t> </w:t>
            </w:r>
          </w:p>
        </w:tc>
        <w:tc>
          <w:tcPr>
            <w:tcW w:w="8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ind w:left="0" w:right="0" w:hanging="0"/>
              <w:jc w:val="left"/>
              <w:rPr/>
            </w:pPr>
            <w:r>
              <w:rPr/>
              <w:t> </w:t>
            </w:r>
          </w:p>
        </w:tc>
        <w:tc>
          <w:tcPr>
            <w:tcW w:w="6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60" w:type="dxa"/>
            <w:tcBorders/>
            <w:shd w:fill="FFFFFF" w:val="clear"/>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Accretion of operating lease liability - related party</w:t>
            </w:r>
          </w:p>
        </w:tc>
        <w:tc>
          <w:tcPr>
            <w:tcW w:w="2915" w:type="dxa"/>
            <w:tcBorders/>
            <w:shd w:fill="CCEE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3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60" w:type="dxa"/>
            <w:tcBorders/>
            <w:shd w:fill="CCEEFF" w:val="clear"/>
            <w:vAlign w:val="center"/>
          </w:tcPr>
          <w:p>
            <w:pPr>
              <w:pStyle w:val="TableContents"/>
              <w:bidi w:val="0"/>
              <w:spacing w:before="0" w:after="283"/>
              <w:jc w:val="left"/>
              <w:rPr/>
            </w:pPr>
            <w:r>
              <w:rPr/>
              <w:t> </w:t>
            </w:r>
          </w:p>
        </w:tc>
      </w:tr>
      <w:tr>
        <w:trPr/>
        <w:tc>
          <w:tcPr>
            <w:tcW w:w="7090" w:type="dxa"/>
            <w:gridSpan w:val="2"/>
            <w:tcBorders/>
            <w:shd w:fill="FFFF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Total operating lease expense</w:t>
            </w:r>
          </w:p>
        </w:tc>
        <w:tc>
          <w:tcPr>
            <w:tcW w:w="60" w:type="dxa"/>
            <w:tcBorders/>
            <w:shd w:fill="FFFFFF" w:val="clear"/>
            <w:vAlign w:val="center"/>
          </w:tcPr>
          <w:p>
            <w:pPr>
              <w:pStyle w:val="TableContents"/>
              <w:bidi w:val="0"/>
              <w:spacing w:before="0" w:after="283"/>
              <w:ind w:left="0" w:right="0" w:hanging="0"/>
              <w:jc w:val="left"/>
              <w:rPr/>
            </w:pPr>
            <w:r>
              <w:rPr/>
              <w:t> </w:t>
            </w:r>
          </w:p>
        </w:tc>
        <w:tc>
          <w:tcPr>
            <w:tcW w:w="3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Other information related to leases is as follows:</w:t>
      </w:r>
    </w:p>
    <w:p>
      <w:pPr>
        <w:pStyle w:val="TextBody"/>
        <w:bidi w:val="0"/>
        <w:spacing w:before="0" w:after="0"/>
        <w:ind w:left="0" w:right="0" w:hanging="0"/>
        <w:jc w:val="left"/>
        <w:rPr>
          <w:caps w:val="false"/>
          <w:smallCaps w:val="false"/>
        </w:rPr>
      </w:pPr>
      <w:r>
        <w:rPr>
          <w:caps w:val="false"/>
          <w:smallCaps w:val="false"/>
        </w:rPr>
        <w:t> </w:t>
      </w:r>
    </w:p>
    <w:tbl>
      <w:tblPr>
        <w:tblW w:w="5678" w:type="dxa"/>
        <w:jc w:val="left"/>
        <w:tblInd w:w="0" w:type="dxa"/>
        <w:tblLayout w:type="fixed"/>
        <w:tblCellMar>
          <w:top w:w="0" w:type="dxa"/>
          <w:left w:w="0" w:type="dxa"/>
          <w:bottom w:w="0" w:type="dxa"/>
          <w:right w:w="0" w:type="dxa"/>
        </w:tblCellMar>
      </w:tblPr>
      <w:tblGrid>
        <w:gridCol w:w="3290"/>
        <w:gridCol w:w="60"/>
        <w:gridCol w:w="98"/>
        <w:gridCol w:w="626"/>
        <w:gridCol w:w="185"/>
        <w:gridCol w:w="60"/>
        <w:gridCol w:w="159"/>
        <w:gridCol w:w="1015"/>
        <w:gridCol w:w="185"/>
      </w:tblGrid>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As of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As of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185"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remaining lease term:</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626"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leases (in years)</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6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10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w:t>
            </w:r>
          </w:p>
        </w:tc>
        <w:tc>
          <w:tcPr>
            <w:tcW w:w="185"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discount rate:</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626"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leases</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6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10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NRX PHARMACEUTICALS,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pPr>
      <w:r>
        <w:rPr>
          <w:rStyle w:val="Emphasis"/>
          <w:rFonts w:ascii="Times New Roman;Times;serif" w:hAnsi="Times New Roman;Times;serif"/>
          <w:b/>
          <w:sz w:val="20"/>
        </w:rPr>
        <w:t>JUNE 30, 2026</w:t>
      </w:r>
      <w:r>
        <w:rPr>
          <w:rFonts w:ascii="Times New Roman;Times;serif" w:hAnsi="Times New Roman;Times;serif"/>
          <w:b/>
          <w:sz w:val="20"/>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(Unaudited)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The future minimum lease payments required under leases as of </w:t>
      </w:r>
      <w:r>
        <w:rPr>
          <w:rStyle w:val="Emphasis"/>
          <w:rFonts w:ascii="Times New Roman" w:hAnsi="Times New Roman"/>
          <w:caps w:val="false"/>
          <w:smallCaps w:val="false"/>
          <w:sz w:val="20"/>
        </w:rPr>
        <w:t>June 30, 2026 </w:t>
      </w:r>
      <w:r>
        <w:rPr>
          <w:rFonts w:ascii="Times New Roman" w:hAnsi="Times New Roman"/>
          <w:caps w:val="false"/>
          <w:smallCaps w:val="false"/>
          <w:sz w:val="20"/>
        </w:rPr>
        <w:t>were as follows (in thousands):</w:t>
      </w:r>
    </w:p>
    <w:p>
      <w:pPr>
        <w:pStyle w:val="TextBody"/>
        <w:bidi w:val="0"/>
        <w:spacing w:before="0" w:after="0"/>
        <w:ind w:left="0" w:right="0" w:hanging="0"/>
        <w:jc w:val="left"/>
        <w:rPr>
          <w:caps w:val="false"/>
          <w:smallCaps w:val="false"/>
        </w:rPr>
      </w:pPr>
      <w:r>
        <w:rPr>
          <w:caps w:val="false"/>
          <w:smallCaps w:val="false"/>
        </w:rPr>
        <w:t> </w:t>
      </w:r>
    </w:p>
    <w:tbl>
      <w:tblPr>
        <w:tblW w:w="2405" w:type="dxa"/>
        <w:jc w:val="left"/>
        <w:tblInd w:w="0" w:type="dxa"/>
        <w:tblLayout w:type="fixed"/>
        <w:tblCellMar>
          <w:top w:w="0" w:type="dxa"/>
          <w:left w:w="0" w:type="dxa"/>
          <w:bottom w:w="28" w:type="dxa"/>
          <w:right w:w="0" w:type="dxa"/>
        </w:tblCellMar>
      </w:tblPr>
      <w:tblGrid>
        <w:gridCol w:w="1805"/>
        <w:gridCol w:w="60"/>
        <w:gridCol w:w="125"/>
        <w:gridCol w:w="335"/>
        <w:gridCol w:w="80"/>
      </w:tblGrid>
      <w:tr>
        <w:trPr/>
        <w:tc>
          <w:tcPr>
            <w:tcW w:w="180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Fiscal Year</w:t>
            </w:r>
          </w:p>
        </w:tc>
        <w:tc>
          <w:tcPr>
            <w:tcW w:w="60" w:type="dxa"/>
            <w:tcBorders>
              <w:bottom w:val="single" w:sz="2" w:space="0" w:color="000000"/>
            </w:tcBorders>
            <w:vAlign w:val="center"/>
          </w:tcPr>
          <w:p>
            <w:pPr>
              <w:pStyle w:val="TableContents"/>
              <w:bidi w:val="0"/>
              <w:spacing w:before="0" w:after="283"/>
              <w:jc w:val="left"/>
              <w:rPr/>
            </w:pPr>
            <w:r>
              <w:rPr/>
              <w:t> </w:t>
            </w:r>
          </w:p>
        </w:tc>
        <w:tc>
          <w:tcPr>
            <w:tcW w:w="125" w:type="dxa"/>
            <w:tcBorders>
              <w:bottom w:val="single" w:sz="2" w:space="0" w:color="000000"/>
            </w:tcBorders>
            <w:vAlign w:val="center"/>
          </w:tcPr>
          <w:p>
            <w:pPr>
              <w:pStyle w:val="TableContents"/>
              <w:bidi w:val="0"/>
              <w:spacing w:before="0" w:after="283"/>
              <w:jc w:val="left"/>
              <w:rPr/>
            </w:pPr>
            <w:r>
              <w:rPr/>
              <w:t> </w:t>
            </w:r>
          </w:p>
        </w:tc>
        <w:tc>
          <w:tcPr>
            <w:tcW w:w="335" w:type="dxa"/>
            <w:tcBorders>
              <w:bottom w:val="single" w:sz="2" w:space="0" w:color="000000"/>
            </w:tcBorders>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r>
      <w:tr>
        <w:trPr/>
        <w:tc>
          <w:tcPr>
            <w:tcW w:w="180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Remainder of 2026</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180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3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180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3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180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1805"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3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922</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180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imputed interest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805"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liability</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834</w:t>
            </w:r>
          </w:p>
        </w:tc>
        <w:tc>
          <w:tcPr>
            <w:tcW w:w="8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7.</w:t>
      </w:r>
      <w:r>
        <w:rPr>
          <w:rFonts w:ascii="Times New Roman" w:hAnsi="Times New Roman"/>
          <w:b/>
          <w:caps w:val="false"/>
          <w:smallCaps w:val="false"/>
          <w:sz w:val="20"/>
        </w:rPr>
        <w:t xml:space="preserve"> Accrued and Other Current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Accrued and other current liabilities consisted of the following at the dates indicated (in thousands):</w:t>
      </w:r>
    </w:p>
    <w:p>
      <w:pPr>
        <w:pStyle w:val="TextBody"/>
        <w:bidi w:val="0"/>
        <w:spacing w:before="0" w:after="0"/>
        <w:ind w:left="0" w:right="0" w:hanging="0"/>
        <w:jc w:val="left"/>
        <w:rPr>
          <w:caps w:val="false"/>
          <w:smallCaps w:val="false"/>
        </w:rPr>
      </w:pPr>
      <w:r>
        <w:rPr>
          <w:caps w:val="false"/>
          <w:smallCaps w:val="false"/>
        </w:rPr>
        <w:t> </w:t>
      </w:r>
    </w:p>
    <w:tbl>
      <w:tblPr>
        <w:tblW w:w="6043" w:type="dxa"/>
        <w:jc w:val="left"/>
        <w:tblInd w:w="0" w:type="dxa"/>
        <w:tblLayout w:type="fixed"/>
        <w:tblCellMar>
          <w:top w:w="0" w:type="dxa"/>
          <w:left w:w="0" w:type="dxa"/>
          <w:bottom w:w="0" w:type="dxa"/>
          <w:right w:w="0" w:type="dxa"/>
        </w:tblCellMar>
      </w:tblPr>
      <w:tblGrid>
        <w:gridCol w:w="3860"/>
        <w:gridCol w:w="60"/>
        <w:gridCol w:w="126"/>
        <w:gridCol w:w="598"/>
        <w:gridCol w:w="60"/>
        <w:gridCol w:w="60"/>
        <w:gridCol w:w="211"/>
        <w:gridCol w:w="1008"/>
        <w:gridCol w:w="60"/>
      </w:tblGrid>
      <w:tr>
        <w:trPr/>
        <w:tc>
          <w:tcPr>
            <w:tcW w:w="3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31,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and other current liabilities:</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8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Refund liability (see Note 8)</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5,509</w:t>
            </w:r>
          </w:p>
        </w:tc>
        <w:tc>
          <w:tcPr>
            <w:tcW w:w="60" w:type="dxa"/>
            <w:tcBorders/>
            <w:shd w:fill="FFFFFF" w:val="clear"/>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Professional services</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ind w:left="0" w:right="0" w:hanging="0"/>
              <w:jc w:val="left"/>
              <w:rPr/>
            </w:pPr>
            <w:r>
              <w:rPr/>
              <w:t> </w:t>
            </w:r>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4,462</w:t>
            </w:r>
          </w:p>
        </w:tc>
        <w:tc>
          <w:tcPr>
            <w:tcW w:w="60" w:type="dxa"/>
            <w:tcBorders/>
            <w:shd w:fill="CCEEFF" w:val="clear"/>
            <w:vAlign w:val="center"/>
          </w:tcPr>
          <w:p>
            <w:pPr>
              <w:pStyle w:val="TableContents"/>
              <w:bidi w:val="0"/>
              <w:spacing w:before="0" w:after="283"/>
              <w:jc w:val="left"/>
              <w:rPr/>
            </w:pPr>
            <w:r>
              <w:rPr/>
              <w:t> </w:t>
            </w:r>
          </w:p>
        </w:tc>
      </w:tr>
      <w:tr>
        <w:trPr/>
        <w:tc>
          <w:tcPr>
            <w:tcW w:w="38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Employee costs</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ind w:left="0" w:right="0" w:hanging="0"/>
              <w:jc w:val="left"/>
              <w:rPr/>
            </w:pPr>
            <w:r>
              <w:rPr/>
              <w:t> </w:t>
            </w:r>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496</w:t>
            </w:r>
          </w:p>
        </w:tc>
        <w:tc>
          <w:tcPr>
            <w:tcW w:w="60" w:type="dxa"/>
            <w:tcBorders/>
            <w:shd w:fill="FFFFFF" w:val="clear"/>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research and development expense</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ind w:left="0" w:right="0" w:hanging="0"/>
              <w:jc w:val="left"/>
              <w:rPr/>
            </w:pPr>
            <w:r>
              <w:rPr/>
              <w:t> </w:t>
            </w:r>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w:t>
            </w:r>
          </w:p>
        </w:tc>
        <w:tc>
          <w:tcPr>
            <w:tcW w:w="60" w:type="dxa"/>
            <w:tcBorders/>
            <w:shd w:fill="CCEEFF" w:val="clear"/>
            <w:vAlign w:val="center"/>
          </w:tcPr>
          <w:p>
            <w:pPr>
              <w:pStyle w:val="TableContents"/>
              <w:bidi w:val="0"/>
              <w:spacing w:before="0" w:after="283"/>
              <w:jc w:val="left"/>
              <w:rPr/>
            </w:pPr>
            <w:r>
              <w:rPr/>
              <w:t> </w:t>
            </w:r>
          </w:p>
        </w:tc>
      </w:tr>
      <w:tr>
        <w:trPr/>
        <w:tc>
          <w:tcPr>
            <w:tcW w:w="38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Dura acquisition cost due post-closing</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ind w:left="0" w:right="0" w:hanging="0"/>
              <w:jc w:val="left"/>
              <w:rPr/>
            </w:pPr>
            <w:r>
              <w:rPr/>
              <w:t> </w:t>
            </w:r>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557</w:t>
            </w:r>
          </w:p>
        </w:tc>
        <w:tc>
          <w:tcPr>
            <w:tcW w:w="60" w:type="dxa"/>
            <w:tcBorders/>
            <w:shd w:fill="FFFFFF" w:val="clear"/>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accrued expense</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shd w:fill="CCEEFF" w:val="clear"/>
            <w:vAlign w:val="center"/>
          </w:tcPr>
          <w:p>
            <w:pPr>
              <w:pStyle w:val="TableContents"/>
              <w:bidi w:val="0"/>
              <w:spacing w:before="0" w:after="283"/>
              <w:jc w:val="left"/>
              <w:rPr/>
            </w:pPr>
            <w:r>
              <w:rPr/>
              <w:t> </w:t>
            </w:r>
          </w:p>
        </w:tc>
      </w:tr>
      <w:tr>
        <w:trPr/>
        <w:tc>
          <w:tcPr>
            <w:tcW w:w="38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accrued and other current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11,337</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8.</w:t>
      </w:r>
      <w:r>
        <w:rPr>
          <w:rFonts w:ascii="Times New Roman" w:hAnsi="Times New Roman"/>
          <w:b/>
          <w:caps w:val="false"/>
          <w:smallCaps w:val="false"/>
          <w:sz w:val="20"/>
        </w:rPr>
        <w:t xml:space="preserve"> Alvogen Licensing Agreement</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June 2023,</w:t>
      </w:r>
      <w:r>
        <w:rPr>
          <w:rFonts w:ascii="Times New Roman" w:hAnsi="Times New Roman"/>
          <w:caps w:val="false"/>
          <w:smallCaps w:val="false"/>
          <w:sz w:val="20"/>
        </w:rPr>
        <w:t xml:space="preserve"> the Company entered into a License Agreement with Alvogen. On </w:t>
      </w:r>
      <w:r>
        <w:rPr>
          <w:rStyle w:val="Emphasis"/>
          <w:rFonts w:ascii="Times New Roman" w:hAnsi="Times New Roman"/>
          <w:caps w:val="false"/>
          <w:smallCaps w:val="false"/>
          <w:sz w:val="20"/>
        </w:rPr>
        <w:t xml:space="preserve">June 21, 2024, </w:t>
      </w:r>
      <w:r>
        <w:rPr>
          <w:rFonts w:ascii="Times New Roman" w:hAnsi="Times New Roman"/>
          <w:caps w:val="false"/>
          <w:smallCaps w:val="false"/>
          <w:sz w:val="20"/>
        </w:rPr>
        <w:t xml:space="preserve">the Company received a notice of termination from Alvogen effective immediately. Following the termination of the License Agreement by Alvogen, the amounts advanced pursuant to the amendment became due and payable to Alvogen. Accordingly, the refund liability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been reclassified to deferred revenue or recorded as revenue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and will remain permanent as refund liability until settled.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Upon termination of the License Agreement, the intellectual property rights licensed to Alvogen under the License Agreement reverted to the Company, and all other rights and obligations of each of the parties immediately ceased, except for outstanding amounts owed as of the time of such expiration or termination. In accordance with the License Agreement, any unpaid amounts accrue interest from the due date at a rate equal to one</w:t>
        <w:noBreakHyphen/>
        <w:t xml:space="preserve">month Term SOFR plus 6.0% per annum (10.8%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December 31, 2025). </w:t>
      </w:r>
      <w:r>
        <w:rPr>
          <w:rFonts w:ascii="Times New Roman" w:hAnsi="Times New Roman"/>
          <w:caps w:val="false"/>
          <w:smallCaps w:val="false"/>
          <w:sz w:val="20"/>
        </w:rPr>
        <w:t xml:space="preserve">Interest expense related to the accrued interest on the refund liability is recognized as incurred and is included in interest expense in the consolidated statements of operations.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the refund liability due to Alvogen was $5.8 million, which represents a total of $4.8 million of all payments made by Alvogen through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along with $1.0 million of accrued interests, and is included as a component of accrued expense and other current liabilities on the unaudited condensed consolidated balance sheet (See Note </w:t>
      </w:r>
      <w:r>
        <w:rPr>
          <w:rStyle w:val="Emphasis"/>
          <w:rFonts w:ascii="Times New Roman" w:hAnsi="Times New Roman"/>
          <w:caps w:val="false"/>
          <w:smallCaps w:val="false"/>
          <w:sz w:val="20"/>
        </w:rPr>
        <w:t>7</w:t>
      </w:r>
      <w:r>
        <w:rPr>
          <w:rFonts w:ascii="Times New Roman" w:hAnsi="Times New Roman"/>
          <w:caps w:val="false"/>
          <w:smallCaps w:val="false"/>
          <w:sz w:val="20"/>
        </w:rPr>
        <w:t xml:space="preserve">). 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the refund liability due to Alvogen was $5.5 million, which represents a total of $4.8 million of all payments made by Alvogen through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along with the $0.7 million of accrued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9.</w:t>
      </w:r>
      <w:r>
        <w:rPr>
          <w:rFonts w:ascii="Times New Roman" w:hAnsi="Times New Roman"/>
          <w:b/>
          <w:caps w:val="false"/>
          <w:smallCaps w:val="false"/>
          <w:sz w:val="20"/>
        </w:rPr>
        <w:t xml:space="preserve"> Debt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 xml:space="preserve">Anson Convertible Promissory Notes (the </w:t>
      </w:r>
      <w:r>
        <w:rPr>
          <w:rFonts w:ascii="Times New Roman" w:hAnsi="Times New Roman"/>
          <w:caps w:val="false"/>
          <w:smallCaps w:val="false"/>
          <w:sz w:val="20"/>
        </w:rPr>
        <w:t>“</w:t>
      </w:r>
      <w:r>
        <w:rPr>
          <w:rFonts w:ascii="Times New Roman" w:hAnsi="Times New Roman"/>
          <w:i/>
          <w:caps w:val="false"/>
          <w:smallCaps w:val="false"/>
          <w:sz w:val="20"/>
        </w:rPr>
        <w:t>Anson Notes</w:t>
      </w:r>
      <w:r>
        <w:rPr>
          <w:rFonts w:ascii="Times New Roman" w:hAnsi="Times New Roman"/>
          <w:caps w:val="false"/>
          <w:smallCaps w:val="false"/>
          <w:sz w:val="20"/>
        </w:rPr>
        <w:t>”</w:t>
      </w:r>
      <w:r>
        <w:rPr>
          <w:rFonts w:ascii="Times New Roman" w:hAnsi="Times New Roman"/>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August 12, 2024, </w:t>
      </w:r>
      <w:r>
        <w:rPr>
          <w:rFonts w:ascii="Times New Roman" w:hAnsi="Times New Roman"/>
          <w:caps w:val="false"/>
          <w:smallCaps w:val="false"/>
          <w:sz w:val="20"/>
        </w:rPr>
        <w:t>the Company entered into the Anson Purchase Agreement with the Anson Investment Master Fund LP and Anson East Master Fund LP (collectively “Anson”). The Company agreed to sell, in three equal tranches, original issue discount Anson Notes in the aggregate principal amount of up to approximately $16.3 million for an aggregate purchase price of up to approximately $15.0 million and warrants to purchase that amount of shares equal to 50% of the principal amount of the Anson Notes divided by the VWAP of the Common Stock, as listed on the Nasdaq Capital Market, on the day prior to the closing of each respective tranche under the Anson Warrants (as defined below), with a 7% cash fee paid to the placement agent.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NRX PHARMACEUTICALS,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pPr>
      <w:r>
        <w:rPr>
          <w:rStyle w:val="Emphasis"/>
          <w:rFonts w:ascii="Times New Roman;Times;serif" w:hAnsi="Times New Roman;Times;serif"/>
          <w:b/>
          <w:sz w:val="20"/>
        </w:rPr>
        <w:t>JUNE 30, 2026</w:t>
      </w:r>
      <w:r>
        <w:rPr>
          <w:rFonts w:ascii="Times New Roman;Times;serif" w:hAnsi="Times New Roman;Times;serif"/>
          <w:b/>
          <w:sz w:val="20"/>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(Unaudited)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August 14, 2024, </w:t>
      </w:r>
      <w:r>
        <w:rPr>
          <w:rFonts w:ascii="Times New Roman" w:hAnsi="Times New Roman"/>
          <w:caps w:val="false"/>
          <w:smallCaps w:val="false"/>
          <w:sz w:val="20"/>
        </w:rPr>
        <w:t xml:space="preserve">the Company entered into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tranche Senior Secured Convertible Note Agreements (the “First Tranche Notes”) with Anson at various amounts for an aggregate of $5.435 million subject to an original issuance discount of 8% or $435,000, less other cash issuance costs of $521,000, resulting in net cash proceeds of $4.5 million, prior to any allocation to the Anson Warrants. The First Tranche Notes bore interest at a rate of 6% per annum, maturing on </w:t>
      </w:r>
      <w:r>
        <w:rPr>
          <w:rStyle w:val="Emphasis"/>
          <w:rFonts w:ascii="Times New Roman" w:hAnsi="Times New Roman"/>
          <w:caps w:val="false"/>
          <w:smallCaps w:val="false"/>
          <w:sz w:val="20"/>
        </w:rPr>
        <w:t xml:space="preserve">November 14, 2025, </w:t>
      </w:r>
      <w:r>
        <w:rPr>
          <w:rFonts w:ascii="Times New Roman" w:hAnsi="Times New Roman"/>
          <w:caps w:val="false"/>
          <w:smallCaps w:val="false"/>
          <w:sz w:val="20"/>
        </w:rPr>
        <w:t xml:space="preserve">and were convertible at the option of the holder at any time after issuance into Common Stock, at a per share conversion price equal to the lower of (a) $2.4168 or (b) a price equal to 92% of the lowest VWAP during the </w:t>
      </w:r>
      <w:r>
        <w:rPr>
          <w:rStyle w:val="Emphasis"/>
          <w:rFonts w:ascii="Times New Roman" w:hAnsi="Times New Roman"/>
          <w:caps w:val="false"/>
          <w:smallCaps w:val="false"/>
          <w:sz w:val="20"/>
        </w:rPr>
        <w:t>seven</w:t>
      </w:r>
      <w:r>
        <w:rPr>
          <w:rFonts w:ascii="Times New Roman" w:hAnsi="Times New Roman"/>
          <w:caps w:val="false"/>
          <w:smallCaps w:val="false"/>
          <w:sz w:val="20"/>
        </w:rPr>
        <w:t xml:space="preserve"> trading day period immediately preceding the effective conversion date. Certain additional pricing and purchase protections and covenants triggering repayment were also afforded to the holders, and the First Tranche Notes carried certain mandatory redemption features. In conjunction with the issuance of the First Tranche Notes, the Company also issued warrants to purchase up to 1,349,305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Pursuant to the Anson Purchase Agreement, on </w:t>
      </w:r>
      <w:r>
        <w:rPr>
          <w:rStyle w:val="Emphasis"/>
          <w:rFonts w:ascii="Times New Roman" w:hAnsi="Times New Roman"/>
          <w:caps w:val="false"/>
          <w:smallCaps w:val="false"/>
          <w:sz w:val="20"/>
        </w:rPr>
        <w:t>October 10, 2024 (</w:t>
      </w:r>
      <w:r>
        <w:rPr>
          <w:rFonts w:ascii="Times New Roman" w:hAnsi="Times New Roman"/>
          <w:caps w:val="false"/>
          <w:smallCaps w:val="false"/>
          <w:sz w:val="20"/>
        </w:rPr>
        <w:t xml:space="preserve">the “Second Closing Date”), the Company sold a total of $5.4 million in Notes (the “Second Tranche Notes”), subject to an original issue discount of 8% or $435,000 less other cash issuance cost of $375,000, with an aggregate purchase price of approximately $5.0 million, and warrants to purchase up to 1,846,128 shares of Common Stock. The Second Tranche Notes were convertible into Common Stock, at a per share conversion price equal to by the lower of (a) $1.7664 or (b) a price equal to 92% of the lowest VWAP during the </w:t>
      </w:r>
      <w:r>
        <w:rPr>
          <w:rStyle w:val="Emphasis"/>
          <w:rFonts w:ascii="Times New Roman" w:hAnsi="Times New Roman"/>
          <w:caps w:val="false"/>
          <w:smallCaps w:val="false"/>
          <w:sz w:val="20"/>
        </w:rPr>
        <w:t>seven</w:t>
      </w:r>
      <w:r>
        <w:rPr>
          <w:rFonts w:ascii="Times New Roman" w:hAnsi="Times New Roman"/>
          <w:caps w:val="false"/>
          <w:smallCaps w:val="false"/>
          <w:sz w:val="20"/>
        </w:rPr>
        <w:t>-trading day period immediately preceding the effective date set forth in a Notice of Conversion delivered by an Investor to the Company. The Conversion Price was subject to, among other customary provisions, downward adjustment in the event of any future issuance by the Company of Common Stock below the then effective Conversion Price. In connection with the Second Tranche Notes, the Company paid a cash fee of 7% of the gross proceeds the Company received in the Second Closing to a placement agent and incurred certain additional other issuance costs and reimbursement for legal counsel disbursements and placement agent, for aggregate issuance costs of approximately $0.4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Pursuant to the Anson Purchase Agreement, on </w:t>
      </w:r>
      <w:r>
        <w:rPr>
          <w:rStyle w:val="Emphasis"/>
          <w:rFonts w:ascii="Times New Roman" w:hAnsi="Times New Roman"/>
          <w:caps w:val="false"/>
          <w:smallCaps w:val="false"/>
          <w:sz w:val="20"/>
        </w:rPr>
        <w:t>January 28, 2025 (</w:t>
      </w:r>
      <w:r>
        <w:rPr>
          <w:rFonts w:ascii="Times New Roman" w:hAnsi="Times New Roman"/>
          <w:caps w:val="false"/>
          <w:smallCaps w:val="false"/>
          <w:sz w:val="20"/>
        </w:rPr>
        <w:t>the “Third Closing Date”), the Company sold a total of $5.435 million in Notes subject to an original issue discount of 8% or $0.435 million less other issuance costs of $0.4 million noted below (the “Third Tranche Notes” and collectively with the First Tranche Notes and Second Tranche Notes, the (“Anson Notes”)), with an aggregate purchase price of approximately $5.0 million, and Warrants to purchase up to 862,699 shares of Common Stock. The Third Tranche Notes were convertible into Common Stock, at a per share conversion price equal to by the lower of (a) $3.78 or (b) a price equal to 92% of the lowest VWAP during the seven-trading day period immediately preceding the effective date set forth in a Notice of Conversion delivered by an Investor to the Company. The Conversion Price is subject to, among other customary provisions, downward adjustment in the event of any future issuance by the Company of Common Stock below the then effective Conversion Price. In connection with the Third Tranche Notes, the Company paid a cash tail fee to the Placement Agent equal to 7% of the gross proceeds the Company received in the Third Closing and incurred certain additional other issuance costs and reimbursement for legal counsel disbursements, for aggregate issuance costs of approximately $0.4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During the year ended </w:t>
      </w:r>
      <w:r>
        <w:rPr>
          <w:rStyle w:val="Emphasis"/>
          <w:rFonts w:ascii="Times New Roman" w:hAnsi="Times New Roman"/>
          <w:caps w:val="false"/>
          <w:smallCaps w:val="false"/>
          <w:sz w:val="20"/>
        </w:rPr>
        <w:t>December 31, 2024, </w:t>
      </w:r>
      <w:r>
        <w:rPr>
          <w:rFonts w:ascii="Times New Roman" w:hAnsi="Times New Roman"/>
          <w:caps w:val="false"/>
          <w:smallCaps w:val="false"/>
          <w:sz w:val="20"/>
        </w:rPr>
        <w:t>Anson converted $4.2 million of principal and interest of the First Tranche Note into Common Stock, resulting in the issuances of 3,676,796 shares of Common Stock and loss on conversion of $1.3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months ended </w:t>
      </w:r>
      <w:r>
        <w:rPr>
          <w:rStyle w:val="Emphasis"/>
          <w:rFonts w:ascii="Times New Roman" w:hAnsi="Times New Roman"/>
          <w:caps w:val="false"/>
          <w:smallCaps w:val="false"/>
          <w:sz w:val="20"/>
        </w:rPr>
        <w:t xml:space="preserve"> March 31, 2025, </w:t>
      </w:r>
      <w:r>
        <w:rPr>
          <w:rFonts w:ascii="Times New Roman" w:hAnsi="Times New Roman"/>
          <w:caps w:val="false"/>
          <w:smallCaps w:val="false"/>
          <w:sz w:val="20"/>
        </w:rPr>
        <w:t>Anson converted $1.3 million of principal and interest of the First Tranche Note into common stock, resulting in the issuances of 1,004,055 shares of Common Stock and loss on redemption of $1.6 million. Anson converted less than $0.1 million of principal and interest of the Third Tranche Note into common stock, resulting in the issuance of 5,463 shares of Common Stock and loss on redemption of less than $0.1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During the remainder of the year ended </w:t>
      </w:r>
      <w:r>
        <w:rPr>
          <w:rStyle w:val="Emphasis"/>
          <w:rFonts w:ascii="Times New Roman" w:hAnsi="Times New Roman"/>
          <w:caps w:val="false"/>
          <w:smallCaps w:val="false"/>
          <w:sz w:val="20"/>
        </w:rPr>
        <w:t>December 31, 2025, </w:t>
      </w:r>
      <w:r>
        <w:rPr>
          <w:rFonts w:ascii="Times New Roman" w:hAnsi="Times New Roman"/>
          <w:caps w:val="false"/>
          <w:smallCaps w:val="false"/>
          <w:sz w:val="20"/>
        </w:rPr>
        <w:t>Anson converted the remaining $1.3 million of principal and interest of the First Tranche Notes, and all of the principal and interest on the Second and Third Tranche Notes ($5.8 million and $5.5 million, respectively) into Common Stock, resulting in the aggregate issuances of 7.3 million shares of Common Stock valued at $18.9 million and loss on conversion of $6.2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No Anson Notes remained outstanding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Due to the embedded features within the Anson Notes, the Company elected to account for the First, Second, and Third Tranche Notes at fair value at inception. Subsequent changes in fair value were recorded as a component of other income (loss) in the consolidated statements of operations.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June 30, 2025, </w:t>
      </w:r>
      <w:r>
        <w:rPr>
          <w:rFonts w:ascii="Times New Roman" w:hAnsi="Times New Roman"/>
          <w:caps w:val="false"/>
          <w:smallCaps w:val="false"/>
          <w:sz w:val="20"/>
        </w:rPr>
        <w:t>the Company recorded a loss from the change in fair value of the Second and Third Tranche Notes of $5.6 million, which was recognized in other expense (income) on the condensed consolidated statements of operations as a result of the Company’s election of the fair value option.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NRX PHARMACEUTICALS,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pPr>
      <w:r>
        <w:rPr>
          <w:rStyle w:val="Emphasis"/>
          <w:rFonts w:ascii="Times New Roman;Times;serif" w:hAnsi="Times New Roman;Times;serif"/>
          <w:b/>
          <w:sz w:val="20"/>
        </w:rPr>
        <w:t>JUNE 30, 2026</w:t>
      </w:r>
      <w:r>
        <w:rPr>
          <w:rFonts w:ascii="Times New Roman;Times;serif" w:hAnsi="Times New Roman;Times;serif"/>
          <w:b/>
          <w:sz w:val="20"/>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(Unaudited)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On or about </w:t>
      </w:r>
      <w:r>
        <w:rPr>
          <w:rStyle w:val="Emphasis"/>
          <w:rFonts w:ascii="Times New Roman" w:hAnsi="Times New Roman"/>
          <w:caps w:val="false"/>
          <w:smallCaps w:val="false"/>
          <w:sz w:val="20"/>
        </w:rPr>
        <w:t xml:space="preserve">January 27, 2025, </w:t>
      </w:r>
      <w:r>
        <w:rPr>
          <w:rFonts w:ascii="Times New Roman" w:hAnsi="Times New Roman"/>
          <w:caps w:val="false"/>
          <w:smallCaps w:val="false"/>
          <w:sz w:val="20"/>
        </w:rPr>
        <w:t xml:space="preserve">the Company and Anson entered into a Consent and Waiver Agreement (the “CWA”), relating to certain rights and prohibitions arising under the Anson Purchase Agreement and the Notes. In the CWA, Anson provided its consent under certain restrictive provisions, and waived certain rights, including, among other things, a right to participate in certain Qualified Financings (as defined in the CWA) made by us under the Anson Purchase Agreement and the Notes, the prohibition on issuance of certain equity securities, and waiver of any potential liquidated damages arising under that certain Registration Rights Agreement by and between the Company and Anson dated </w:t>
      </w:r>
      <w:r>
        <w:rPr>
          <w:rStyle w:val="Emphasis"/>
          <w:rFonts w:ascii="Times New Roman" w:hAnsi="Times New Roman"/>
          <w:caps w:val="false"/>
          <w:smallCaps w:val="false"/>
          <w:sz w:val="20"/>
        </w:rPr>
        <w:t xml:space="preserve">August 14, 2024, </w:t>
      </w:r>
      <w:r>
        <w:rPr>
          <w:rFonts w:ascii="Times New Roman" w:hAnsi="Times New Roman"/>
          <w:caps w:val="false"/>
          <w:smallCaps w:val="false"/>
          <w:sz w:val="20"/>
        </w:rPr>
        <w:t xml:space="preserve">until </w:t>
      </w:r>
      <w:r>
        <w:rPr>
          <w:rStyle w:val="Emphasis"/>
          <w:rFonts w:ascii="Times New Roman" w:hAnsi="Times New Roman"/>
          <w:caps w:val="false"/>
          <w:smallCaps w:val="false"/>
          <w:sz w:val="20"/>
        </w:rPr>
        <w:t xml:space="preserve">March 31, 2025. </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20, 2025, </w:t>
      </w:r>
      <w:r>
        <w:rPr>
          <w:rFonts w:ascii="Times New Roman" w:hAnsi="Times New Roman"/>
          <w:caps w:val="false"/>
          <w:smallCaps w:val="false"/>
          <w:sz w:val="20"/>
        </w:rPr>
        <w:t xml:space="preserve">following the conversion of less than $0.1 million of the Third Tranche Note into 5,463 shares of Common Stock, the Company issued 303,819 shares of Common Stock as Consideration Shares with a fair value of $0.6 million and 303,819 of Consideration Warrants with a fair value of $0.6 million to Anson in accordance with the terms of the CWA (see Note </w:t>
      </w:r>
      <w:r>
        <w:rPr>
          <w:rStyle w:val="Emphasis"/>
          <w:rFonts w:ascii="Times New Roman" w:hAnsi="Times New Roman"/>
          <w:caps w:val="false"/>
          <w:smallCaps w:val="false"/>
          <w:sz w:val="20"/>
        </w:rPr>
        <w:t>11</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connection with the Second RD Purchase Agreement (see Note </w:t>
      </w:r>
      <w:r>
        <w:rPr>
          <w:rStyle w:val="Emphasis"/>
          <w:rFonts w:ascii="Times New Roman" w:hAnsi="Times New Roman"/>
          <w:caps w:val="false"/>
          <w:smallCaps w:val="false"/>
          <w:sz w:val="20"/>
        </w:rPr>
        <w:t>11</w:t>
      </w:r>
      <w:r>
        <w:rPr>
          <w:rFonts w:ascii="Times New Roman" w:hAnsi="Times New Roman"/>
          <w:caps w:val="false"/>
          <w:smallCaps w:val="false"/>
          <w:sz w:val="20"/>
        </w:rPr>
        <w:t xml:space="preserve">), and pursuant to the full ratchet anti-dilution provisions contained in the Anson financing agreements, the exercise price of all outstanding Common Stock purchase warrants issued on </w:t>
      </w:r>
      <w:r>
        <w:rPr>
          <w:rStyle w:val="Emphasis"/>
          <w:rFonts w:ascii="Times New Roman" w:hAnsi="Times New Roman"/>
          <w:caps w:val="false"/>
          <w:smallCaps w:val="false"/>
          <w:sz w:val="20"/>
        </w:rPr>
        <w:t xml:space="preserve">August 14, 2024, October 10, 2024, January 28,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January 29, 2025 (</w:t>
      </w:r>
      <w:r>
        <w:rPr>
          <w:rFonts w:ascii="Times New Roman" w:hAnsi="Times New Roman"/>
          <w:caps w:val="false"/>
          <w:smallCaps w:val="false"/>
          <w:sz w:val="20"/>
        </w:rPr>
        <w:t>collectively, the “Anson Warrants”) were each adjusted to $1.65 per share, which was reflected in the change in fair value of convertible notes payable recorded in the consolidated statement of operations. In addition, the number of shares underlying the Anson Warrants was increased by an aggregate of 1,870,960 shares of Company’s Common Stock (see below under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holders of Anson Notes and Anson Warrants, in accordance with an agreement entered into with Anson on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agreed to, among other things, i) certain trading volume limitations, and ii) a partial exercise on previously issued Anson Warrants for cash. Specifically, if the closing stock price of the Company’s common stock as reported on the Principal Market (as defined in the </w:t>
      </w:r>
      <w:r>
        <w:rPr>
          <w:rStyle w:val="Emphasis"/>
          <w:rFonts w:ascii="Times New Roman" w:hAnsi="Times New Roman"/>
          <w:caps w:val="false"/>
          <w:smallCaps w:val="false"/>
          <w:sz w:val="20"/>
        </w:rPr>
        <w:t xml:space="preserve">August 2024 </w:t>
      </w:r>
      <w:r>
        <w:rPr>
          <w:rFonts w:ascii="Times New Roman" w:hAnsi="Times New Roman"/>
          <w:caps w:val="false"/>
          <w:smallCaps w:val="false"/>
          <w:sz w:val="20"/>
        </w:rPr>
        <w:t xml:space="preserve">Purchase Agreement) is below $3.25 on any trading day, Anson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sell, dispose of, or otherwise transfer, in the aggregate, more than 12.5% of the composite daily trading volume of the Company’s common stock on that trading day. In accordance with the agreement, the holders exercised their Anson Warrants for cash, generating net proceeds of $3.09 million and resulting in the issuance of 1,870,960 shares of Company’s Common Stock on </w:t>
      </w:r>
      <w:r>
        <w:rPr>
          <w:rStyle w:val="Emphasis"/>
          <w:rFonts w:ascii="Times New Roman" w:hAnsi="Times New Roman"/>
          <w:caps w:val="false"/>
          <w:smallCaps w:val="false"/>
          <w:sz w:val="20"/>
        </w:rPr>
        <w:t>September 30, 2025 (</w:t>
      </w:r>
      <w:r>
        <w:rPr>
          <w:rFonts w:ascii="Times New Roman" w:hAnsi="Times New Roman"/>
          <w:caps w:val="false"/>
          <w:smallCaps w:val="false"/>
          <w:sz w:val="20"/>
        </w:rPr>
        <w:t>see “Warrants”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following table presents the Anson Notes as of </w:t>
      </w:r>
      <w:r>
        <w:rPr>
          <w:rStyle w:val="Emphasis"/>
          <w:rFonts w:ascii="Times New Roman" w:hAnsi="Times New Roman"/>
          <w:caps w:val="false"/>
          <w:smallCaps w:val="false"/>
          <w:sz w:val="20"/>
        </w:rPr>
        <w:t>December 31, 2025 (</w:t>
      </w:r>
      <w:r>
        <w:rPr>
          <w:rFonts w:ascii="Times New Roman" w:hAnsi="Times New Roman"/>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7574" w:type="dxa"/>
        <w:jc w:val="left"/>
        <w:tblInd w:w="0" w:type="dxa"/>
        <w:tblLayout w:type="fixed"/>
        <w:tblCellMar>
          <w:top w:w="0" w:type="dxa"/>
          <w:left w:w="0" w:type="dxa"/>
          <w:bottom w:w="0" w:type="dxa"/>
          <w:right w:w="0" w:type="dxa"/>
        </w:tblCellMar>
      </w:tblPr>
      <w:tblGrid>
        <w:gridCol w:w="6215"/>
        <w:gridCol w:w="60"/>
        <w:gridCol w:w="196"/>
        <w:gridCol w:w="1023"/>
        <w:gridCol w:w="80"/>
      </w:tblGrid>
      <w:tr>
        <w:trPr/>
        <w:tc>
          <w:tcPr>
            <w:tcW w:w="6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31, </w:t>
            </w:r>
          </w:p>
        </w:tc>
        <w:tc>
          <w:tcPr>
            <w:tcW w:w="80" w:type="dxa"/>
            <w:tcBorders/>
            <w:vAlign w:val="center"/>
          </w:tcPr>
          <w:p>
            <w:pPr>
              <w:pStyle w:val="TableContents"/>
              <w:bidi w:val="0"/>
              <w:spacing w:before="0" w:after="283"/>
              <w:jc w:val="left"/>
              <w:rPr/>
            </w:pPr>
            <w:r>
              <w:rPr/>
              <w:t> </w:t>
            </w:r>
          </w:p>
        </w:tc>
      </w:tr>
      <w:tr>
        <w:trPr/>
        <w:tc>
          <w:tcPr>
            <w:tcW w:w="6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r>
      <w:tr>
        <w:trPr/>
        <w:tc>
          <w:tcPr>
            <w:tcW w:w="62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Par value of the Anson Notes</w:t>
            </w:r>
          </w:p>
        </w:tc>
        <w:tc>
          <w:tcPr>
            <w:tcW w:w="60" w:type="dxa"/>
            <w:tcBorders/>
            <w:shd w:fill="CCEEFF" w:val="clear"/>
            <w:vAlign w:val="center"/>
          </w:tcPr>
          <w:p>
            <w:pPr>
              <w:pStyle w:val="TableContents"/>
              <w:bidi w:val="0"/>
              <w:spacing w:before="0" w:after="283"/>
              <w:ind w:left="0" w:right="0" w:hanging="0"/>
              <w:jc w:val="left"/>
              <w:rPr/>
            </w:pPr>
            <w:r>
              <w:rPr/>
              <w:t> </w:t>
            </w:r>
          </w:p>
        </w:tc>
        <w:tc>
          <w:tcPr>
            <w:tcW w:w="19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16,305</w:t>
            </w:r>
          </w:p>
        </w:tc>
        <w:tc>
          <w:tcPr>
            <w:tcW w:w="80" w:type="dxa"/>
            <w:tcBorders/>
            <w:shd w:fill="CCEEFF" w:val="clear"/>
            <w:vAlign w:val="center"/>
          </w:tcPr>
          <w:p>
            <w:pPr>
              <w:pStyle w:val="TableContents"/>
              <w:bidi w:val="0"/>
              <w:spacing w:before="0" w:after="283"/>
              <w:jc w:val="left"/>
              <w:rPr/>
            </w:pPr>
            <w:r>
              <w:rPr/>
              <w:t> </w:t>
            </w:r>
          </w:p>
        </w:tc>
      </w:tr>
      <w:tr>
        <w:trPr/>
        <w:tc>
          <w:tcPr>
            <w:tcW w:w="62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Initial original issue discount</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ind w:left="0" w:right="0" w:hanging="0"/>
              <w:jc w:val="left"/>
              <w:rPr/>
            </w:pPr>
            <w:r>
              <w:rPr/>
              <w:t> </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2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Conversions and repayments of principal and interest (shares)</w:t>
            </w:r>
          </w:p>
        </w:tc>
        <w:tc>
          <w:tcPr>
            <w:tcW w:w="60" w:type="dxa"/>
            <w:tcBorders/>
            <w:shd w:fill="CCEEFF" w:val="clear"/>
            <w:vAlign w:val="center"/>
          </w:tcPr>
          <w:p>
            <w:pPr>
              <w:pStyle w:val="TableContents"/>
              <w:bidi w:val="0"/>
              <w:spacing w:before="0" w:after="283"/>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(16,909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2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Carrying value of the Anson Notes before current period change in fair value</w:t>
            </w:r>
          </w:p>
        </w:tc>
        <w:tc>
          <w:tcPr>
            <w:tcW w:w="60" w:type="dxa"/>
            <w:tcBorders/>
            <w:shd w:fill="FFFFFF" w:val="clear"/>
            <w:vAlign w:val="center"/>
          </w:tcPr>
          <w:p>
            <w:pPr>
              <w:pStyle w:val="TableContents"/>
              <w:bidi w:val="0"/>
              <w:spacing w:before="0" w:after="283"/>
              <w:jc w:val="left"/>
              <w:rPr/>
            </w:pPr>
            <w:r>
              <w:rPr/>
              <w:t> </w:t>
            </w:r>
          </w:p>
        </w:tc>
        <w:tc>
          <w:tcPr>
            <w:tcW w:w="1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2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allocated to Common Stock liability classified warrants</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pPr>
            <w:r>
              <w:rPr/>
              <w:t> </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(6,442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2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adjustment through earnings</w:t>
            </w:r>
          </w:p>
        </w:tc>
        <w:tc>
          <w:tcPr>
            <w:tcW w:w="60" w:type="dxa"/>
            <w:tcBorders/>
            <w:shd w:fill="FFFFFF" w:val="clear"/>
            <w:vAlign w:val="center"/>
          </w:tcPr>
          <w:p>
            <w:pPr>
              <w:pStyle w:val="TableContents"/>
              <w:bidi w:val="0"/>
              <w:spacing w:before="0" w:after="283"/>
              <w:jc w:val="left"/>
              <w:rPr/>
            </w:pPr>
            <w:r>
              <w:rPr/>
              <w:t> </w:t>
            </w:r>
          </w:p>
        </w:tc>
        <w:tc>
          <w:tcPr>
            <w:tcW w:w="1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8,351</w:t>
            </w:r>
          </w:p>
        </w:tc>
        <w:tc>
          <w:tcPr>
            <w:tcW w:w="80" w:type="dxa"/>
            <w:tcBorders/>
            <w:shd w:fill="FFFFFF" w:val="clear"/>
            <w:vAlign w:val="center"/>
          </w:tcPr>
          <w:p>
            <w:pPr>
              <w:pStyle w:val="TableContents"/>
              <w:bidi w:val="0"/>
              <w:spacing w:before="0" w:after="283"/>
              <w:jc w:val="left"/>
              <w:rPr/>
            </w:pPr>
            <w:r>
              <w:rPr/>
              <w:t> </w:t>
            </w:r>
          </w:p>
        </w:tc>
      </w:tr>
      <w:tr>
        <w:trPr/>
        <w:tc>
          <w:tcPr>
            <w:tcW w:w="62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carrying value of Anson Notes</w:t>
            </w:r>
          </w:p>
        </w:tc>
        <w:tc>
          <w:tcPr>
            <w:tcW w:w="60" w:type="dxa"/>
            <w:tcBorders/>
            <w:shd w:fill="CCEEFF" w:val="clear"/>
            <w:vAlign w:val="center"/>
          </w:tcPr>
          <w:p>
            <w:pPr>
              <w:pStyle w:val="TableContents"/>
              <w:bidi w:val="0"/>
              <w:spacing w:before="0" w:after="283"/>
              <w:ind w:left="0" w:right="0" w:hanging="0"/>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6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2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Convertible note payable - current portion</w:t>
            </w:r>
          </w:p>
        </w:tc>
        <w:tc>
          <w:tcPr>
            <w:tcW w:w="60" w:type="dxa"/>
            <w:tcBorders/>
            <w:shd w:fill="CCEEFF" w:val="clear"/>
            <w:vAlign w:val="center"/>
          </w:tcPr>
          <w:p>
            <w:pPr>
              <w:pStyle w:val="TableContents"/>
              <w:bidi w:val="0"/>
              <w:spacing w:before="0" w:after="283"/>
              <w:ind w:left="0" w:right="0" w:hanging="0"/>
              <w:jc w:val="left"/>
              <w:rPr/>
            </w:pPr>
            <w:r>
              <w:rPr/>
              <w:t> </w:t>
            </w:r>
          </w:p>
        </w:tc>
        <w:tc>
          <w:tcPr>
            <w:tcW w:w="19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62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Convertible note payable, net of current portion</w:t>
            </w:r>
          </w:p>
        </w:tc>
        <w:tc>
          <w:tcPr>
            <w:tcW w:w="60" w:type="dxa"/>
            <w:tcBorders/>
            <w:shd w:fill="FFFFFF" w:val="clear"/>
            <w:vAlign w:val="center"/>
          </w:tcPr>
          <w:p>
            <w:pPr>
              <w:pStyle w:val="TableContents"/>
              <w:bidi w:val="0"/>
              <w:spacing w:before="0" w:after="283"/>
              <w:ind w:left="0" w:right="0" w:hanging="0"/>
              <w:jc w:val="left"/>
              <w:rPr/>
            </w:pPr>
            <w:r>
              <w:rPr/>
              <w:t> </w:t>
            </w:r>
          </w:p>
        </w:tc>
        <w:tc>
          <w:tcPr>
            <w:tcW w:w="19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NRX PHARMACEUTICALS,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pPr>
      <w:r>
        <w:rPr>
          <w:rStyle w:val="Emphasis"/>
          <w:rFonts w:ascii="Times New Roman;Times;serif" w:hAnsi="Times New Roman;Times;serif"/>
          <w:b/>
          <w:sz w:val="20"/>
        </w:rPr>
        <w:t>JUNE 30, 2026</w:t>
      </w:r>
      <w:r>
        <w:rPr>
          <w:rFonts w:ascii="Times New Roman;Times;serif" w:hAnsi="Times New Roman;Times;serif"/>
          <w:b/>
          <w:sz w:val="20"/>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(Unaudited)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10.</w:t>
      </w:r>
      <w:r>
        <w:rPr>
          <w:rFonts w:ascii="Times New Roman" w:hAnsi="Times New Roman"/>
          <w:b/>
          <w:caps w:val="false"/>
          <w:smallCaps w:val="false"/>
          <w:sz w:val="20"/>
        </w:rPr>
        <w:t xml:space="preserve">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Sarah Herzog Memorial Hospital License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The Company is required to make certain payments related to the development of NRX-</w:t>
      </w:r>
      <w:r>
        <w:rPr>
          <w:rStyle w:val="Emphasis"/>
          <w:rFonts w:ascii="Times New Roman" w:hAnsi="Times New Roman"/>
          <w:caps w:val="false"/>
          <w:smallCaps w:val="false"/>
          <w:sz w:val="20"/>
        </w:rPr>
        <w:t>101</w:t>
      </w:r>
      <w:r>
        <w:rPr>
          <w:rFonts w:ascii="Times New Roman" w:hAnsi="Times New Roman"/>
          <w:caps w:val="false"/>
          <w:smallCaps w:val="false"/>
          <w:sz w:val="20"/>
        </w:rPr>
        <w:t xml:space="preserve"> (the “</w:t>
      </w:r>
      <w:r>
        <w:rPr>
          <w:rFonts w:ascii="Times New Roman" w:hAnsi="Times New Roman"/>
          <w:i/>
          <w:caps w:val="false"/>
          <w:smallCaps w:val="false"/>
          <w:sz w:val="20"/>
        </w:rPr>
        <w:t>Licensed Product</w:t>
      </w:r>
      <w:r>
        <w:rPr>
          <w:rFonts w:ascii="Times New Roman" w:hAnsi="Times New Roman"/>
          <w:caps w:val="false"/>
          <w:smallCaps w:val="false"/>
          <w:sz w:val="20"/>
        </w:rPr>
        <w:t>”) in order to maintain the license agreement with the Sarah Herzog Memorial Hospital Ezrat Nashim (SHMH) (the “SHMH License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April 2025, </w:t>
      </w:r>
      <w:r>
        <w:rPr>
          <w:rFonts w:ascii="Times New Roman" w:hAnsi="Times New Roman"/>
          <w:caps w:val="false"/>
          <w:smallCaps w:val="false"/>
          <w:sz w:val="20"/>
        </w:rPr>
        <w:t xml:space="preserve">the Company and the Licensor entered into an Amendment to the Exclusive License Agreement (the “Amendment”), which resolved a dispute between the parties and modified certain payment and reporting terms of the License Agreement. The Amendment also modified certain milestone obligations related to </w:t>
      </w:r>
      <w:r>
        <w:rPr>
          <w:rStyle w:val="Emphasis"/>
          <w:rFonts w:ascii="Times New Roman" w:hAnsi="Times New Roman"/>
          <w:caps w:val="false"/>
          <w:smallCaps w:val="false"/>
          <w:sz w:val="20"/>
        </w:rPr>
        <w:t>NRX</w:t>
        <w:noBreakHyphen/>
        <w:t>101.</w:t>
      </w:r>
      <w:r>
        <w:rPr>
          <w:rFonts w:ascii="Times New Roman" w:hAnsi="Times New Roman"/>
          <w:caps w:val="false"/>
          <w:smallCaps w:val="false"/>
          <w:sz w:val="20"/>
        </w:rPr>
        <w:t xml:space="preserve"> In full satisfaction of the milestone payments associated with the completion of Phase II and Phase III clinical trials for </w:t>
      </w:r>
      <w:r>
        <w:rPr>
          <w:rStyle w:val="Emphasis"/>
          <w:rFonts w:ascii="Times New Roman" w:hAnsi="Times New Roman"/>
          <w:caps w:val="false"/>
          <w:smallCaps w:val="false"/>
          <w:sz w:val="20"/>
        </w:rPr>
        <w:t>NRX</w:t>
        <w:noBreakHyphen/>
        <w:t>101,</w:t>
      </w:r>
      <w:r>
        <w:rPr>
          <w:rFonts w:ascii="Times New Roman" w:hAnsi="Times New Roman"/>
          <w:caps w:val="false"/>
          <w:smallCaps w:val="false"/>
          <w:sz w:val="20"/>
        </w:rPr>
        <w:t xml:space="preserve"> the Company is required to pay the Licensor a single milestone payment of $187,500 upon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approval of </w:t>
      </w:r>
      <w:r>
        <w:rPr>
          <w:rStyle w:val="Emphasis"/>
          <w:rFonts w:ascii="Times New Roman" w:hAnsi="Times New Roman"/>
          <w:caps w:val="false"/>
          <w:smallCaps w:val="false"/>
          <w:sz w:val="20"/>
        </w:rPr>
        <w:t>NRX</w:t>
        <w:noBreakHyphen/>
        <w:t>101</w:t>
      </w:r>
      <w:r>
        <w:rPr>
          <w:rFonts w:ascii="Times New Roman" w:hAnsi="Times New Roman"/>
          <w:caps w:val="false"/>
          <w:smallCaps w:val="false"/>
          <w:sz w:val="20"/>
        </w:rPr>
        <w:t xml:space="preserve"> by the U.S. Food and Drug Administration, including accelerated approval. All remaining milestone provisions under the License Agreement remain unchanged.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Milestone Payments</w:t>
      </w:r>
    </w:p>
    <w:p>
      <w:pPr>
        <w:pStyle w:val="TextBody"/>
        <w:bidi w:val="0"/>
        <w:spacing w:before="0" w:after="0"/>
        <w:ind w:left="0" w:right="0" w:hanging="0"/>
        <w:jc w:val="left"/>
        <w:rPr>
          <w:caps w:val="false"/>
          <w:smallCaps w:val="false"/>
        </w:rPr>
      </w:pPr>
      <w:r>
        <w:rPr>
          <w:caps w:val="false"/>
          <w:smallCaps w:val="false"/>
        </w:rPr>
        <w:t> </w:t>
      </w:r>
    </w:p>
    <w:tbl>
      <w:tblPr>
        <w:tblW w:w="6075" w:type="dxa"/>
        <w:jc w:val="left"/>
        <w:tblInd w:w="0" w:type="dxa"/>
        <w:tblLayout w:type="fixed"/>
        <w:tblCellMar>
          <w:top w:w="0" w:type="dxa"/>
          <w:left w:w="0" w:type="dxa"/>
          <w:bottom w:w="0" w:type="dxa"/>
          <w:right w:w="0" w:type="dxa"/>
        </w:tblCellMar>
      </w:tblPr>
      <w:tblGrid>
        <w:gridCol w:w="5135"/>
        <w:gridCol w:w="60"/>
        <w:gridCol w:w="125"/>
        <w:gridCol w:w="695"/>
        <w:gridCol w:w="60"/>
      </w:tblGrid>
      <w:tr>
        <w:trPr/>
        <w:tc>
          <w:tcPr>
            <w:tcW w:w="51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 of Phase I Clinical Trials of Licensed Product (completed)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100,000</w:t>
            </w:r>
          </w:p>
        </w:tc>
        <w:tc>
          <w:tcPr>
            <w:tcW w:w="60" w:type="dxa"/>
            <w:tcBorders/>
            <w:shd w:fill="CCEEFF" w:val="cle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 of Phase II Clinical Trials of Licensed Product (completed)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250,000</w:t>
            </w:r>
          </w:p>
        </w:tc>
        <w:tc>
          <w:tcPr>
            <w:tcW w:w="60" w:type="dxa"/>
            <w:tcBorders/>
            <w:shd w:fill="FFFFFF" w:val="clear"/>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 of Phase III Clinical Trials of Licensed Product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187,500</w:t>
            </w:r>
          </w:p>
        </w:tc>
        <w:tc>
          <w:tcPr>
            <w:tcW w:w="60" w:type="dxa"/>
            <w:tcBorders/>
            <w:shd w:fill="CCEEFF" w:val="cle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First Commercial Sale of Licensed Product in U.S.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500,000</w:t>
            </w:r>
          </w:p>
        </w:tc>
        <w:tc>
          <w:tcPr>
            <w:tcW w:w="60" w:type="dxa"/>
            <w:tcBorders/>
            <w:shd w:fill="FFFFFF" w:val="clear"/>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First Commercial Sale of Licensed Product in Europe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500,000</w:t>
            </w:r>
          </w:p>
        </w:tc>
        <w:tc>
          <w:tcPr>
            <w:tcW w:w="60" w:type="dxa"/>
            <w:tcBorders/>
            <w:shd w:fill="CCEEFF" w:val="cle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Annual Revenues Reach $100,000,000</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750,000</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milestone payments due above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reduced by 25% in certain circumstances, and by the application of certain sub-license fees.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the total cumulative payments made under the SHMH License Agreement were $0.5 million, with no payments made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The Company made $0.2 million in payments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Royalties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 royalty in an amount equal to: (a) 1% of revenues from the sale of any product incorporating a Licensed Product when at least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Licensed Patent remains in force, if such product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covered by a Valid Claim (as defined below) in the country or region in which the sale occurs, or (b) 2.5% of revenues from the sale of any Licensed Product that is covered by at least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Valid Claim in the country or region in which such product is manufactured or sold. A “Valid Claim” means any issued claim in the Licensed Patents that remains in force and that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been finally invalidated or held to be unenforceable. The royalty rates above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doubled if we commence a legal challenge to the validity, enforceability, or scope of any of the Licensed Patents during the term of the SHMH License Agreement and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prevail in such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Royalties shall also apply to any revenues generated by sub-licensees from sale of Licensed Products subject to a cap of 8.5% of the payments received by us from sub-licensees in connection with such sales.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no royalty payments were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Annual Maintenance Fee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 fixed amount of $100,000 was paid on </w:t>
      </w:r>
      <w:r>
        <w:rPr>
          <w:rStyle w:val="Emphasis"/>
          <w:rFonts w:ascii="Times New Roman" w:hAnsi="Times New Roman"/>
          <w:caps w:val="false"/>
          <w:smallCaps w:val="false"/>
          <w:sz w:val="20"/>
        </w:rPr>
        <w:t xml:space="preserve">April 16, 2021 </w:t>
      </w:r>
      <w:r>
        <w:rPr>
          <w:rFonts w:ascii="Times New Roman" w:hAnsi="Times New Roman"/>
          <w:caps w:val="false"/>
          <w:smallCaps w:val="false"/>
          <w:sz w:val="20"/>
        </w:rPr>
        <w:t xml:space="preserve">and, thereafter, a fixed amount of $150,000 was due on the anniversary of such date during the term of the SHMH License Agreement. The Company paid $150,000 in annual maintenance fees in the year ended </w:t>
      </w:r>
      <w:r>
        <w:rPr>
          <w:rStyle w:val="Emphasis"/>
          <w:rFonts w:ascii="Times New Roman" w:hAnsi="Times New Roman"/>
          <w:caps w:val="false"/>
          <w:smallCaps w:val="false"/>
          <w:sz w:val="20"/>
        </w:rPr>
        <w:t xml:space="preserve">December 31, 2024 </w:t>
      </w:r>
      <w:r>
        <w:rPr>
          <w:rFonts w:ascii="Times New Roman" w:hAnsi="Times New Roman"/>
          <w:caps w:val="false"/>
          <w:smallCaps w:val="false"/>
          <w:sz w:val="20"/>
        </w:rPr>
        <w:t xml:space="preserve">expensed through Research and Development expenses in the accompanying Consolidated Statement of Operations. Under the Amendment, during the year ended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the Company made a payment to the Licensor $150,000 in cash in full satisfaction of the annual license maintenance fee that became due on </w:t>
      </w:r>
      <w:r>
        <w:rPr>
          <w:rStyle w:val="Emphasis"/>
          <w:rFonts w:ascii="Times New Roman" w:hAnsi="Times New Roman"/>
          <w:caps w:val="false"/>
          <w:smallCaps w:val="false"/>
          <w:sz w:val="20"/>
        </w:rPr>
        <w:t>April 16,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Beginning with the </w:t>
      </w:r>
      <w:r>
        <w:rPr>
          <w:rStyle w:val="Emphasis"/>
          <w:rFonts w:ascii="Times New Roman" w:hAnsi="Times New Roman"/>
          <w:caps w:val="false"/>
          <w:smallCaps w:val="false"/>
          <w:sz w:val="20"/>
        </w:rPr>
        <w:t>sixth</w:t>
      </w:r>
      <w:r>
        <w:rPr>
          <w:rFonts w:ascii="Times New Roman" w:hAnsi="Times New Roman"/>
          <w:caps w:val="false"/>
          <w:smallCaps w:val="false"/>
          <w:sz w:val="20"/>
        </w:rPr>
        <w:t xml:space="preserve"> anniversary of the effective date of the License Agreement (or </w:t>
      </w:r>
      <w:r>
        <w:rPr>
          <w:rStyle w:val="Emphasis"/>
          <w:rFonts w:ascii="Times New Roman" w:hAnsi="Times New Roman"/>
          <w:caps w:val="false"/>
          <w:smallCaps w:val="false"/>
          <w:sz w:val="20"/>
        </w:rPr>
        <w:t xml:space="preserve">April 16, 2025), </w:t>
      </w:r>
      <w:r>
        <w:rPr>
          <w:rFonts w:ascii="Times New Roman" w:hAnsi="Times New Roman"/>
          <w:caps w:val="false"/>
          <w:smallCaps w:val="false"/>
          <w:sz w:val="20"/>
        </w:rPr>
        <w:t>future annual license maintenance fees of $150,000 are payable in the form of the Company’s common stock rather than cash. The number of shares to be issued each year is determined based on the volume</w:t>
        <w:noBreakHyphen/>
        <w:t xml:space="preserve">weighted average closing price of the Company’s common stock for the </w:t>
      </w:r>
      <w:r>
        <w:rPr>
          <w:rStyle w:val="Emphasis"/>
          <w:rFonts w:ascii="Times New Roman" w:hAnsi="Times New Roman"/>
          <w:caps w:val="false"/>
          <w:smallCaps w:val="false"/>
          <w:sz w:val="20"/>
        </w:rPr>
        <w:t>30</w:t>
      </w:r>
      <w:r>
        <w:rPr>
          <w:rFonts w:ascii="Times New Roman" w:hAnsi="Times New Roman"/>
          <w:caps w:val="false"/>
          <w:smallCaps w:val="false"/>
          <w:sz w:val="20"/>
        </w:rPr>
        <w:t xml:space="preserve"> consecutive trading days immediately preceding </w:t>
      </w:r>
      <w:r>
        <w:rPr>
          <w:rStyle w:val="Emphasis"/>
          <w:rFonts w:ascii="Times New Roman" w:hAnsi="Times New Roman"/>
          <w:caps w:val="false"/>
          <w:smallCaps w:val="false"/>
          <w:sz w:val="20"/>
        </w:rPr>
        <w:t xml:space="preserve">April 16 </w:t>
      </w:r>
      <w:r>
        <w:rPr>
          <w:rFonts w:ascii="Times New Roman" w:hAnsi="Times New Roman"/>
          <w:caps w:val="false"/>
          <w:smallCaps w:val="false"/>
          <w:sz w:val="20"/>
        </w:rPr>
        <w:t xml:space="preserve">of the applicable year, subject to adjustment for stock splits and similar events. On </w:t>
      </w:r>
      <w:r>
        <w:rPr>
          <w:rStyle w:val="Emphasis"/>
          <w:rFonts w:ascii="Times New Roman" w:hAnsi="Times New Roman"/>
          <w:caps w:val="false"/>
          <w:smallCaps w:val="false"/>
          <w:sz w:val="20"/>
        </w:rPr>
        <w:t xml:space="preserve">May 15, 2025, </w:t>
      </w:r>
      <w:r>
        <w:rPr>
          <w:rFonts w:ascii="Times New Roman" w:hAnsi="Times New Roman"/>
          <w:caps w:val="false"/>
          <w:smallCaps w:val="false"/>
          <w:sz w:val="20"/>
        </w:rPr>
        <w:t xml:space="preserve">the Company granted 75,000 shares of fully vested common stock to a Licensor in accordance with a Amendment. The fair value of the shares granted was determined based on the quoted trading price of the Company’s common stock on the grant date of $2.08 per share, resulting in aggregate expense of approximately $0.2 million, which was recorded within the accompanying consolidated statement of operations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31, 2026, </w:t>
      </w:r>
      <w:r>
        <w:rPr>
          <w:rFonts w:ascii="Times New Roman" w:hAnsi="Times New Roman"/>
          <w:caps w:val="false"/>
          <w:smallCaps w:val="false"/>
          <w:sz w:val="20"/>
        </w:rPr>
        <w:t xml:space="preserve">the Company issued 68,161 fully vested shares of common stock to a licensor pursuant to an amendment to the licensing agreement. The shares were valued using the quoted market price of the Company’s common stock on the grant date of $4.42 per share, resulting in aggregate expense of approximately $0.3 million, which was recognized in the accompanying consolidated statements of operations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NRX PHARMACEUTICALS,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pPr>
      <w:r>
        <w:rPr>
          <w:rStyle w:val="Emphasis"/>
          <w:rFonts w:ascii="Times New Roman;Times;serif" w:hAnsi="Times New Roman;Times;serif"/>
          <w:b/>
          <w:sz w:val="20"/>
        </w:rPr>
        <w:t>JUNE 30, 2026</w:t>
      </w:r>
      <w:r>
        <w:rPr>
          <w:rFonts w:ascii="Times New Roman;Times;serif" w:hAnsi="Times New Roman;Times;serif"/>
          <w:b/>
          <w:sz w:val="20"/>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(Unaudited)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Exclusive License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the Company entered into a license agreement with Apkarian Technologies LLC to in-license US patent </w:t>
      </w:r>
      <w:r>
        <w:rPr>
          <w:rStyle w:val="Emphasis"/>
          <w:rFonts w:ascii="Times New Roman" w:hAnsi="Times New Roman"/>
          <w:caps w:val="false"/>
          <w:smallCaps w:val="false"/>
          <w:sz w:val="20"/>
        </w:rPr>
        <w:t>8,653,120</w:t>
      </w:r>
      <w:r>
        <w:rPr>
          <w:rFonts w:ascii="Times New Roman" w:hAnsi="Times New Roman"/>
          <w:caps w:val="false"/>
          <w:smallCaps w:val="false"/>
          <w:sz w:val="20"/>
        </w:rPr>
        <w:t xml:space="preserve"> that claims the use of DCS for the treatment of chronic pain in exchange for a commitment to pay milestones and royalties as development milestones are reached in the field of chronic pain. The patent is supported by extensive nonclinical data and early clinical data that suggest the potential for NMDA antagonist drugs, such as NRX-</w:t>
      </w:r>
      <w:r>
        <w:rPr>
          <w:rStyle w:val="Emphasis"/>
          <w:rFonts w:ascii="Times New Roman" w:hAnsi="Times New Roman"/>
          <w:caps w:val="false"/>
          <w:smallCaps w:val="false"/>
          <w:sz w:val="20"/>
        </w:rPr>
        <w:t>101</w:t>
      </w:r>
      <w:r>
        <w:rPr>
          <w:rFonts w:ascii="Times New Roman" w:hAnsi="Times New Roman"/>
          <w:caps w:val="false"/>
          <w:smallCaps w:val="false"/>
          <w:sz w:val="20"/>
        </w:rPr>
        <w:t xml:space="preserve"> to decrease both chronic pain and neuropathic pain while potentially decreasing craving for opioids.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Company has recorded no expenses relating to the licensure of the patent.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Kadima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9, 2025, </w:t>
      </w:r>
      <w:r>
        <w:rPr>
          <w:rFonts w:ascii="Times New Roman" w:hAnsi="Times New Roman"/>
          <w:caps w:val="false"/>
          <w:smallCaps w:val="false"/>
          <w:sz w:val="20"/>
        </w:rPr>
        <w:t>HOPE and its wholly-owned subsidiary, HTX, entered into an Asset Purchase and Contribution Agreement (the “Kadima Purchase Agreement”), with Kadima Medical, Kadima Holdings, Inc. (“Kadima Holdings”), and David Feifel, M.D., PH.D (“Feifel”, and collectively with Kadima Medical and Kadima Holdings, “Kadima”), pursuant to which the Company agreed to purchase and Kadima agreed to sell, certain assets of Kadima, subject to the satisfaction of certain closing conditions (the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Kadima Purchase Agreement contains representations, warranties and covenants of the Company and Kadima that are customary for a transaction of this nature, including among others, covenants by Kadima regarding the validity of certain material contracts entered into between Kadima and </w:t>
      </w:r>
      <w:r>
        <w:rPr>
          <w:rStyle w:val="Emphasis"/>
          <w:rFonts w:ascii="Times New Roman" w:hAnsi="Times New Roman"/>
          <w:caps w:val="false"/>
          <w:smallCaps w:val="false"/>
          <w:sz w:val="20"/>
        </w:rPr>
        <w:t>third</w:t>
      </w:r>
      <w:r>
        <w:rPr>
          <w:rFonts w:ascii="Times New Roman" w:hAnsi="Times New Roman"/>
          <w:caps w:val="false"/>
          <w:smallCaps w:val="false"/>
          <w:sz w:val="20"/>
        </w:rPr>
        <w:t>-parties being assigned to the Subsidiaries, title to the assets being sold by Kadima, the condition and sufficiency of the assets being purchased, and Kadima’s rights to its intellectual property, tax liabilities, and the investment representations of Kadima.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Kadima Purchase Agreement also contains customary indemnification provisions whereby Kadima will indemnify the Company for certain losses arising out of inaccuracies in, or breaches of, the representations, warranties and covenants of Kadima, pre-closing taxes of Kadima, and certain other matters, subject to certain caps and thresholds.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As of the date of this Report, the Acquisition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been consummated. The Company commenced arbitration alleging that certain conditions to closing of the Acquisition had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been satisfied. Kadima subsequently commenced litigation relating to the Acquisition. The arbitration and litigation remain pending. Based on the current status of these proceedings and the information currently available,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believe that the ultimate resolution of either proceeding will have a material adverse effect on its financial condition or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Operating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leases office space on a month-to-month basis. The rent expense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was less than $0.1 million, respectively. The rent expense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was $0.2 million and less than $0.1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also leases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healthcare clinical facilities and office space located in Naples, West Palm Beach and Fort Myers, Florida and certain medical equipment under non-cancelable operating lease agreements. Details regarding lease terms, future minimum lease payments, and right-of-use assets and liabilities are disclosed in Note </w:t>
      </w:r>
      <w:r>
        <w:rPr>
          <w:rStyle w:val="Emphasis"/>
          <w:rFonts w:ascii="Times New Roman" w:hAnsi="Times New Roman"/>
          <w:caps w:val="false"/>
          <w:smallCaps w:val="false"/>
          <w:sz w:val="2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is, from time to time, involved in various legal proceedings incidental to the conduct of our business. Historically, the outcome of nearly all such legal proceedings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 the aggregate, had a material adverse effect on our business, financial condition, results of operations or liquidity. There are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material pending or threatened legal proceedings at this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11.</w:t>
      </w:r>
      <w:r>
        <w:rPr>
          <w:rFonts w:ascii="Times New Roman" w:hAnsi="Times New Roman"/>
          <w:b/>
          <w:caps w:val="false"/>
          <w:smallCaps w:val="false"/>
          <w:sz w:val="20"/>
        </w:rPr>
        <w:t xml:space="preserve">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Pursuant to the terms of the Company’s Second Amended and Restated Certificate of Incorporation, the Company has </w:t>
      </w:r>
      <w:r>
        <w:rPr>
          <w:rStyle w:val="Emphasis"/>
          <w:rFonts w:ascii="Times New Roman" w:hAnsi="Times New Roman"/>
          <w:caps w:val="false"/>
          <w:smallCaps w:val="false"/>
          <w:sz w:val="20"/>
        </w:rPr>
        <w:t>50,000,000 shares</w:t>
      </w:r>
      <w:r>
        <w:rPr>
          <w:rFonts w:ascii="Times New Roman" w:hAnsi="Times New Roman"/>
          <w:caps w:val="false"/>
          <w:smallCaps w:val="false"/>
          <w:sz w:val="20"/>
        </w:rPr>
        <w:t xml:space="preserve"> of preferred stock authorized with a par value of $0.001, of which 12,000,000 were designated Series A Convertible Preferred Stock (“Series A Preferred Stock”). In </w:t>
      </w:r>
      <w:r>
        <w:rPr>
          <w:rStyle w:val="Emphasis"/>
          <w:rFonts w:ascii="Times New Roman" w:hAnsi="Times New Roman"/>
          <w:caps w:val="false"/>
          <w:smallCaps w:val="false"/>
          <w:sz w:val="20"/>
        </w:rPr>
        <w:t xml:space="preserve">August 2023, </w:t>
      </w:r>
      <w:r>
        <w:rPr>
          <w:rFonts w:ascii="Times New Roman" w:hAnsi="Times New Roman"/>
          <w:caps w:val="false"/>
          <w:smallCaps w:val="false"/>
          <w:sz w:val="20"/>
        </w:rPr>
        <w:t xml:space="preserve">the Company sold and issued 3.0 million shares of Series A Preferred Stock for an aggregate cash purchase price of $1.2 million. During </w:t>
      </w:r>
      <w:r>
        <w:rPr>
          <w:rStyle w:val="Emphasis"/>
          <w:rFonts w:ascii="Times New Roman" w:hAnsi="Times New Roman"/>
          <w:caps w:val="false"/>
          <w:smallCaps w:val="false"/>
          <w:sz w:val="20"/>
        </w:rPr>
        <w:t xml:space="preserve">March 2024, </w:t>
      </w:r>
      <w:r>
        <w:rPr>
          <w:rFonts w:ascii="Times New Roman" w:hAnsi="Times New Roman"/>
          <w:caps w:val="false"/>
          <w:smallCaps w:val="false"/>
          <w:sz w:val="20"/>
        </w:rPr>
        <w:t xml:space="preserve">holders of the Company’s Series A Preferred Stock elected to convert 3.0 million shares of Series A Preferred into 300,000 shares of Common Stock.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no shares of Series A Preferred Stock remained issued or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NRX PHARMACEUTICALS,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pPr>
      <w:r>
        <w:rPr>
          <w:rStyle w:val="Emphasis"/>
          <w:rFonts w:ascii="Times New Roman;Times;serif" w:hAnsi="Times New Roman;Times;serif"/>
          <w:b/>
          <w:sz w:val="20"/>
        </w:rPr>
        <w:t>JUNE 30, 2026</w:t>
      </w:r>
      <w:r>
        <w:rPr>
          <w:rFonts w:ascii="Times New Roman;Times;serif" w:hAnsi="Times New Roman;Times;serif"/>
          <w:b/>
          <w:sz w:val="20"/>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(Unaudited)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the terms of the Company’s Second Amended and Restated Certificate of Incorporation, the Company has authorized 500,000,000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ATM Purchase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From </w:t>
      </w:r>
      <w:r>
        <w:rPr>
          <w:rStyle w:val="Emphasis"/>
          <w:rFonts w:ascii="Times New Roman" w:hAnsi="Times New Roman"/>
          <w:caps w:val="false"/>
          <w:smallCaps w:val="false"/>
          <w:sz w:val="20"/>
        </w:rPr>
        <w:t xml:space="preserve">February 20, 2024 </w:t>
      </w:r>
      <w:r>
        <w:rPr>
          <w:rFonts w:ascii="Times New Roman" w:hAnsi="Times New Roman"/>
          <w:caps w:val="false"/>
          <w:smallCaps w:val="false"/>
          <w:sz w:val="20"/>
        </w:rPr>
        <w:t xml:space="preserve">to </w:t>
      </w:r>
      <w:r>
        <w:rPr>
          <w:rStyle w:val="Emphasis"/>
          <w:rFonts w:ascii="Times New Roman" w:hAnsi="Times New Roman"/>
          <w:caps w:val="false"/>
          <w:smallCaps w:val="false"/>
          <w:sz w:val="20"/>
        </w:rPr>
        <w:t xml:space="preserve">July 29, 2024, </w:t>
      </w:r>
      <w:r>
        <w:rPr>
          <w:rFonts w:ascii="Times New Roman" w:hAnsi="Times New Roman"/>
          <w:caps w:val="false"/>
          <w:smallCaps w:val="false"/>
          <w:sz w:val="20"/>
        </w:rPr>
        <w:t xml:space="preserve">the Company announced that it entered into multiple at-the-market purchase agreements (the “ATM Purchase Agreements”) subject to standard closing conditions where accredited investors purchased 385,515 shares of unregistered Common Stock at a range of $2.42 - $7.10 per share. On </w:t>
      </w:r>
      <w:r>
        <w:rPr>
          <w:rStyle w:val="Emphasis"/>
          <w:rFonts w:ascii="Times New Roman" w:hAnsi="Times New Roman"/>
          <w:caps w:val="false"/>
          <w:smallCaps w:val="false"/>
          <w:sz w:val="20"/>
        </w:rPr>
        <w:t xml:space="preserve">April 15, 2024, </w:t>
      </w:r>
      <w:r>
        <w:rPr>
          <w:rFonts w:ascii="Times New Roman" w:hAnsi="Times New Roman"/>
          <w:caps w:val="false"/>
          <w:smallCaps w:val="false"/>
          <w:sz w:val="20"/>
        </w:rPr>
        <w:t xml:space="preserve">the Company increased the maximum aggregate offering amount of the shares of Common Stock issuable under that certain at-the-market offering agreement, dated </w:t>
      </w:r>
      <w:r>
        <w:rPr>
          <w:rStyle w:val="Emphasis"/>
          <w:rFonts w:ascii="Times New Roman" w:hAnsi="Times New Roman"/>
          <w:caps w:val="false"/>
          <w:smallCaps w:val="false"/>
          <w:sz w:val="20"/>
        </w:rPr>
        <w:t>August 14, 2023 (</w:t>
      </w:r>
      <w:r>
        <w:rPr>
          <w:rFonts w:ascii="Times New Roman" w:hAnsi="Times New Roman"/>
          <w:caps w:val="false"/>
          <w:smallCaps w:val="false"/>
          <w:sz w:val="20"/>
        </w:rPr>
        <w:t xml:space="preserve">“the Offering Agreement”), with H.C. Wainwright &amp; Co., and filed a prospectus supplement under the Offering Agreement for an aggregate of $4.9 million. The Company suspended the at-the-market offering from </w:t>
      </w:r>
      <w:r>
        <w:rPr>
          <w:rStyle w:val="Emphasis"/>
          <w:rFonts w:ascii="Times New Roman" w:hAnsi="Times New Roman"/>
          <w:caps w:val="false"/>
          <w:smallCaps w:val="false"/>
          <w:sz w:val="20"/>
        </w:rPr>
        <w:t xml:space="preserve">August 14, 2024 </w:t>
      </w:r>
      <w:r>
        <w:rPr>
          <w:rFonts w:ascii="Times New Roman" w:hAnsi="Times New Roman"/>
          <w:caps w:val="false"/>
          <w:smallCaps w:val="false"/>
          <w:sz w:val="20"/>
        </w:rPr>
        <w:t xml:space="preserve">through </w:t>
      </w:r>
      <w:r>
        <w:rPr>
          <w:rStyle w:val="Emphasis"/>
          <w:rFonts w:ascii="Times New Roman" w:hAnsi="Times New Roman"/>
          <w:caps w:val="false"/>
          <w:smallCaps w:val="false"/>
          <w:sz w:val="20"/>
        </w:rPr>
        <w:t xml:space="preserve">April 17, 2025. </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April 17, 2025, </w:t>
      </w:r>
      <w:r>
        <w:rPr>
          <w:rFonts w:ascii="Times New Roman" w:hAnsi="Times New Roman"/>
          <w:caps w:val="false"/>
          <w:smallCaps w:val="false"/>
          <w:sz w:val="20"/>
        </w:rPr>
        <w:t>the Company reinstated the at-the-market offering and increased the maximum aggregate offering amount and filed a prospectus supplement under the Offering Agreement for an aggregate of $20,000,000.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the aggregate net cash proceeds to the Company from the ATM Purchase Agreements were approximately $1.0 million.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the aggregate net cash proceeds to the Company from the ATM Purchase Agreements were approximately $8.4 million and $11.8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Emphasis"/>
          <w:rFonts w:ascii="Times New Roman" w:hAnsi="Times New Roman"/>
          <w:i/>
          <w:caps w:val="false"/>
          <w:smallCaps w:val="false"/>
          <w:sz w:val="20"/>
        </w:rPr>
        <w:t>2026</w:t>
      </w:r>
      <w:r>
        <w:rPr>
          <w:rFonts w:ascii="Times New Roman" w:hAnsi="Times New Roman"/>
          <w:i/>
          <w:caps w:val="false"/>
          <w:smallCaps w:val="false"/>
          <w:sz w:val="20"/>
        </w:rPr>
        <w:t xml:space="preserve"> Underwritten Public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4, 2026, </w:t>
      </w:r>
      <w:r>
        <w:rPr>
          <w:rFonts w:ascii="Times New Roman" w:hAnsi="Times New Roman"/>
          <w:caps w:val="false"/>
          <w:smallCaps w:val="false"/>
          <w:sz w:val="20"/>
        </w:rPr>
        <w:t>the Company completed an underwritten public offering of 6,378,942 shares of its common stock at a public offering price of $3.50 per share, which included the exercise of the underwriters' over-allotment option. The Company received net proceeds of approximately $20.7 million after deducting underwriting discounts, commissions, and other offering expenses. The net proceeds are intended to be used for general corporate purposes, including working capital and funding the Company's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Emphasis"/>
          <w:rFonts w:ascii="Times New Roman" w:hAnsi="Times New Roman"/>
          <w:i/>
          <w:caps w:val="false"/>
          <w:smallCaps w:val="false"/>
          <w:sz w:val="20"/>
        </w:rPr>
        <w:t>2026</w:t>
      </w:r>
      <w:r>
        <w:rPr>
          <w:rFonts w:ascii="Times New Roman" w:hAnsi="Times New Roman"/>
          <w:i/>
          <w:caps w:val="false"/>
          <w:smallCaps w:val="false"/>
          <w:sz w:val="20"/>
        </w:rPr>
        <w:t xml:space="preserve"> Common Stock Issued for Servies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31, 2026, </w:t>
      </w:r>
      <w:r>
        <w:rPr>
          <w:rFonts w:ascii="Times New Roman" w:hAnsi="Times New Roman"/>
          <w:caps w:val="false"/>
          <w:smallCaps w:val="false"/>
          <w:sz w:val="20"/>
        </w:rPr>
        <w:t xml:space="preserve">the Company's Board of Directors approved the issuance of an aggregate of 218,161 shares of common stock, which were subsequently issued to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parties in connection with services performed for the Company. The aggregate fair value of the shares issued on the issuance date was approximately $1.0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Emphasis"/>
          <w:rFonts w:ascii="Times New Roman" w:hAnsi="Times New Roman"/>
          <w:i/>
          <w:caps w:val="false"/>
          <w:smallCaps w:val="false"/>
          <w:sz w:val="20"/>
        </w:rPr>
        <w:t>2025</w:t>
      </w:r>
      <w:r>
        <w:rPr>
          <w:rFonts w:ascii="Times New Roman" w:hAnsi="Times New Roman"/>
          <w:i/>
          <w:caps w:val="false"/>
          <w:smallCaps w:val="false"/>
          <w:sz w:val="20"/>
        </w:rPr>
        <w:t xml:space="preserve"> 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January 27, 2025, </w:t>
      </w:r>
      <w:r>
        <w:rPr>
          <w:rFonts w:ascii="Times New Roman" w:hAnsi="Times New Roman"/>
          <w:caps w:val="false"/>
          <w:smallCaps w:val="false"/>
          <w:sz w:val="20"/>
        </w:rPr>
        <w:t xml:space="preserve">the Company entered into a securities purchase agreement (the “First RD Purchase Agreement”) with Anson for the sale by the Company of 1,215,278 shares (the “First RD Shares”) of Common Stock, at a purchase price of $2.88 per share, in a registered direct offering (the “First Registered Direct Offering”). Concurrently, the Company also sold unregistered Common Stock purchase warrants (the “First RD Warrants”) to Anson to purchase up to an aggregate of 1,215,278 shares of Common Stock, in a private placement. Subject to certain beneficial ownership limitations, the First RD Warrants were immediately exercisable upon issuance at an exercise price equal to $2.88 per share of Common Stock, subject to adjustments as provided under the terms of the First RD Warrants. The closing of the sales of these securities under the First RD Purchase Agreement occurred on or about </w:t>
      </w:r>
      <w:r>
        <w:rPr>
          <w:rStyle w:val="Emphasis"/>
          <w:rFonts w:ascii="Times New Roman" w:hAnsi="Times New Roman"/>
          <w:caps w:val="false"/>
          <w:smallCaps w:val="false"/>
          <w:sz w:val="20"/>
        </w:rPr>
        <w:t xml:space="preserve">January 29, 2025, </w:t>
      </w:r>
      <w:r>
        <w:rPr>
          <w:rFonts w:ascii="Times New Roman" w:hAnsi="Times New Roman"/>
          <w:caps w:val="false"/>
          <w:smallCaps w:val="false"/>
          <w:sz w:val="20"/>
        </w:rPr>
        <w:t xml:space="preserve">resulting in net proceeds to the Company of approximately $3.3 million after transaction costs. A grant date fair value of $4.0 million of the warrants was determined utilizing a Black-Scholes model considering all relevant assumptions current at the date of issuance (i.e., share price of $2.07, exercise price of $2.88, term of five years, volatility of 115.8%, and risk-free rate of 4.00%). As the fair value of the liabilities exceeded the net proceeds received of $3.3 million, the Company recognized the excess as a loss upon issuance of First RD Shares of $0.7 million which is included in other expense (income) in the consolidated statement of operations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20, 2025, </w:t>
      </w:r>
      <w:r>
        <w:rPr>
          <w:rFonts w:ascii="Times New Roman" w:hAnsi="Times New Roman"/>
          <w:caps w:val="false"/>
          <w:smallCaps w:val="false"/>
          <w:sz w:val="20"/>
        </w:rPr>
        <w:t xml:space="preserve">following the conversion of less than $0.1 million of the Third Tranche Note into 5,463 shares of Common Stock, the Company issued 303,819 shares of Common Stock Consideration Shares and 303,819 of warrants (“Consideration Warrants”) to Anson in accordance with the terms of the CWA. As a result of this adjustment, the exercise price of the RD Warrants was updated to $2.30 as of </w:t>
      </w:r>
      <w:r>
        <w:rPr>
          <w:rStyle w:val="Emphasis"/>
          <w:rFonts w:ascii="Times New Roman" w:hAnsi="Times New Roman"/>
          <w:caps w:val="false"/>
          <w:smallCaps w:val="false"/>
          <w:sz w:val="20"/>
        </w:rPr>
        <w:t xml:space="preserve">March 20, 2025. </w:t>
      </w:r>
      <w:r>
        <w:rPr>
          <w:rFonts w:ascii="Times New Roman" w:hAnsi="Times New Roman"/>
          <w:caps w:val="false"/>
          <w:smallCaps w:val="false"/>
          <w:sz w:val="20"/>
        </w:rPr>
        <w:t xml:space="preserve">The Consideration Shares, being equity-classified, were recognized at fair value with credit to Common Stock and additional paid in capital. The Consideration Warrants, liability-classified under ASC </w:t>
      </w:r>
      <w:r>
        <w:rPr>
          <w:rStyle w:val="Emphasis"/>
          <w:rFonts w:ascii="Times New Roman" w:hAnsi="Times New Roman"/>
          <w:caps w:val="false"/>
          <w:smallCaps w:val="false"/>
          <w:sz w:val="20"/>
        </w:rPr>
        <w:t>815</w:t>
      </w:r>
      <w:r>
        <w:rPr>
          <w:rFonts w:ascii="Times New Roman" w:hAnsi="Times New Roman"/>
          <w:caps w:val="false"/>
          <w:smallCaps w:val="false"/>
          <w:sz w:val="20"/>
        </w:rPr>
        <w:t>-</w:t>
      </w:r>
      <w:r>
        <w:rPr>
          <w:rStyle w:val="Emphasis"/>
          <w:rFonts w:ascii="Times New Roman" w:hAnsi="Times New Roman"/>
          <w:caps w:val="false"/>
          <w:smallCaps w:val="false"/>
          <w:sz w:val="20"/>
        </w:rPr>
        <w:t>40,</w:t>
      </w:r>
      <w:r>
        <w:rPr>
          <w:rFonts w:ascii="Times New Roman" w:hAnsi="Times New Roman"/>
          <w:caps w:val="false"/>
          <w:smallCaps w:val="false"/>
          <w:sz w:val="20"/>
        </w:rPr>
        <w:t xml:space="preserve"> were initially recognized at fair value, with changes in fair value subsequently recognized through earnings. In accordance with the CWA, the Company recorded loss on issuance of the Consideration shares and the Consideration Warrants in total of $1.28 million recognized within other expense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within accompanying consolidated statements of operations and 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NRX PHARMACEUTICALS,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pPr>
      <w:r>
        <w:rPr>
          <w:rStyle w:val="Emphasis"/>
          <w:rFonts w:ascii="Times New Roman;Times;serif" w:hAnsi="Times New Roman;Times;serif"/>
          <w:b/>
          <w:sz w:val="20"/>
        </w:rPr>
        <w:t>JUNE 30, 2026</w:t>
      </w:r>
      <w:r>
        <w:rPr>
          <w:rFonts w:ascii="Times New Roman;Times;serif" w:hAnsi="Times New Roman;Times;serif"/>
          <w:b/>
          <w:sz w:val="20"/>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(Unaudited)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As previously mentioned, during the year ended </w:t>
      </w:r>
      <w:r>
        <w:rPr>
          <w:rStyle w:val="Emphasis"/>
          <w:rFonts w:ascii="Times New Roman" w:hAnsi="Times New Roman"/>
          <w:caps w:val="false"/>
          <w:smallCaps w:val="false"/>
          <w:sz w:val="20"/>
        </w:rPr>
        <w:t>December 31, 2025, </w:t>
      </w:r>
      <w:r>
        <w:rPr>
          <w:rFonts w:ascii="Times New Roman" w:hAnsi="Times New Roman"/>
          <w:caps w:val="false"/>
          <w:smallCaps w:val="false"/>
          <w:sz w:val="20"/>
        </w:rPr>
        <w:t xml:space="preserve">Anson converted the remaining $1.3 million of principal and interest of the First Tranche Notes, and all of the principal and interest on the Second and Third Tranche Notes ($5.8 million and $5.5 million, respectively) into Common Stock, resulting in the aggregate issuances of 7.3 million shares of Common Stock valued at $18.9 million and loss on conversion of $6.2 million. No Anson Notes remained outstanding as of </w:t>
      </w:r>
      <w:r>
        <w:rPr>
          <w:rStyle w:val="Emphasis"/>
          <w:rFonts w:ascii="Times New Roman" w:hAnsi="Times New Roman"/>
          <w:caps w:val="false"/>
          <w:smallCaps w:val="false"/>
          <w:sz w:val="20"/>
        </w:rPr>
        <w:t>December 31, 2025. (</w:t>
      </w:r>
      <w:r>
        <w:rPr>
          <w:rFonts w:ascii="Times New Roman" w:hAnsi="Times New Roman"/>
          <w:caps w:val="false"/>
          <w:smallCaps w:val="false"/>
          <w:sz w:val="20"/>
        </w:rPr>
        <w:t xml:space="preserve">See Note </w:t>
      </w:r>
      <w:r>
        <w:rPr>
          <w:rStyle w:val="Emphasis"/>
          <w:rFonts w:ascii="Times New Roman" w:hAnsi="Times New Roman"/>
          <w:caps w:val="false"/>
          <w:smallCaps w:val="false"/>
          <w:sz w:val="20"/>
        </w:rPr>
        <w:t>9</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 xml:space="preserve">Substitute Warrants </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Liability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24, 2021, </w:t>
      </w:r>
      <w:r>
        <w:rPr>
          <w:rFonts w:ascii="Times New Roman" w:hAnsi="Times New Roman"/>
          <w:caps w:val="false"/>
          <w:smallCaps w:val="false"/>
          <w:sz w:val="20"/>
        </w:rPr>
        <w:t xml:space="preserve">the Company completed the merger (“Merger”) under the Agreement and Plan of Merger dated </w:t>
      </w:r>
      <w:r>
        <w:rPr>
          <w:rStyle w:val="Emphasis"/>
          <w:rFonts w:ascii="Times New Roman" w:hAnsi="Times New Roman"/>
          <w:caps w:val="false"/>
          <w:smallCaps w:val="false"/>
          <w:sz w:val="20"/>
        </w:rPr>
        <w:t xml:space="preserve">December 13, 2020, </w:t>
      </w:r>
      <w:r>
        <w:rPr>
          <w:rFonts w:ascii="Times New Roman" w:hAnsi="Times New Roman"/>
          <w:caps w:val="false"/>
          <w:smallCaps w:val="false"/>
          <w:sz w:val="20"/>
        </w:rPr>
        <w:t xml:space="preserve">as amended, among the Company (formerly Big Rock Partners Acquisition Corp.), NeuroRx, Inc., and Big Rock Merger Corp., a wholly owned subsidiary of our company. In the transaction, Big Rock Merger Corp. merged with and into NeuroRx, with NeuroRx continuing as the surviving entity. In connection with the Merger in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each warrant to purchase shares of Common Stock of NRx that was outstanding and unexercised immediately prior to the effective time (whether vested or unvested) was assumed by Big Rock Partners Acquisition Corp. (BRPA) and converted into a warrant, based on the exchange ratio (of 0.316), that will continue to be governed by substantially the same terms and conditions, including vesting, as were applicable to the former warrant (the “Substitute Warrants”). There were 3,792,970 warrants outstanding and unexercised at the effective time. As these Substitute Warrants meet the definition of a derivative as contemplated in FASB ASC Topic </w:t>
      </w:r>
      <w:r>
        <w:rPr>
          <w:rStyle w:val="Emphasis"/>
          <w:rFonts w:ascii="Times New Roman" w:hAnsi="Times New Roman"/>
          <w:caps w:val="false"/>
          <w:smallCaps w:val="false"/>
          <w:sz w:val="20"/>
        </w:rPr>
        <w:t>815,</w:t>
      </w:r>
      <w:r>
        <w:rPr>
          <w:rFonts w:ascii="Times New Roman" w:hAnsi="Times New Roman"/>
          <w:caps w:val="false"/>
          <w:smallCaps w:val="false"/>
          <w:sz w:val="20"/>
        </w:rPr>
        <w:t xml:space="preserve"> based on provisions in the warrant agreement related to the Earnout Shares Milestone and the Earnout Cash Milestone and the contingent right to receive additional shares for these provisions, the Substitute Warrants were recorded as derivative liabilities on the consolidated balance sheet and measured at fair value at inception (on the date of the Merger) and at each reporting date in accordance with FASB ASC Topic </w:t>
      </w:r>
      <w:r>
        <w:rPr>
          <w:rStyle w:val="Emphasis"/>
          <w:rFonts w:ascii="Times New Roman" w:hAnsi="Times New Roman"/>
          <w:caps w:val="false"/>
          <w:smallCaps w:val="false"/>
          <w:sz w:val="20"/>
        </w:rPr>
        <w:t>820,</w:t>
      </w:r>
      <w:r>
        <w:rPr>
          <w:rFonts w:ascii="Times New Roman" w:hAnsi="Times New Roman"/>
          <w:caps w:val="false"/>
          <w:smallCaps w:val="false"/>
          <w:sz w:val="20"/>
        </w:rPr>
        <w:t xml:space="preserve"> with changes in fair value recognized in the statements of operations in the period of change. Refer to Note </w:t>
      </w:r>
      <w:r>
        <w:rPr>
          <w:rStyle w:val="Emphasis"/>
          <w:rFonts w:ascii="Times New Roman" w:hAnsi="Times New Roman"/>
          <w:caps w:val="false"/>
          <w:smallCaps w:val="false"/>
          <w:sz w:val="20"/>
        </w:rPr>
        <w:t>13</w:t>
      </w:r>
      <w:r>
        <w:rPr>
          <w:rFonts w:ascii="Times New Roman" w:hAnsi="Times New Roman"/>
          <w:caps w:val="false"/>
          <w:smallCaps w:val="false"/>
          <w:sz w:val="20"/>
        </w:rPr>
        <w:t xml:space="preserve"> for further discussion of fair value measurement of the warrant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 xml:space="preserve">Assumed Public Warrants </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Equity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Prior to the Merger, the Company had warrants outstanding (the “Public Warrants”) to purchase up to 345,000 shares of Common Stock. Each Public Warrant entitles the holder to purchase one-</w:t>
      </w:r>
      <w:r>
        <w:rPr>
          <w:rStyle w:val="Emphasis"/>
          <w:rFonts w:ascii="Times New Roman" w:hAnsi="Times New Roman"/>
          <w:caps w:val="false"/>
          <w:smallCaps w:val="false"/>
          <w:sz w:val="20"/>
        </w:rPr>
        <w:t>tenth</w:t>
      </w:r>
      <w:r>
        <w:rPr>
          <w:rFonts w:ascii="Times New Roman" w:hAnsi="Times New Roman"/>
          <w:caps w:val="false"/>
          <w:smallCaps w:val="false"/>
          <w:sz w:val="20"/>
        </w:rPr>
        <w:t> share of Common Stock at an exercise price of $115 per share. The Public Warrants became exercisable at the effective time of the Merger and expire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years after the effective time on or earlier upon their redemption or liquidation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NRX PHARMACEUTICALS,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pPr>
      <w:r>
        <w:rPr>
          <w:rStyle w:val="Emphasis"/>
          <w:rFonts w:ascii="Times New Roman;Times;serif" w:hAnsi="Times New Roman;Times;serif"/>
          <w:b/>
          <w:sz w:val="20"/>
        </w:rPr>
        <w:t>JUNE 30, 2026</w:t>
      </w:r>
      <w:r>
        <w:rPr>
          <w:rFonts w:ascii="Times New Roman;Times;serif" w:hAnsi="Times New Roman;Times;serif"/>
          <w:b/>
          <w:sz w:val="20"/>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(Unaudited)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During the fiscal years ended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no Public Warrants were exercised. The outstanding balance of these public warrants remained in equity. On </w:t>
      </w:r>
      <w:r>
        <w:rPr>
          <w:rStyle w:val="Emphasis"/>
          <w:rFonts w:ascii="Times New Roman" w:hAnsi="Times New Roman"/>
          <w:caps w:val="false"/>
          <w:smallCaps w:val="false"/>
          <w:sz w:val="20"/>
        </w:rPr>
        <w:t xml:space="preserve">May 31, 2026, </w:t>
      </w:r>
      <w:r>
        <w:rPr>
          <w:rFonts w:ascii="Times New Roman" w:hAnsi="Times New Roman"/>
          <w:caps w:val="false"/>
          <w:smallCaps w:val="false"/>
          <w:sz w:val="20"/>
        </w:rPr>
        <w:t xml:space="preserve">all outstanding Public Warrants expired unexercised. As a result, the associated equity balance remained within stockholders' equity, with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gain or loss recognized upon expiration.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 xml:space="preserve">Assumed Private Placement Warrants </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Liabilities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Prior to the Merger, the Company had outstanding Private Placement Warrants (the “Private Placement Warrants”) to purchase up to 13,625 shares of Common Stock. The Private Placement Warrants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indexed to the Company’s common shares in the manner contemplated by FASB ASC Topic </w:t>
      </w:r>
      <w:r>
        <w:rPr>
          <w:rStyle w:val="Emphasis"/>
          <w:rFonts w:ascii="Times New Roman" w:hAnsi="Times New Roman"/>
          <w:caps w:val="false"/>
          <w:smallCaps w:val="false"/>
          <w:sz w:val="20"/>
        </w:rPr>
        <w:t>815</w:t>
      </w:r>
      <w:r>
        <w:rPr>
          <w:rFonts w:ascii="Times New Roman" w:hAnsi="Times New Roman"/>
          <w:caps w:val="false"/>
          <w:smallCaps w:val="false"/>
          <w:sz w:val="20"/>
        </w:rPr>
        <w:t>-</w:t>
      </w:r>
      <w:r>
        <w:rPr>
          <w:rStyle w:val="Emphasis"/>
          <w:rFonts w:ascii="Times New Roman" w:hAnsi="Times New Roman"/>
          <w:caps w:val="false"/>
          <w:smallCaps w:val="false"/>
          <w:sz w:val="20"/>
        </w:rPr>
        <w:t>40</w:t>
      </w:r>
      <w:r>
        <w:rPr>
          <w:rFonts w:ascii="Times New Roman" w:hAnsi="Times New Roman"/>
          <w:caps w:val="false"/>
          <w:smallCaps w:val="false"/>
          <w:sz w:val="20"/>
        </w:rPr>
        <w:t>-</w:t>
      </w:r>
      <w:r>
        <w:rPr>
          <w:rStyle w:val="Emphasis"/>
          <w:rFonts w:ascii="Times New Roman" w:hAnsi="Times New Roman"/>
          <w:caps w:val="false"/>
          <w:smallCaps w:val="false"/>
          <w:sz w:val="20"/>
        </w:rPr>
        <w:t>15</w:t>
      </w:r>
      <w:r>
        <w:rPr>
          <w:rFonts w:ascii="Times New Roman" w:hAnsi="Times New Roman"/>
          <w:caps w:val="false"/>
          <w:smallCaps w:val="false"/>
          <w:sz w:val="20"/>
        </w:rPr>
        <w:t xml:space="preserve"> because the holder of the instrument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an input into the pricing of a fixed-for-fixed option on equity shares. The Company classifies the Private Placement Warrants as derivative liabilities in its consolidated balance sheets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The Company measures the fair value of the Private Placement Warrants at the end of each reporting period and recognizes changes in the fair value from the prior period in the Company’s statements of operations for the current period. On </w:t>
      </w:r>
      <w:r>
        <w:rPr>
          <w:rStyle w:val="Emphasis"/>
          <w:rFonts w:ascii="Times New Roman" w:hAnsi="Times New Roman"/>
          <w:caps w:val="false"/>
          <w:smallCaps w:val="false"/>
          <w:sz w:val="20"/>
        </w:rPr>
        <w:t xml:space="preserve">May 31, 2026, </w:t>
      </w:r>
      <w:r>
        <w:rPr>
          <w:rFonts w:ascii="Times New Roman" w:hAnsi="Times New Roman"/>
          <w:caps w:val="false"/>
          <w:smallCaps w:val="false"/>
          <w:sz w:val="20"/>
        </w:rPr>
        <w:t xml:space="preserve">all outstanding Public Warrants expired unexercised. The Company recognized a gain on the change in fair value of the Private Placement Warrants for each of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of less than $0.01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See Note </w:t>
      </w:r>
      <w:r>
        <w:rPr>
          <w:rStyle w:val="Emphasis"/>
          <w:rFonts w:ascii="Times New Roman" w:hAnsi="Times New Roman"/>
          <w:caps w:val="false"/>
          <w:smallCaps w:val="false"/>
          <w:sz w:val="20"/>
        </w:rPr>
        <w:t>13</w:t>
      </w:r>
      <w:r>
        <w:rPr>
          <w:rFonts w:ascii="Times New Roman" w:hAnsi="Times New Roman"/>
          <w:caps w:val="false"/>
          <w:smallCaps w:val="false"/>
          <w:sz w:val="20"/>
        </w:rPr>
        <w:t xml:space="preserve"> for discussion of the fair value measurement of the Company’s warrant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Warrants </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Equity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As discussed above, on </w:t>
      </w:r>
      <w:r>
        <w:rPr>
          <w:rStyle w:val="Emphasis"/>
          <w:rFonts w:ascii="Times New Roman" w:hAnsi="Times New Roman"/>
          <w:caps w:val="false"/>
          <w:smallCaps w:val="false"/>
          <w:sz w:val="20"/>
        </w:rPr>
        <w:t>February 29,</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in conjunction with the sale of 270,000 shares of Common Stock, the Company issued warrants to purchase up to 270,000 shares of Common Stock. The allocated fair value of $0.5 million was recorded within additional paid-in capital and was determined utilizing a Black-Scholes model considering all relevant assumptions current at the date of issuance (i.e., share price of $3.59, exercise price of $3.80, term of 5 years, volatility of 178.10%, risk-free rate of 4.26%, and expected dividend rate of 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28, 2024, </w:t>
      </w:r>
      <w:r>
        <w:rPr>
          <w:rFonts w:ascii="Times New Roman" w:hAnsi="Times New Roman"/>
          <w:caps w:val="false"/>
          <w:smallCaps w:val="false"/>
          <w:sz w:val="20"/>
        </w:rPr>
        <w:t xml:space="preserve">the Company issued to the Underwriters 5-year warrants to purchase up to 25,000 shares of Common Stock. The allocated fair value of $0.1 million was recorded within additional paid-in capital and was determined utilizing a Black-Scholes model considering all relevant assumptions current at the date of issuance (i.e., share price of $3.05, exercise price of $3.30, term of 5 years, volatility of 178.10%, risk-free rate of 4.26%, and expected dividend rate of 0%). %). On </w:t>
      </w:r>
      <w:r>
        <w:rPr>
          <w:rStyle w:val="Emphasis"/>
          <w:rFonts w:ascii="Times New Roman" w:hAnsi="Times New Roman"/>
          <w:caps w:val="false"/>
          <w:smallCaps w:val="false"/>
          <w:sz w:val="20"/>
        </w:rPr>
        <w:t xml:space="preserve">June 4, 2026, </w:t>
      </w:r>
      <w:r>
        <w:rPr>
          <w:rFonts w:ascii="Times New Roman" w:hAnsi="Times New Roman"/>
          <w:caps w:val="false"/>
          <w:smallCaps w:val="false"/>
          <w:sz w:val="20"/>
        </w:rPr>
        <w:t>warrants to purchase an aggregate of 12,500 shares of Common Stock were exercised on a cashless basis, resulting in the issuance of 2,742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5, 2024, </w:t>
      </w:r>
      <w:r>
        <w:rPr>
          <w:rFonts w:ascii="Times New Roman" w:hAnsi="Times New Roman"/>
          <w:caps w:val="false"/>
          <w:smallCaps w:val="false"/>
          <w:sz w:val="20"/>
        </w:rPr>
        <w:t xml:space="preserve">the Company issued Underwriter’s warrants to purchase up to 3,750 shares of Common Stock. A fair value of less than $0.1 million was recorded within additional paid-in capital and was determined utilizing a Black-Scholes model considering all relevant assumptions current at the date of issuance (i.e., share price of $3.05, exercise price of $3.30, term of 5 years, volatility of 178.10%, risk-free rate of 4.12%, and expected dividend rate of 0%). On </w:t>
      </w:r>
      <w:r>
        <w:rPr>
          <w:rStyle w:val="Emphasis"/>
          <w:rFonts w:ascii="Times New Roman" w:hAnsi="Times New Roman"/>
          <w:caps w:val="false"/>
          <w:smallCaps w:val="false"/>
          <w:sz w:val="20"/>
        </w:rPr>
        <w:t xml:space="preserve">June 4, 2026, </w:t>
      </w:r>
      <w:r>
        <w:rPr>
          <w:rFonts w:ascii="Times New Roman" w:hAnsi="Times New Roman"/>
          <w:caps w:val="false"/>
          <w:smallCaps w:val="false"/>
          <w:sz w:val="20"/>
        </w:rPr>
        <w:t>warrants to purchase an aggregate of 1,875 shares of Common Stock were exercised on a cashless basis, resulting in the issuance of 594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April 19, 2024, </w:t>
      </w:r>
      <w:r>
        <w:rPr>
          <w:rFonts w:ascii="Times New Roman" w:hAnsi="Times New Roman"/>
          <w:caps w:val="false"/>
          <w:smallCaps w:val="false"/>
          <w:sz w:val="20"/>
        </w:rPr>
        <w:t>the Company issued to Underwriter’s 5-year warrants to purchase up to 30,350 shares of Common Stock. A fair value of less than $0.1 million was recorded within additional paid-in capital and was determined utilizing a Black-Scholes model considering all relevant assumptions current at the date of issuance (i.e., share price of $3.04, exercise price of $3.63, term of 5 years, volatility of 178.10%, risk-free rate of 4.66%, and expected dividend rate of 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23, 2024, </w:t>
      </w:r>
      <w:r>
        <w:rPr>
          <w:rFonts w:ascii="Times New Roman" w:hAnsi="Times New Roman"/>
          <w:caps w:val="false"/>
          <w:smallCaps w:val="false"/>
          <w:sz w:val="20"/>
        </w:rPr>
        <w:t>the Company issued Underwriter’s warrants to purchase up to 4,553 shares of Common Stock. A fair value of less than $0.1 million was recorded within additional paid-in capital and was determined utilizing a Black-Scholes model considering all relevant assumptions current at the date of issuance (i.e., share price of $3.62, exercise price of $3.63, term of 5 years, volatility of 178.10%, risk-free rate of 4.52%, and expected dividend rate of 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Alvogen Warrants </w:t>
      </w:r>
      <w:r>
        <w:rPr>
          <w:rFonts w:ascii="Times New Roman" w:hAnsi="Times New Roman"/>
          <w:caps w:val="false"/>
          <w:smallCaps w:val="false"/>
          <w:sz w:val="20"/>
        </w:rPr>
        <w:t xml:space="preserve">– </w:t>
      </w:r>
      <w:r>
        <w:rPr>
          <w:rFonts w:ascii="Times New Roman" w:hAnsi="Times New Roman"/>
          <w:i/>
          <w:caps w:val="false"/>
          <w:smallCaps w:val="false"/>
          <w:sz w:val="20"/>
        </w:rPr>
        <w:t>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conjunction with the amended Licensing Agreement with Alvogen discussed in Note </w:t>
      </w:r>
      <w:r>
        <w:rPr>
          <w:rStyle w:val="Emphasis"/>
          <w:rFonts w:ascii="Times New Roman" w:hAnsi="Times New Roman"/>
          <w:caps w:val="false"/>
          <w:smallCaps w:val="false"/>
          <w:sz w:val="20"/>
        </w:rPr>
        <w:t>8,</w:t>
      </w:r>
      <w:r>
        <w:rPr>
          <w:rFonts w:ascii="Times New Roman" w:hAnsi="Times New Roman"/>
          <w:caps w:val="false"/>
          <w:smallCaps w:val="false"/>
          <w:sz w:val="20"/>
        </w:rPr>
        <w:t xml:space="preserve"> on </w:t>
      </w:r>
      <w:r>
        <w:rPr>
          <w:rStyle w:val="Emphasis"/>
          <w:rFonts w:ascii="Times New Roman" w:hAnsi="Times New Roman"/>
          <w:caps w:val="false"/>
          <w:smallCaps w:val="false"/>
          <w:sz w:val="20"/>
        </w:rPr>
        <w:t xml:space="preserve">February 7, 2024 </w:t>
      </w:r>
      <w:r>
        <w:rPr>
          <w:rFonts w:ascii="Times New Roman" w:hAnsi="Times New Roman"/>
          <w:caps w:val="false"/>
          <w:smallCaps w:val="false"/>
          <w:sz w:val="20"/>
        </w:rPr>
        <w:t xml:space="preserve">the Company issued warrants to purchase up to 419,598 shares of Common Stock. A fair value of $1.3 million was recorded within additional paid-in capital and was determined utilizing a Black-Scholes model considering all relevant assumptions current at the date of issuance (i.e., share price of $4.10, exercise price of $4.00, term of 3 years, volatility of 138.0%, risk-free rate of 4.2%, and expected dividend rate of 0.0%). Upon termination of the License Agreement on </w:t>
      </w:r>
      <w:r>
        <w:rPr>
          <w:rStyle w:val="Emphasis"/>
          <w:rFonts w:ascii="Times New Roman" w:hAnsi="Times New Roman"/>
          <w:caps w:val="false"/>
          <w:smallCaps w:val="false"/>
          <w:sz w:val="20"/>
        </w:rPr>
        <w:t xml:space="preserve">June 21, 2024, </w:t>
      </w:r>
      <w:r>
        <w:rPr>
          <w:rFonts w:ascii="Times New Roman" w:hAnsi="Times New Roman"/>
          <w:caps w:val="false"/>
          <w:smallCaps w:val="false"/>
          <w:sz w:val="20"/>
        </w:rPr>
        <w:t>the offsetting amount recorded within additional paid-in capital as an unfunded stock subscription receivable was expensed to research and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Anson Warrants </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Liability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Anson Warrants, originally issued in the Anson Purchase Agreement, are recognized as derivative liabilities in accordance with ASC </w:t>
      </w:r>
      <w:r>
        <w:rPr>
          <w:rStyle w:val="Emphasis"/>
          <w:rFonts w:ascii="Times New Roman" w:hAnsi="Times New Roman"/>
          <w:caps w:val="false"/>
          <w:smallCaps w:val="false"/>
          <w:sz w:val="20"/>
        </w:rPr>
        <w:t>815,</w:t>
      </w:r>
      <w:r>
        <w:rPr>
          <w:rFonts w:ascii="Times New Roman" w:hAnsi="Times New Roman"/>
          <w:caps w:val="false"/>
          <w:smallCaps w:val="false"/>
          <w:sz w:val="20"/>
        </w:rPr>
        <w:t xml:space="preserve"> as certain settlement features included in the Anson Warrants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indexed to the Company's own stock, and therefore preclude equity classification. Accordingly, the Company recognizes the warrant instruments as liabilities at fair value and adjusts the instruments to fair value at each reporting period, and any change in fair value is recognized in the Company’s consolidated statements of operations. The Anson Warrants are measured at fair value using a Black-Scholes model, and all warrant liabilities are classified as current liabilities on the Company's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NRX PHARMACEUTICALS,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pPr>
      <w:r>
        <w:rPr>
          <w:rStyle w:val="Emphasis"/>
          <w:rFonts w:ascii="Times New Roman;Times;serif" w:hAnsi="Times New Roman;Times;serif"/>
          <w:b/>
          <w:sz w:val="20"/>
        </w:rPr>
        <w:t>JUNE 30, 2026</w:t>
      </w:r>
      <w:r>
        <w:rPr>
          <w:rFonts w:ascii="Times New Roman;Times;serif" w:hAnsi="Times New Roman;Times;serif"/>
          <w:b/>
          <w:sz w:val="20"/>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(Unaudited)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August 14, 2024, </w:t>
      </w:r>
      <w:r>
        <w:rPr>
          <w:rFonts w:ascii="Times New Roman" w:hAnsi="Times New Roman"/>
          <w:caps w:val="false"/>
          <w:smallCaps w:val="false"/>
          <w:sz w:val="20"/>
        </w:rPr>
        <w:t>in conjunction with the issuance of the First Tranche Notes, the Company issued 5-year warrants to purchase up to 1,349,305 shares of the Common Stock with a grant date fair value of $2.1 million considering all relevant assumptions current at the date of issuance (i.e., share price of $1.86, exercise price of $2.42, term of five years, volatility of 122%, and risk-free rate of 3.67%, and expected dividend rate of 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October 10, 2024, </w:t>
      </w:r>
      <w:r>
        <w:rPr>
          <w:rFonts w:ascii="Times New Roman" w:hAnsi="Times New Roman"/>
          <w:caps w:val="false"/>
          <w:smallCaps w:val="false"/>
          <w:sz w:val="20"/>
        </w:rPr>
        <w:t>in conjunction with the issuance of the Second Tranche Notes, the Company issued 5-year warrants to purchase up to 1,846,128 shares of Common Stock with a grant date fair value of $1.9 million considering all relevant assumptions current at the date of issuance (i.e., share price of $1.38, exercise price of $1.76, term of five years, volatility of 105%, and risk-free rate of 3.91%, and expected dividend rate of 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January 28, 2025, </w:t>
      </w:r>
      <w:r>
        <w:rPr>
          <w:rFonts w:ascii="Times New Roman" w:hAnsi="Times New Roman"/>
          <w:caps w:val="false"/>
          <w:smallCaps w:val="false"/>
          <w:sz w:val="20"/>
        </w:rPr>
        <w:t>in conjunction with the issuance of the Third Tranche Notes, the Company issued warrants to purchase up to 862,699 shares of Common Stock with a grant date fair value of $2.5 million considering all relevant assumptions current at the date of issuance (i.e., share price of $3.55, exercise price of $3.78, term of five years, volatility of 113%, risk-free rate of 4.33%, and expected dividend rate of 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in connection with the Second RD Purchase Agreement, and pursuant to the full ratchet anti-dilution provisions contained in the Anson financing agreements, the exercise price of all Anson Warrants were each adjusted to $1.65 per share and the number of shares underlying the Anson Warrants was increased by an aggregate of 1,870,960 shares of common stock. The effect of the full ratchet trigger was </w:t>
      </w:r>
      <w:r>
        <w:rPr>
          <w:rStyle w:val="Emphasis"/>
          <w:rFonts w:ascii="Times New Roman" w:hAnsi="Times New Roman"/>
          <w:caps w:val="false"/>
          <w:smallCaps w:val="false"/>
          <w:sz w:val="20"/>
        </w:rPr>
        <w:t>$5.7</w:t>
      </w:r>
      <w:r>
        <w:rPr>
          <w:rFonts w:ascii="Times New Roman" w:hAnsi="Times New Roman"/>
          <w:caps w:val="false"/>
          <w:smallCaps w:val="false"/>
          <w:sz w:val="20"/>
        </w:rPr>
        <w:t xml:space="preserve"> million and was reflected as part of the change in fair value of warrant liabilities on the statement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holders of Anson Notes and Anson Warrants, in accordance with an agreement entered into with Anson on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agreed to, among other things, i) certain trading volume limitations, and ii) a partial exercise of previously issued Anson Warrants for cash. Specifically, if the closing stock price of the Company’s common stock as reported on the Principal Market (as defined in the </w:t>
      </w:r>
      <w:r>
        <w:rPr>
          <w:rStyle w:val="Emphasis"/>
          <w:rFonts w:ascii="Times New Roman" w:hAnsi="Times New Roman"/>
          <w:caps w:val="false"/>
          <w:smallCaps w:val="false"/>
          <w:sz w:val="20"/>
        </w:rPr>
        <w:t xml:space="preserve">August 2024 </w:t>
      </w:r>
      <w:r>
        <w:rPr>
          <w:rFonts w:ascii="Times New Roman" w:hAnsi="Times New Roman"/>
          <w:caps w:val="false"/>
          <w:smallCaps w:val="false"/>
          <w:sz w:val="20"/>
        </w:rPr>
        <w:t xml:space="preserve">Purchase Agreement) is below </w:t>
      </w:r>
      <w:r>
        <w:rPr>
          <w:rStyle w:val="Emphasis"/>
          <w:rFonts w:ascii="Times New Roman" w:hAnsi="Times New Roman"/>
          <w:caps w:val="false"/>
          <w:smallCaps w:val="false"/>
          <w:sz w:val="20"/>
        </w:rPr>
        <w:t>$3.25</w:t>
      </w:r>
      <w:r>
        <w:rPr>
          <w:rFonts w:ascii="Times New Roman" w:hAnsi="Times New Roman"/>
          <w:caps w:val="false"/>
          <w:smallCaps w:val="false"/>
          <w:sz w:val="20"/>
        </w:rPr>
        <w:t xml:space="preserve"> on any trading day, Anson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sell, dispose of, or otherwise transfer, in the aggregate, more than </w:t>
      </w:r>
      <w:r>
        <w:rPr>
          <w:rStyle w:val="Emphasis"/>
          <w:rFonts w:ascii="Times New Roman" w:hAnsi="Times New Roman"/>
          <w:caps w:val="false"/>
          <w:smallCaps w:val="false"/>
          <w:sz w:val="20"/>
        </w:rPr>
        <w:t>12.5%</w:t>
      </w:r>
      <w:r>
        <w:rPr>
          <w:rFonts w:ascii="Times New Roman" w:hAnsi="Times New Roman"/>
          <w:caps w:val="false"/>
          <w:smallCaps w:val="false"/>
          <w:sz w:val="20"/>
        </w:rPr>
        <w:t xml:space="preserve"> of the composite daily trading volume of the Company’s common stock on that trading day. In accordance with the agreement, 1,870,960 shares of underlying Anson Warrants, which were issued with the original convertible notes, were exercised on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for cash proceeds of $3.1 million. The fair value of the exercised Anson Warrants liabilities was determined to be $5.4 million as of the exercise date, resulting in a gain of $5.4 million recognized within other (income) expense, representing the difference between the fair value of the exercised Anson Warrants and the cash proceeds received.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RD Warrants –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As discussed above, on </w:t>
      </w:r>
      <w:r>
        <w:rPr>
          <w:rStyle w:val="Emphasis"/>
          <w:rFonts w:ascii="Times New Roman" w:hAnsi="Times New Roman"/>
          <w:caps w:val="false"/>
          <w:smallCaps w:val="false"/>
          <w:sz w:val="20"/>
        </w:rPr>
        <w:t xml:space="preserve">January 29, 2025, </w:t>
      </w:r>
      <w:r>
        <w:rPr>
          <w:rFonts w:ascii="Times New Roman" w:hAnsi="Times New Roman"/>
          <w:caps w:val="false"/>
          <w:smallCaps w:val="false"/>
          <w:sz w:val="20"/>
        </w:rPr>
        <w:t xml:space="preserve">in conjunction with the issuance of the First RD Shares, the Company issued the First RD Warrants to purchase up to 1,215,278 shares of Common Stock which were classified as a liability, with a grant date fair value of $4.0 million determined utilizing a Black-Scholes model considering all relevant assumptions current at the date of issuance (i.e., share price of $2.07, exercise price of $2.88, term of five years, volatility of 115.8%, and risk-free rate of 4.00%). As the fair value of the liabilities exceeded the net proceeds received of $3.3 million, the Company recognized the excess of the fair value over the net proceeds received as a loss upon issuance of $0.7 million which is included in other expense (income) in the consolidated statement of operations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Consideration Warrants –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As discussed above, on </w:t>
      </w:r>
      <w:r>
        <w:rPr>
          <w:rStyle w:val="Emphasis"/>
          <w:rFonts w:ascii="Times New Roman" w:hAnsi="Times New Roman"/>
          <w:caps w:val="false"/>
          <w:smallCaps w:val="false"/>
          <w:sz w:val="20"/>
        </w:rPr>
        <w:t xml:space="preserve">March 20, 2025, </w:t>
      </w:r>
      <w:r>
        <w:rPr>
          <w:rFonts w:ascii="Times New Roman" w:hAnsi="Times New Roman"/>
          <w:caps w:val="false"/>
          <w:smallCaps w:val="false"/>
          <w:sz w:val="20"/>
        </w:rPr>
        <w:t>in conjunction with the issuance of the Consideration Shares, the Company issued Consideration Warrants to purchase up to 303,819 shares of Common Stock which were classified as a liability. The grant date fair value was estimated to be $0.6 million utilizing a Black-Scholes model considering all relevant assumptions current at the date of issuance (i.e., share price of $2.07, exercise price of $2.88, term of five years, volatility of 115.8%, and risk-free rate of 4.00%).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the aggregate fair value of all liability classified warrants, which include Substitute Warrants, Assumed Private Placement Warrants, Anson Warrants, First RD Warrants and Consideration Warrants, was $18.6 million. The Company recognized a loss on the change in fair value of the liability classified warrants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of approximately $9.8 million and $6.2 million, respectively. Refer to Note </w:t>
      </w:r>
      <w:r>
        <w:rPr>
          <w:rStyle w:val="Emphasis"/>
          <w:rFonts w:ascii="Times New Roman" w:hAnsi="Times New Roman"/>
          <w:caps w:val="false"/>
          <w:smallCaps w:val="false"/>
          <w:sz w:val="20"/>
        </w:rPr>
        <w:t>13</w:t>
      </w:r>
      <w:r>
        <w:rPr>
          <w:rFonts w:ascii="Times New Roman" w:hAnsi="Times New Roman"/>
          <w:caps w:val="false"/>
          <w:smallCaps w:val="false"/>
          <w:sz w:val="20"/>
        </w:rPr>
        <w:t xml:space="preserve"> for discussion of the fair value measurement of the Company’s warrant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NRX PHARMACEUTICALS,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pPr>
      <w:r>
        <w:rPr>
          <w:rStyle w:val="Emphasis"/>
          <w:rFonts w:ascii="Times New Roman;Times;serif" w:hAnsi="Times New Roman;Times;serif"/>
          <w:b/>
          <w:sz w:val="20"/>
        </w:rPr>
        <w:t>JUNE 30, 2026</w:t>
      </w:r>
      <w:r>
        <w:rPr>
          <w:rFonts w:ascii="Times New Roman;Times;serif" w:hAnsi="Times New Roman;Times;serif"/>
          <w:b/>
          <w:sz w:val="20"/>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(Unaudited) </w:t>
      </w:r>
    </w:p>
    <w:p>
      <w:pPr>
        <w:pStyle w:val="TextBody"/>
        <w:bidi w:val="0"/>
        <w:spacing w:before="0" w:after="283"/>
        <w:jc w:val="left"/>
        <w:rPr/>
      </w:pPr>
      <w:r>
        <w:rPr/>
        <w:t xml:space="preserve">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provides the activity for all warrants for the respective periods.</w:t>
      </w:r>
    </w:p>
    <w:p>
      <w:pPr>
        <w:pStyle w:val="TextBody"/>
        <w:bidi w:val="0"/>
        <w:spacing w:before="0" w:after="0"/>
        <w:ind w:left="0" w:right="0" w:hanging="0"/>
        <w:jc w:val="left"/>
        <w:rPr>
          <w:caps w:val="false"/>
          <w:smallCaps w:val="false"/>
        </w:rPr>
      </w:pPr>
      <w:r>
        <w:rPr>
          <w:caps w:val="false"/>
          <w:smallCaps w:val="false"/>
        </w:rPr>
        <w:t> </w:t>
      </w:r>
    </w:p>
    <w:tbl>
      <w:tblPr>
        <w:tblW w:w="7244" w:type="dxa"/>
        <w:jc w:val="left"/>
        <w:tblInd w:w="0" w:type="dxa"/>
        <w:tblLayout w:type="fixed"/>
        <w:tblCellMar>
          <w:top w:w="0" w:type="dxa"/>
          <w:left w:w="0" w:type="dxa"/>
          <w:bottom w:w="0" w:type="dxa"/>
          <w:right w:w="0" w:type="dxa"/>
        </w:tblCellMar>
      </w:tblPr>
      <w:tblGrid>
        <w:gridCol w:w="3065"/>
        <w:gridCol w:w="60"/>
        <w:gridCol w:w="60"/>
        <w:gridCol w:w="905"/>
        <w:gridCol w:w="80"/>
        <w:gridCol w:w="60"/>
        <w:gridCol w:w="129"/>
        <w:gridCol w:w="821"/>
        <w:gridCol w:w="60"/>
        <w:gridCol w:w="60"/>
        <w:gridCol w:w="167"/>
        <w:gridCol w:w="648"/>
        <w:gridCol w:w="60"/>
        <w:gridCol w:w="60"/>
        <w:gridCol w:w="165"/>
        <w:gridCol w:w="784"/>
        <w:gridCol w:w="60"/>
      </w:tblGrid>
      <w:tr>
        <w:trPr/>
        <w:tc>
          <w:tcPr>
            <w:tcW w:w="3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Aggregate </w:t>
            </w:r>
          </w:p>
        </w:tc>
        <w:tc>
          <w:tcPr>
            <w:tcW w:w="6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rStyle w:val="Emphasis"/>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50"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Intrinsic</w:t>
            </w:r>
          </w:p>
        </w:tc>
        <w:tc>
          <w:tcPr>
            <w:tcW w:w="6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rStyle w:val="Emphasis"/>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50"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Value</w:t>
            </w:r>
          </w:p>
        </w:tc>
        <w:tc>
          <w:tcPr>
            <w:tcW w:w="6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Total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Warrants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Remaining</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Term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Exercise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(in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thousands)</w:t>
            </w:r>
          </w:p>
        </w:tc>
        <w:tc>
          <w:tcPr>
            <w:tcW w:w="60" w:type="dxa"/>
            <w:tcBorders/>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as of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7,173,766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8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6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4,252,758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8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6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784"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(1,870,962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8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6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784"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Expired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(195,852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as of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9,359,710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8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w:t>
            </w:r>
          </w:p>
        </w:tc>
        <w:tc>
          <w:tcPr>
            <w:tcW w:w="6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821"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64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784"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821"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64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784"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Expired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as of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9,359,710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8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w:t>
            </w:r>
          </w:p>
        </w:tc>
        <w:tc>
          <w:tcPr>
            <w:tcW w:w="6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821"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64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784"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(14,375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821"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6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784"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Expired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(358,512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11.50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as of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8,986,823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12,778</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12.</w:t>
      </w:r>
      <w:r>
        <w:rPr>
          <w:rFonts w:ascii="Times New Roman" w:hAnsi="Times New Roman"/>
          <w:b/>
          <w:caps w:val="false"/>
          <w:smallCaps w:val="false"/>
          <w:sz w:val="20"/>
        </w:rPr>
        <w:t xml:space="preserve"> Stock-Based Compensation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Emphasis"/>
          <w:rFonts w:ascii="Times New Roman" w:hAnsi="Times New Roman"/>
          <w:i/>
          <w:caps w:val="false"/>
          <w:smallCaps w:val="false"/>
          <w:sz w:val="20"/>
        </w:rPr>
        <w:t>2016</w:t>
      </w:r>
      <w:r>
        <w:rPr>
          <w:rFonts w:ascii="Times New Roman" w:hAnsi="Times New Roman"/>
          <w:i/>
          <w:caps w:val="false"/>
          <w:smallCaps w:val="false"/>
          <w:sz w:val="20"/>
        </w:rPr>
        <w:t xml:space="preserve"> Omnibus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Prior to the Merger, the Company maintained its </w:t>
      </w:r>
      <w:r>
        <w:rPr>
          <w:rStyle w:val="Emphasis"/>
          <w:rFonts w:ascii="Times New Roman" w:hAnsi="Times New Roman"/>
          <w:caps w:val="false"/>
          <w:smallCaps w:val="false"/>
          <w:sz w:val="20"/>
        </w:rPr>
        <w:t>2016</w:t>
      </w:r>
      <w:r>
        <w:rPr>
          <w:rFonts w:ascii="Times New Roman" w:hAnsi="Times New Roman"/>
          <w:caps w:val="false"/>
          <w:smallCaps w:val="false"/>
          <w:sz w:val="20"/>
        </w:rPr>
        <w:t xml:space="preserve"> Omnibus Incentive Plan (the “</w:t>
      </w:r>
      <w:r>
        <w:rPr>
          <w:rStyle w:val="Emphasis"/>
          <w:rFonts w:ascii="Times New Roman" w:hAnsi="Times New Roman"/>
          <w:i/>
          <w:caps w:val="false"/>
          <w:smallCaps w:val="false"/>
          <w:sz w:val="20"/>
        </w:rPr>
        <w:t>2016</w:t>
      </w:r>
      <w:r>
        <w:rPr>
          <w:rFonts w:ascii="Times New Roman" w:hAnsi="Times New Roman"/>
          <w:i/>
          <w:caps w:val="false"/>
          <w:smallCaps w:val="false"/>
          <w:sz w:val="20"/>
        </w:rPr>
        <w:t xml:space="preserve"> Plan</w:t>
      </w:r>
      <w:r>
        <w:rPr>
          <w:rFonts w:ascii="Times New Roman" w:hAnsi="Times New Roman"/>
          <w:caps w:val="false"/>
          <w:smallCaps w:val="false"/>
          <w:sz w:val="20"/>
        </w:rPr>
        <w:t xml:space="preserve">”), under which NeuroRx granted incentive stock options, restricted stock awards, other stock-based awards, or other cash-based awards to employees, directors, and non-employee consultants. The maximum aggregate shares of Common Stock that were subject to awards and issuable under the </w:t>
      </w:r>
      <w:r>
        <w:rPr>
          <w:rStyle w:val="Emphasis"/>
          <w:rFonts w:ascii="Times New Roman" w:hAnsi="Times New Roman"/>
          <w:caps w:val="false"/>
          <w:smallCaps w:val="false"/>
          <w:sz w:val="20"/>
        </w:rPr>
        <w:t>2016</w:t>
      </w:r>
      <w:r>
        <w:rPr>
          <w:rFonts w:ascii="Times New Roman" w:hAnsi="Times New Roman"/>
          <w:caps w:val="false"/>
          <w:smallCaps w:val="false"/>
          <w:sz w:val="20"/>
        </w:rPr>
        <w:t xml:space="preserve"> Plan was 347,200.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connection with the Merger, each option of NeuroRx that was outstanding and unexercised immediately prior to the Effective Time (whether vested or unvested) was assumed by BRPA and converted into an option to acquire an adjusted number of shares of Common Stock at an adjusted exercise price per share, based on the Exchange Ratio (of 0.316:1).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Upon the closing of the Merger, the outstanding and unexercised NeuroRx stock options became options to purchase an aggregate 289,542 shares of Common Stock at an average exercise price of $51.00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Emphasis"/>
          <w:rFonts w:ascii="Times New Roman" w:hAnsi="Times New Roman"/>
          <w:i/>
          <w:caps w:val="false"/>
          <w:smallCaps w:val="false"/>
          <w:sz w:val="20"/>
        </w:rPr>
        <w:t>2021</w:t>
      </w:r>
      <w:r>
        <w:rPr>
          <w:rFonts w:ascii="Times New Roman" w:hAnsi="Times New Roman"/>
          <w:i/>
          <w:caps w:val="false"/>
          <w:smallCaps w:val="false"/>
          <w:sz w:val="20"/>
        </w:rPr>
        <w:t xml:space="preserve"> Omnibus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Company’s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Omnibus Incentive Plan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Plan”) permits the granting of incentive stock options, restricted stock awards, other stock-based awards or other cash-based awards to employees, directors, and non-employee consultants. On </w:t>
      </w:r>
      <w:r>
        <w:rPr>
          <w:rStyle w:val="Emphasis"/>
          <w:rFonts w:ascii="Times New Roman" w:hAnsi="Times New Roman"/>
          <w:caps w:val="false"/>
          <w:smallCaps w:val="false"/>
          <w:sz w:val="20"/>
        </w:rPr>
        <w:t xml:space="preserve">December 28, 2023, </w:t>
      </w: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amendment to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Plan was executed which increased the maximum number of shares (i) available for issuance under the Plan by an additional 200,000, and (ii)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delivered pursuant to the exercise of Incentive Stock Options granted under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Plan to be equal to </w:t>
      </w:r>
      <w:r>
        <w:rPr>
          <w:rStyle w:val="Emphasis"/>
          <w:rFonts w:ascii="Times New Roman" w:hAnsi="Times New Roman"/>
          <w:caps w:val="false"/>
          <w:smallCaps w:val="false"/>
          <w:sz w:val="20"/>
        </w:rPr>
        <w:t>100%</w:t>
      </w:r>
      <w:r>
        <w:rPr>
          <w:rFonts w:ascii="Times New Roman" w:hAnsi="Times New Roman"/>
          <w:caps w:val="false"/>
          <w:smallCaps w:val="false"/>
          <w:sz w:val="20"/>
        </w:rPr>
        <w:t xml:space="preserve"> of the Share Pool. 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1,308,746 shares of Common Stock are authorized for issuance pursuant to awards under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Plan. As of </w:t>
      </w:r>
      <w:r>
        <w:rPr>
          <w:rStyle w:val="Emphasis"/>
          <w:rFonts w:ascii="Times New Roman" w:hAnsi="Times New Roman"/>
          <w:caps w:val="false"/>
          <w:smallCaps w:val="false"/>
          <w:sz w:val="20"/>
        </w:rPr>
        <w:t xml:space="preserve">January 1, 2026, </w:t>
      </w:r>
      <w:r>
        <w:rPr>
          <w:rFonts w:ascii="Times New Roman" w:hAnsi="Times New Roman"/>
          <w:caps w:val="false"/>
          <w:smallCaps w:val="false"/>
          <w:sz w:val="20"/>
        </w:rPr>
        <w:t xml:space="preserve">417,143 shares were added to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Plan under an evergreen feature that automatically increases the reserve with additional shares of Common Stock for future issuance under the Incentive Plan each calendar year, beginning </w:t>
      </w:r>
      <w:r>
        <w:rPr>
          <w:rStyle w:val="Emphasis"/>
          <w:rFonts w:ascii="Times New Roman" w:hAnsi="Times New Roman"/>
          <w:caps w:val="false"/>
          <w:smallCaps w:val="false"/>
          <w:sz w:val="20"/>
        </w:rPr>
        <w:t xml:space="preserve">January 1, 2022 </w:t>
      </w:r>
      <w:r>
        <w:rPr>
          <w:rFonts w:ascii="Times New Roman" w:hAnsi="Times New Roman"/>
          <w:caps w:val="false"/>
          <w:smallCaps w:val="false"/>
          <w:sz w:val="20"/>
        </w:rPr>
        <w:t xml:space="preserve">and ending on and including </w:t>
      </w:r>
      <w:r>
        <w:rPr>
          <w:rStyle w:val="Emphasis"/>
          <w:rFonts w:ascii="Times New Roman" w:hAnsi="Times New Roman"/>
          <w:caps w:val="false"/>
          <w:smallCaps w:val="false"/>
          <w:sz w:val="20"/>
        </w:rPr>
        <w:t xml:space="preserve">January 1, 2031, </w:t>
      </w:r>
      <w:r>
        <w:rPr>
          <w:rFonts w:ascii="Times New Roman" w:hAnsi="Times New Roman"/>
          <w:caps w:val="false"/>
          <w:smallCaps w:val="false"/>
          <w:sz w:val="20"/>
        </w:rPr>
        <w:t xml:space="preserve">equal to the lesser of (A)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of the shares of Common Stock outstanding on the final day of the immediately preceding calendar year or (B) a smaller number of shares determined by the Board.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 aggregate 1,146,992 shares of Common Stock have been awarded net of forfeitures, and 320,660 shares of Common Stock remain available for issuance under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Option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fair value of each employee and non-employee stock option grant is estimated on the date of grant using the Black-Scholes option-pricing model. The Company is a public company and has limited company-specific historical and implied volatility information. Therefore, it estimates its expected stock volatility based on the limited company-specific historical volatility and implied volatility. The expected term of the Company’s stock options for employees has been determined utilizing the “simplified” method for awards. The risk-free interest rate is determined by reference to the U.S. Treasury yield curve. Expected dividend yield is zero based on the fact that the Company has never paid cash dividends and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 to pay any cash dividends in the foreseeable future. Additionally, certain options granted contain terms that require all unvested options to immediately vest a) upon the approval of an NDA by the FDA for </w:t>
      </w:r>
      <w:r>
        <w:rPr>
          <w:rStyle w:val="Emphasis"/>
          <w:rFonts w:ascii="Times New Roman" w:hAnsi="Times New Roman"/>
          <w:caps w:val="false"/>
          <w:smallCaps w:val="false"/>
          <w:sz w:val="20"/>
        </w:rPr>
        <w:t>NRX</w:t>
        <w:noBreakHyphen/>
        <w:t>101,</w:t>
      </w:r>
      <w:r>
        <w:rPr>
          <w:rFonts w:ascii="Times New Roman" w:hAnsi="Times New Roman"/>
          <w:caps w:val="false"/>
          <w:smallCaps w:val="false"/>
          <w:sz w:val="20"/>
        </w:rPr>
        <w:t xml:space="preserve"> or b) immediately preceding a change in control of the Company, whichever occurs first.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January 1, 2026, </w:t>
      </w:r>
      <w:r>
        <w:rPr>
          <w:rFonts w:ascii="Times New Roman" w:hAnsi="Times New Roman"/>
          <w:caps w:val="false"/>
          <w:smallCaps w:val="false"/>
          <w:sz w:val="20"/>
        </w:rPr>
        <w:t xml:space="preserve">the Company issued 10,135 stock options. These shares have a vesting term of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years, an expiration date of ten years from the grant date and were valued at approximately less than $0.1 million as of the grant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January 27, 2026, </w:t>
      </w:r>
      <w:r>
        <w:rPr>
          <w:rFonts w:ascii="Times New Roman" w:hAnsi="Times New Roman"/>
          <w:caps w:val="false"/>
          <w:smallCaps w:val="false"/>
          <w:sz w:val="20"/>
        </w:rPr>
        <w:t>the Company issued 100,000 stock options. These shares have a vesting term of three years, an expiration date of ten years from the grant date and were valued at approximately less than $0.2 million as of the grant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31, 2026, </w:t>
      </w:r>
      <w:r>
        <w:rPr>
          <w:rFonts w:ascii="Times New Roman" w:hAnsi="Times New Roman"/>
          <w:caps w:val="false"/>
          <w:smallCaps w:val="false"/>
          <w:sz w:val="20"/>
        </w:rPr>
        <w:t>the Company issued 25,000 stock options. These shares have a vesting term of three years, an expiration date of ten years from the grant date and were valued at approximately $0.1 million as of the grant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NRX PHARMACEUTICALS,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pPr>
      <w:r>
        <w:rPr>
          <w:rStyle w:val="Emphasis"/>
          <w:rFonts w:ascii="Times New Roman;Times;serif" w:hAnsi="Times New Roman;Times;serif"/>
          <w:b/>
          <w:sz w:val="20"/>
        </w:rPr>
        <w:t>JUNE 30, 2026</w:t>
      </w:r>
      <w:r>
        <w:rPr>
          <w:rFonts w:ascii="Times New Roman;Times;serif" w:hAnsi="Times New Roman;Times;serif"/>
          <w:b/>
          <w:sz w:val="20"/>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(Unaudited) </w:t>
      </w:r>
    </w:p>
    <w:p>
      <w:pPr>
        <w:pStyle w:val="TextBody"/>
        <w:bidi w:val="0"/>
        <w:spacing w:before="0" w:after="283"/>
        <w:jc w:val="left"/>
        <w:rPr/>
      </w:pPr>
      <w:r>
        <w:rPr/>
        <w:t xml:space="preserve">  </w:t>
      </w:r>
    </w:p>
    <w:p>
      <w:pPr>
        <w:pStyle w:val="TextBody"/>
        <w:bidi w:val="0"/>
        <w:spacing w:before="0" w:after="0"/>
        <w:ind w:left="0" w:right="0" w:firstLine="720"/>
        <w:jc w:val="left"/>
        <w:rPr/>
      </w:pPr>
      <w:r>
        <w:rPr>
          <w:rFonts w:ascii="Times New Roman" w:hAnsi="Times New Roman"/>
          <w:caps w:val="false"/>
          <w:smallCaps w:val="false"/>
          <w:sz w:val="20"/>
        </w:rPr>
        <w:t xml:space="preserve">The stock options granted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were valued utilizing the Black-Scholes options pricing model with the following inputs: $4.42 of stock price, 4.20% risk-free rate, 147.40% volatility, 0% dividend rate, and the expected term of 6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stock options granted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were valued utilizing the Black-Scholes options pricing model with the following inputs: $2.24-4.42 of stock price, 3.92%-4.20% risk-free rate, 147.40%-156.02% volatility, 0% dividend rate, and the expected term of 6 years.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 w:hAnsi="Times New Roman"/>
          <w:caps w:val="false"/>
          <w:smallCaps w:val="false"/>
          <w:sz w:val="20"/>
        </w:rPr>
        <w:t xml:space="preserve">The following table summarizes the Company’s employee and non-employee stock option activity under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Plan for the following periods:</w:t>
      </w:r>
    </w:p>
    <w:p>
      <w:pPr>
        <w:pStyle w:val="TextBody"/>
        <w:bidi w:val="0"/>
        <w:spacing w:before="0" w:after="0"/>
        <w:ind w:left="0" w:right="0" w:hanging="0"/>
        <w:jc w:val="left"/>
        <w:rPr>
          <w:caps w:val="false"/>
          <w:smallCaps w:val="false"/>
        </w:rPr>
      </w:pPr>
      <w:r>
        <w:rPr>
          <w:caps w:val="false"/>
          <w:smallCaps w:val="false"/>
        </w:rPr>
        <w:t> </w:t>
      </w:r>
    </w:p>
    <w:tbl>
      <w:tblPr>
        <w:tblW w:w="8268" w:type="dxa"/>
        <w:jc w:val="left"/>
        <w:tblInd w:w="0" w:type="dxa"/>
        <w:tblLayout w:type="fixed"/>
        <w:tblCellMar>
          <w:top w:w="0" w:type="dxa"/>
          <w:left w:w="0" w:type="dxa"/>
          <w:bottom w:w="0" w:type="dxa"/>
          <w:right w:w="0" w:type="dxa"/>
        </w:tblCellMar>
      </w:tblPr>
      <w:tblGrid>
        <w:gridCol w:w="4145"/>
        <w:gridCol w:w="60"/>
        <w:gridCol w:w="65"/>
        <w:gridCol w:w="824"/>
        <w:gridCol w:w="80"/>
        <w:gridCol w:w="60"/>
        <w:gridCol w:w="167"/>
        <w:gridCol w:w="648"/>
        <w:gridCol w:w="80"/>
        <w:gridCol w:w="60"/>
        <w:gridCol w:w="133"/>
        <w:gridCol w:w="847"/>
        <w:gridCol w:w="60"/>
        <w:gridCol w:w="60"/>
        <w:gridCol w:w="139"/>
        <w:gridCol w:w="780"/>
        <w:gridCol w:w="60"/>
      </w:tblGrid>
      <w:tr>
        <w:trPr/>
        <w:tc>
          <w:tcPr>
            <w:tcW w:w="4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24"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24"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24" w:type="dxa"/>
            <w:tcBorders/>
            <w:vAlign w:val="center"/>
          </w:tcPr>
          <w:p>
            <w:pPr>
              <w:pStyle w:val="TableContents"/>
              <w:bidi w:val="0"/>
              <w:spacing w:before="0" w:after="283"/>
              <w:jc w:val="center"/>
              <w:rPr/>
            </w:pPr>
            <w:r>
              <w:rPr>
                <w:rStyle w:val="Emphasis"/>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0"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remaining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19"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Aggregate</w:t>
            </w:r>
          </w:p>
        </w:tc>
        <w:tc>
          <w:tcPr>
            <w:tcW w:w="60"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24" w:type="dxa"/>
            <w:tcBorders/>
            <w:vAlign w:val="center"/>
          </w:tcPr>
          <w:p>
            <w:pPr>
              <w:pStyle w:val="TableContents"/>
              <w:bidi w:val="0"/>
              <w:spacing w:before="0" w:after="283"/>
              <w:jc w:val="center"/>
              <w:rPr/>
            </w:pPr>
            <w:r>
              <w:rPr>
                <w:rStyle w:val="Emphasis"/>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average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0"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contractual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19"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intrinsic</w:t>
            </w:r>
          </w:p>
        </w:tc>
        <w:tc>
          <w:tcPr>
            <w:tcW w:w="60"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Number of</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exercise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0"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life (in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19"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value (in</w:t>
            </w:r>
          </w:p>
        </w:tc>
        <w:tc>
          <w:tcPr>
            <w:tcW w:w="60"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price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thousands)</w:t>
            </w:r>
          </w:p>
        </w:tc>
        <w:tc>
          <w:tcPr>
            <w:tcW w:w="60" w:type="dxa"/>
            <w:tcBorders/>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as of December 31, 2024</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8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121,833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6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8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 granted</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8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591,865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6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8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Forfeited/Expired</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(126,343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as of December 31, 2025</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8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587,355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8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w:t>
            </w:r>
          </w:p>
        </w:tc>
        <w:tc>
          <w:tcPr>
            <w:tcW w:w="60" w:type="dxa"/>
            <w:tcBorders/>
            <w:shd w:fill="FFFFFF" w:val="clear"/>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 granted</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8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110,135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6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8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Forfeited/Expired</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as of March 31, 2026</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8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687,490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8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w:t>
            </w:r>
          </w:p>
        </w:tc>
        <w:tc>
          <w:tcPr>
            <w:tcW w:w="60" w:type="dxa"/>
            <w:tcBorders/>
            <w:shd w:fill="CCEEFF"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 granted</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8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6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847"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Forfeited/Expired</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(38,652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as of June 30, 2026</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673,838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1,094</w:t>
            </w:r>
          </w:p>
        </w:tc>
        <w:tc>
          <w:tcPr>
            <w:tcW w:w="60" w:type="dxa"/>
            <w:tcBorders/>
            <w:shd w:fill="FFFFFF" w:val="clear"/>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 vested and exercisable as of June 30, 2026</w:t>
            </w:r>
          </w:p>
        </w:tc>
        <w:tc>
          <w:tcPr>
            <w:tcW w:w="60" w:type="dxa"/>
            <w:tcBorders/>
            <w:shd w:fill="CCEEFF" w:val="clear"/>
            <w:vAlign w:val="center"/>
          </w:tcPr>
          <w:p>
            <w:pPr>
              <w:pStyle w:val="TableContents"/>
              <w:bidi w:val="0"/>
              <w:spacing w:before="0" w:after="283"/>
              <w:jc w:val="left"/>
              <w:rPr/>
            </w:pPr>
            <w:r>
              <w:rPr/>
              <w:t> </w:t>
            </w:r>
          </w:p>
        </w:tc>
        <w:tc>
          <w:tcPr>
            <w:tcW w:w="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298,338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385,783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Stock-based compensation expense related to stock options was $0.1 million and less than $0.1 million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respectively. Stock-based compensation expense related to stock options was $0.3 million and less than $0.1 million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At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the total unrecognized compensation related to unvested employee and non-employee stock option awards granted was $0.6 million, which the Company expects to recognize over a weighted-average period of approximately 1.77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Restricted Stock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presents the Company’s Restricted Stock Activity:</w:t>
      </w:r>
    </w:p>
    <w:p>
      <w:pPr>
        <w:pStyle w:val="TextBody"/>
        <w:bidi w:val="0"/>
        <w:spacing w:before="0" w:after="0"/>
        <w:ind w:left="0" w:right="0" w:hanging="0"/>
        <w:jc w:val="left"/>
        <w:rPr>
          <w:caps w:val="false"/>
          <w:smallCaps w:val="false"/>
        </w:rPr>
      </w:pPr>
      <w:r>
        <w:rPr>
          <w:caps w:val="false"/>
          <w:smallCaps w:val="false"/>
        </w:rPr>
        <w:t> </w:t>
      </w:r>
    </w:p>
    <w:tbl>
      <w:tblPr>
        <w:tblW w:w="5904" w:type="dxa"/>
        <w:jc w:val="left"/>
        <w:tblInd w:w="0" w:type="dxa"/>
        <w:tblLayout w:type="fixed"/>
        <w:tblCellMar>
          <w:top w:w="0" w:type="dxa"/>
          <w:left w:w="0" w:type="dxa"/>
          <w:bottom w:w="0" w:type="dxa"/>
          <w:right w:w="0" w:type="dxa"/>
        </w:tblCellMar>
      </w:tblPr>
      <w:tblGrid>
        <w:gridCol w:w="3620"/>
        <w:gridCol w:w="60"/>
        <w:gridCol w:w="60"/>
        <w:gridCol w:w="650"/>
        <w:gridCol w:w="80"/>
        <w:gridCol w:w="60"/>
        <w:gridCol w:w="285"/>
        <w:gridCol w:w="1009"/>
        <w:gridCol w:w="80"/>
      </w:tblGrid>
      <w:tr>
        <w:trPr/>
        <w:tc>
          <w:tcPr>
            <w:tcW w:w="3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w:t>
            </w:r>
          </w:p>
        </w:tc>
        <w:tc>
          <w:tcPr>
            <w:tcW w:w="80"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 Grant</w:t>
            </w:r>
          </w:p>
        </w:tc>
        <w:tc>
          <w:tcPr>
            <w:tcW w:w="80"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Date Fair</w:t>
            </w:r>
          </w:p>
        </w:tc>
        <w:tc>
          <w:tcPr>
            <w:tcW w:w="80"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Awards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Value</w:t>
            </w:r>
          </w:p>
        </w:tc>
        <w:tc>
          <w:tcPr>
            <w:tcW w:w="80"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December 31, 2024 (unvested)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ind w:left="0" w:right="0" w:hanging="0"/>
              <w:jc w:val="left"/>
              <w:rPr/>
            </w:pPr>
            <w:r>
              <w:rPr/>
              <w:t> </w:t>
            </w:r>
          </w:p>
        </w:tc>
        <w:tc>
          <w:tcPr>
            <w:tcW w:w="100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w:t>
            </w:r>
          </w:p>
        </w:tc>
        <w:tc>
          <w:tcPr>
            <w:tcW w:w="8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December 31, 2025 (unvested)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w:t>
            </w:r>
          </w:p>
        </w:tc>
        <w:tc>
          <w:tcPr>
            <w:tcW w:w="8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w:t>
            </w:r>
          </w:p>
        </w:tc>
        <w:tc>
          <w:tcPr>
            <w:tcW w:w="8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w:t>
            </w:r>
          </w:p>
        </w:tc>
        <w:tc>
          <w:tcPr>
            <w:tcW w:w="8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October 22, 2025, </w:t>
      </w:r>
      <w:r>
        <w:rPr>
          <w:rFonts w:ascii="Times New Roman" w:hAnsi="Times New Roman"/>
          <w:caps w:val="false"/>
          <w:smallCaps w:val="false"/>
          <w:sz w:val="20"/>
        </w:rPr>
        <w:t xml:space="preserve">the Company granted 32,895 restricted shares of Company’s common stock of to an employee in accordance with Medical Director Agreement. The shares were valued at approximately $0.1 million based on the closing price of NRx Common Stock on </w:t>
      </w:r>
      <w:r>
        <w:rPr>
          <w:rStyle w:val="Emphasis"/>
          <w:rFonts w:ascii="Times New Roman" w:hAnsi="Times New Roman"/>
          <w:caps w:val="false"/>
          <w:smallCaps w:val="false"/>
          <w:sz w:val="20"/>
        </w:rPr>
        <w:t xml:space="preserve">October 16, 2025 </w:t>
      </w:r>
      <w:r>
        <w:rPr>
          <w:rFonts w:ascii="Times New Roman" w:hAnsi="Times New Roman"/>
          <w:caps w:val="false"/>
          <w:smallCaps w:val="false"/>
          <w:sz w:val="20"/>
        </w:rPr>
        <w:t xml:space="preserve">of $3.04 per share. The Restricted Stock vests in equal tranches over a </w:t>
      </w:r>
      <w:r>
        <w:rPr>
          <w:rStyle w:val="Emphasis"/>
          <w:rFonts w:ascii="Times New Roman" w:hAnsi="Times New Roman"/>
          <w:caps w:val="false"/>
          <w:smallCaps w:val="false"/>
          <w:sz w:val="20"/>
        </w:rPr>
        <w:t>three</w:t>
      </w:r>
      <w:r>
        <w:rPr>
          <w:rFonts w:ascii="Times New Roman" w:hAnsi="Times New Roman"/>
          <w:caps w:val="false"/>
          <w:smallCaps w:val="false"/>
          <w:sz w:val="20"/>
        </w:rPr>
        <w:t>-year period, with each tranche vesting on the day prior to each anniversary of the effective date. The related stock-based compensation expense is being recognized over the vesting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31, 2026, </w:t>
      </w:r>
      <w:r>
        <w:rPr>
          <w:rFonts w:ascii="Times New Roman" w:hAnsi="Times New Roman"/>
          <w:caps w:val="false"/>
          <w:smallCaps w:val="false"/>
          <w:sz w:val="20"/>
        </w:rPr>
        <w:t xml:space="preserve">the Company granted 10,000 shares of restricted common stock under the Company's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Omnibus Incentive Plan to an employee pursuant to the terms of an employment agreement. The shares were valued at approximately less than $0.1 million based on the closing price of NRx Common Stock on </w:t>
      </w:r>
      <w:r>
        <w:rPr>
          <w:rStyle w:val="Emphasis"/>
          <w:rFonts w:ascii="Times New Roman" w:hAnsi="Times New Roman"/>
          <w:caps w:val="false"/>
          <w:smallCaps w:val="false"/>
          <w:sz w:val="20"/>
        </w:rPr>
        <w:t xml:space="preserve">May 31, 2026 </w:t>
      </w:r>
      <w:r>
        <w:rPr>
          <w:rFonts w:ascii="Times New Roman" w:hAnsi="Times New Roman"/>
          <w:caps w:val="false"/>
          <w:smallCaps w:val="false"/>
          <w:sz w:val="20"/>
        </w:rPr>
        <w:t>of $4.42 per share. The shares vested immediately upon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NRX PHARMACEUTICALS,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pPr>
      <w:r>
        <w:rPr>
          <w:rStyle w:val="Emphasis"/>
          <w:rFonts w:ascii="Times New Roman;Times;serif" w:hAnsi="Times New Roman;Times;serif"/>
          <w:b/>
          <w:sz w:val="20"/>
        </w:rPr>
        <w:t>JUNE 30, 2026</w:t>
      </w:r>
      <w:r>
        <w:rPr>
          <w:rFonts w:ascii="Times New Roman;Times;serif" w:hAnsi="Times New Roman;Times;serif"/>
          <w:b/>
          <w:sz w:val="20"/>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(Unaudited)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Stock-based compensation expense related to RSAs was less than $0.1 million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summarizes the Company’s recognition of stock-based compensation for the following periods (in thousands):</w:t>
      </w:r>
    </w:p>
    <w:p>
      <w:pPr>
        <w:pStyle w:val="TextBody"/>
        <w:bidi w:val="0"/>
        <w:spacing w:before="0" w:after="0"/>
        <w:ind w:left="0" w:right="0" w:hanging="0"/>
        <w:jc w:val="left"/>
        <w:rPr>
          <w:caps w:val="false"/>
          <w:smallCaps w:val="false"/>
        </w:rPr>
      </w:pPr>
      <w:r>
        <w:rPr>
          <w:caps w:val="false"/>
          <w:smallCaps w:val="false"/>
        </w:rPr>
        <w:t> </w:t>
      </w:r>
    </w:p>
    <w:tbl>
      <w:tblPr>
        <w:tblW w:w="6805" w:type="dxa"/>
        <w:jc w:val="left"/>
        <w:tblInd w:w="0" w:type="dxa"/>
        <w:tblLayout w:type="fixed"/>
        <w:tblCellMar>
          <w:top w:w="0" w:type="dxa"/>
          <w:left w:w="0" w:type="dxa"/>
          <w:bottom w:w="0" w:type="dxa"/>
          <w:right w:w="0" w:type="dxa"/>
        </w:tblCellMar>
      </w:tblPr>
      <w:tblGrid>
        <w:gridCol w:w="3350"/>
        <w:gridCol w:w="60"/>
        <w:gridCol w:w="231"/>
        <w:gridCol w:w="619"/>
        <w:gridCol w:w="111"/>
        <w:gridCol w:w="111"/>
        <w:gridCol w:w="231"/>
        <w:gridCol w:w="425"/>
        <w:gridCol w:w="60"/>
        <w:gridCol w:w="60"/>
        <w:gridCol w:w="199"/>
        <w:gridCol w:w="533"/>
        <w:gridCol w:w="95"/>
        <w:gridCol w:w="95"/>
        <w:gridCol w:w="199"/>
        <w:gridCol w:w="366"/>
        <w:gridCol w:w="60"/>
      </w:tblGrid>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28"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87"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tc>
        <w:tc>
          <w:tcPr>
            <w:tcW w:w="60"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2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8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60"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11"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ind w:left="0" w:right="0" w:hanging="0"/>
              <w:jc w:val="left"/>
              <w:rPr/>
            </w:pPr>
            <w:r>
              <w:rPr/>
              <w:t> </w:t>
            </w:r>
          </w:p>
        </w:tc>
        <w:tc>
          <w:tcPr>
            <w:tcW w:w="6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ind w:left="0" w:right="0" w:hanging="0"/>
              <w:jc w:val="left"/>
              <w:rPr/>
            </w:pPr>
            <w:r>
              <w:rPr/>
              <w:t> </w:t>
            </w:r>
          </w:p>
        </w:tc>
        <w:tc>
          <w:tcPr>
            <w:tcW w:w="5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533"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FFFFFF" w:val="clear"/>
            <w:vAlign w:val="center"/>
          </w:tcPr>
          <w:p>
            <w:pPr>
              <w:pStyle w:val="TableContents"/>
              <w:bidi w:val="0"/>
              <w:spacing w:before="0" w:after="283"/>
              <w:ind w:left="0" w:right="0" w:hanging="0"/>
              <w:jc w:val="left"/>
              <w:rPr/>
            </w:pPr>
            <w:r>
              <w:rPr/>
              <w:t> </w:t>
            </w:r>
          </w:p>
        </w:tc>
        <w:tc>
          <w:tcPr>
            <w:tcW w:w="23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w:t>
            </w:r>
          </w:p>
        </w:tc>
        <w:tc>
          <w:tcPr>
            <w:tcW w:w="11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23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9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6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stock-based compensation expense</w:t>
            </w:r>
          </w:p>
        </w:tc>
        <w:tc>
          <w:tcPr>
            <w:tcW w:w="60" w:type="dxa"/>
            <w:tcBorders/>
            <w:shd w:fill="FFFFFF" w:val="clear"/>
            <w:vAlign w:val="center"/>
          </w:tcPr>
          <w:p>
            <w:pPr>
              <w:pStyle w:val="TableContents"/>
              <w:bidi w:val="0"/>
              <w:spacing w:before="0" w:after="283"/>
              <w:ind w:left="0" w:right="0" w:hanging="0"/>
              <w:jc w:val="left"/>
              <w:rPr/>
            </w:pPr>
            <w:r>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w:t>
            </w:r>
          </w:p>
        </w:tc>
        <w:tc>
          <w:tcPr>
            <w:tcW w:w="11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2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3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6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13.</w:t>
      </w:r>
      <w:r>
        <w:rPr>
          <w:rFonts w:ascii="Times New Roman" w:hAnsi="Times New Roman"/>
          <w:b/>
          <w:caps w:val="false"/>
          <w:smallCaps w:val="false"/>
          <w:sz w:val="20"/>
        </w:rPr>
        <w:t xml:space="preserve"> 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Fair value measurements discussed herein are based upon certain market assumptions and pertinent information available to management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carrying amount of accounts payable approximated fair value as they are short term in nature. The fair value of stock options and warrants issued for services, and warrants issued with the Convertible Notes are estimated based on the Black-Scholes model. The fair value of the convertible notes payable was estimated utilizing a Monte Carlo simulation.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Fair Value on a Recurring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follows the guidance in ASC </w:t>
      </w:r>
      <w:r>
        <w:rPr>
          <w:rStyle w:val="Emphasis"/>
          <w:rFonts w:ascii="Times New Roman" w:hAnsi="Times New Roman"/>
          <w:caps w:val="false"/>
          <w:smallCaps w:val="false"/>
          <w:sz w:val="20"/>
        </w:rPr>
        <w:t>820</w:t>
      </w:r>
      <w:r>
        <w:rPr>
          <w:rFonts w:ascii="Times New Roman" w:hAnsi="Times New Roman"/>
          <w:caps w:val="false"/>
          <w:smallCaps w:val="false"/>
          <w:sz w:val="20"/>
        </w:rPr>
        <w:t xml:space="preserve"> for its financial assets and liabilities that are re-measured and reported at fair value at each reporting period, and non-financial assets and liabilities that are re-measured and reported at fair value at least annually. The estimated fair value of the money market account represents a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measurement. The estimated fair value of the warrant liabilities and convertible note payable represent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measurements. The following table presents information about the Company’s assets and liabilities that are measured at fair value on a recurring basis at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and indicates the fair value hierarchy of the valuation inputs the Company utilized to determine such fair value (in thousands):</w:t>
      </w:r>
    </w:p>
    <w:p>
      <w:pPr>
        <w:pStyle w:val="TextBody"/>
        <w:bidi w:val="0"/>
        <w:spacing w:before="0" w:after="0"/>
        <w:ind w:left="0" w:right="0" w:hanging="0"/>
        <w:jc w:val="left"/>
        <w:rPr>
          <w:caps w:val="false"/>
          <w:smallCaps w:val="false"/>
        </w:rPr>
      </w:pPr>
      <w:r>
        <w:rPr>
          <w:caps w:val="false"/>
          <w:smallCaps w:val="false"/>
        </w:rPr>
        <w:t> </w:t>
      </w:r>
    </w:p>
    <w:tbl>
      <w:tblPr>
        <w:tblW w:w="5058" w:type="dxa"/>
        <w:jc w:val="left"/>
        <w:tblInd w:w="0" w:type="dxa"/>
        <w:tblLayout w:type="fixed"/>
        <w:tblCellMar>
          <w:top w:w="0" w:type="dxa"/>
          <w:left w:w="0" w:type="dxa"/>
          <w:bottom w:w="28" w:type="dxa"/>
          <w:right w:w="0" w:type="dxa"/>
        </w:tblCellMar>
      </w:tblPr>
      <w:tblGrid>
        <w:gridCol w:w="2300"/>
        <w:gridCol w:w="60"/>
        <w:gridCol w:w="162"/>
        <w:gridCol w:w="338"/>
        <w:gridCol w:w="60"/>
        <w:gridCol w:w="60"/>
        <w:gridCol w:w="126"/>
        <w:gridCol w:w="598"/>
        <w:gridCol w:w="60"/>
        <w:gridCol w:w="60"/>
        <w:gridCol w:w="204"/>
        <w:gridCol w:w="970"/>
        <w:gridCol w:w="60"/>
      </w:tblGrid>
      <w:tr>
        <w:trPr/>
        <w:tc>
          <w:tcPr>
            <w:tcW w:w="230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Description</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tcMar>
              <w:bottom w:w="0" w:type="dxa"/>
            </w:tcMar>
            <w:vAlign w:val="center"/>
          </w:tcPr>
          <w:p>
            <w:pPr>
              <w:pStyle w:val="TableContents"/>
              <w:bidi w:val="0"/>
              <w:spacing w:before="0" w:after="283"/>
              <w:jc w:val="left"/>
              <w:rPr/>
            </w:pPr>
            <w:r>
              <w:rPr/>
              <w:t> </w:t>
            </w:r>
          </w:p>
        </w:tc>
      </w:tr>
      <w:tr>
        <w:trPr/>
        <w:tc>
          <w:tcPr>
            <w:tcW w:w="23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2" w:type="dxa"/>
            <w:tcBorders/>
            <w:tcMar>
              <w:bottom w:w="0" w:type="dxa"/>
            </w:tcMar>
            <w:vAlign w:val="center"/>
          </w:tcPr>
          <w:p>
            <w:pPr>
              <w:pStyle w:val="TableContents"/>
              <w:bidi w:val="0"/>
              <w:spacing w:before="0" w:after="283"/>
              <w:jc w:val="left"/>
              <w:rPr/>
            </w:pPr>
            <w:r>
              <w:rPr/>
              <w:t> </w:t>
            </w:r>
          </w:p>
        </w:tc>
        <w:tc>
          <w:tcPr>
            <w:tcW w:w="33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6" w:type="dxa"/>
            <w:tcBorders/>
            <w:tcMar>
              <w:bottom w:w="0" w:type="dxa"/>
            </w:tcMar>
            <w:vAlign w:val="center"/>
          </w:tcPr>
          <w:p>
            <w:pPr>
              <w:pStyle w:val="TableContents"/>
              <w:bidi w:val="0"/>
              <w:spacing w:before="0" w:after="283"/>
              <w:jc w:val="left"/>
              <w:rPr/>
            </w:pPr>
            <w:r>
              <w:rPr/>
              <w:t> </w:t>
            </w:r>
          </w:p>
        </w:tc>
        <w:tc>
          <w:tcPr>
            <w:tcW w:w="59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4" w:type="dxa"/>
            <w:tcBorders/>
            <w:tcMar>
              <w:bottom w:w="0" w:type="dxa"/>
            </w:tcMar>
            <w:vAlign w:val="center"/>
          </w:tcPr>
          <w:p>
            <w:pPr>
              <w:pStyle w:val="TableContents"/>
              <w:bidi w:val="0"/>
              <w:spacing w:before="0" w:after="283"/>
              <w:jc w:val="left"/>
              <w:rPr/>
            </w:pPr>
            <w:r>
              <w:rPr/>
              <w:t> </w:t>
            </w:r>
          </w:p>
        </w:tc>
        <w:tc>
          <w:tcPr>
            <w:tcW w:w="9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230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33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59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 w:type="dxa"/>
            <w:tcBorders/>
            <w:shd w:fill="CCEEFF" w:val="clear"/>
            <w:tcMar>
              <w:bottom w:w="0" w:type="dxa"/>
            </w:tcMar>
            <w:vAlign w:val="center"/>
          </w:tcPr>
          <w:p>
            <w:pPr>
              <w:pStyle w:val="TableContents"/>
              <w:bidi w:val="0"/>
              <w:spacing w:before="0" w:after="283"/>
              <w:jc w:val="left"/>
              <w:rPr/>
            </w:pPr>
            <w:r>
              <w:rPr/>
              <w:t> </w:t>
            </w:r>
          </w:p>
        </w:tc>
        <w:tc>
          <w:tcPr>
            <w:tcW w:w="97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300"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Money Market Account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ind w:left="0" w:right="0" w:hanging="0"/>
              <w:jc w:val="left"/>
              <w:rPr/>
            </w:pPr>
            <w:r>
              <w:rPr/>
              <w:t> </w:t>
            </w:r>
          </w:p>
        </w:tc>
        <w:tc>
          <w:tcPr>
            <w:tcW w:w="338" w:type="dxa"/>
            <w:tcBorders/>
            <w:shd w:fill="FFFFFF" w:val="clear"/>
            <w:tcMar>
              <w:bottom w:w="0" w:type="dxa"/>
            </w:tcMar>
            <w:vAlign w:val="center"/>
          </w:tcPr>
          <w:p>
            <w:pPr>
              <w:pStyle w:val="TableContents"/>
              <w:bidi w:val="0"/>
              <w:spacing w:before="0" w:after="283"/>
              <w:ind w:left="0" w:right="0" w:hanging="0"/>
              <w:jc w:val="center"/>
              <w:rPr/>
            </w:pPr>
            <w:r>
              <w:rPr>
                <w:rStyle w:val="Emphasis"/>
                <w:rFonts w:ascii="Times New Roman;Times;serif" w:hAnsi="Times New Roman;Times;serif"/>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6"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04"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3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338"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59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 w:type="dxa"/>
            <w:tcBorders/>
            <w:shd w:fill="CCEEFF" w:val="clear"/>
            <w:tcMar>
              <w:bottom w:w="0" w:type="dxa"/>
            </w:tcMar>
            <w:vAlign w:val="center"/>
          </w:tcPr>
          <w:p>
            <w:pPr>
              <w:pStyle w:val="TableContents"/>
              <w:bidi w:val="0"/>
              <w:spacing w:before="0" w:after="283"/>
              <w:jc w:val="left"/>
              <w:rPr/>
            </w:pPr>
            <w:r>
              <w:rPr/>
              <w:t> </w:t>
            </w:r>
          </w:p>
        </w:tc>
        <w:tc>
          <w:tcPr>
            <w:tcW w:w="97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30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 </w:t>
            </w:r>
          </w:p>
        </w:tc>
        <w:tc>
          <w:tcPr>
            <w:tcW w:w="33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59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4" w:type="dxa"/>
            <w:tcBorders/>
            <w:shd w:fill="FFFFFF" w:val="clear"/>
            <w:tcMar>
              <w:bottom w:w="0" w:type="dxa"/>
            </w:tcMar>
            <w:vAlign w:val="center"/>
          </w:tcPr>
          <w:p>
            <w:pPr>
              <w:pStyle w:val="TableContents"/>
              <w:bidi w:val="0"/>
              <w:spacing w:before="0" w:after="283"/>
              <w:jc w:val="left"/>
              <w:rPr/>
            </w:pPr>
            <w:r>
              <w:rPr/>
              <w:t> </w:t>
            </w:r>
          </w:p>
        </w:tc>
        <w:tc>
          <w:tcPr>
            <w:tcW w:w="9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300"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 liabilities (Note 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ind w:left="0" w:right="0" w:hanging="0"/>
              <w:jc w:val="left"/>
              <w:rPr/>
            </w:pPr>
            <w:r>
              <w:rPr/>
              <w:t> </w:t>
            </w:r>
          </w:p>
        </w:tc>
        <w:tc>
          <w:tcPr>
            <w:tcW w:w="338" w:type="dxa"/>
            <w:tcBorders/>
            <w:shd w:fill="CCEEFF" w:val="clear"/>
            <w:tcMar>
              <w:bottom w:w="0" w:type="dxa"/>
            </w:tcMar>
            <w:vAlign w:val="center"/>
          </w:tcPr>
          <w:p>
            <w:pPr>
              <w:pStyle w:val="TableContents"/>
              <w:bidi w:val="0"/>
              <w:spacing w:before="0" w:after="283"/>
              <w:ind w:left="0" w:right="0" w:hanging="0"/>
              <w:jc w:val="center"/>
              <w:rPr/>
            </w:pPr>
            <w:r>
              <w:rPr>
                <w:rStyle w:val="Emphasis"/>
                <w:rFonts w:ascii="Times New Roman;Times;serif" w:hAnsi="Times New Roman;Times;serif"/>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6"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04"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12,304</w:t>
            </w:r>
          </w:p>
        </w:tc>
        <w:tc>
          <w:tcPr>
            <w:tcW w:w="6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NRX PHARMACEUTICALS,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pPr>
      <w:r>
        <w:rPr>
          <w:rStyle w:val="Emphasis"/>
          <w:rFonts w:ascii="Times New Roman;Times;serif" w:hAnsi="Times New Roman;Times;serif"/>
          <w:b/>
          <w:sz w:val="20"/>
        </w:rPr>
        <w:t>JUNE 30, 2026</w:t>
      </w:r>
      <w:r>
        <w:rPr>
          <w:rFonts w:ascii="Times New Roman;Times;serif" w:hAnsi="Times New Roman;Times;serif"/>
          <w:b/>
          <w:sz w:val="20"/>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(Unaudited)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Convertible Note Payable - Anson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significant inputs used in the Monte Carlo simulation to measure the Anson Convertible Notes that are categorized within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of the fair value hierarchy are as follows:</w:t>
      </w:r>
    </w:p>
    <w:p>
      <w:pPr>
        <w:pStyle w:val="TextBody"/>
        <w:bidi w:val="0"/>
        <w:spacing w:before="0" w:after="0"/>
        <w:ind w:left="0" w:right="0" w:hanging="0"/>
        <w:jc w:val="left"/>
        <w:rPr>
          <w:caps w:val="false"/>
          <w:smallCaps w:val="false"/>
        </w:rPr>
      </w:pPr>
      <w:r>
        <w:rPr>
          <w:caps w:val="false"/>
          <w:smallCaps w:val="false"/>
        </w:rPr>
        <w:t> </w:t>
      </w:r>
    </w:p>
    <w:tbl>
      <w:tblPr>
        <w:tblW w:w="4475" w:type="dxa"/>
        <w:jc w:val="left"/>
        <w:tblInd w:w="0" w:type="dxa"/>
        <w:tblLayout w:type="fixed"/>
        <w:tblCellMar>
          <w:top w:w="0" w:type="dxa"/>
          <w:left w:w="0" w:type="dxa"/>
          <w:bottom w:w="0" w:type="dxa"/>
          <w:right w:w="0" w:type="dxa"/>
        </w:tblCellMar>
      </w:tblPr>
      <w:tblGrid>
        <w:gridCol w:w="2405"/>
        <w:gridCol w:w="60"/>
        <w:gridCol w:w="650"/>
        <w:gridCol w:w="650"/>
        <w:gridCol w:w="650"/>
        <w:gridCol w:w="60"/>
      </w:tblGrid>
      <w:tr>
        <w:trPr/>
        <w:tc>
          <w:tcPr>
            <w:tcW w:w="2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50" w:type="dxa"/>
            <w:gridSpan w:val="3"/>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60" w:type="dxa"/>
            <w:tcBorders/>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5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r>
      <w:tr>
        <w:trPr/>
        <w:tc>
          <w:tcPr>
            <w:tcW w:w="24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price on valuation date</w:t>
            </w:r>
          </w:p>
        </w:tc>
        <w:tc>
          <w:tcPr>
            <w:tcW w:w="60"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jc w:val="right"/>
              <w:rPr/>
            </w:pPr>
            <w:r>
              <w:rPr>
                <w:rStyle w:val="Emphasis"/>
              </w:rPr>
              <w:t> </w:t>
            </w:r>
          </w:p>
        </w:tc>
        <w:tc>
          <w:tcPr>
            <w:tcW w:w="65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$3.26</w:t>
            </w:r>
          </w:p>
        </w:tc>
        <w:tc>
          <w:tcPr>
            <w:tcW w:w="650" w:type="dxa"/>
            <w:tcBorders/>
            <w:shd w:fill="CCEEFF" w:val="clear"/>
            <w:vAlign w:val="center"/>
          </w:tcPr>
          <w:p>
            <w:pPr>
              <w:pStyle w:val="TableContents"/>
              <w:bidi w:val="0"/>
              <w:spacing w:before="0" w:after="283"/>
              <w:jc w:val="center"/>
              <w:rPr/>
            </w:pPr>
            <w:r>
              <w:rPr>
                <w:rStyle w:val="Emphasis"/>
              </w:rPr>
              <w:t> </w:t>
            </w:r>
          </w:p>
        </w:tc>
        <w:tc>
          <w:tcPr>
            <w:tcW w:w="60" w:type="dxa"/>
            <w:tcBorders/>
            <w:shd w:fill="CCEEFF" w:val="clear"/>
            <w:vAlign w:val="center"/>
          </w:tcPr>
          <w:p>
            <w:pPr>
              <w:pStyle w:val="TableContents"/>
              <w:bidi w:val="0"/>
              <w:spacing w:before="0" w:after="283"/>
              <w:jc w:val="left"/>
              <w:rPr/>
            </w:pPr>
            <w:r>
              <w:rPr/>
              <w:t> </w:t>
            </w:r>
          </w:p>
        </w:tc>
      </w:tr>
      <w:tr>
        <w:trPr/>
        <w:tc>
          <w:tcPr>
            <w:tcW w:w="24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Time to expiration</w:t>
            </w:r>
          </w:p>
        </w:tc>
        <w:tc>
          <w:tcPr>
            <w:tcW w:w="60"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0.54</w:t>
            </w:r>
          </w:p>
        </w:tc>
        <w:tc>
          <w:tcPr>
            <w:tcW w:w="650" w:type="dxa"/>
            <w:tcBorders/>
            <w:shd w:fill="FFFFFF" w:val="clear"/>
            <w:vAlign w:val="center"/>
          </w:tcPr>
          <w:p>
            <w:pPr>
              <w:pStyle w:val="TableContents"/>
              <w:bidi w:val="0"/>
              <w:spacing w:before="0" w:after="283"/>
              <w:ind w:left="0" w:right="0" w:hanging="0"/>
              <w:jc w:val="center"/>
              <w:rPr/>
            </w:pPr>
            <w:r>
              <w:rPr>
                <w:rStyle w:val="Emphasis"/>
              </w:rPr>
              <w:t>–</w:t>
            </w:r>
          </w:p>
        </w:tc>
        <w:tc>
          <w:tcPr>
            <w:tcW w:w="65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0.83</w:t>
            </w:r>
          </w:p>
        </w:tc>
        <w:tc>
          <w:tcPr>
            <w:tcW w:w="60" w:type="dxa"/>
            <w:tcBorders/>
            <w:shd w:fill="FFFFFF" w:val="clear"/>
            <w:vAlign w:val="center"/>
          </w:tcPr>
          <w:p>
            <w:pPr>
              <w:pStyle w:val="TableContents"/>
              <w:bidi w:val="0"/>
              <w:spacing w:before="0" w:after="283"/>
              <w:jc w:val="left"/>
              <w:rPr/>
            </w:pPr>
            <w:r>
              <w:rPr/>
              <w:t> </w:t>
            </w:r>
          </w:p>
        </w:tc>
      </w:tr>
      <w:tr>
        <w:trPr/>
        <w:tc>
          <w:tcPr>
            <w:tcW w:w="24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Notes market interest rate</w:t>
            </w:r>
          </w:p>
        </w:tc>
        <w:tc>
          <w:tcPr>
            <w:tcW w:w="60"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jc w:val="right"/>
              <w:rPr/>
            </w:pPr>
            <w:r>
              <w:rPr>
                <w:rStyle w:val="Emphasis"/>
              </w:rPr>
              <w:t> </w:t>
            </w:r>
          </w:p>
        </w:tc>
        <w:tc>
          <w:tcPr>
            <w:tcW w:w="65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12.66%</w:t>
            </w:r>
          </w:p>
        </w:tc>
        <w:tc>
          <w:tcPr>
            <w:tcW w:w="650" w:type="dxa"/>
            <w:tcBorders/>
            <w:shd w:fill="CCEEFF" w:val="clear"/>
            <w:vAlign w:val="center"/>
          </w:tcPr>
          <w:p>
            <w:pPr>
              <w:pStyle w:val="TableContents"/>
              <w:bidi w:val="0"/>
              <w:spacing w:before="0" w:after="283"/>
              <w:jc w:val="center"/>
              <w:rPr/>
            </w:pPr>
            <w:r>
              <w:rPr>
                <w:rStyle w:val="Emphasis"/>
              </w:rPr>
              <w:t> </w:t>
            </w:r>
          </w:p>
        </w:tc>
        <w:tc>
          <w:tcPr>
            <w:tcW w:w="60" w:type="dxa"/>
            <w:tcBorders/>
            <w:shd w:fill="CCEEFF" w:val="clear"/>
            <w:vAlign w:val="center"/>
          </w:tcPr>
          <w:p>
            <w:pPr>
              <w:pStyle w:val="TableContents"/>
              <w:bidi w:val="0"/>
              <w:spacing w:before="0" w:after="283"/>
              <w:jc w:val="left"/>
              <w:rPr/>
            </w:pPr>
            <w:r>
              <w:rPr/>
              <w:t> </w:t>
            </w:r>
          </w:p>
        </w:tc>
      </w:tr>
      <w:tr>
        <w:trPr/>
        <w:tc>
          <w:tcPr>
            <w:tcW w:w="24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Equity volatility</w:t>
            </w:r>
          </w:p>
        </w:tc>
        <w:tc>
          <w:tcPr>
            <w:tcW w:w="60"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117.5%</w:t>
            </w:r>
          </w:p>
        </w:tc>
        <w:tc>
          <w:tcPr>
            <w:tcW w:w="650" w:type="dxa"/>
            <w:tcBorders/>
            <w:shd w:fill="FFFFFF" w:val="clear"/>
            <w:vAlign w:val="center"/>
          </w:tcPr>
          <w:p>
            <w:pPr>
              <w:pStyle w:val="TableContents"/>
              <w:bidi w:val="0"/>
              <w:spacing w:before="0" w:after="283"/>
              <w:ind w:left="0" w:right="0" w:hanging="0"/>
              <w:jc w:val="center"/>
              <w:rPr/>
            </w:pPr>
            <w:r>
              <w:rPr>
                <w:rStyle w:val="Emphasis"/>
              </w:rPr>
              <w:t>–</w:t>
            </w:r>
          </w:p>
        </w:tc>
        <w:tc>
          <w:tcPr>
            <w:tcW w:w="65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138.0%</w:t>
            </w:r>
          </w:p>
        </w:tc>
        <w:tc>
          <w:tcPr>
            <w:tcW w:w="60" w:type="dxa"/>
            <w:tcBorders/>
            <w:shd w:fill="FFFFFF" w:val="clear"/>
            <w:vAlign w:val="center"/>
          </w:tcPr>
          <w:p>
            <w:pPr>
              <w:pStyle w:val="TableContents"/>
              <w:bidi w:val="0"/>
              <w:spacing w:before="0" w:after="283"/>
              <w:jc w:val="left"/>
              <w:rPr/>
            </w:pPr>
            <w:r>
              <w:rPr/>
              <w:t> </w:t>
            </w:r>
          </w:p>
        </w:tc>
      </w:tr>
      <w:tr>
        <w:trPr/>
        <w:tc>
          <w:tcPr>
            <w:tcW w:w="24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Risk-free rate</w:t>
            </w:r>
          </w:p>
        </w:tc>
        <w:tc>
          <w:tcPr>
            <w:tcW w:w="60"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jc w:val="right"/>
              <w:rPr/>
            </w:pPr>
            <w:r>
              <w:rPr>
                <w:rStyle w:val="Emphasis"/>
              </w:rPr>
              <w:t> </w:t>
            </w:r>
          </w:p>
        </w:tc>
        <w:tc>
          <w:tcPr>
            <w:tcW w:w="65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4.07%</w:t>
            </w:r>
          </w:p>
        </w:tc>
        <w:tc>
          <w:tcPr>
            <w:tcW w:w="650" w:type="dxa"/>
            <w:tcBorders/>
            <w:shd w:fill="CCEEFF" w:val="clear"/>
            <w:vAlign w:val="center"/>
          </w:tcPr>
          <w:p>
            <w:pPr>
              <w:pStyle w:val="TableContents"/>
              <w:bidi w:val="0"/>
              <w:spacing w:before="0" w:after="283"/>
              <w:jc w:val="center"/>
              <w:rPr/>
            </w:pPr>
            <w:r>
              <w:rPr>
                <w:rStyle w:val="Emphasis"/>
              </w:rPr>
              <w:t> </w:t>
            </w:r>
          </w:p>
        </w:tc>
        <w:tc>
          <w:tcPr>
            <w:tcW w:w="60" w:type="dxa"/>
            <w:tcBorders/>
            <w:shd w:fill="CCEEFF" w:val="clear"/>
            <w:vAlign w:val="center"/>
          </w:tcPr>
          <w:p>
            <w:pPr>
              <w:pStyle w:val="TableContents"/>
              <w:bidi w:val="0"/>
              <w:spacing w:before="0" w:after="283"/>
              <w:jc w:val="left"/>
              <w:rPr/>
            </w:pPr>
            <w:r>
              <w:rPr/>
              <w:t> </w:t>
            </w:r>
          </w:p>
        </w:tc>
      </w:tr>
      <w:tr>
        <w:trPr/>
        <w:tc>
          <w:tcPr>
            <w:tcW w:w="24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Probability of default</w:t>
            </w:r>
          </w:p>
        </w:tc>
        <w:tc>
          <w:tcPr>
            <w:tcW w:w="60"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jc w:val="right"/>
              <w:rPr/>
            </w:pPr>
            <w:r>
              <w:rPr>
                <w:rStyle w:val="Emphasis"/>
              </w:rPr>
              <w:t> </w:t>
            </w:r>
          </w:p>
        </w:tc>
        <w:tc>
          <w:tcPr>
            <w:tcW w:w="6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w:t>
            </w:r>
          </w:p>
        </w:tc>
        <w:tc>
          <w:tcPr>
            <w:tcW w:w="65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following table sets forth a summary of the changes in the fair value of the Anson Notes categorized within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of the fair value hierarchy (in thousands):</w:t>
      </w:r>
    </w:p>
    <w:p>
      <w:pPr>
        <w:pStyle w:val="TextBody"/>
        <w:bidi w:val="0"/>
        <w:spacing w:before="0" w:after="0"/>
        <w:ind w:left="0" w:right="0" w:hanging="0"/>
        <w:jc w:val="left"/>
        <w:rPr>
          <w:caps w:val="false"/>
          <w:smallCaps w:val="false"/>
        </w:rPr>
      </w:pPr>
      <w:r>
        <w:rPr>
          <w:caps w:val="false"/>
          <w:smallCaps w:val="false"/>
        </w:rPr>
        <w:t> </w:t>
      </w:r>
    </w:p>
    <w:tbl>
      <w:tblPr>
        <w:tblW w:w="5735" w:type="dxa"/>
        <w:jc w:val="left"/>
        <w:tblInd w:w="0" w:type="dxa"/>
        <w:tblLayout w:type="fixed"/>
        <w:tblCellMar>
          <w:top w:w="0" w:type="dxa"/>
          <w:left w:w="0" w:type="dxa"/>
          <w:bottom w:w="0" w:type="dxa"/>
          <w:right w:w="0" w:type="dxa"/>
        </w:tblCellMar>
      </w:tblPr>
      <w:tblGrid>
        <w:gridCol w:w="4925"/>
        <w:gridCol w:w="60"/>
        <w:gridCol w:w="125"/>
        <w:gridCol w:w="545"/>
        <w:gridCol w:w="80"/>
      </w:tblGrid>
      <w:tr>
        <w:trPr/>
        <w:tc>
          <w:tcPr>
            <w:tcW w:w="49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of Anson Notes as of December 31, 2024</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6,257</w:t>
            </w:r>
          </w:p>
        </w:tc>
        <w:tc>
          <w:tcPr>
            <w:tcW w:w="80"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of Anson III Note at issuance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2,522</w:t>
            </w:r>
          </w:p>
        </w:tc>
        <w:tc>
          <w:tcPr>
            <w:tcW w:w="80" w:type="dxa"/>
            <w:tcBorders/>
            <w:shd w:fill="FFFFFF" w:val="clear"/>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Conversion and repayments of principal and interest (shares)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adjustment through earnings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965</w:t>
            </w:r>
          </w:p>
        </w:tc>
        <w:tc>
          <w:tcPr>
            <w:tcW w:w="80" w:type="dxa"/>
            <w:tcBorders/>
            <w:shd w:fill="FFFFFF" w:val="clear"/>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of Anson Notes as of March 31, 2025</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8,397</w:t>
            </w:r>
          </w:p>
        </w:tc>
        <w:tc>
          <w:tcPr>
            <w:tcW w:w="80"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Conversion and repayments of principal and interest (shares)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adjustment through earnings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5,565</w:t>
            </w:r>
          </w:p>
        </w:tc>
        <w:tc>
          <w:tcPr>
            <w:tcW w:w="80"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of Anson Notes as of June 30, 2025</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9,854</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Subsequent to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the Company converted the remaining outstanding principal of the Anson Notes, together with accrued interest, with an aggregate carrying amount of $11,371, into shares of the Company’s common stock. During the remaining period in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Company recognized a fair value adjustment of $2,974 in earnings related to changes in the fair value of the Anson Notes. 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there were no outstanding balances under the Anson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Warrant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utilizes a Black-Scholes model approach to value its liability-classified warrants at each reporting period, with changes in fair value recognized in the consolidated statements of operations. The estimated fair value of the warrant liabilities is determined using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inputs. There were no transfers between levels within the fair value hierarchy during the periods presented. Inherent in a Black Scholes options pricing model are assumptions related to expected share-price volatility, expected life, risk-free interest rate and dividend yield. The Company estimates the volatility of its Common Stock based on historical volatility that matches the expected remaining life of the warrants. The risk-free interest rate is based on the U.S. Treasury </w:t>
      </w:r>
      <w:r>
        <w:rPr>
          <w:rStyle w:val="Emphasis"/>
          <w:rFonts w:ascii="Times New Roman" w:hAnsi="Times New Roman"/>
          <w:caps w:val="false"/>
          <w:smallCaps w:val="false"/>
          <w:sz w:val="20"/>
        </w:rPr>
        <w:t>zero</w:t>
      </w:r>
      <w:r>
        <w:rPr>
          <w:rFonts w:ascii="Times New Roman" w:hAnsi="Times New Roman"/>
          <w:caps w:val="false"/>
          <w:smallCaps w:val="false"/>
          <w:sz w:val="20"/>
        </w:rPr>
        <w:t>-coupon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remaining at zero.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NRX PHARMACEUTICALS,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pPr>
      <w:r>
        <w:rPr>
          <w:rStyle w:val="Emphasis"/>
          <w:rFonts w:ascii="Times New Roman;Times;serif" w:hAnsi="Times New Roman;Times;serif"/>
          <w:b/>
          <w:sz w:val="20"/>
        </w:rPr>
        <w:t>JUNE 30, 2026</w:t>
      </w:r>
      <w:r>
        <w:rPr>
          <w:rFonts w:ascii="Times New Roman;Times;serif" w:hAnsi="Times New Roman;Times;serif"/>
          <w:b/>
          <w:sz w:val="20"/>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(Unaudited)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The weighted-average significant inputs used in the Black-Scholes model to measure the warrant liabilities that are categorized within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of the fair value hierarchy are as follows:</w:t>
      </w:r>
    </w:p>
    <w:p>
      <w:pPr>
        <w:pStyle w:val="TextBody"/>
        <w:bidi w:val="0"/>
        <w:spacing w:before="0" w:after="0"/>
        <w:ind w:left="0" w:right="0" w:hanging="0"/>
        <w:jc w:val="left"/>
        <w:rPr>
          <w:caps w:val="false"/>
          <w:smallCaps w:val="false"/>
        </w:rPr>
      </w:pPr>
      <w:r>
        <w:rPr>
          <w:caps w:val="false"/>
          <w:smallCaps w:val="false"/>
        </w:rPr>
        <w:t> </w:t>
      </w:r>
    </w:p>
    <w:tbl>
      <w:tblPr>
        <w:tblW w:w="6140" w:type="dxa"/>
        <w:jc w:val="left"/>
        <w:tblInd w:w="0" w:type="dxa"/>
        <w:tblLayout w:type="fixed"/>
        <w:tblCellMar>
          <w:top w:w="0" w:type="dxa"/>
          <w:left w:w="0" w:type="dxa"/>
          <w:bottom w:w="0" w:type="dxa"/>
          <w:right w:w="0" w:type="dxa"/>
        </w:tblCellMar>
      </w:tblPr>
      <w:tblGrid>
        <w:gridCol w:w="2405"/>
        <w:gridCol w:w="60"/>
        <w:gridCol w:w="590"/>
        <w:gridCol w:w="485"/>
        <w:gridCol w:w="755"/>
        <w:gridCol w:w="60"/>
        <w:gridCol w:w="485"/>
        <w:gridCol w:w="485"/>
        <w:gridCol w:w="755"/>
        <w:gridCol w:w="60"/>
      </w:tblGrid>
      <w:tr>
        <w:trPr/>
        <w:tc>
          <w:tcPr>
            <w:tcW w:w="2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3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vAlign w:val="center"/>
          </w:tcPr>
          <w:p>
            <w:pPr>
              <w:pStyle w:val="TableContents"/>
              <w:bidi w:val="0"/>
              <w:spacing w:before="0" w:after="283"/>
              <w:ind w:left="0" w:right="0" w:hanging="0"/>
              <w:jc w:val="left"/>
              <w:rPr/>
            </w:pPr>
            <w:r>
              <w:rPr/>
              <w:t> </w:t>
            </w:r>
          </w:p>
        </w:tc>
        <w:tc>
          <w:tcPr>
            <w:tcW w:w="172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r>
      <w:tr>
        <w:trPr/>
        <w:tc>
          <w:tcPr>
            <w:tcW w:w="24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price on valuation date</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rStyle w:val="Emphasis"/>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$4.09</w:t>
            </w:r>
          </w:p>
        </w:tc>
        <w:tc>
          <w:tcPr>
            <w:tcW w:w="755"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rStyle w:val="Emphasis"/>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$2.71</w:t>
            </w:r>
          </w:p>
        </w:tc>
        <w:tc>
          <w:tcPr>
            <w:tcW w:w="755"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r>
      <w:tr>
        <w:trPr/>
        <w:tc>
          <w:tcPr>
            <w:tcW w:w="24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Exercise price per share</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w:t>
            </w:r>
          </w:p>
        </w:tc>
        <w:tc>
          <w:tcPr>
            <w:tcW w:w="485" w:type="dxa"/>
            <w:tcBorders/>
            <w:shd w:fill="FFFFFF" w:val="clear"/>
            <w:vAlign w:val="center"/>
          </w:tcPr>
          <w:p>
            <w:pPr>
              <w:pStyle w:val="TableContents"/>
              <w:bidi w:val="0"/>
              <w:spacing w:before="0" w:after="283"/>
              <w:ind w:left="0" w:right="0" w:hanging="0"/>
              <w:jc w:val="center"/>
              <w:rPr/>
            </w:pPr>
            <w:r>
              <w:rPr>
                <w:rStyle w:val="Emphasis"/>
              </w:rPr>
              <w:t>–</w:t>
            </w:r>
          </w:p>
        </w:tc>
        <w:tc>
          <w:tcPr>
            <w:tcW w:w="7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2.30</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w:t>
            </w:r>
          </w:p>
        </w:tc>
        <w:tc>
          <w:tcPr>
            <w:tcW w:w="485" w:type="dxa"/>
            <w:tcBorders/>
            <w:shd w:fill="FFFFFF" w:val="clear"/>
            <w:vAlign w:val="center"/>
          </w:tcPr>
          <w:p>
            <w:pPr>
              <w:pStyle w:val="TableContents"/>
              <w:bidi w:val="0"/>
              <w:spacing w:before="0" w:after="283"/>
              <w:ind w:left="0" w:right="0" w:hanging="0"/>
              <w:jc w:val="center"/>
              <w:rPr/>
            </w:pPr>
            <w:r>
              <w:rPr>
                <w:rStyle w:val="Emphasis"/>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$11.50</w:t>
            </w:r>
          </w:p>
        </w:tc>
        <w:tc>
          <w:tcPr>
            <w:tcW w:w="60" w:type="dxa"/>
            <w:tcBorders/>
            <w:shd w:fill="FFFFFF" w:val="clear"/>
            <w:vAlign w:val="center"/>
          </w:tcPr>
          <w:p>
            <w:pPr>
              <w:pStyle w:val="TableContents"/>
              <w:bidi w:val="0"/>
              <w:spacing w:before="0" w:after="283"/>
              <w:jc w:val="left"/>
              <w:rPr/>
            </w:pPr>
            <w:r>
              <w:rPr/>
              <w:t> </w:t>
            </w:r>
          </w:p>
        </w:tc>
      </w:tr>
      <w:tr>
        <w:trPr/>
        <w:tc>
          <w:tcPr>
            <w:tcW w:w="24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life</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w:t>
            </w:r>
          </w:p>
        </w:tc>
        <w:tc>
          <w:tcPr>
            <w:tcW w:w="485" w:type="dxa"/>
            <w:tcBorders/>
            <w:shd w:fill="CCEEFF" w:val="clear"/>
            <w:vAlign w:val="center"/>
          </w:tcPr>
          <w:p>
            <w:pPr>
              <w:pStyle w:val="TableContents"/>
              <w:bidi w:val="0"/>
              <w:spacing w:before="0" w:after="283"/>
              <w:ind w:left="0" w:right="0" w:hanging="0"/>
              <w:jc w:val="center"/>
              <w:rPr/>
            </w:pPr>
            <w:r>
              <w:rPr>
                <w:rStyle w:val="Emphasis"/>
              </w:rPr>
              <w:t>–</w:t>
            </w:r>
          </w:p>
        </w:tc>
        <w:tc>
          <w:tcPr>
            <w:tcW w:w="7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3.72</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0.39</w:t>
            </w:r>
          </w:p>
        </w:tc>
        <w:tc>
          <w:tcPr>
            <w:tcW w:w="485" w:type="dxa"/>
            <w:tcBorders/>
            <w:shd w:fill="CCEEFF" w:val="clear"/>
            <w:vAlign w:val="center"/>
          </w:tcPr>
          <w:p>
            <w:pPr>
              <w:pStyle w:val="TableContents"/>
              <w:bidi w:val="0"/>
              <w:spacing w:before="0" w:after="283"/>
              <w:ind w:left="0" w:right="0" w:hanging="0"/>
              <w:jc w:val="center"/>
              <w:rPr/>
            </w:pPr>
            <w:r>
              <w:rPr>
                <w:rStyle w:val="Emphasis"/>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3.62</w:t>
            </w:r>
          </w:p>
        </w:tc>
        <w:tc>
          <w:tcPr>
            <w:tcW w:w="60" w:type="dxa"/>
            <w:tcBorders/>
            <w:shd w:fill="CCEEFF" w:val="clear"/>
            <w:vAlign w:val="center"/>
          </w:tcPr>
          <w:p>
            <w:pPr>
              <w:pStyle w:val="TableContents"/>
              <w:bidi w:val="0"/>
              <w:spacing w:before="0" w:after="283"/>
              <w:jc w:val="left"/>
              <w:rPr/>
            </w:pPr>
            <w:r>
              <w:rPr/>
              <w:t> </w:t>
            </w:r>
          </w:p>
        </w:tc>
      </w:tr>
      <w:tr>
        <w:trPr/>
        <w:tc>
          <w:tcPr>
            <w:tcW w:w="24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Volatility</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106.26</w:t>
            </w:r>
          </w:p>
        </w:tc>
        <w:tc>
          <w:tcPr>
            <w:tcW w:w="485" w:type="dxa"/>
            <w:tcBorders/>
            <w:shd w:fill="FFFFFF" w:val="clear"/>
            <w:vAlign w:val="center"/>
          </w:tcPr>
          <w:p>
            <w:pPr>
              <w:pStyle w:val="TableContents"/>
              <w:bidi w:val="0"/>
              <w:spacing w:before="0" w:after="283"/>
              <w:ind w:left="0" w:right="0" w:hanging="0"/>
              <w:jc w:val="center"/>
              <w:rPr/>
            </w:pPr>
            <w:r>
              <w:rPr>
                <w:rStyle w:val="Emphasis"/>
              </w:rPr>
              <w:t>–</w:t>
            </w:r>
          </w:p>
        </w:tc>
        <w:tc>
          <w:tcPr>
            <w:tcW w:w="7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110.21%</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80.52</w:t>
            </w:r>
          </w:p>
        </w:tc>
        <w:tc>
          <w:tcPr>
            <w:tcW w:w="485" w:type="dxa"/>
            <w:tcBorders/>
            <w:shd w:fill="FFFFFF" w:val="clear"/>
            <w:vAlign w:val="center"/>
          </w:tcPr>
          <w:p>
            <w:pPr>
              <w:pStyle w:val="TableContents"/>
              <w:bidi w:val="0"/>
              <w:spacing w:before="0" w:after="283"/>
              <w:ind w:left="0" w:right="0" w:hanging="0"/>
              <w:jc w:val="center"/>
              <w:rPr/>
            </w:pPr>
            <w:r>
              <w:rPr>
                <w:rStyle w:val="Emphasis"/>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118.80%</w:t>
            </w:r>
          </w:p>
        </w:tc>
        <w:tc>
          <w:tcPr>
            <w:tcW w:w="60" w:type="dxa"/>
            <w:tcBorders/>
            <w:shd w:fill="FFFFFF" w:val="clear"/>
            <w:vAlign w:val="center"/>
          </w:tcPr>
          <w:p>
            <w:pPr>
              <w:pStyle w:val="TableContents"/>
              <w:bidi w:val="0"/>
              <w:spacing w:before="0" w:after="283"/>
              <w:jc w:val="left"/>
              <w:rPr/>
            </w:pPr>
            <w:r>
              <w:rPr/>
              <w:t> </w:t>
            </w:r>
          </w:p>
        </w:tc>
      </w:tr>
      <w:tr>
        <w:trPr/>
        <w:tc>
          <w:tcPr>
            <w:tcW w:w="24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Risk-free rate</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rStyle w:val="Emphasis"/>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4.15</w:t>
            </w:r>
          </w:p>
        </w:tc>
        <w:tc>
          <w:tcPr>
            <w:tcW w:w="75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w:t>
            </w:r>
          </w:p>
        </w:tc>
        <w:tc>
          <w:tcPr>
            <w:tcW w:w="485" w:type="dxa"/>
            <w:tcBorders/>
            <w:shd w:fill="CCEEFF" w:val="clear"/>
            <w:vAlign w:val="center"/>
          </w:tcPr>
          <w:p>
            <w:pPr>
              <w:pStyle w:val="TableContents"/>
              <w:bidi w:val="0"/>
              <w:spacing w:before="0" w:after="283"/>
              <w:ind w:left="0" w:right="0" w:hanging="0"/>
              <w:jc w:val="center"/>
              <w:rPr/>
            </w:pPr>
            <w:r>
              <w:rPr>
                <w:rStyle w:val="Emphasis"/>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3.64%</w:t>
            </w:r>
          </w:p>
        </w:tc>
        <w:tc>
          <w:tcPr>
            <w:tcW w:w="60" w:type="dxa"/>
            <w:tcBorders/>
            <w:shd w:fill="CCEEFF" w:val="clear"/>
            <w:vAlign w:val="center"/>
          </w:tcPr>
          <w:p>
            <w:pPr>
              <w:pStyle w:val="TableContents"/>
              <w:bidi w:val="0"/>
              <w:spacing w:before="0" w:after="283"/>
              <w:jc w:val="left"/>
              <w:rPr/>
            </w:pPr>
            <w:r>
              <w:rPr/>
              <w:t> </w:t>
            </w:r>
          </w:p>
        </w:tc>
      </w:tr>
      <w:tr>
        <w:trPr/>
        <w:tc>
          <w:tcPr>
            <w:tcW w:w="24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 yield</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rStyle w:val="Emphasis"/>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w:t>
            </w:r>
          </w:p>
        </w:tc>
        <w:tc>
          <w:tcPr>
            <w:tcW w:w="755"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rStyle w:val="Emphasis"/>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w:t>
            </w:r>
          </w:p>
        </w:tc>
        <w:tc>
          <w:tcPr>
            <w:tcW w:w="755"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4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of warrants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rStyle w:val="Emphasis"/>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w:t>
            </w:r>
          </w:p>
        </w:tc>
        <w:tc>
          <w:tcPr>
            <w:tcW w:w="75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$0.01</w:t>
            </w:r>
          </w:p>
        </w:tc>
        <w:tc>
          <w:tcPr>
            <w:tcW w:w="485" w:type="dxa"/>
            <w:tcBorders/>
            <w:shd w:fill="CCEEFF" w:val="clear"/>
            <w:vAlign w:val="center"/>
          </w:tcPr>
          <w:p>
            <w:pPr>
              <w:pStyle w:val="TableContents"/>
              <w:bidi w:val="0"/>
              <w:spacing w:before="0" w:after="283"/>
              <w:ind w:left="0" w:right="0" w:hanging="0"/>
              <w:jc w:val="center"/>
              <w:rPr/>
            </w:pPr>
            <w:r>
              <w:rPr>
                <w:rStyle w:val="Emphasis"/>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2.22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reconciliation of warrant liabilities is included below (in thousands):</w:t>
      </w:r>
    </w:p>
    <w:p>
      <w:pPr>
        <w:pStyle w:val="TextBody"/>
        <w:bidi w:val="0"/>
        <w:spacing w:before="0" w:after="0"/>
        <w:ind w:left="0" w:right="0" w:hanging="0"/>
        <w:jc w:val="left"/>
        <w:rPr>
          <w:caps w:val="false"/>
          <w:smallCaps w:val="false"/>
        </w:rPr>
      </w:pPr>
      <w:r>
        <w:rPr>
          <w:caps w:val="false"/>
          <w:smallCaps w:val="false"/>
        </w:rPr>
        <w:t> </w:t>
      </w:r>
    </w:p>
    <w:tbl>
      <w:tblPr>
        <w:tblW w:w="4205" w:type="dxa"/>
        <w:jc w:val="left"/>
        <w:tblInd w:w="0" w:type="dxa"/>
        <w:tblLayout w:type="fixed"/>
        <w:tblCellMar>
          <w:top w:w="0" w:type="dxa"/>
          <w:left w:w="0" w:type="dxa"/>
          <w:bottom w:w="0" w:type="dxa"/>
          <w:right w:w="0" w:type="dxa"/>
        </w:tblCellMar>
      </w:tblPr>
      <w:tblGrid>
        <w:gridCol w:w="3350"/>
        <w:gridCol w:w="60"/>
        <w:gridCol w:w="125"/>
        <w:gridCol w:w="590"/>
        <w:gridCol w:w="80"/>
      </w:tblGrid>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December 31, 2025</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12,304</w:t>
            </w:r>
          </w:p>
        </w:tc>
        <w:tc>
          <w:tcPr>
            <w:tcW w:w="8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warrant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March 31, 2026</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8,766</w:t>
            </w:r>
          </w:p>
        </w:tc>
        <w:tc>
          <w:tcPr>
            <w:tcW w:w="8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warrant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9,784</w:t>
            </w:r>
          </w:p>
        </w:tc>
        <w:tc>
          <w:tcPr>
            <w:tcW w:w="8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June 30, 2026</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18,550</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30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NRX PHARMACEUTICALS,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pPr>
      <w:r>
        <w:rPr>
          <w:rStyle w:val="Emphasis"/>
          <w:rFonts w:ascii="Times New Roman;Times;serif" w:hAnsi="Times New Roman;Times;serif"/>
          <w:b/>
          <w:sz w:val="20"/>
        </w:rPr>
        <w:t>JUNE 30, 2026</w:t>
      </w:r>
      <w:r>
        <w:rPr>
          <w:rFonts w:ascii="Times New Roman;Times;serif" w:hAnsi="Times New Roman;Times;serif"/>
          <w:b/>
          <w:sz w:val="20"/>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(Unaudited)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14.</w:t>
      </w:r>
      <w:r>
        <w:rPr>
          <w:rFonts w:ascii="Times New Roman" w:hAnsi="Times New Roman"/>
          <w:b/>
          <w:caps w:val="false"/>
          <w:smallCaps w:val="false"/>
          <w:sz w:val="20"/>
        </w:rPr>
        <w:t xml:space="preserve"> Segment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September 8, 2025, </w:t>
      </w:r>
      <w:r>
        <w:rPr>
          <w:rFonts w:ascii="Times New Roman" w:hAnsi="Times New Roman"/>
          <w:caps w:val="false"/>
          <w:smallCaps w:val="false"/>
          <w:sz w:val="20"/>
        </w:rPr>
        <w:t>HOPE completed the previously announced acquisition of Dura, and a revenue-generating clinical organization. Following the acquisition, the Company began generating patient service revenue through Dura’s operations. As a result, the Company now operates in two reportable segments, consistent with the manner in which the Chief Executive Officer, who is designated as the Company’s CODM, evaluates the Company’s performance and allocates resources. The Company’s operations consist of (i) the development of novel therapeutics for the treatment of central nervous system disorders, including suicidal depression, chronic pain, PTSD, and schizophrenia, and (ii) the operation of a clinical services business through Hope.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generated $1,101,000 and $2,169,000 in revenues, respectively,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respectively. The revenue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represents the revenue generated from Dura. The CODM evaluates performance based on operating expenses and monitors key expense categories related to the Company’s research and development activities, as well as general and administrative functions. While the Company has commenced revenue</w:t>
        <w:noBreakHyphen/>
        <w:t>generating activities, operating expenses remain a primary focus of management given the Company’s ongoing investment in research and development and corporate infrastructure.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CODM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separately evaluate performance by geographic region or product line, as the Company has limited operations due to the current liquidity and funding of the Company. The Company’s operations are conducted solely within the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Significant Segment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All of the Company’s assets relate to these two operating segments, see the accompanying balance sheets excerpt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All of the Company’s operating expenses, which consist of cost of patient services, research and development, general and administrative expenses, and depreciation and amortization expenses, relate to this single operating segment, see the accompanying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following table reconciles the loss from operations to total loss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(in thousands):</w:t>
      </w:r>
    </w:p>
    <w:p>
      <w:pPr>
        <w:pStyle w:val="TextBody"/>
        <w:bidi w:val="0"/>
        <w:spacing w:before="0" w:after="0"/>
        <w:ind w:left="0" w:right="0" w:hanging="0"/>
        <w:jc w:val="left"/>
        <w:rPr>
          <w:caps w:val="false"/>
          <w:smallCaps w:val="false"/>
        </w:rPr>
      </w:pPr>
      <w:r>
        <w:rPr>
          <w:caps w:val="false"/>
          <w:smallCaps w:val="false"/>
        </w:rPr>
        <w:t> </w:t>
      </w:r>
    </w:p>
    <w:tbl>
      <w:tblPr>
        <w:tblW w:w="7993" w:type="dxa"/>
        <w:jc w:val="left"/>
        <w:tblInd w:w="0" w:type="dxa"/>
        <w:tblLayout w:type="fixed"/>
        <w:tblCellMar>
          <w:top w:w="0" w:type="dxa"/>
          <w:left w:w="0" w:type="dxa"/>
          <w:bottom w:w="0" w:type="dxa"/>
          <w:right w:w="0" w:type="dxa"/>
        </w:tblCellMar>
      </w:tblPr>
      <w:tblGrid>
        <w:gridCol w:w="4025"/>
        <w:gridCol w:w="60"/>
        <w:gridCol w:w="125"/>
        <w:gridCol w:w="650"/>
        <w:gridCol w:w="80"/>
        <w:gridCol w:w="60"/>
        <w:gridCol w:w="125"/>
        <w:gridCol w:w="335"/>
        <w:gridCol w:w="80"/>
        <w:gridCol w:w="60"/>
        <w:gridCol w:w="171"/>
        <w:gridCol w:w="890"/>
        <w:gridCol w:w="109"/>
        <w:gridCol w:w="82"/>
        <w:gridCol w:w="171"/>
        <w:gridCol w:w="890"/>
        <w:gridCol w:w="80"/>
      </w:tblGrid>
      <w:tr>
        <w:trPr/>
        <w:tc>
          <w:tcPr>
            <w:tcW w:w="4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13"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three months ended</w:t>
            </w:r>
          </w:p>
        </w:tc>
        <w:tc>
          <w:tcPr>
            <w:tcW w:w="80" w:type="dxa"/>
            <w:tcBorders/>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1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80" w:type="dxa"/>
            <w:tcBorders/>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Expense Category</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NRx</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Dura</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09"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ind w:left="0" w:right="0" w:hanging="0"/>
              <w:jc w:val="left"/>
              <w:rPr/>
            </w:pPr>
            <w:r>
              <w:rPr/>
              <w:t> </w:t>
            </w:r>
          </w:p>
        </w:tc>
        <w:tc>
          <w:tcPr>
            <w:tcW w:w="10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Income from operations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(6,603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(6,505</w:t>
            </w:r>
          </w:p>
        </w:tc>
        <w:tc>
          <w:tcPr>
            <w:tcW w:w="10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2"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8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10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2"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8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8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w:t>
            </w:r>
          </w:p>
        </w:tc>
        <w:tc>
          <w:tcPr>
            <w:tcW w:w="10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89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convertible notes payable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890" w:type="dxa"/>
            <w:tcBorders/>
            <w:shd w:fill="FFFFFF" w:val="clear"/>
            <w:vAlign w:val="center"/>
          </w:tcPr>
          <w:p>
            <w:pPr>
              <w:pStyle w:val="TableContents"/>
              <w:bidi w:val="0"/>
              <w:spacing w:before="0" w:after="283"/>
              <w:ind w:left="0" w:right="0" w:hanging="0"/>
              <w:jc w:val="right"/>
              <w:rPr/>
            </w:pPr>
            <w:r>
              <w:rPr/>
              <w:t>—</w:t>
            </w:r>
          </w:p>
        </w:tc>
        <w:tc>
          <w:tcPr>
            <w:tcW w:w="109"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8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5,565</w:t>
            </w:r>
          </w:p>
        </w:tc>
        <w:tc>
          <w:tcPr>
            <w:tcW w:w="80"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warrant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8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9,784</w:t>
            </w:r>
          </w:p>
        </w:tc>
        <w:tc>
          <w:tcPr>
            <w:tcW w:w="10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8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6,414</w:t>
            </w:r>
          </w:p>
        </w:tc>
        <w:tc>
          <w:tcPr>
            <w:tcW w:w="80"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convertible note conversions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890" w:type="dxa"/>
            <w:tcBorders/>
            <w:shd w:fill="FFFFFF" w:val="clear"/>
            <w:vAlign w:val="center"/>
          </w:tcPr>
          <w:p>
            <w:pPr>
              <w:pStyle w:val="TableContents"/>
              <w:bidi w:val="0"/>
              <w:spacing w:before="0" w:after="283"/>
              <w:ind w:left="0" w:right="0" w:hanging="0"/>
              <w:jc w:val="right"/>
              <w:rPr/>
            </w:pPr>
            <w:r>
              <w:rPr/>
              <w:t>—</w:t>
            </w:r>
          </w:p>
        </w:tc>
        <w:tc>
          <w:tcPr>
            <w:tcW w:w="109"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8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1,874</w:t>
            </w:r>
          </w:p>
        </w:tc>
        <w:tc>
          <w:tcPr>
            <w:tcW w:w="80"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from equity method investments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10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2" w:type="dxa"/>
            <w:tcBorders/>
            <w:shd w:fill="CCEEFF" w:val="clear"/>
            <w:vAlign w:val="center"/>
          </w:tcPr>
          <w:p>
            <w:pPr>
              <w:pStyle w:val="TableContents"/>
              <w:bidi w:val="0"/>
              <w:spacing w:before="0" w:after="283"/>
              <w:jc w:val="left"/>
              <w:rPr/>
            </w:pPr>
            <w:r>
              <w:rPr/>
              <w:t> </w:t>
            </w:r>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(16,625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(16,520</w:t>
            </w:r>
          </w:p>
        </w:tc>
        <w:tc>
          <w:tcPr>
            <w:tcW w:w="10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2" w:type="dxa"/>
            <w:tcBorders/>
            <w:shd w:fill="FFFF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(17,581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31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NRX PHARMACEUTICALS,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pPr>
      <w:r>
        <w:rPr>
          <w:rStyle w:val="Emphasis"/>
          <w:rFonts w:ascii="Times New Roman;Times;serif" w:hAnsi="Times New Roman;Times;serif"/>
          <w:b/>
          <w:sz w:val="20"/>
        </w:rPr>
        <w:t>JUNE 30, 2026</w:t>
      </w:r>
      <w:r>
        <w:rPr>
          <w:rFonts w:ascii="Times New Roman;Times;serif" w:hAnsi="Times New Roman;Times;serif"/>
          <w:b/>
          <w:sz w:val="20"/>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(Unaudited)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The following table reconciles the loss from operations to total loss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(in thousands):</w:t>
      </w:r>
    </w:p>
    <w:p>
      <w:pPr>
        <w:pStyle w:val="TextBody"/>
        <w:bidi w:val="0"/>
        <w:spacing w:before="0" w:after="0"/>
        <w:ind w:left="0" w:right="0" w:hanging="0"/>
        <w:jc w:val="left"/>
        <w:rPr>
          <w:caps w:val="false"/>
          <w:smallCaps w:val="false"/>
        </w:rPr>
      </w:pPr>
      <w:r>
        <w:rPr>
          <w:caps w:val="false"/>
          <w:smallCaps w:val="false"/>
        </w:rPr>
        <w:t> </w:t>
      </w:r>
    </w:p>
    <w:tbl>
      <w:tblPr>
        <w:tblW w:w="7797" w:type="dxa"/>
        <w:jc w:val="left"/>
        <w:tblInd w:w="0" w:type="dxa"/>
        <w:tblLayout w:type="fixed"/>
        <w:tblCellMar>
          <w:top w:w="0" w:type="dxa"/>
          <w:left w:w="0" w:type="dxa"/>
          <w:bottom w:w="0" w:type="dxa"/>
          <w:right w:w="0" w:type="dxa"/>
        </w:tblCellMar>
      </w:tblPr>
      <w:tblGrid>
        <w:gridCol w:w="4025"/>
        <w:gridCol w:w="60"/>
        <w:gridCol w:w="125"/>
        <w:gridCol w:w="650"/>
        <w:gridCol w:w="80"/>
        <w:gridCol w:w="60"/>
        <w:gridCol w:w="125"/>
        <w:gridCol w:w="335"/>
        <w:gridCol w:w="80"/>
        <w:gridCol w:w="60"/>
        <w:gridCol w:w="156"/>
        <w:gridCol w:w="815"/>
        <w:gridCol w:w="100"/>
        <w:gridCol w:w="75"/>
        <w:gridCol w:w="156"/>
        <w:gridCol w:w="815"/>
        <w:gridCol w:w="80"/>
      </w:tblGrid>
      <w:tr>
        <w:trPr/>
        <w:tc>
          <w:tcPr>
            <w:tcW w:w="4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17"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six months ended</w:t>
            </w:r>
          </w:p>
        </w:tc>
        <w:tc>
          <w:tcPr>
            <w:tcW w:w="80" w:type="dxa"/>
            <w:tcBorders/>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1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80" w:type="dxa"/>
            <w:tcBorders/>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Expense Category</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NRx</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Dura</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0"/>
              <w:jc w:val="left"/>
              <w:rPr/>
            </w:pPr>
            <w:r>
              <w:rPr/>
              <w:t> </w:t>
            </w:r>
          </w:p>
        </w:tc>
        <w:tc>
          <w:tcPr>
            <w:tcW w:w="9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Income from operations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(11,432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(11,250</w:t>
            </w:r>
          </w:p>
        </w:tc>
        <w:tc>
          <w:tcPr>
            <w:tcW w:w="1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ind w:left="0" w:right="0" w:hanging="0"/>
              <w:jc w:val="left"/>
              <w:rPr/>
            </w:pPr>
            <w:r>
              <w:rPr/>
              <w:t> </w:t>
            </w:r>
          </w:p>
        </w:tc>
        <w:tc>
          <w:tcPr>
            <w:tcW w:w="15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(7,577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8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1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8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8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8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convertible notes payable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815" w:type="dxa"/>
            <w:tcBorders/>
            <w:shd w:fill="FFFFFF" w:val="clear"/>
            <w:vAlign w:val="center"/>
          </w:tcPr>
          <w:p>
            <w:pPr>
              <w:pStyle w:val="TableContents"/>
              <w:bidi w:val="0"/>
              <w:spacing w:before="0" w:after="283"/>
              <w:ind w:left="0" w:right="0" w:hanging="0"/>
              <w:jc w:val="right"/>
              <w:rPr/>
            </w:pPr>
            <w:r>
              <w:rPr/>
              <w:t>—</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8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6,530</w:t>
            </w:r>
          </w:p>
        </w:tc>
        <w:tc>
          <w:tcPr>
            <w:tcW w:w="80"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warrant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8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6,246</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8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3,518</w:t>
            </w:r>
          </w:p>
        </w:tc>
        <w:tc>
          <w:tcPr>
            <w:tcW w:w="80"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issuance of Registered Direct Offering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815" w:type="dxa"/>
            <w:tcBorders/>
            <w:shd w:fill="FFFFFF" w:val="clear"/>
            <w:vAlign w:val="center"/>
          </w:tcPr>
          <w:p>
            <w:pPr>
              <w:pStyle w:val="TableContents"/>
              <w:bidi w:val="0"/>
              <w:spacing w:before="0" w:after="283"/>
              <w:ind w:left="0" w:right="0" w:hanging="0"/>
              <w:jc w:val="right"/>
              <w:rPr/>
            </w:pPr>
            <w:r>
              <w:rPr/>
              <w:t>—</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8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729</w:t>
            </w:r>
          </w:p>
        </w:tc>
        <w:tc>
          <w:tcPr>
            <w:tcW w:w="80"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Consideration Shares and Warrants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815" w:type="dxa"/>
            <w:tcBorders/>
            <w:shd w:fill="CCEEFF" w:val="clear"/>
            <w:vAlign w:val="center"/>
          </w:tcPr>
          <w:p>
            <w:pPr>
              <w:pStyle w:val="TableContents"/>
              <w:bidi w:val="0"/>
              <w:spacing w:before="0" w:after="283"/>
              <w:ind w:left="0" w:right="0" w:hanging="0"/>
              <w:jc w:val="right"/>
              <w:rPr/>
            </w:pPr>
            <w:r>
              <w:rPr/>
              <w:t>—</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8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1,277</w:t>
            </w:r>
          </w:p>
        </w:tc>
        <w:tc>
          <w:tcPr>
            <w:tcW w:w="80"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convertible note conversions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815" w:type="dxa"/>
            <w:tcBorders/>
            <w:shd w:fill="FFFFFF" w:val="clear"/>
            <w:vAlign w:val="center"/>
          </w:tcPr>
          <w:p>
            <w:pPr>
              <w:pStyle w:val="TableContents"/>
              <w:bidi w:val="0"/>
              <w:spacing w:before="0" w:after="283"/>
              <w:ind w:left="0" w:right="0" w:hanging="0"/>
              <w:jc w:val="right"/>
              <w:rPr/>
            </w:pPr>
            <w:r>
              <w:rPr/>
              <w:t>—</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8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3,467</w:t>
            </w:r>
          </w:p>
        </w:tc>
        <w:tc>
          <w:tcPr>
            <w:tcW w:w="80"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from equity method investments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1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(18,143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(17,950</w:t>
            </w:r>
          </w:p>
        </w:tc>
        <w:tc>
          <w:tcPr>
            <w:tcW w:w="1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ind w:left="0" w:right="0" w:hanging="0"/>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(23,092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Long-lived assets consist of property, furniture and equipment which are included in property and equipment, net in the balance sheet. Long-lived assets by year are as follows (in thousands):</w:t>
      </w:r>
    </w:p>
    <w:p>
      <w:pPr>
        <w:pStyle w:val="TextBody"/>
        <w:bidi w:val="0"/>
        <w:spacing w:before="0" w:after="0"/>
        <w:ind w:left="0" w:right="0" w:hanging="0"/>
        <w:jc w:val="left"/>
        <w:rPr>
          <w:caps w:val="false"/>
          <w:smallCaps w:val="false"/>
        </w:rPr>
      </w:pPr>
      <w:r>
        <w:rPr>
          <w:caps w:val="false"/>
          <w:smallCaps w:val="false"/>
        </w:rPr>
        <w:t> </w:t>
      </w:r>
    </w:p>
    <w:tbl>
      <w:tblPr>
        <w:tblW w:w="6093" w:type="dxa"/>
        <w:jc w:val="left"/>
        <w:tblInd w:w="0" w:type="dxa"/>
        <w:tblLayout w:type="fixed"/>
        <w:tblCellMar>
          <w:top w:w="0" w:type="dxa"/>
          <w:left w:w="0" w:type="dxa"/>
          <w:bottom w:w="0" w:type="dxa"/>
          <w:right w:w="0" w:type="dxa"/>
        </w:tblCellMar>
      </w:tblPr>
      <w:tblGrid>
        <w:gridCol w:w="2630"/>
        <w:gridCol w:w="60"/>
        <w:gridCol w:w="125"/>
        <w:gridCol w:w="335"/>
        <w:gridCol w:w="80"/>
        <w:gridCol w:w="60"/>
        <w:gridCol w:w="137"/>
        <w:gridCol w:w="318"/>
        <w:gridCol w:w="80"/>
        <w:gridCol w:w="60"/>
        <w:gridCol w:w="209"/>
        <w:gridCol w:w="560"/>
        <w:gridCol w:w="80"/>
        <w:gridCol w:w="60"/>
        <w:gridCol w:w="366"/>
        <w:gridCol w:w="853"/>
        <w:gridCol w:w="80"/>
      </w:tblGrid>
      <w:tr>
        <w:trPr/>
        <w:tc>
          <w:tcPr>
            <w:tcW w:w="26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318"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2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of</w:t>
            </w:r>
          </w:p>
        </w:tc>
        <w:tc>
          <w:tcPr>
            <w:tcW w:w="80" w:type="dxa"/>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NRx</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Dura</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June 30,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31,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Medical equipment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6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w:t>
            </w:r>
          </w:p>
        </w:tc>
        <w:tc>
          <w:tcPr>
            <w:tcW w:w="80"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Computer equipment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3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ind w:left="0" w:right="0" w:hanging="0"/>
              <w:jc w:val="left"/>
              <w:rPr/>
            </w:pPr>
            <w:r>
              <w:rPr/>
              <w:t> </w:t>
            </w:r>
          </w:p>
        </w:tc>
        <w:tc>
          <w:tcPr>
            <w:tcW w:w="5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ind w:left="0" w:right="0" w:hanging="0"/>
              <w:jc w:val="left"/>
              <w:rPr/>
            </w:pPr>
            <w:r>
              <w:rPr/>
              <w:t> </w:t>
            </w:r>
          </w:p>
        </w:tc>
        <w:tc>
          <w:tcPr>
            <w:tcW w:w="8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80" w:type="dxa"/>
            <w:tcBorders/>
            <w:shd w:fill="FFFFFF" w:val="cle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Aircraft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31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ind w:left="0" w:right="0" w:hanging="0"/>
              <w:jc w:val="left"/>
              <w:rPr/>
            </w:pPr>
            <w:r>
              <w:rPr/>
              <w:t> </w:t>
            </w:r>
          </w:p>
        </w:tc>
        <w:tc>
          <w:tcPr>
            <w:tcW w:w="5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ind w:left="0" w:right="0" w:hanging="0"/>
              <w:jc w:val="left"/>
              <w:rPr/>
            </w:pPr>
            <w:r>
              <w:rPr/>
              <w:t> </w:t>
            </w:r>
          </w:p>
        </w:tc>
        <w:tc>
          <w:tcPr>
            <w:tcW w:w="85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Furniture and fixtures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3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ind w:left="0" w:right="0" w:hanging="0"/>
              <w:jc w:val="left"/>
              <w:rPr/>
            </w:pPr>
            <w:r>
              <w:rPr/>
              <w:t> </w:t>
            </w:r>
          </w:p>
        </w:tc>
        <w:tc>
          <w:tcPr>
            <w:tcW w:w="5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ind w:left="0" w:right="0" w:hanging="0"/>
              <w:jc w:val="left"/>
              <w:rPr/>
            </w:pPr>
            <w:r>
              <w:rPr/>
              <w:t> </w:t>
            </w:r>
          </w:p>
        </w:tc>
        <w:tc>
          <w:tcPr>
            <w:tcW w:w="8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FFFFFF" w:val="cle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Leasehold improvements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property and equipment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6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w:t>
            </w:r>
          </w:p>
        </w:tc>
        <w:tc>
          <w:tcPr>
            <w:tcW w:w="80" w:type="dxa"/>
            <w:tcBorders/>
            <w:shd w:fill="FFFFFF" w:val="cle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Accumulated depreciation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6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net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1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6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32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NRX PHARMACEUTICALS,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pPr>
      <w:r>
        <w:rPr>
          <w:rStyle w:val="Emphasis"/>
          <w:rFonts w:ascii="Times New Roman;Times;serif" w:hAnsi="Times New Roman;Times;serif"/>
          <w:b/>
          <w:sz w:val="20"/>
        </w:rPr>
        <w:t>JUNE 30, 2026</w:t>
      </w:r>
      <w:r>
        <w:rPr>
          <w:rFonts w:ascii="Times New Roman;Times;serif" w:hAnsi="Times New Roman;Times;serif"/>
          <w:b/>
          <w:sz w:val="20"/>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(Unaudited)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15.</w:t>
      </w:r>
      <w:r>
        <w:rPr>
          <w:rFonts w:ascii="Times New Roman" w:hAnsi="Times New Roman"/>
          <w:b/>
          <w:caps w:val="false"/>
          <w:smallCaps w:val="false"/>
          <w:sz w:val="20"/>
        </w:rPr>
        <w:t xml:space="preserve">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recorded no provision or benefit for income tax expense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For all periods presented, the pretax losses incurred by the Company received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corresponding tax benefit because the Company concluded that it is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the Company will be unable to realize the value of any resulting deferred tax assets. The Company will continue to assess its position in future periods to determine if it is appropriate to reduce a portion of its valuation allowance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has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open tax audits with any taxing authority as of </w:t>
      </w:r>
      <w:r>
        <w:rPr>
          <w:rStyle w:val="Emphasis"/>
          <w:rFonts w:ascii="Times New Roman" w:hAnsi="Times New Roman"/>
          <w:caps w:val="false"/>
          <w:smallCaps w:val="false"/>
          <w:sz w:val="20"/>
        </w:rPr>
        <w:t>June 30,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16.</w:t>
      </w:r>
      <w:r>
        <w:rPr>
          <w:rFonts w:ascii="Times New Roman" w:hAnsi="Times New Roman"/>
          <w:b/>
          <w:caps w:val="false"/>
          <w:smallCaps w:val="false"/>
          <w:sz w:val="20"/>
        </w:rPr>
        <w:t xml:space="preserve"> Business 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Dura Medical,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Transaction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September 8, 2025, </w:t>
      </w:r>
      <w:r>
        <w:rPr>
          <w:rFonts w:ascii="Times New Roman" w:hAnsi="Times New Roman"/>
          <w:caps w:val="false"/>
          <w:smallCaps w:val="false"/>
          <w:sz w:val="20"/>
        </w:rPr>
        <w:t xml:space="preserve">HOPE, a wholly owned subsidiary the Company, completed the acquisition of Dura, a Florida-based behavioral health and interventional psychiatry practice with locations in Naples and Fort Myers, Florida. Dura was founded in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and provides outpatient mental health treatment specializing in evidence-based therapies for treatment-resistant conditions, including depression, anxiety, PTSD, OCD, and chronic pain. Services include ketamine infusion therapy, Spravato® administration, TMS, Stellate Ganglion Blocks, psychotherapy, and medication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The acquisition aligns with the Company’s strategy to expand its clinical care delivery platform through HOPE and establish a multi-site network offering advanced interventional psychiatry services. Management expects the acquisition to accelerate revenue generation and provide a foundation for integrating proprietary therapeutics, including NRX-</w:t>
      </w:r>
      <w:r>
        <w:rPr>
          <w:rStyle w:val="Emphasis"/>
          <w:rFonts w:ascii="Times New Roman" w:hAnsi="Times New Roman"/>
          <w:caps w:val="false"/>
          <w:smallCaps w:val="false"/>
          <w:sz w:val="20"/>
        </w:rPr>
        <w:t>100</w:t>
      </w:r>
      <w:r>
        <w:rPr>
          <w:rFonts w:ascii="Times New Roman" w:hAnsi="Times New Roman"/>
          <w:caps w:val="false"/>
          <w:smallCaps w:val="false"/>
          <w:sz w:val="20"/>
        </w:rPr>
        <w:t xml:space="preserve"> and NRX-</w:t>
      </w:r>
      <w:r>
        <w:rPr>
          <w:rStyle w:val="Emphasis"/>
          <w:rFonts w:ascii="Times New Roman" w:hAnsi="Times New Roman"/>
          <w:caps w:val="false"/>
          <w:smallCaps w:val="false"/>
          <w:sz w:val="20"/>
        </w:rPr>
        <w:t>101,</w:t>
      </w:r>
      <w:r>
        <w:rPr>
          <w:rFonts w:ascii="Times New Roman" w:hAnsi="Times New Roman"/>
          <w:caps w:val="false"/>
          <w:smallCaps w:val="false"/>
          <w:sz w:val="20"/>
        </w:rPr>
        <w:t xml:space="preserve"> upon FDA approval.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Consideration Transferred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fair value of the consideration transferred was $3.52 million, consisting of cash consideration (subject to customary closing adjustments). The preliminary estimated working capital and other customary closing adjustments resulted in a decrease of approximately $0.3 million to the purchase price, which is included in the total consideration transferred.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following items were determined to represent post-employment compensation under ASC </w:t>
      </w:r>
      <w:r>
        <w:rPr>
          <w:rStyle w:val="Emphasis"/>
          <w:rFonts w:ascii="Times New Roman" w:hAnsi="Times New Roman"/>
          <w:caps w:val="false"/>
          <w:smallCaps w:val="false"/>
          <w:sz w:val="20"/>
        </w:rPr>
        <w:t>805</w:t>
      </w:r>
      <w:r>
        <w:rPr>
          <w:rFonts w:ascii="Times New Roman" w:hAnsi="Times New Roman"/>
          <w:caps w:val="false"/>
          <w:smallCaps w:val="false"/>
          <w:sz w:val="20"/>
        </w:rPr>
        <w:t xml:space="preserve"> and ASC </w:t>
      </w:r>
      <w:r>
        <w:rPr>
          <w:rStyle w:val="Emphasis"/>
          <w:rFonts w:ascii="Times New Roman" w:hAnsi="Times New Roman"/>
          <w:caps w:val="false"/>
          <w:smallCaps w:val="false"/>
          <w:sz w:val="20"/>
        </w:rPr>
        <w:t>718</w:t>
      </w:r>
      <w:r>
        <w:rPr>
          <w:rFonts w:ascii="Times New Roman" w:hAnsi="Times New Roman"/>
          <w:caps w:val="false"/>
          <w:smallCaps w:val="false"/>
          <w:sz w:val="20"/>
        </w:rPr>
        <w:t xml:space="preserve"> and are excluded from the purchase price consideration:</w:t>
      </w:r>
    </w:p>
    <w:p>
      <w:pPr>
        <w:pStyle w:val="TextBody"/>
        <w:bidi w:val="0"/>
        <w:spacing w:before="0" w:after="0"/>
        <w:ind w:left="0" w:right="0" w:hanging="0"/>
        <w:jc w:val="left"/>
        <w:rPr>
          <w:caps w:val="false"/>
          <w:smallCaps w:val="false"/>
        </w:rPr>
      </w:pPr>
      <w:r>
        <w:rPr>
          <w:caps w:val="false"/>
          <w:smallCaps w:val="false"/>
        </w:rPr>
        <w:t> </w:t>
      </w:r>
    </w:p>
    <w:tbl>
      <w:tblPr>
        <w:tblW w:w="7765" w:type="dxa"/>
        <w:jc w:val="left"/>
        <w:tblInd w:w="0" w:type="dxa"/>
        <w:tblLayout w:type="fixed"/>
        <w:tblCellMar>
          <w:top w:w="0" w:type="dxa"/>
          <w:left w:w="0" w:type="dxa"/>
          <w:bottom w:w="0" w:type="dxa"/>
          <w:right w:w="0" w:type="dxa"/>
        </w:tblCellMar>
      </w:tblPr>
      <w:tblGrid>
        <w:gridCol w:w="60"/>
        <w:gridCol w:w="170"/>
        <w:gridCol w:w="75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5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6,188 Class A units of HTX as rollover equity subject to conditional vesting;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Contingent consideration of up to $3.0 million payable over three years based on achievement of specified EBITDA performance targets.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These amounts will be accounted for as compensation expense in future periods as services are rendered.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connection with the acquisition of Dura, the Company incurred total acquisition-related costs of approximately $0.1 million during the year ended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These costs primarily consist of legal, accounting, consulting fees and a finder fee directly attributable to the transaction. These costs were expensed as incurred and are reflected in general and administrative expenses in the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Purchase Price Allocation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has applied the acquisition method of accounting in accordance with ASC </w:t>
      </w:r>
      <w:r>
        <w:rPr>
          <w:rStyle w:val="Emphasis"/>
          <w:rFonts w:ascii="Times New Roman" w:hAnsi="Times New Roman"/>
          <w:caps w:val="false"/>
          <w:smallCaps w:val="false"/>
          <w:sz w:val="20"/>
        </w:rPr>
        <w:t>805,</w:t>
      </w:r>
      <w:r>
        <w:rPr>
          <w:rFonts w:ascii="Times New Roman" w:hAnsi="Times New Roman"/>
          <w:caps w:val="false"/>
          <w:smallCaps w:val="false"/>
          <w:sz w:val="20"/>
        </w:rPr>
        <w:t xml:space="preserve"> Business Combinations (“ASC </w:t>
      </w:r>
      <w:r>
        <w:rPr>
          <w:rStyle w:val="Emphasis"/>
          <w:rFonts w:ascii="Times New Roman" w:hAnsi="Times New Roman"/>
          <w:caps w:val="false"/>
          <w:smallCaps w:val="false"/>
          <w:sz w:val="20"/>
        </w:rPr>
        <w:t>805”</w:t>
      </w:r>
      <w:r>
        <w:rPr>
          <w:rFonts w:ascii="Times New Roman" w:hAnsi="Times New Roman"/>
          <w:caps w:val="false"/>
          <w:smallCaps w:val="false"/>
          <w:sz w:val="20"/>
        </w:rPr>
        <w:t xml:space="preserve">) and recognized assets acquired, and liabilities assumed at their fair value as of the date of acquisition, with the excess purchase consideration recorded to goodwill. As the Company finalizes the estimation of the fair value of the purchase price and the fair value of the assets acquired and liabilities assumed, additional adjustments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recorded during the measurement period (a period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to exceed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months from the acquisition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33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NRX PHARMACEUTICALS,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pPr>
      <w:r>
        <w:rPr>
          <w:rStyle w:val="Emphasis"/>
          <w:rFonts w:ascii="Times New Roman;Times;serif" w:hAnsi="Times New Roman;Times;serif"/>
          <w:b/>
          <w:sz w:val="20"/>
        </w:rPr>
        <w:t>JUNE 30, 2026</w:t>
      </w:r>
      <w:r>
        <w:rPr>
          <w:rFonts w:ascii="Times New Roman;Times;serif" w:hAnsi="Times New Roman;Times;serif"/>
          <w:b/>
          <w:sz w:val="20"/>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(Unaudited) </w:t>
      </w:r>
    </w:p>
    <w:p>
      <w:pPr>
        <w:pStyle w:val="TextBody"/>
        <w:bidi w:val="0"/>
        <w:spacing w:before="0" w:after="283"/>
        <w:jc w:val="left"/>
        <w:rPr/>
      </w:pPr>
      <w:r>
        <w:rPr/>
        <w:t xml:space="preserve">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recorded all tangible and identifiable intangible assets acquired and liabilities assumed at their preliminary estimated fair values as of the acquisition date. The preliminary allocation is as follows:</w:t>
      </w:r>
    </w:p>
    <w:p>
      <w:pPr>
        <w:pStyle w:val="TextBody"/>
        <w:bidi w:val="0"/>
        <w:spacing w:before="0" w:after="0"/>
        <w:ind w:left="0" w:right="0" w:hanging="0"/>
        <w:jc w:val="left"/>
        <w:rPr>
          <w:caps w:val="false"/>
          <w:smallCaps w:val="false"/>
        </w:rPr>
      </w:pPr>
      <w:r>
        <w:rPr>
          <w:caps w:val="false"/>
          <w:smallCaps w:val="false"/>
        </w:rPr>
        <w:t> </w:t>
      </w:r>
    </w:p>
    <w:tbl>
      <w:tblPr>
        <w:tblW w:w="5945" w:type="dxa"/>
        <w:jc w:val="left"/>
        <w:tblInd w:w="0" w:type="dxa"/>
        <w:tblLayout w:type="fixed"/>
        <w:tblCellMar>
          <w:top w:w="0" w:type="dxa"/>
          <w:left w:w="0" w:type="dxa"/>
          <w:bottom w:w="28" w:type="dxa"/>
          <w:right w:w="0" w:type="dxa"/>
        </w:tblCellMar>
      </w:tblPr>
      <w:tblGrid>
        <w:gridCol w:w="5195"/>
        <w:gridCol w:w="60"/>
        <w:gridCol w:w="125"/>
        <w:gridCol w:w="485"/>
        <w:gridCol w:w="80"/>
      </w:tblGrid>
      <w:tr>
        <w:trPr/>
        <w:tc>
          <w:tcPr>
            <w:tcW w:w="519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 Recognized as of the Acquisition Date (In Thousands)</w:t>
            </w:r>
          </w:p>
        </w:tc>
        <w:tc>
          <w:tcPr>
            <w:tcW w:w="60" w:type="dxa"/>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485"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r>
      <w:tr>
        <w:trPr/>
        <w:tc>
          <w:tcPr>
            <w:tcW w:w="519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 assumed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519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536</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519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519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and non-current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453</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519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relationship</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519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name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673</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519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1,793</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519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 acquired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4,017</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519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liabilities assumed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9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assets acquired</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3,522</w:t>
            </w:r>
          </w:p>
        </w:tc>
        <w:tc>
          <w:tcPr>
            <w:tcW w:w="8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Certain adjustments of approximately $0.1 million to the purchase price were recorded, decreasing the purchase price during the measurement period ended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Changes to the provisional amounts recognized at the acquisition date—if based on new information about facts and circumstances that existed as of the acquisition—must be accounted for retrospectively during the measurement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identified the following finite-lived intangible assets, which will be amortized on a straight-line basis over their estimated useful lives once finalized:</w:t>
      </w:r>
    </w:p>
    <w:p>
      <w:pPr>
        <w:pStyle w:val="TextBody"/>
        <w:bidi w:val="0"/>
        <w:spacing w:before="0" w:after="0"/>
        <w:ind w:left="0" w:right="0" w:hanging="0"/>
        <w:jc w:val="left"/>
        <w:rPr>
          <w:caps w:val="false"/>
          <w:smallCaps w:val="false"/>
        </w:rPr>
      </w:pPr>
      <w:r>
        <w:rPr>
          <w:caps w:val="false"/>
          <w:smallCaps w:val="false"/>
        </w:rPr>
        <w:t> </w:t>
      </w:r>
    </w:p>
    <w:tbl>
      <w:tblPr>
        <w:tblW w:w="6430" w:type="dxa"/>
        <w:jc w:val="left"/>
        <w:tblInd w:w="0" w:type="dxa"/>
        <w:tblLayout w:type="fixed"/>
        <w:tblCellMar>
          <w:top w:w="0" w:type="dxa"/>
          <w:left w:w="0" w:type="dxa"/>
          <w:bottom w:w="0" w:type="dxa"/>
          <w:right w:w="0" w:type="dxa"/>
        </w:tblCellMar>
      </w:tblPr>
      <w:tblGrid>
        <w:gridCol w:w="60"/>
        <w:gridCol w:w="170"/>
        <w:gridCol w:w="62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20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Trade Name – includes the “Dura Medical” name and associated trademarks.</w:t>
            </w:r>
          </w:p>
        </w:tc>
      </w:tr>
    </w:tbl>
    <w:tbl>
      <w:tblPr>
        <w:tblW w:w="8575" w:type="dxa"/>
        <w:jc w:val="left"/>
        <w:tblInd w:w="0" w:type="dxa"/>
        <w:tblLayout w:type="fixed"/>
        <w:tblCellMar>
          <w:top w:w="0" w:type="dxa"/>
          <w:left w:w="0" w:type="dxa"/>
          <w:bottom w:w="0" w:type="dxa"/>
          <w:right w:w="0" w:type="dxa"/>
        </w:tblCellMar>
      </w:tblPr>
      <w:tblGrid>
        <w:gridCol w:w="60"/>
        <w:gridCol w:w="170"/>
        <w:gridCol w:w="83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3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relationship – representing the value of established patient relationships and referral sources.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acquired intangible assets are being amortized over their estimated useful lives as follows (in thousands):</w:t>
      </w:r>
    </w:p>
    <w:p>
      <w:pPr>
        <w:pStyle w:val="TextBody"/>
        <w:bidi w:val="0"/>
        <w:spacing w:before="0" w:after="0"/>
        <w:ind w:left="0" w:right="0" w:hanging="0"/>
        <w:jc w:val="left"/>
        <w:rPr>
          <w:caps w:val="false"/>
          <w:smallCaps w:val="false"/>
        </w:rPr>
      </w:pPr>
      <w:r>
        <w:rPr>
          <w:caps w:val="false"/>
          <w:smallCaps w:val="false"/>
        </w:rPr>
        <w:t> </w:t>
      </w:r>
    </w:p>
    <w:tbl>
      <w:tblPr>
        <w:tblW w:w="4788" w:type="dxa"/>
        <w:jc w:val="left"/>
        <w:tblInd w:w="0" w:type="dxa"/>
        <w:tblLayout w:type="fixed"/>
        <w:tblCellMar>
          <w:top w:w="0" w:type="dxa"/>
          <w:left w:w="0" w:type="dxa"/>
          <w:bottom w:w="0" w:type="dxa"/>
          <w:right w:w="0" w:type="dxa"/>
        </w:tblCellMar>
      </w:tblPr>
      <w:tblGrid>
        <w:gridCol w:w="2540"/>
        <w:gridCol w:w="60"/>
        <w:gridCol w:w="241"/>
        <w:gridCol w:w="768"/>
        <w:gridCol w:w="80"/>
        <w:gridCol w:w="60"/>
        <w:gridCol w:w="174"/>
        <w:gridCol w:w="805"/>
        <w:gridCol w:w="60"/>
      </w:tblGrid>
      <w:tr>
        <w:trPr/>
        <w:tc>
          <w:tcPr>
            <w:tcW w:w="2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Weighted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Average </w:t>
            </w:r>
          </w:p>
        </w:tc>
        <w:tc>
          <w:tcPr>
            <w:tcW w:w="60" w:type="dxa"/>
            <w:tcBorders/>
            <w:vAlign w:val="center"/>
          </w:tcPr>
          <w:p>
            <w:pPr>
              <w:pStyle w:val="TableContents"/>
              <w:bidi w:val="0"/>
              <w:spacing w:before="0" w:after="283"/>
              <w:jc w:val="left"/>
              <w:rPr/>
            </w:pPr>
            <w:r>
              <w:rPr/>
              <w:t> </w:t>
            </w:r>
          </w:p>
        </w:tc>
      </w:tr>
      <w:tr>
        <w:trPr/>
        <w:tc>
          <w:tcPr>
            <w:tcW w:w="2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Useful Life </w:t>
            </w:r>
          </w:p>
        </w:tc>
        <w:tc>
          <w:tcPr>
            <w:tcW w:w="60" w:type="dxa"/>
            <w:tcBorders/>
            <w:vAlign w:val="center"/>
          </w:tcPr>
          <w:p>
            <w:pPr>
              <w:pStyle w:val="TableContents"/>
              <w:bidi w:val="0"/>
              <w:spacing w:before="0" w:after="283"/>
              <w:jc w:val="left"/>
              <w:rPr/>
            </w:pPr>
            <w:r>
              <w:rPr/>
              <w:t> </w:t>
            </w:r>
          </w:p>
        </w:tc>
      </w:tr>
      <w:tr>
        <w:trPr/>
        <w:tc>
          <w:tcPr>
            <w:tcW w:w="2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 Values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(Years)</w:t>
            </w:r>
          </w:p>
        </w:tc>
        <w:tc>
          <w:tcPr>
            <w:tcW w:w="60" w:type="dxa"/>
            <w:tcBorders/>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name and trademarks</w:t>
            </w:r>
          </w:p>
        </w:tc>
        <w:tc>
          <w:tcPr>
            <w:tcW w:w="60" w:type="dxa"/>
            <w:tcBorders/>
            <w:shd w:fill="CCEEFF" w:val="clear"/>
            <w:vAlign w:val="center"/>
          </w:tcPr>
          <w:p>
            <w:pPr>
              <w:pStyle w:val="TableContents"/>
              <w:bidi w:val="0"/>
              <w:spacing w:before="0" w:after="283"/>
              <w:ind w:left="0" w:right="0" w:hanging="0"/>
              <w:jc w:val="left"/>
              <w:rPr/>
            </w:pPr>
            <w:r>
              <w:rPr/>
              <w:t> </w:t>
            </w:r>
          </w:p>
        </w:tc>
        <w:tc>
          <w:tcPr>
            <w:tcW w:w="2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8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60" w:type="dxa"/>
            <w:tcBorders/>
            <w:shd w:fill="CCEEFF" w:val="clear"/>
            <w:vAlign w:val="center"/>
          </w:tcPr>
          <w:p>
            <w:pPr>
              <w:pStyle w:val="TableContents"/>
              <w:bidi w:val="0"/>
              <w:spacing w:before="0" w:after="283"/>
              <w:jc w:val="left"/>
              <w:rPr/>
            </w:pPr>
            <w:r>
              <w:rPr/>
              <w:t> </w:t>
            </w:r>
          </w:p>
        </w:tc>
      </w:tr>
      <w:tr>
        <w:trPr/>
        <w:tc>
          <w:tcPr>
            <w:tcW w:w="25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relationships</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8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60" w:type="dxa"/>
            <w:tcBorders/>
            <w:shd w:fill="FFFFFF" w:val="clear"/>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intangible assets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ind w:left="0" w:right="0" w:hanging="0"/>
              <w:jc w:val="left"/>
              <w:rPr/>
            </w:pPr>
            <w:r>
              <w:rPr/>
              <w:t> </w:t>
            </w:r>
          </w:p>
        </w:tc>
        <w:tc>
          <w:tcPr>
            <w:tcW w:w="7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r>
      <w:tr>
        <w:trPr/>
        <w:tc>
          <w:tcPr>
            <w:tcW w:w="254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accumulated amortization</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carry value</w:t>
            </w:r>
          </w:p>
        </w:tc>
        <w:tc>
          <w:tcPr>
            <w:tcW w:w="60" w:type="dxa"/>
            <w:tcBorders/>
            <w:shd w:fill="CCEEFF" w:val="clear"/>
            <w:vAlign w:val="center"/>
          </w:tcPr>
          <w:p>
            <w:pPr>
              <w:pStyle w:val="TableContents"/>
              <w:bidi w:val="0"/>
              <w:spacing w:before="0" w:after="283"/>
              <w:ind w:left="0" w:right="0" w:hanging="0"/>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incurred amortization expense of $47,000 and $93,000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the maturities of the Company’s intangible assets were as follows (in thousands):</w:t>
      </w:r>
    </w:p>
    <w:p>
      <w:pPr>
        <w:pStyle w:val="TextBody"/>
        <w:bidi w:val="0"/>
        <w:spacing w:before="0" w:after="0"/>
        <w:ind w:left="0" w:right="0" w:hanging="0"/>
        <w:jc w:val="left"/>
        <w:rPr>
          <w:caps w:val="false"/>
          <w:smallCaps w:val="false"/>
        </w:rPr>
      </w:pPr>
      <w:r>
        <w:rPr>
          <w:caps w:val="false"/>
          <w:smallCaps w:val="false"/>
        </w:rPr>
        <w:t> </w:t>
      </w:r>
    </w:p>
    <w:tbl>
      <w:tblPr>
        <w:tblW w:w="2160" w:type="dxa"/>
        <w:jc w:val="left"/>
        <w:tblInd w:w="0" w:type="dxa"/>
        <w:tblLayout w:type="fixed"/>
        <w:tblCellMar>
          <w:top w:w="0" w:type="dxa"/>
          <w:left w:w="0" w:type="dxa"/>
          <w:bottom w:w="0" w:type="dxa"/>
          <w:right w:w="0" w:type="dxa"/>
        </w:tblCellMar>
      </w:tblPr>
      <w:tblGrid>
        <w:gridCol w:w="1580"/>
        <w:gridCol w:w="60"/>
        <w:gridCol w:w="125"/>
        <w:gridCol w:w="335"/>
        <w:gridCol w:w="60"/>
      </w:tblGrid>
      <w:tr>
        <w:trPr/>
        <w:tc>
          <w:tcPr>
            <w:tcW w:w="15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Remainder of 2026</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w:t>
            </w:r>
          </w:p>
        </w:tc>
        <w:tc>
          <w:tcPr>
            <w:tcW w:w="60"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w:t>
            </w:r>
          </w:p>
        </w:tc>
        <w:tc>
          <w:tcPr>
            <w:tcW w:w="60" w:type="dxa"/>
            <w:tcBorders/>
            <w:shd w:fill="FFFFFF" w:val="clear"/>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w:t>
            </w:r>
          </w:p>
        </w:tc>
        <w:tc>
          <w:tcPr>
            <w:tcW w:w="60"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2029</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w:t>
            </w:r>
          </w:p>
        </w:tc>
        <w:tc>
          <w:tcPr>
            <w:tcW w:w="60" w:type="dxa"/>
            <w:tcBorders/>
            <w:shd w:fill="FFFFFF" w:val="clear"/>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2030</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w:t>
            </w:r>
          </w:p>
        </w:tc>
        <w:tc>
          <w:tcPr>
            <w:tcW w:w="60"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Thereafter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w:t>
            </w:r>
          </w:p>
        </w:tc>
        <w:tc>
          <w:tcPr>
            <w:tcW w:w="60" w:type="dxa"/>
            <w:tcBorders/>
            <w:shd w:fill="FFFFFF" w:val="clear"/>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34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NRX PHARMACEUTICALS,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pPr>
      <w:r>
        <w:rPr>
          <w:rStyle w:val="Emphasis"/>
          <w:rFonts w:ascii="Times New Roman;Times;serif" w:hAnsi="Times New Roman;Times;serif"/>
          <w:b/>
          <w:sz w:val="20"/>
        </w:rPr>
        <w:t>JUNE 30, 2026</w:t>
      </w:r>
      <w:r>
        <w:rPr>
          <w:rFonts w:ascii="Times New Roman;Times;serif" w:hAnsi="Times New Roman;Times;serif"/>
          <w:b/>
          <w:sz w:val="20"/>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(Unaudited)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Goodwill of approximately $1.8 million represents the excess of the purchase consideration over the fair value of net assets acquired and was recognized in connection with the acquisition. </w:t>
      </w:r>
      <w:r>
        <w:rPr>
          <w:rStyle w:val="Emphasis"/>
          <w:rFonts w:ascii="Times New Roman" w:hAnsi="Times New Roman"/>
          <w:caps w:val="false"/>
          <w:smallCaps w:val="false"/>
          <w:sz w:val="20"/>
        </w:rPr>
        <w:t>None</w:t>
      </w:r>
      <w:r>
        <w:rPr>
          <w:rFonts w:ascii="Times New Roman" w:hAnsi="Times New Roman"/>
          <w:caps w:val="false"/>
          <w:smallCaps w:val="false"/>
          <w:sz w:val="20"/>
        </w:rPr>
        <w:t xml:space="preserve"> of the goodwill is expected to be deductible for tax purposes. The goodwill is assigned to the Dura subsidiary. The goodwill primarily represents expected synergies, assembled workforce, and future growth potential.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goodwill arose from step acquisitions or non-controlling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Measurement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Acquisition was recorded as a business combination on a preliminary valuation of assets acquired and liabilities assumed at their acquisition date fair values using unobservable inputs that are supported by little or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market activity and are significant to their fair value of the assets and liabilities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inputs). We expect to complete our purchase price allocation, as well as our fair value estimate of the purchase price consideration as soon as reasonably possible,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to exceed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from the acquisition date. Adjustments to the preliminary purchase price and allocation could be material. Goodwill and intangible assets represent the excess of the purchase price consideration over the preliminary valuation of the other net assets acquired.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Pro-Forma Financial Information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following unaudited pro forma information presents the consolidated results of Dura included in the Company’s consolidated statement of operations and comprehensive loss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as if the acquisition was made on </w:t>
      </w:r>
      <w:r>
        <w:rPr>
          <w:rStyle w:val="Emphasis"/>
          <w:rFonts w:ascii="Times New Roman" w:hAnsi="Times New Roman"/>
          <w:caps w:val="false"/>
          <w:smallCaps w:val="false"/>
          <w:sz w:val="20"/>
        </w:rPr>
        <w:t xml:space="preserve">January 1, 2025. </w:t>
      </w:r>
      <w:r>
        <w:rPr>
          <w:rFonts w:ascii="Times New Roman" w:hAnsi="Times New Roman"/>
          <w:caps w:val="false"/>
          <w:smallCaps w:val="false"/>
          <w:sz w:val="20"/>
        </w:rPr>
        <w:t xml:space="preserve">The unaudited pro forma information is presented for illustrative purposes only. It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the results of operations of future periods, or the results of operations that actually would have been realized had the entities been a single company during the periods presented or the results that the combined company will experience after the acquisition. The unaudited pro forma information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give effect to the potential impact of current financial conditions, regulatory matters or any anticipated synergies, operating efficiencies or cost savings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associated with the acquisition. The unaudited pro forma information also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any integration costs or remaining future transaction costs that the companies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incur related to the acquisition as part of combining the operations of the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unaudited pro forma consolidated results of revenue and net loss, assuming the acquisitions had occurred on </w:t>
      </w:r>
      <w:r>
        <w:rPr>
          <w:rStyle w:val="Emphasis"/>
          <w:rFonts w:ascii="Times New Roman" w:hAnsi="Times New Roman"/>
          <w:caps w:val="false"/>
          <w:smallCaps w:val="false"/>
          <w:sz w:val="20"/>
        </w:rPr>
        <w:t xml:space="preserve">January 1, 2025, </w:t>
      </w:r>
      <w:r>
        <w:rPr>
          <w:rFonts w:ascii="Times New Roman" w:hAnsi="Times New Roman"/>
          <w:caps w:val="false"/>
          <w:smallCaps w:val="false"/>
          <w:sz w:val="20"/>
        </w:rPr>
        <w:t>is as follows (in thousands):</w:t>
      </w:r>
    </w:p>
    <w:p>
      <w:pPr>
        <w:pStyle w:val="TextBody"/>
        <w:bidi w:val="0"/>
        <w:spacing w:before="0" w:after="0"/>
        <w:ind w:left="0" w:right="0" w:hanging="0"/>
        <w:jc w:val="left"/>
        <w:rPr>
          <w:caps w:val="false"/>
          <w:smallCaps w:val="false"/>
        </w:rPr>
      </w:pPr>
      <w:r>
        <w:rPr>
          <w:caps w:val="false"/>
          <w:smallCaps w:val="false"/>
        </w:rPr>
        <w:t> </w:t>
      </w:r>
    </w:p>
    <w:tbl>
      <w:tblPr>
        <w:tblW w:w="4403" w:type="dxa"/>
        <w:jc w:val="left"/>
        <w:tblInd w:w="0" w:type="dxa"/>
        <w:tblLayout w:type="fixed"/>
        <w:tblCellMar>
          <w:top w:w="0" w:type="dxa"/>
          <w:left w:w="0" w:type="dxa"/>
          <w:bottom w:w="0" w:type="dxa"/>
          <w:right w:w="0" w:type="dxa"/>
        </w:tblCellMar>
      </w:tblPr>
      <w:tblGrid>
        <w:gridCol w:w="755"/>
        <w:gridCol w:w="60"/>
        <w:gridCol w:w="284"/>
        <w:gridCol w:w="1490"/>
        <w:gridCol w:w="80"/>
        <w:gridCol w:w="60"/>
        <w:gridCol w:w="253"/>
        <w:gridCol w:w="1326"/>
        <w:gridCol w:w="95"/>
      </w:tblGrid>
      <w:tr>
        <w:trPr/>
        <w:tc>
          <w:tcPr>
            <w:tcW w:w="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7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95" w:type="dxa"/>
            <w:tcBorders/>
            <w:vAlign w:val="center"/>
          </w:tcPr>
          <w:p>
            <w:pPr>
              <w:pStyle w:val="TableContents"/>
              <w:bidi w:val="0"/>
              <w:spacing w:before="0" w:after="283"/>
              <w:jc w:val="left"/>
              <w:rPr/>
            </w:pPr>
            <w:r>
              <w:rPr/>
              <w:t> </w:t>
            </w:r>
          </w:p>
        </w:tc>
      </w:tr>
      <w:tr>
        <w:trPr/>
        <w:tc>
          <w:tcPr>
            <w:tcW w:w="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three months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ended June,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7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six months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ended June,</w:t>
            </w:r>
          </w:p>
        </w:tc>
        <w:tc>
          <w:tcPr>
            <w:tcW w:w="95" w:type="dxa"/>
            <w:tcBorders/>
            <w:vAlign w:val="center"/>
          </w:tcPr>
          <w:p>
            <w:pPr>
              <w:pStyle w:val="TableContents"/>
              <w:bidi w:val="0"/>
              <w:spacing w:before="0" w:after="283"/>
              <w:jc w:val="left"/>
              <w:rPr/>
            </w:pPr>
            <w:r>
              <w:rPr/>
              <w:t> </w:t>
            </w:r>
          </w:p>
        </w:tc>
      </w:tr>
      <w:tr>
        <w:trPr/>
        <w:tc>
          <w:tcPr>
            <w:tcW w:w="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95" w:type="dxa"/>
            <w:tcBorders/>
            <w:vAlign w:val="center"/>
          </w:tcPr>
          <w:p>
            <w:pPr>
              <w:pStyle w:val="TableContents"/>
              <w:bidi w:val="0"/>
              <w:spacing w:before="0" w:after="283"/>
              <w:jc w:val="left"/>
              <w:rPr/>
            </w:pPr>
            <w:r>
              <w:rPr/>
              <w:t> </w:t>
            </w:r>
          </w:p>
        </w:tc>
      </w:tr>
      <w:tr>
        <w:trPr/>
        <w:tc>
          <w:tcPr>
            <w:tcW w:w="7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2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2,019</w:t>
            </w:r>
          </w:p>
        </w:tc>
        <w:tc>
          <w:tcPr>
            <w:tcW w:w="95" w:type="dxa"/>
            <w:tcBorders/>
            <w:shd w:fill="CCEEFF" w:val="clear"/>
            <w:vAlign w:val="center"/>
          </w:tcPr>
          <w:p>
            <w:pPr>
              <w:pStyle w:val="TableContents"/>
              <w:bidi w:val="0"/>
              <w:spacing w:before="0" w:after="283"/>
              <w:jc w:val="left"/>
              <w:rPr/>
            </w:pPr>
            <w:r>
              <w:rPr/>
              <w:t> </w:t>
            </w:r>
          </w:p>
        </w:tc>
      </w:tr>
      <w:tr>
        <w:trPr/>
        <w:tc>
          <w:tcPr>
            <w:tcW w:w="7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2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(17,581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5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(22,939</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unaudited pro forma results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ended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include material nonrecurring adjustments of $0.1 million related to the amortization of intangible assets acquired in connection with the Dura acquisition and approximately $0.1 million related to the finders’ fees incurred and earned upon closing of the transaction. Net patient service revenue and net income attributable to Dura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2025, </w:t>
      </w:r>
      <w:r>
        <w:rPr>
          <w:rFonts w:ascii="Times New Roman" w:hAnsi="Times New Roman"/>
          <w:caps w:val="false"/>
          <w:smallCaps w:val="false"/>
          <w:sz w:val="20"/>
        </w:rPr>
        <w:t xml:space="preserve">and included in the Company’s consolidated statement of operations, were $1 million and $0.1 million, respectively. Net patient service revenue and net income attributable to Dura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and included in the Company’s consolidated statement of operations, were $2 million and $0.2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17.</w:t>
      </w:r>
      <w:r>
        <w:rPr>
          <w:rFonts w:ascii="Times New Roman" w:hAnsi="Times New Roman"/>
          <w:b/>
          <w:caps w:val="false"/>
          <w:smallCaps w:val="false"/>
          <w:sz w:val="20"/>
        </w:rPr>
        <w:t xml:space="preserve">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Glytech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The Company licenses patents that are owned by Glytech, LLC (Glytech), pursuant to a license agreement (the “</w:t>
      </w:r>
      <w:r>
        <w:rPr>
          <w:rFonts w:ascii="Times New Roman" w:hAnsi="Times New Roman"/>
          <w:i/>
          <w:caps w:val="false"/>
          <w:smallCaps w:val="false"/>
          <w:sz w:val="20"/>
        </w:rPr>
        <w:t>Glytech Agreement</w:t>
      </w:r>
      <w:r>
        <w:rPr>
          <w:rFonts w:ascii="Times New Roman" w:hAnsi="Times New Roman"/>
          <w:caps w:val="false"/>
          <w:smallCaps w:val="false"/>
          <w:sz w:val="20"/>
        </w:rPr>
        <w:t xml:space="preserve">”). Glytech is owned by Daniel Javitt, the co-founder and a former director of the Company. The Glytech Agreement requires that the Company pay Glytech for ongoing scientific support and also reimburse Glytech for expenses of obtaining and maintaining patents that are licensed to the Company.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Company paid Glytech $0.3 million and $0, respectively, for continuing technology support services and reimbursed expenses.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Company paid Glytech $0.3 million and $0, respectively, for continuing technology support services and reimbursed expenses. These support services are ongoing.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35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NRX PHARMACEUTICALS,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pPr>
      <w:r>
        <w:rPr>
          <w:rStyle w:val="Emphasis"/>
          <w:rFonts w:ascii="Times New Roman;Times;serif" w:hAnsi="Times New Roman;Times;serif"/>
          <w:b/>
          <w:sz w:val="20"/>
        </w:rPr>
        <w:t>JUNE 30, 2026</w:t>
      </w:r>
      <w:r>
        <w:rPr>
          <w:rFonts w:ascii="Times New Roman;Times;serif" w:hAnsi="Times New Roman;Times;serif"/>
          <w:b/>
          <w:sz w:val="20"/>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(Unaudited)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The Fourth Amendment to the Glytech Agreement, effective as of </w:t>
      </w:r>
      <w:r>
        <w:rPr>
          <w:rStyle w:val="Emphasis"/>
          <w:rFonts w:ascii="Times New Roman" w:hAnsi="Times New Roman"/>
          <w:caps w:val="false"/>
          <w:smallCaps w:val="false"/>
          <w:sz w:val="20"/>
        </w:rPr>
        <w:t>December 31,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includes an equity value-triggered transfer of Excluded Technology from Glytech to the Company. The Excluded Technology is defined in the Glytech Agreement as any technology, and any know-how related thereto, covered in the licensed patents that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recite either DCS or lurasidone individually or jointly. This definition would cover pharmaceutical formulations, including some that the Company considers “pipeline” or “future product” opportunities, which contain a combination of pharmaceutical components different from those contained in NRX-</w:t>
      </w:r>
      <w:r>
        <w:rPr>
          <w:rStyle w:val="Emphasis"/>
          <w:rFonts w:ascii="Times New Roman" w:hAnsi="Times New Roman"/>
          <w:caps w:val="false"/>
          <w:smallCaps w:val="false"/>
          <w:sz w:val="20"/>
        </w:rPr>
        <w:t>100</w:t>
      </w:r>
      <w:r>
        <w:rPr>
          <w:rFonts w:ascii="Times New Roman" w:hAnsi="Times New Roman"/>
          <w:caps w:val="false"/>
          <w:smallCaps w:val="false"/>
          <w:sz w:val="20"/>
        </w:rPr>
        <w:t xml:space="preserve"> and NRX-</w:t>
      </w:r>
      <w:r>
        <w:rPr>
          <w:rStyle w:val="Emphasis"/>
          <w:rFonts w:ascii="Times New Roman" w:hAnsi="Times New Roman"/>
          <w:caps w:val="false"/>
          <w:smallCaps w:val="false"/>
          <w:sz w:val="20"/>
        </w:rPr>
        <w:t>101.</w:t>
      </w:r>
      <w:r>
        <w:rPr>
          <w:rFonts w:ascii="Times New Roman" w:hAnsi="Times New Roman"/>
          <w:caps w:val="false"/>
          <w:smallCaps w:val="false"/>
          <w:sz w:val="20"/>
        </w:rPr>
        <w:t xml:space="preserve"> On </w:t>
      </w:r>
      <w:r>
        <w:rPr>
          <w:rStyle w:val="Emphasis"/>
          <w:rFonts w:ascii="Times New Roman" w:hAnsi="Times New Roman"/>
          <w:caps w:val="false"/>
          <w:smallCaps w:val="false"/>
          <w:sz w:val="20"/>
        </w:rPr>
        <w:t xml:space="preserve">November 6, 2022 </w:t>
      </w:r>
      <w:r>
        <w:rPr>
          <w:rFonts w:ascii="Times New Roman" w:hAnsi="Times New Roman"/>
          <w:caps w:val="false"/>
          <w:smallCaps w:val="false"/>
          <w:sz w:val="20"/>
        </w:rPr>
        <w:t xml:space="preserve">the Glytech Agreement was amended whereby Glytech agreed to transfer and assign the remainder of the Licensed Technology and the Excluded Technology to the Company for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additional consideration at any time upon receipt of written notice from the Company if, on or prior to </w:t>
      </w:r>
      <w:r>
        <w:rPr>
          <w:rStyle w:val="Emphasis"/>
          <w:rFonts w:ascii="Times New Roman" w:hAnsi="Times New Roman"/>
          <w:caps w:val="false"/>
          <w:smallCaps w:val="false"/>
          <w:sz w:val="20"/>
        </w:rPr>
        <w:t>June 30, 2024, (</w:t>
      </w:r>
      <w:r>
        <w:rPr>
          <w:rFonts w:ascii="Times New Roman" w:hAnsi="Times New Roman"/>
          <w:caps w:val="false"/>
          <w:smallCaps w:val="false"/>
          <w:sz w:val="20"/>
        </w:rPr>
        <w:t xml:space="preserve">i) the value of the Glytech equity holdings in the Company (the “Glytech Equity”) has an aggregate liquidity value of at least $50 million for </w:t>
      </w:r>
      <w:r>
        <w:rPr>
          <w:rStyle w:val="Emphasis"/>
          <w:rFonts w:ascii="Times New Roman" w:hAnsi="Times New Roman"/>
          <w:caps w:val="false"/>
          <w:smallCaps w:val="false"/>
          <w:sz w:val="20"/>
        </w:rPr>
        <w:t>twenty</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w:t>
      </w:r>
      <w:r>
        <w:rPr>
          <w:rFonts w:ascii="Times New Roman" w:hAnsi="Times New Roman"/>
          <w:caps w:val="false"/>
          <w:smallCaps w:val="false"/>
          <w:sz w:val="20"/>
        </w:rPr>
        <w:t xml:space="preserve">) consecutive trading days immediately preceding any given date and (ii) there are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legal or contractual restrictions on selling all of the securities represented by the Glytech Equity then applicable to Glytech (or reasonably foreseeable to be applicable to Glytech within the following </w:t>
      </w:r>
      <w:r>
        <w:rPr>
          <w:rStyle w:val="Emphasis"/>
          <w:rFonts w:ascii="Times New Roman" w:hAnsi="Times New Roman"/>
          <w:caps w:val="false"/>
          <w:smallCaps w:val="false"/>
          <w:sz w:val="20"/>
        </w:rPr>
        <w:t>twenty</w:t>
      </w:r>
      <w:r>
        <w:rPr>
          <w:rFonts w:ascii="Times New Roman" w:hAnsi="Times New Roman"/>
          <w:caps w:val="false"/>
          <w:smallCaps w:val="false"/>
          <w:sz w:val="20"/>
        </w:rPr>
        <w:t xml:space="preserve"> trading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Consulting Agreement with Dr. Jonathan Javitt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Chief Scientist of the Company, Dr. Jonathan Javitt, is a major stockholder of the Company and a member of the Board. Therefore, his services are deemed to be a related party transaction. He served the Company on a full-time basis as chief executive officer under an employment agreement with the Company until </w:t>
      </w:r>
      <w:r>
        <w:rPr>
          <w:rStyle w:val="Emphasis"/>
          <w:rFonts w:ascii="Times New Roman" w:hAnsi="Times New Roman"/>
          <w:caps w:val="false"/>
          <w:smallCaps w:val="false"/>
          <w:sz w:val="20"/>
        </w:rPr>
        <w:t xml:space="preserve">March 8, 2022 </w:t>
      </w:r>
      <w:r>
        <w:rPr>
          <w:rFonts w:ascii="Times New Roman" w:hAnsi="Times New Roman"/>
          <w:caps w:val="false"/>
          <w:smallCaps w:val="false"/>
          <w:sz w:val="20"/>
        </w:rPr>
        <w:t xml:space="preserve">and currently serves under a consulting agreement with the Company as Chief Scientist thereafter and received compensation of $0.1 million and $0.1 million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respectively. Dr. Javitt received compensation of $0.4 million and $0.6 million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29, 2023, </w:t>
      </w:r>
      <w:r>
        <w:rPr>
          <w:rFonts w:ascii="Times New Roman" w:hAnsi="Times New Roman"/>
          <w:caps w:val="false"/>
          <w:smallCaps w:val="false"/>
          <w:sz w:val="20"/>
        </w:rPr>
        <w:t xml:space="preserve">the consulting agreement dated </w:t>
      </w:r>
      <w:r>
        <w:rPr>
          <w:rStyle w:val="Emphasis"/>
          <w:rFonts w:ascii="Times New Roman" w:hAnsi="Times New Roman"/>
          <w:caps w:val="false"/>
          <w:smallCaps w:val="false"/>
          <w:sz w:val="20"/>
        </w:rPr>
        <w:t>March 8, 2022 (</w:t>
      </w:r>
      <w:r>
        <w:rPr>
          <w:rFonts w:ascii="Times New Roman" w:hAnsi="Times New Roman"/>
          <w:caps w:val="false"/>
          <w:smallCaps w:val="false"/>
          <w:sz w:val="20"/>
        </w:rPr>
        <w:t xml:space="preserve">the “Javitt Consulting Agreement”) between the Company and Dr. Jonathan Javitt was amended to extend the term of the Javitt Consulting Agreement until </w:t>
      </w:r>
      <w:r>
        <w:rPr>
          <w:rStyle w:val="Emphasis"/>
          <w:rFonts w:ascii="Times New Roman" w:hAnsi="Times New Roman"/>
          <w:caps w:val="false"/>
          <w:smallCaps w:val="false"/>
          <w:sz w:val="20"/>
        </w:rPr>
        <w:t xml:space="preserve">March 8, 2024 </w:t>
      </w:r>
      <w:r>
        <w:rPr>
          <w:rFonts w:ascii="Times New Roman" w:hAnsi="Times New Roman"/>
          <w:caps w:val="false"/>
          <w:smallCaps w:val="false"/>
          <w:sz w:val="20"/>
        </w:rPr>
        <w:t xml:space="preserve">with automatic annual renewals thereafter unless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party or the other provides notice of non-renewal. The amendment also provided for payment at the rate of $0.6 million per year, payable monthly (i.e., less than $0.1 million per month), and a performance-based annual bonus with a minimum target of $0.3 million, at the discretion of the Board and upon satisfactory performance of the services.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accrued discretionary bonus compensation under the Javitt Consulting Agreement totaled $0 and $0.2 million, respectively, and was included in accrued expenses and other current liabilities on the condensed consolidated balance sheets. The $0.2 million accrued bonus outstanding 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was paid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Consulting Agreement with Zachary Javitt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Zachary Javitt is the son of Dr. Jonathan Javitt. Zachary Javitt provides services related to website, IT, and marketing support under the supervision of the Company’s Chief Executive Officer who is responsible for assuring that the services are provided on financial terms that are at market. The Company paid this family member a total of less than $0.1 million and less than $0.1 million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respectively. The Company paid this family member a total of $0.1 million and $0.1 million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respectively. These services are ongoing.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Included in accounts payable were less than $0.1 million and $0.3 million due to the above related parties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Consulting Agreement with Michael Taylor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June 2024, </w:t>
      </w:r>
      <w:r>
        <w:rPr>
          <w:rFonts w:ascii="Times New Roman" w:hAnsi="Times New Roman"/>
          <w:caps w:val="false"/>
          <w:smallCaps w:val="false"/>
          <w:sz w:val="20"/>
        </w:rPr>
        <w:t xml:space="preserve">the Company entered into a consulting agreement with Michael Taylor (the “Taylor Consulting Agreement”), who was subsequently appointed to the Company’s Board of Directors in </w:t>
      </w:r>
      <w:r>
        <w:rPr>
          <w:rStyle w:val="Emphasis"/>
          <w:rFonts w:ascii="Times New Roman" w:hAnsi="Times New Roman"/>
          <w:caps w:val="false"/>
          <w:smallCaps w:val="false"/>
          <w:sz w:val="20"/>
        </w:rPr>
        <w:t xml:space="preserve">January 2025. </w:t>
      </w:r>
      <w:r>
        <w:rPr>
          <w:rFonts w:ascii="Times New Roman" w:hAnsi="Times New Roman"/>
          <w:caps w:val="false"/>
          <w:smallCaps w:val="false"/>
          <w:sz w:val="20"/>
        </w:rPr>
        <w:t xml:space="preserve">Pursuant to the Taylor Consulting Agreement, Mr. Taylor provides capital formation and strategic advisory services in support of the Company’s development of HOPE, including advising on the Company’s initial funding efforts for HOPE, assisting with outreach to family offices and similar investors, and supporting the identification and retention of a brand ambassador.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Company made cash payments to Mr. Taylor totaling less than $0.1 million and less than $0.1 million, respectively, in connection with the Taylor Consulting Agreement.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Company made cash payments to Mr. Taylor totaling less than $0.1 million and less than $0.1 million, respectively, in connection with the Taylor Consulting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Naples Lease Operating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leases its Naples clinic from Dura Properties, LLC, an entity owned and controlled by Dura’s former sole member. Following the acquisition on </w:t>
      </w:r>
      <w:r>
        <w:rPr>
          <w:rStyle w:val="Emphasis"/>
          <w:rFonts w:ascii="Times New Roman" w:hAnsi="Times New Roman"/>
          <w:caps w:val="false"/>
          <w:smallCaps w:val="false"/>
          <w:sz w:val="20"/>
        </w:rPr>
        <w:t xml:space="preserve">September 8, 2025, </w:t>
      </w:r>
      <w:r>
        <w:rPr>
          <w:rFonts w:ascii="Times New Roman" w:hAnsi="Times New Roman"/>
          <w:caps w:val="false"/>
          <w:smallCaps w:val="false"/>
          <w:sz w:val="20"/>
        </w:rPr>
        <w:t xml:space="preserve">the former sole member became a director and minority shareholder of the Company. As a result, the related-party lease right-of-use (“ROU”) asset and operating lease liability were measured as of the acquisition date in accordance with FASB ASC </w:t>
      </w:r>
      <w:r>
        <w:rPr>
          <w:rStyle w:val="Emphasis"/>
          <w:rFonts w:ascii="Times New Roman" w:hAnsi="Times New Roman"/>
          <w:caps w:val="false"/>
          <w:smallCaps w:val="false"/>
          <w:sz w:val="20"/>
        </w:rPr>
        <w:t>805,</w:t>
      </w:r>
      <w:r>
        <w:rPr>
          <w:rFonts w:ascii="Times New Roman" w:hAnsi="Times New Roman"/>
          <w:caps w:val="false"/>
          <w:smallCaps w:val="false"/>
          <w:sz w:val="20"/>
        </w:rPr>
        <w:t xml:space="preserve"> Business Combinations, as if the lease were a new lease as of that date. Lease payments under the lease agreement were less than $0.1 million for each of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36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NRX PHARMACEUTICALS,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pPr>
      <w:r>
        <w:rPr>
          <w:rStyle w:val="Emphasis"/>
          <w:rFonts w:ascii="Times New Roman;Times;serif" w:hAnsi="Times New Roman;Times;serif"/>
          <w:b/>
          <w:sz w:val="20"/>
        </w:rPr>
        <w:t>JUNE 30, 2026</w:t>
      </w:r>
      <w:r>
        <w:rPr>
          <w:rFonts w:ascii="Times New Roman;Times;serif" w:hAnsi="Times New Roman;Times;serif"/>
          <w:b/>
          <w:sz w:val="20"/>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(Unaudited)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18.</w:t>
      </w:r>
      <w:r>
        <w:rPr>
          <w:rFonts w:ascii="Times New Roman" w:hAnsi="Times New Roman"/>
          <w:b/>
          <w:caps w:val="false"/>
          <w:smallCaps w:val="false"/>
          <w:sz w:val="20"/>
        </w:rPr>
        <w:t xml:space="preserve"> Investment in Cohen and Associates:</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October 17, 2025, </w:t>
      </w:r>
      <w:r>
        <w:rPr>
          <w:rFonts w:ascii="Times New Roman" w:hAnsi="Times New Roman"/>
          <w:caps w:val="false"/>
          <w:smallCaps w:val="false"/>
          <w:sz w:val="20"/>
        </w:rPr>
        <w:t xml:space="preserve">the Company, through its subsidiary HOPE, completed the acquisition of a strategic, minority ownership interest in Cohen &amp; Associates, LLC, a Florida limited liability company (Cohen &amp; Associates), for cash consideration of $432,000. The investment was acquired pursuant to a Membership Interest Purchase Agreement dated </w:t>
      </w:r>
      <w:r>
        <w:rPr>
          <w:rStyle w:val="Emphasis"/>
          <w:rFonts w:ascii="Times New Roman" w:hAnsi="Times New Roman"/>
          <w:caps w:val="false"/>
          <w:smallCaps w:val="false"/>
          <w:sz w:val="20"/>
        </w:rPr>
        <w:t xml:space="preserve">October 17, 2025, </w:t>
      </w:r>
      <w:r>
        <w:rPr>
          <w:rFonts w:ascii="Times New Roman" w:hAnsi="Times New Roman"/>
          <w:caps w:val="false"/>
          <w:smallCaps w:val="false"/>
          <w:sz w:val="20"/>
        </w:rPr>
        <w:t>by and among HOPE, Cohen LLC, and Rebecca S. Cohen, MD, which includes customary representations, warranties, indemnification provisions, and certain post</w:t>
        <w:noBreakHyphen/>
        <w:t>closing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accounts for its investment in Cohen &amp; Associates under the equity method of accounting, as the Company has the ability to exercise significant influence over Cohen &amp; Associates but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control the entity. The investment is recorded at cost and subsequently adjusted for the Company’s proportionate share of Cohen &amp; Associates’ net income or loss, which is included in equity method loss in the accompanying statements of operations for the year ended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in the amount of $35,000. 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the carrying value of the equity method investment was $397 thousand.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19.</w:t>
      </w:r>
      <w:r>
        <w:rPr>
          <w:rFonts w:ascii="Times New Roman" w:hAnsi="Times New Roman"/>
          <w:b/>
          <w:caps w:val="false"/>
          <w:smallCaps w:val="false"/>
          <w:sz w:val="20"/>
        </w:rPr>
        <w:t xml:space="preserve"> 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July 28, 2026, </w:t>
      </w:r>
      <w:r>
        <w:rPr>
          <w:rFonts w:ascii="Times New Roman" w:hAnsi="Times New Roman"/>
          <w:caps w:val="false"/>
          <w:smallCaps w:val="false"/>
          <w:sz w:val="20"/>
        </w:rPr>
        <w:t xml:space="preserve">the Compensation Committee approved equity awards under the Company's equity incentive plan. Awards granted to executive officers consisted of 398,353 restricted stock units ("RSUs"), including 150,000 RSUs granted to the Executive Chairman, 75,000 RSUs granted to the Chief Executive Officer, and 173,353 RSUs granted to the newly appointed Chief Commercial Officer. In addition, an employee was granted stock options to purchase 25,000 shares of the Company's common stock with an exercise price of $3.54 per share, representing the closing price of the Company's common stock on </w:t>
      </w:r>
      <w:r>
        <w:rPr>
          <w:rStyle w:val="Emphasis"/>
          <w:rFonts w:ascii="Times New Roman" w:hAnsi="Times New Roman"/>
          <w:caps w:val="false"/>
          <w:smallCaps w:val="false"/>
          <w:sz w:val="20"/>
        </w:rPr>
        <w:t xml:space="preserve">July 28, 2026. </w:t>
      </w:r>
      <w:r>
        <w:rPr>
          <w:rFonts w:ascii="Times New Roman" w:hAnsi="Times New Roman"/>
          <w:caps w:val="false"/>
          <w:smallCaps w:val="false"/>
          <w:sz w:val="20"/>
        </w:rPr>
        <w:t xml:space="preserve">All awards vest in three equal annual installments on </w:t>
      </w:r>
      <w:r>
        <w:rPr>
          <w:rStyle w:val="Emphasis"/>
          <w:rFonts w:ascii="Times New Roman" w:hAnsi="Times New Roman"/>
          <w:caps w:val="false"/>
          <w:smallCaps w:val="false"/>
          <w:sz w:val="20"/>
        </w:rPr>
        <w:t xml:space="preserve">July 28, 2027, July 28, 2028,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July 28, 2029, </w:t>
      </w:r>
      <w:r>
        <w:rPr>
          <w:rFonts w:ascii="Times New Roman" w:hAnsi="Times New Roman"/>
          <w:caps w:val="false"/>
          <w:smallCaps w:val="false"/>
          <w:sz w:val="20"/>
        </w:rPr>
        <w:t>subject to the recipient's continued service with the Company through each applicable vesting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Termination of Kadima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August 12, 2026, </w:t>
      </w:r>
      <w:r>
        <w:rPr>
          <w:rFonts w:ascii="Times New Roman" w:hAnsi="Times New Roman"/>
          <w:caps w:val="false"/>
          <w:smallCaps w:val="false"/>
          <w:sz w:val="20"/>
        </w:rPr>
        <w:t>HOPE, together with HTX, delivered a notice of termination to Kadima with respect to Kadima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the notice, Hope and HTX stated that certain conditions precedent to closing under the Kadima Purchase Agreement had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been satisfied and asserted that Kadima had breached certain provisions of the Kadima Purchase Agreement. Hope and HTX further asserted that such alleged breaches constituted an independent basis for termination of the Kadima Purchase Agreement and, accordingly, declared the Kadima Purchase Agreement terminated for cause effective immediately. Hope and HTX stated that they have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obligation to consummate the transactions contemplated by the Kadima Purchase Agreement and expressly reserved all rights and remedies available under the Kadima Purchase Agreement and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matters underlying the termination notice are the subject of ongoing dispute resolution proceedings, including arbitration pursuant to the Kadima Purchase Agreement and related litigation. The Company continues to evaluate the accounting, financial reporting, legal, and operational implications of the termination notice and the related proceedings. As of the date the accompanying condensed consolidated financial statements were issued, the ultimate outcome of these matters cannot be determined.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37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bookmarkStart w:id="8" w:name="mda"/>
      <w:bookmarkEnd w:id="8"/>
      <w:r>
        <w:rPr>
          <w:rFonts w:ascii="Times New Roman" w:hAnsi="Times New Roman"/>
          <w:b/>
          <w:caps w:val="false"/>
          <w:smallCaps w:val="false"/>
          <w:sz w:val="20"/>
        </w:rPr>
        <w:t>Item 2. 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You should read the following discussion and analysis of NRx Pharmaceuticals</w:t>
      </w:r>
      <w:r>
        <w:rPr>
          <w:rFonts w:ascii="Times New Roman" w:hAnsi="Times New Roman"/>
          <w:caps w:val="false"/>
          <w:smallCaps w:val="false"/>
          <w:sz w:val="20"/>
        </w:rPr>
        <w:t xml:space="preserve">’ </w:t>
      </w:r>
      <w:r>
        <w:rPr>
          <w:rFonts w:ascii="Times New Roman" w:hAnsi="Times New Roman"/>
          <w:i/>
          <w:caps w:val="false"/>
          <w:smallCaps w:val="false"/>
          <w:sz w:val="20"/>
        </w:rPr>
        <w:t>financial condition and plan of operations together with NRx Pharmaceuticals' consolidated financial statements and the related notes appearing elsewhere herein. In addition to historical information, this discussion and analysis contains forward looking statements that involve risks, uncertainties, and assumptions. NRx Pharmaceuticals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actual results may differ materially from those discussed below. Factors that could cause or contribute to such differences include, but are not limited to, those identified below, and those discussed in the section entitled </w:t>
      </w:r>
      <w:r>
        <w:rPr>
          <w:rFonts w:ascii="Times New Roman" w:hAnsi="Times New Roman"/>
          <w:caps w:val="false"/>
          <w:smallCaps w:val="false"/>
          <w:sz w:val="20"/>
        </w:rPr>
        <w:t>“</w:t>
      </w:r>
      <w:r>
        <w:rPr>
          <w:rFonts w:ascii="Times New Roman" w:hAnsi="Times New Roman"/>
          <w:i/>
          <w:caps w:val="false"/>
          <w:smallCaps w:val="false"/>
          <w:sz w:val="20"/>
        </w:rPr>
        <w:t>Risk Factors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included elsewhere herein. All references to </w:t>
      </w:r>
      <w:r>
        <w:rPr>
          <w:rFonts w:ascii="Times New Roman" w:hAnsi="Times New Roman"/>
          <w:caps w:val="false"/>
          <w:smallCaps w:val="false"/>
          <w:sz w:val="20"/>
        </w:rPr>
        <w:t>“</w:t>
      </w:r>
      <w:r>
        <w:rPr>
          <w:rFonts w:ascii="Times New Roman" w:hAnsi="Times New Roman"/>
          <w:i/>
          <w:caps w:val="false"/>
          <w:smallCaps w:val="false"/>
          <w:sz w:val="20"/>
        </w:rPr>
        <w:t>Note,</w:t>
      </w:r>
      <w:r>
        <w:rPr>
          <w:rFonts w:ascii="Times New Roman" w:hAnsi="Times New Roman"/>
          <w:caps w:val="false"/>
          <w:smallCaps w:val="false"/>
          <w:sz w:val="20"/>
        </w:rPr>
        <w:t xml:space="preserve">” </w:t>
      </w:r>
      <w:r>
        <w:rPr>
          <w:rFonts w:ascii="Times New Roman" w:hAnsi="Times New Roman"/>
          <w:i/>
          <w:caps w:val="false"/>
          <w:smallCaps w:val="false"/>
          <w:sz w:val="20"/>
        </w:rPr>
        <w:t>followed by a number reference from 1 to 15</w:t>
      </w:r>
      <w:r>
        <w:rPr>
          <w:rFonts w:ascii="Times New Roman" w:hAnsi="Times New Roman"/>
          <w:caps w:val="false"/>
          <w:smallCaps w:val="false"/>
          <w:sz w:val="20"/>
        </w:rPr>
        <w:t> </w:t>
      </w:r>
      <w:r>
        <w:rPr>
          <w:rFonts w:ascii="Times New Roman" w:hAnsi="Times New Roman"/>
          <w:i/>
          <w:caps w:val="false"/>
          <w:smallCaps w:val="false"/>
          <w:sz w:val="20"/>
        </w:rPr>
        <w:t>herein, refer to the applicable corresponding numbered footnotes to these consolidated financial statements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Key Secord Quarter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the second quarter of 2026 and the subsequent period, NRx has achieved four key milestones that have the potential to support near-term profitability and transformative scientific progress: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 completed its first institutionally-supported public offering, raising $20 million in net capital to support commercialization activities related to its preservative-free ketamine product, expected to launch in Q4 2026.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 completed its first FDA ANDA review cycle with no major deficiencies related to the drug, its manufacture, or constituent parts. The only major deficiency noted was a concern related to the luer lock tip of the drug vial, a concern for which FDA identified a path to approval during a meeting conducted with NRx on August 6, 2026. The Company anticipates an expedited path to approval given the current drug shortage of ketamine.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 was selected by the Defense Advance Research Projects Agency as the Prime Contractor for the SPARC-TMS trial, that seeks to measure the efficacy of the Company’s Breakthrough Drug NRX-101 together with robotically-controlled Transcranial Magnetic Stimulation. The study protocol has been approved by the FDA and by the Advarra IRB (</w:t>
            </w:r>
            <w:r>
              <w:rPr>
                <w:rFonts w:ascii="Times New Roman;Times;serif" w:hAnsi="Times New Roman;Times;serif"/>
                <w:caps w:val="false"/>
                <w:smallCaps w:val="false"/>
                <w:sz w:val="20"/>
                <w:u w:val="single"/>
              </w:rPr>
              <w:t>www.clinicaltrials.gov</w:t>
            </w:r>
            <w:r>
              <w:rPr>
                <w:rFonts w:ascii="Times New Roman;Times;serif" w:hAnsi="Times New Roman;Times;serif"/>
                <w:caps w:val="false"/>
                <w:smallCaps w:val="false"/>
                <w:sz w:val="20"/>
              </w:rPr>
              <w:t> NCT 07227103). The funded trial budget is expected to exceed $11.5 million in non-dilutive funding with additional funds committed to support military study sites. A successful outcome from this trial could lead to FDA approval of NRX-101 for this purpose and to widespread funded adoption of this therapy throughout military and first responder organizations. TRICARE, the insurance program that serves the military already reimburses HOPE Therapeutics clinics for traditional TMS. Hence the funding mechanism for clinical deployment is already in place should the SPARC-TMS trial succeed.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GeNeuro, Inc., a subsidiary of NRx was awarded all assets previously owned by Geneuro, SA (EPN:GNRO). The two investigational antibody products and underlying portfolio of more than 25 patents were developed with more than $150 million of European Investment Trust funding and have already demonstrated statistically-significant clinical benefit in treatment of Multiple Sclerosis and Type 1 Diabetes. The Company is partnered with the US National Institutes of Health and has been issued a jointly-owned patent (commercially controlled by GeNeuro) for the treatment of Amyotrophic Lateral Sclerosis (ALS) with anti-HERV-K Envelope Protein antibody. In July 2026 the Company was selected in the first round of the Congressionally Directed Medical Research Program (CDMRP) and invited to submit a final bid for initial clinical trial funding in ALS by September 30, 2026. The Company was further advised that $80 million in additional funding was added to the 2027 US Defense Budget (as noted on Congressional websites) to support a clinical trial in ALS, although there is no allocation specific to GeNeuro/NIH for these funds.</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Overview of Second Quarter Progress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Historically, NeuroRx drug development activities have focused on drugs that enhance neuroplasticity by modulating the N-methyl-D-aspartate (NMDA) receptor in the brain and nervous system, a neurochemical pathway that has been disclosed in detail in our annual filings. NRx is additionally the founder and majority owner of HOPE Therapeutics, Inc. (HOPE), a medical services company that offers interventional psychiatry care to patients with treatment-resistant depression and PTSD with a combination of neuroplastic drugs, transcranial magnetic stimulation (TMS), digital therapeutics, and hyperbaric therapy.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three months ended June 30, 2026, NRx founded two additional Florida-based subsidiaries: NRx Defense Systems, Inc. (NRXD) and GeNeuro, Inc. (GeNeuro). NRXD (</w:t>
      </w:r>
      <w:r>
        <w:rPr>
          <w:rFonts w:ascii="Times New Roman" w:hAnsi="Times New Roman"/>
          <w:caps w:val="false"/>
          <w:smallCaps w:val="false"/>
          <w:sz w:val="20"/>
          <w:u w:val="single"/>
        </w:rPr>
        <w:t>www.nrxdefense.com</w:t>
      </w:r>
      <w:r>
        <w:rPr>
          <w:rFonts w:ascii="Times New Roman" w:hAnsi="Times New Roman"/>
          <w:caps w:val="false"/>
          <w:smallCaps w:val="false"/>
          <w:sz w:val="20"/>
        </w:rPr>
        <w:t>) focuses on military and first-responder uses of NRx/HOPE technology in partnership with the Department of War, the Defense Advanced, Research Projects Agency, the Walter Reed National Military Medical Center/Henry Jackson Foundation, and first responder organizations. GeNeuro has developed patented monoclonal antibodies to treat Amyotrophic Lateral Sclerosis (ALS), Multiple Sclerosis (MS), Psychosis, and Type I Diabetes (T1D) that may be caused by Human Endogenous Retroviruses (HERVs). GeNeuro (</w:t>
      </w:r>
      <w:r>
        <w:rPr>
          <w:rFonts w:ascii="Times New Roman" w:hAnsi="Times New Roman"/>
          <w:caps w:val="false"/>
          <w:smallCaps w:val="false"/>
          <w:sz w:val="20"/>
          <w:u w:val="single"/>
        </w:rPr>
        <w:t>www.geneuro.us</w:t>
      </w:r>
      <w:r>
        <w:rPr>
          <w:rFonts w:ascii="Times New Roman" w:hAnsi="Times New Roman"/>
          <w:caps w:val="false"/>
          <w:smallCaps w:val="false"/>
          <w:sz w:val="20"/>
        </w:rPr>
        <w:t>) is partnered with the US National Institutes of Health (NIH) through a Cooperative Research and Development Agreement (CRADA) and shared patents and has been selected in the first round of the 2026 Congressionally Directed Medical Research Program (CDMRP). GeNeuro is additionally partnered through shared patents related to treatment of Schizophrenia with the Fondation FundaMental of France. The GeNeuro assets were originally developed by GeNeuro SA (EPN:GNRO) and awarded to GeNeuro Inc. by the Courts of Switzerland in June 2026. NRXD and GeNeuro are intended to be funded by sources that are nondilutive to NRXP.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of June 30, 2026, NRx has three lead drug candidates – NRX-100, a preservative-free formulation of ketamine for intravenous infusion, a generic preservative-free formulation of ketamine currently awaiting (KETAFREE™), NRX-101, an oral fixed dose combination of D-cycloserine (DCS) and lurasidone, together with a preclinical drug NRX-200, pH neutral form of ketamine suitable for subcutaneous administration. GeNeuro has one clinical stage drug candidate (Temelimab), a monoclonal antibody against HERV-W envelope protein that has shown clinical benefit in clinical trials conducted in MS, Type I Diabetes, and Long Covid. Temelimab has additionally shown preclinical benefit in schizophrenia. GeNeuro has a preclinical asset, GNK-301, developed in partnership with the NIH, that has shown reduction of ALS-like neurodegeneration in non-clinical subjects and human brain cell culture.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NRx currently has three lead drug candidates – NRX-100, a preservative-free formulation of ketamine for intravenous infusion, a generic preservative-free formulation of ketamine (KETAFREE™) and NRX-101, an oral fixed dose combination of D-cycloserine (DCS) and lurasidone. KETAFREE™, NRX-100 and NRX-101 are in the process of submission for Food and Drug Administration (FDA) approval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8"/>
        <w:gridCol w:w="10017"/>
      </w:tblGrid>
      <w:tr>
        <w:trPr/>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1001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 Abbreviated New Drug Application (ANDA) for preservative free formulation of ketamine was filed, with priority review requested in September 2025. In April 2026, the Company met with leadership of the Office of Generic Drug Products to review the application status and the office advised the Company that FDA was endeavoring to complete the product review by the end of Summer 2026. Subsequent to the end of the second quarter of 2026, on July 30, 2026, as disclosed previously, the FDA notified the Company that its first-round review identified no major deficiencies relating to the drug components of the product, but identified a major deficiency relating to the container closure system, specifically the potential for deformation of the twist-off tip of the product’s luer lock vial during use. Following a clarification meeting with the FDA, the FDA requested manufacturer certifications confirming that the product is manufactured using the same manufacturing lines, machinery, plastics and other characteristics as three previously approved ANDA products currently in commercial distribution. The Company intends to submit the requested certifications, and the FDA indicated that it would reinitiate its review upon receipt and seek to complete the review on an expedited basis. The Company has additionally submitted a citizen petition seeking to have benzethonium chloride, a toxic preservative, removed from all commercial presentations of ketamine. Management believes that the current generic market for ketamine exceeds $750 million per year.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1001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New Drug Application (NDA) for Nrx-100, originally initiated during the fourth quarter of 2024, is in the process of completion. During Q2, the Company had multiple interactions with FDA related to the statistical analyses that will be required for the inclusion of Real World Evidence and in Q3 worked with FDA to finalize the luer lock vial for NRX-100.  The NDA is expected to be finalized in Q3 2026. Filing was delayed while the Company resolved the luer lock vial issue because the same vial is used in NRX-100. As previously noted, both the White House and the Congressional Appropriations Committee that funds FDA have guided FDA to consider Real World Evidence (RWE) for the approval of intravenous ketamine products. The Company has identified RWE demonstrating a dramatic effect of ketamine in reducing those symptoms and potentially doing so more rapidly than intranasal S-ketamine. The Company and FDA are in the process of reaching agreement on the statistical methods that will be used to evaluate the RWE for use in the NDA. Now that the luer lock vial issue is resolved, the Company anticipates submitting the NDA by the end of Q3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30"/>
        <w:gridCol w:w="10015"/>
      </w:tblGrid>
      <w:tr>
        <w:trPr/>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 NDA filing for NRX-101 for its original indication of treating suicidal bipolar depression has been initiated with the submission of the Module 3 manufacturing file to the FDA. The drug was previously awarded Breakthrough Therapy Designation and, accordingly, the Company is requesting rolling review from the NDA. Breakthrough Therapy Designation is granted by the FDA to facilitate the development and expedite the review of drugs to treat serious conditions that address an unmet medical need and have demonstrated preliminary evidence of efficacy as determined by the FDA. NRX-101 demonstrated reduction in akathisia compared to lurasidone alone and more rapid reduction in suicidality in two randomized clinical trials. Based on current data, the Company aims to seek accelerated approval for use of NRX-101 in patients with bipolar depression who exhibit suicidal ideation on currently approved medication. In June 2026, the Company agreed to partner with the Harvard Mass General-led Bipolar Action Network in supporting an open label clinical trial of NRX-101 in treatment-resistant patients with bipolar depression.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9"/>
        <w:gridCol w:w="9996"/>
      </w:tblGrid>
      <w:tr>
        <w:trPr/>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4)</w:t>
            </w:r>
          </w:p>
        </w:tc>
        <w:tc>
          <w:tcPr>
            <w:tcW w:w="999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 is now initiating the SPARC-TMS Trial, (</w:t>
            </w:r>
            <w:r>
              <w:rPr>
                <w:rFonts w:ascii="Times New Roman;Times;serif" w:hAnsi="Times New Roman;Times;serif"/>
                <w:caps w:val="false"/>
                <w:smallCaps w:val="false"/>
                <w:sz w:val="20"/>
                <w:u w:val="single"/>
              </w:rPr>
              <w:t>www.clinicaltrials.gov</w:t>
            </w:r>
            <w:r>
              <w:rPr>
                <w:rFonts w:ascii="Times New Roman;Times;serif" w:hAnsi="Times New Roman;Times;serif"/>
                <w:caps w:val="false"/>
                <w:smallCaps w:val="false"/>
                <w:sz w:val="20"/>
              </w:rPr>
              <w:t xml:space="preserve"> NCT 07227103) and anticipating funding under a contract with the Defense Advanced Research Projects Agency. Formal notification of NRx as Prime Contractor has been issued, although funds are not guaranteed until the contracting process is completed. The trial will include 240 participants to be treated at HOPE Therapeutics, Harvard Mclean Hospital, Arizona State University and other locations with projected funding in excess of $11.5 million. An additional 160 participants will be treated at military treatment facilities including the Walter Reed National Military Medical Center using additional budget funds. Further information on these activities may be viewed at </w:t>
            </w:r>
            <w:r>
              <w:rPr>
                <w:rFonts w:ascii="Times New Roman;Times;serif" w:hAnsi="Times New Roman;Times;serif"/>
                <w:caps w:val="false"/>
                <w:smallCaps w:val="false"/>
                <w:sz w:val="20"/>
                <w:u w:val="single"/>
              </w:rPr>
              <w:t>www.nrxdefense.com</w:t>
            </w:r>
            <w:r>
              <w:rPr>
                <w:rFonts w:ascii="Times New Roman;Times;serif" w:hAnsi="Times New Roman;Times;serif"/>
                <w:caps w:val="false"/>
                <w:smallCaps w:val="false"/>
                <w:sz w:val="20"/>
              </w:rPr>
              <w:t>.   </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 anticipates that success in the SPARC-TMS trial would be consistent with the filing of a New Drug Application for the use of NRX-101 to augment the effects of Transcranial Magnetic Stimulation, potentially providing the Company with a path to approval based on the provision of non-dilutive capital by the US Department of War.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Overview of GeNeuro-based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Human Endogenous Retroviruses (HERVs) and their potential role in the pathogensis of CNS disease began to be appreciated around 2010 and the science is not widely known. The majority of the HERV literature has emanated from Europe and the United Kingdom (see </w:t>
      </w:r>
      <w:r>
        <w:rPr>
          <w:rFonts w:ascii="Times New Roman" w:hAnsi="Times New Roman"/>
          <w:caps w:val="false"/>
          <w:smallCaps w:val="false"/>
          <w:sz w:val="20"/>
          <w:u w:val="single"/>
        </w:rPr>
        <w:t>www.geneuro.us</w:t>
      </w:r>
      <w:r>
        <w:rPr>
          <w:rFonts w:ascii="Times New Roman" w:hAnsi="Times New Roman"/>
          <w:caps w:val="false"/>
          <w:smallCaps w:val="false"/>
          <w:sz w:val="20"/>
        </w:rPr>
        <w:t>). NRx’s involvement in this area began with its collaboration with the Fondation FondaMental and its CEO, Prof. Marion Leboyer, who serves as a member of the NRx advisory board. Prof. Leboyer together with Dr. Herve Perron first recognized the potential role of Human Endogenous Retrovirus (HERV-W) in causing Schizophrenia and the potential role of an anti HERV-W Envelope Protein antibody as a disease-modifying drug to treat schizophrenia and other forms of psychosis. (see US patent application 2024/0301040 A1). The antibody was developed by a French biotechnology Company owned by GeNeuro, SA, which was involved in a liquidation following a failed Covid-related clinical trial. In May 2026, the Company was advised by Swiss authorities that NRx was the winning bidder in a liquidation sale of the GeNeuro assets. These assets include the schizophrenia drug, together a broad patent portfolio and related cell lines, antibodies, regulatory files, and data from three completed human clinical trials. In addition to schizophrenia, the GeNeuro portfolio offers potential treatments for Multiple Sclerosis, Amyelotrophic Lateral Sclerosis (ALS), Autism, Optic Neuritis, and Type I Diabetes. The Schizophrenia patent is jointly owned with Fondation FondaMental. The patent related to ALS (US 10,723,787 B2) was co-invented with the US National Institutes of Health and shared under an intellectual property agreement. Dr. Herve Perron, formerly Chief Scientist of GeNeuro has joined the Company’s initiative as its Chief Scientist. The acquisition of the GeNeuro assets was finalized during Q2 of 2026 and the Company anticipates supporting this exciting endeavor through investment channels that are not dilutive to core NRx investors. GeNeuro has already won two first-round selections for the 2026 Congressionally Directed Medical Research Program (CDMRP) and has been invited to submit final proposals.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GeNeuro, Inc. has not initiated manufacturing of human-grade GNK-301 (anti-HERV-K envelope protein antibody) for a planned First in Human trial in patients with ALS targeted to commence in July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Recent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Drug Development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5"/>
        <w:gridCol w:w="170"/>
        <w:gridCol w:w="9010"/>
      </w:tblGrid>
      <w:tr>
        <w:trPr/>
        <w:tc>
          <w:tcPr>
            <w:tcW w:w="10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KETAFREE</w:t>
              <w:br/>
              <w:t>&amp; NRX-100</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FDA inspection of manufacturing facility with reclassification to VAI status, meeting the manufacturing site requirements for Preapproval Inspection and grant of ANDA.</w:t>
            </w:r>
          </w:p>
        </w:tc>
      </w:tr>
      <w:tr>
        <w:trPr/>
        <w:tc>
          <w:tcPr>
            <w:tcW w:w="102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10" w:type="dxa"/>
            <w:tcBorders/>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KETAFREE</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Completion of First Cycle ANDA Review. No Major Deficiencies related to drug product, drug substance, CMC, labeling or related matters. Major Deficiency identified related to luer lock tip of the medication vial. NRx has submitted the documentation requested by FDA from the drug manufacturer.</w:t>
            </w:r>
          </w:p>
        </w:tc>
      </w:tr>
      <w:tr>
        <w:trPr/>
        <w:tc>
          <w:tcPr>
            <w:tcW w:w="102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10" w:type="dxa"/>
            <w:tcBorders/>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KETAFREE</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Initiation of commercial manufacturing at 1 million dose per batch scale. Manufactured drug anticipated by the third quarter.</w:t>
            </w:r>
          </w:p>
        </w:tc>
      </w:tr>
      <w:tr>
        <w:trPr/>
        <w:tc>
          <w:tcPr>
            <w:tcW w:w="102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10" w:type="dxa"/>
            <w:tcBorders/>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NRX-100</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Presidential Executive Order: Accelerating Medical Treatments for Serious Mental Illness signed April 16, 2026 directing FDA and HHS to collaborate on use of HHS-funded clinical trials for the approval of psychedelic drugs to treat severe, treatment-resistant mental health conditions.</w:t>
            </w:r>
          </w:p>
        </w:tc>
      </w:tr>
      <w:tr>
        <w:trPr/>
        <w:tc>
          <w:tcPr>
            <w:tcW w:w="102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10" w:type="dxa"/>
            <w:tcBorders/>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NRX-100</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Publication of Congressional Appropriations Language directing FDA to utilize Real World Evidence as a basis for Substantial Evidence of Efficacy in products to treat suicidal depression and PTSD.</w:t>
            </w:r>
          </w:p>
        </w:tc>
      </w:tr>
      <w:tr>
        <w:trPr/>
        <w:tc>
          <w:tcPr>
            <w:tcW w:w="102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10" w:type="dxa"/>
            <w:tcBorders/>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NRX-100</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Initiation of Real World Evidence analysis project with Osmind, Inc, to provide RWE on 65,000 patients treated with intravenous ketamine for depression compared to 6,000 patients treated with intranasal S-ketamine. Superiority of IV Ketamine vs. Spravato in magnitude and rapidity of onset identified from RWE.</w:t>
            </w:r>
          </w:p>
        </w:tc>
      </w:tr>
      <w:tr>
        <w:trPr/>
        <w:tc>
          <w:tcPr>
            <w:tcW w:w="102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10" w:type="dxa"/>
            <w:tcBorders/>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NRX-100</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Planned Type A meeting to finalize RWE Statistical Analysis protocols.</w:t>
            </w:r>
          </w:p>
        </w:tc>
      </w:tr>
      <w:tr>
        <w:trPr/>
        <w:tc>
          <w:tcPr>
            <w:tcW w:w="102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10" w:type="dxa"/>
            <w:tcBorders/>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NRX-101</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Approval to proceed with SPARC-TMS trial for use of NRX-101 to augment the clinical effect of Transcranial Magnetic Stimulation.</w:t>
            </w:r>
          </w:p>
        </w:tc>
      </w:tr>
      <w:tr>
        <w:trPr/>
        <w:tc>
          <w:tcPr>
            <w:tcW w:w="102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10" w:type="dxa"/>
            <w:tcBorders/>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NRX-101</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Non-clinical validation of a proprietary extended release form of D-cycloserine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HOPE Therapeutics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Establishment of HOPE clinics in Naples, FL, Fort Meyers, FL, West Palm Beach, FL and Sarasota, FL (2), and Boca Raton, FL with locations under development in Boston, MD, Denver, CO, and other locations.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Partnership with EMOBOT, Inc. (Paris, France) to deploy continuous patient monitoring of depression, PTSD, and suicidality across HOPE’s clinical footprint to support accountable care initiatives.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Development partnership with Zeta Surgical (</w:t>
            </w:r>
            <w:r>
              <w:rPr>
                <w:rFonts w:ascii="Times New Roman;Times;serif" w:hAnsi="Times New Roman;Times;serif"/>
                <w:caps w:val="false"/>
                <w:smallCaps w:val="false"/>
                <w:sz w:val="20"/>
                <w:u w:val="single"/>
              </w:rPr>
              <w:t>https://www.zetasurgical.com</w:t>
            </w:r>
            <w:r>
              <w:rPr>
                <w:rFonts w:ascii="Times New Roman;Times;serif" w:hAnsi="Times New Roman;Times;serif"/>
                <w:caps w:val="false"/>
                <w:smallCaps w:val="false"/>
                <w:sz w:val="20"/>
              </w:rPr>
              <w:t>) neurosurgical robotics manufacturer to support development of military-focused TMS technology in support of force preparedness.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NRx Defense Systems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donation of NRX-101 to designated Military Treatment Facilities for clinical trial of TMS+NRX-101 in the treatment of depression and PTSD.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GeNeuro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Incorporation of GeNeuro, as a subsidiary of NRx to focus on mitigation of Human Endogenous Retroviral infection in the treatment of Psychosis, Multiple Sclerosis, ALS, Autism, and Optic Neuritis. Key patents owned jointly with Fondation FondaMental and with the US National Institutes of Health.</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Award by the Courts of Switzerland through a winning bid of all assets previously owned by GeNeuro, SA, to include patents, cell lines, finished investigational product, regulatory filings, and data from three completed clinical trials. The acquisition was finalized during the second quarter of 2026.</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First round selection of two proposals totaling $3 million by the Congressionally Directed Medical Research Program. Final bids are due September 30,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May 2025, the Company reinstated the at-the-market offering and increased the maximum aggregate offering amount and filed a prospectus supplement under the offering agreement for an aggregate of $20,000,000. During the year ended December 31, 2025, the Company sold an aggregate of 2,277,177 shares of Common Stock for approximately $6.54 million, net of $0.2 million in offering costs. During the three and six months ended June 30, 2025, the aggregate net cash proceeds to the Company from the ATM Purchase Agreements were approximately $1.0 million. During the three and six months ended June 30, 2026, the aggregate net cash proceeds to the Company from the ATM Purchase Agreements were approximately $8.4 million and $11.8 million, respectively. On June 4, 2026, the Company completed an underwritten public offering of 6,378,942 shares of its common stock at a public offering price of $3.50 per share, which included the exercise of the underwriters' over-allotment option. The Company received net proceeds of approximately $20.7 million after deducting underwriting discounts, commissions, and other offering expenses. Pursuant to the Anson Purchase Agreement, on January 28, 2025, the Company issued $5.4 million of Third Tranche Anson Notes at an 8% original issue discount for total cash proceeds of approximately $5.0 million. On August 18, 2025, the Company entered into the Second RD Purchase Agreement with certain accredited investors for the sale of an aggregate of 3,959,999 shares of Common Stock, at a purchase price of $1.65 per share. The Second Registered Direct Offering closed on August 18, 2025, and resulted in net proceeds of approximately $6.2 million, after deducting placement agent fees and other offering-related expenses of approximately $0.3 million. On September 30, 2025, the 1,870,960 shares underlying Anson Warrants were exercised for cash proceeds of $3.09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Although no assurances can be given, management believes that it will be able to secure necessary financing to support and consummate its potential future acquisition candidates, execute its business plan and achieve its projected revenue objectives.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Since inception, the Company has incurred significant operating losses. For the three months ended June 30, 2026 and 2025, the Company’s net loss was $16.5 million and $17.6 million, respectively. For the six months ended June 30, 2026 and 2025, the Company’s net loss was $17.9 million and $23.1 million, respectively. As of June 30, 2026, the Company had an accumulated deficit of $324.8 million, a stockholders’ deficit of less than $0.2 million and a working capital deficit of $4.7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ongoing clinical activities continue to generate losses and net cash outflows from operations. The Company plans to pursue additional equity or debt financing or refinancing opportunities to fund ongoing clinical activities, and for the general corporate purposes of the Company. Such arrangements may take the form of loans, equity offerings, strategic agreements, licensing agreements, joint ventures, or other agreements. The sale of equity could result in additional dilution to the Company’s existing stockholders. The Company cannot make any assurances that additional financing will be available to it and, if available, on acceptable terms, or that it will be able to refinance its existing debt obligations which could negatively impact the Company’s business and operations and could also lead to a reduction in the Company’s operations. The Company will continue to carefully monitor the impact of its continuing operations on its working capital needs and debt repayment obligations. As such, the Company has concluded that substantial doubt exists about the Company’s ability to continue as a going concern for a period of at least twelve months from the date of issuance of these consolidated financial statements. The Company may raise substantial additional funds, and if it does so, it may do so through one or more of the following: issuance of additional debt or equity and/or the completion of a licensing or other commercial transaction for one of the Company’s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accompanying consolidated financial statements have been prepared on a going concern basis, which contemplates the realization of assets and satisfaction of liabilities in the ordinary course of business. The consolidated financial statements do not include any adjustments relating to the recoverability and classification of recorded asset amounts or the amounts and classification of liabilities that may be necessary if the Company is unable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Components of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Company recognizes patient service revenue in accordance with ASC 606, </w:t>
      </w:r>
      <w:r>
        <w:rPr>
          <w:rFonts w:ascii="Times New Roman" w:hAnsi="Times New Roman"/>
          <w:i/>
          <w:caps w:val="false"/>
          <w:smallCaps w:val="false"/>
          <w:sz w:val="20"/>
        </w:rPr>
        <w:t>Revenue from Contracts with Customers</w:t>
      </w:r>
      <w:r>
        <w:rPr>
          <w:rFonts w:ascii="Times New Roman" w:hAnsi="Times New Roman"/>
          <w:caps w:val="false"/>
          <w:smallCaps w:val="false"/>
          <w:sz w:val="20"/>
        </w:rPr>
        <w:t>. Revenue is recognized as performance obligations are satisfied, which occurs over time as patients simultaneously receive and consume the benefits of the services provided. Each treatment or visit generally represents a separate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Procedural services, such as ketamine infusions, esketamine administration, TMS sessions, and SGB/epidural procedures, are recognized at the point in time when services are rendered.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three and six months ended June 30, 2026, the Company recorded total revenue of approximately $1.1 million and $2.2 million, respectively, which was solely attributable to patient services provided by Dura following its acquisition on September 8, 2025. Prior to the acquisition, the Company did not generate revenue as it was in the development stage and primarily focused on corporate formation, financing, and acquisition-related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initial post-acquisition revenue reflects only a partial period of operations and therefore is not indicative of the Company’s expected ongoing revenue levels. Management anticipates that revenue will increase in subsequent periods as Dura’s operations are fully integrated and additional clinical capacity, patient volume, and service lines are expanded under the Company’s ownership.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Cost of patient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Cost of patient services consists primarily of direct expenses associated with providing healthcare services, including salaries and benefits for clinical personnel, medical supplies, pharmaceuticals, and other costs directly attributable to patient care. These costs are expensed as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three and six months ended June 30, 2026, cost of patient services related solely to operations of Dura following the Company’s acquisition on September 8, 2025. Given the limited period of post-acquisition operations, current cost levels are not representative of the Company’s expected ongoing operating costs. Management anticipates that cost of patient services will increase in proportion with the expected growth in patient volumes and expansion of clinical activities in future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Research and development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research and development expense consists primarily of costs associated with the Company’s clinical trials, salaries, payroll taxes, employee benefits, and equity-based compensation charges for those individuals involved in ongoing research and development efforts. Research and development costs are expensed as incurred. Advance payments for goods and services that will be used in future research and development activities are expensed when the activity has been performed or when the goods have been received.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General and administrative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General and administrative expenses consist primarily of salaries, stock-based compensation, consultant fees, and professional fees for legal and accounting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Settlement (income)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Settlement (income) expense during the three and six months ended June 30, 2026, consists of amounts related to the resolution of legal claims and income recognized from the reduction of previously accrued settlement liabilities, as certain matters were settled for less than originally estimated.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Results of operations for the three months</w:t>
      </w:r>
      <w:r>
        <w:rPr>
          <w:rFonts w:ascii="Times New Roman" w:hAnsi="Times New Roman"/>
          <w:caps w:val="false"/>
          <w:smallCaps w:val="false"/>
          <w:sz w:val="20"/>
        </w:rPr>
        <w:t> </w:t>
      </w:r>
      <w:r>
        <w:rPr>
          <w:rFonts w:ascii="Times New Roman" w:hAnsi="Times New Roman"/>
          <w:b/>
          <w:caps w:val="false"/>
          <w:smallCaps w:val="false"/>
          <w:sz w:val="20"/>
        </w:rPr>
        <w:t>ended June 30,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sets forth the Company’s selected statements of operations data for the following periods (in thousands):</w:t>
      </w:r>
    </w:p>
    <w:p>
      <w:pPr>
        <w:pStyle w:val="TextBody"/>
        <w:bidi w:val="0"/>
        <w:spacing w:before="0" w:after="0"/>
        <w:ind w:left="0" w:right="0" w:hanging="0"/>
        <w:jc w:val="left"/>
        <w:rPr>
          <w:caps w:val="false"/>
          <w:smallCaps w:val="false"/>
        </w:rPr>
      </w:pPr>
      <w:r>
        <w:rPr>
          <w:caps w:val="false"/>
          <w:smallCaps w:val="false"/>
        </w:rPr>
        <w:t> </w:t>
      </w:r>
    </w:p>
    <w:tbl>
      <w:tblPr>
        <w:tblW w:w="6794" w:type="dxa"/>
        <w:jc w:val="left"/>
        <w:tblInd w:w="0" w:type="dxa"/>
        <w:tblLayout w:type="fixed"/>
        <w:tblCellMar>
          <w:top w:w="0" w:type="dxa"/>
          <w:left w:w="0" w:type="dxa"/>
          <w:bottom w:w="0" w:type="dxa"/>
          <w:right w:w="0" w:type="dxa"/>
        </w:tblCellMar>
      </w:tblPr>
      <w:tblGrid>
        <w:gridCol w:w="3950"/>
        <w:gridCol w:w="60"/>
        <w:gridCol w:w="125"/>
        <w:gridCol w:w="650"/>
        <w:gridCol w:w="80"/>
        <w:gridCol w:w="60"/>
        <w:gridCol w:w="125"/>
        <w:gridCol w:w="650"/>
        <w:gridCol w:w="80"/>
        <w:gridCol w:w="60"/>
        <w:gridCol w:w="163"/>
        <w:gridCol w:w="711"/>
        <w:gridCol w:w="80"/>
      </w:tblGrid>
      <w:tr>
        <w:trPr/>
        <w:tc>
          <w:tcPr>
            <w:tcW w:w="3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9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 in</w:t>
            </w:r>
          </w:p>
        </w:tc>
        <w:tc>
          <w:tcPr>
            <w:tcW w:w="80" w:type="dxa"/>
            <w:tcBorders/>
            <w:vAlign w:val="center"/>
          </w:tcPr>
          <w:p>
            <w:pPr>
              <w:pStyle w:val="TableContents"/>
              <w:bidi w:val="0"/>
              <w:spacing w:before="0" w:after="283"/>
              <w:jc w:val="left"/>
              <w:rPr/>
            </w:pPr>
            <w:r>
              <w:rPr/>
              <w:t> </w:t>
            </w:r>
          </w:p>
        </w:tc>
      </w:tr>
      <w:tr>
        <w:trPr/>
        <w:tc>
          <w:tcPr>
            <w:tcW w:w="3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Dollars</w:t>
            </w:r>
          </w:p>
        </w:tc>
        <w:tc>
          <w:tcPr>
            <w:tcW w:w="80" w:type="dxa"/>
            <w:tcBorders/>
            <w:vAlign w:val="center"/>
          </w:tcPr>
          <w:p>
            <w:pPr>
              <w:pStyle w:val="TableContents"/>
              <w:bidi w:val="0"/>
              <w:spacing w:before="0" w:after="283"/>
              <w:jc w:val="left"/>
              <w:rPr/>
            </w:pPr>
            <w:r>
              <w:rPr/>
              <w:t> </w:t>
            </w:r>
          </w:p>
        </w:tc>
      </w:tr>
      <w:tr>
        <w:trPr/>
        <w:tc>
          <w:tcPr>
            <w:tcW w:w="3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patient service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1,101</w:t>
            </w:r>
          </w:p>
        </w:tc>
        <w:tc>
          <w:tcPr>
            <w:tcW w:w="80"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patient services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7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675</w:t>
            </w:r>
          </w:p>
        </w:tc>
        <w:tc>
          <w:tcPr>
            <w:tcW w:w="80"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7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1,129</w:t>
            </w:r>
          </w:p>
        </w:tc>
        <w:tc>
          <w:tcPr>
            <w:tcW w:w="80"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7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2,002</w:t>
            </w:r>
          </w:p>
        </w:tc>
        <w:tc>
          <w:tcPr>
            <w:tcW w:w="80"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7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p>
        </w:tc>
        <w:tc>
          <w:tcPr>
            <w:tcW w:w="80"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Settlement expense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3,876</w:t>
            </w:r>
          </w:p>
        </w:tc>
        <w:tc>
          <w:tcPr>
            <w:tcW w:w="80"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7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7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w:t>
            </w:r>
          </w:p>
        </w:tc>
        <w:tc>
          <w:tcPr>
            <w:tcW w:w="80"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convertible note payable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7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warrant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7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3,370</w:t>
            </w:r>
          </w:p>
        </w:tc>
        <w:tc>
          <w:tcPr>
            <w:tcW w:w="80"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convertible note conversions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7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from equity method investments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expense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5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before tax</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(16,520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(17,581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1,061</w:t>
            </w:r>
          </w:p>
        </w:tc>
        <w:tc>
          <w:tcPr>
            <w:tcW w:w="80"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(16,520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(17,581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1,061</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Net patient service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three months ended June 30, 2026, the Company recorded $1.1 million in net patient service revenues from the clinical services provided by Dura following the acquisition on September 8, 2025. The Company did not record revenues for the three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Operating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Cost of patient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three months ended June 30, 2026, the Company recorded $0.7 million in costs of patient services, as compared to $0 incurred during the three months ended June 30, 2025. This increase is attributed to the acquisition of Dura on September 8,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Research and development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three months ended June 30, 2026, the Company recorded $2.1 million of research and development expense, as compared to approximately $1.0 million for the three months ended June 30, 2025. The increase of $1.1 million is primarily related to a $0.9 million increase in patent expenses and $0.4 million increase in clinical trials and development, partially offset by a decrease of $0.4 million of contractor costs. The research and development expense for each of the three months ended June 30, 2026 and 2025, includes less than $0.1 million of non-cash stock-based compensation.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General and administrative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three months ended June 30, 2026, the Company recorded $4.7 million of general and administrative expense, as compared to approximately $2.7 million for the three months ended June 30, 2025. The increase of $2.0 million is related primarily to an increase of $0.6 million in employee costs, $0.7 million in contractor costs, and $0.4 million in marketing costs, partially offset by a decrease of $0.2 million in legal fees. General and administrative expense includes $0.1 million and less than $0.1 million of non-cash stock-based compensation for the three months ended June 30, 2026 and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Settlement</w:t>
      </w:r>
      <w:r>
        <w:rPr>
          <w:rFonts w:ascii="Times New Roman" w:hAnsi="Times New Roman"/>
          <w:caps w:val="false"/>
          <w:smallCaps w:val="false"/>
          <w:sz w:val="20"/>
        </w:rPr>
        <w:t> </w:t>
      </w:r>
      <w:r>
        <w:rPr>
          <w:rFonts w:ascii="Times New Roman" w:hAnsi="Times New Roman"/>
          <w:i/>
          <w:caps w:val="false"/>
          <w:smallCaps w:val="false"/>
          <w:sz w:val="20"/>
        </w:rPr>
        <w:t>expense</w:t>
      </w:r>
      <w:r>
        <w:rPr>
          <w:rFonts w:ascii="Times New Roman" w:hAnsi="Times New Roman"/>
          <w:caps w:val="false"/>
          <w:smallCaps w:val="false"/>
          <w:sz w:val="20"/>
        </w:rPr>
        <w:t> </w:t>
      </w:r>
      <w:r>
        <w:rPr>
          <w:rFonts w:ascii="Times New Roman" w:hAnsi="Times New Roman"/>
          <w:i/>
          <w:caps w:val="false"/>
          <w:smallCaps w:val="false"/>
          <w:sz w:val="20"/>
        </w:rPr>
        <w:t>(income)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three months ended June 30, 2026, the Company recognized a settlement loss of less than $0.1 million resulting from certain legal matters that were settled in 2026. The Company recorded $0 in settlement expenses during the three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Depreciation and amortization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Depreciation and amortization expense increased to $66 for the three months ended June 30, 2026, compared to $0 for the same period in 2025, primarily due to the recognition of depreciation and amortization on property and equipment and intangible assets acquired in the Dura acquisition completed in September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Other expense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Interest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three months ended June 30, 2026, the Company recorded less than $0.1 million of interest income, as compared to less than $0.1 million of interest income for the three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Interest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three months ended June 30, 2026, the Company recorded $0.2 million of interest expense related to accrued interest on the refund liability arising from the termination of the License Agreement with Alvogen. For the three months ended June 30, 2025, the Company recorded $0 of interest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Change in fair value of convertible notes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three months ended June 30, 2026, the Company recorded a loss of $0 related to the change in fair value of the convertible notes payable which are accounted for under the fair value option. For the three months ended June 30, 2025, the Company recorded a loss of $5.6 million related to the change in fair value of the convertible note payable which is accounted for under the fair value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Change in fair value of warrant liabilities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three months ended June 30, 2026, the Company recorded a loss of $9.8 million related to the change in fair value of the warrant liabilities, as compared to a loss of $6.4 million for the three months ended June 30, 2025. The increase in loss during the three months ended June 30, 2026 is attributable to the warrants issued in conjunction with the First, Second and Third Tranches of the Anson Notes, additional shares of Anson Warrants issued as a result anti-dilutive provision, as well as increase in the Company’s stock prices.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Loss on convertible note conversions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three months ended June 30, 2026, the Company recorded a loss of $0 related to convertible note conversion, as compared to a loss of $1.9 million during the three months ended June 30, 2025. These conversions were calculated as the difference between the conversion price per the terms of the Anson first tranche senior secured convertible notes agreements relative to the fair value of the Common Stock on the date of conversion as described further under footnote 9 to the accompanying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Income from equity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three months ended June 30 2026, the Company recorded a gain of less than $0.1 million related to its investment in Cohen &amp; Associates LLC, which is recorded at cost and adjusted for the Company’s proportionate share of Cohen &amp; Associates’ net income or loss. Please see Note 18 in the accompanying unaudited condensed consolidated financial statements for further information on the investment in Cohen &amp; Associates.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Results of operations for the six months</w:t>
      </w:r>
      <w:r>
        <w:rPr>
          <w:rFonts w:ascii="Times New Roman" w:hAnsi="Times New Roman"/>
          <w:caps w:val="false"/>
          <w:smallCaps w:val="false"/>
          <w:sz w:val="20"/>
        </w:rPr>
        <w:t> </w:t>
      </w:r>
      <w:r>
        <w:rPr>
          <w:rFonts w:ascii="Times New Roman" w:hAnsi="Times New Roman"/>
          <w:b/>
          <w:caps w:val="false"/>
          <w:smallCaps w:val="false"/>
          <w:sz w:val="20"/>
        </w:rPr>
        <w:t>ended June 30,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sets forth the Company’s selected statements of operations data for the following periods (in thousands):</w:t>
      </w:r>
    </w:p>
    <w:p>
      <w:pPr>
        <w:pStyle w:val="TextBody"/>
        <w:bidi w:val="0"/>
        <w:spacing w:before="0" w:after="0"/>
        <w:ind w:left="0" w:right="0" w:hanging="0"/>
        <w:jc w:val="left"/>
        <w:rPr>
          <w:caps w:val="false"/>
          <w:smallCaps w:val="false"/>
        </w:rPr>
      </w:pPr>
      <w:r>
        <w:rPr>
          <w:caps w:val="false"/>
          <w:smallCaps w:val="false"/>
        </w:rPr>
        <w:t> </w:t>
      </w:r>
    </w:p>
    <w:tbl>
      <w:tblPr>
        <w:tblW w:w="6794" w:type="dxa"/>
        <w:jc w:val="left"/>
        <w:tblInd w:w="0" w:type="dxa"/>
        <w:tblLayout w:type="fixed"/>
        <w:tblCellMar>
          <w:top w:w="0" w:type="dxa"/>
          <w:left w:w="0" w:type="dxa"/>
          <w:bottom w:w="0" w:type="dxa"/>
          <w:right w:w="0" w:type="dxa"/>
        </w:tblCellMar>
      </w:tblPr>
      <w:tblGrid>
        <w:gridCol w:w="3950"/>
        <w:gridCol w:w="60"/>
        <w:gridCol w:w="125"/>
        <w:gridCol w:w="650"/>
        <w:gridCol w:w="80"/>
        <w:gridCol w:w="60"/>
        <w:gridCol w:w="125"/>
        <w:gridCol w:w="650"/>
        <w:gridCol w:w="80"/>
        <w:gridCol w:w="60"/>
        <w:gridCol w:w="163"/>
        <w:gridCol w:w="711"/>
        <w:gridCol w:w="80"/>
      </w:tblGrid>
      <w:tr>
        <w:trPr/>
        <w:tc>
          <w:tcPr>
            <w:tcW w:w="3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9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 in</w:t>
            </w:r>
          </w:p>
        </w:tc>
        <w:tc>
          <w:tcPr>
            <w:tcW w:w="80" w:type="dxa"/>
            <w:tcBorders/>
            <w:vAlign w:val="center"/>
          </w:tcPr>
          <w:p>
            <w:pPr>
              <w:pStyle w:val="TableContents"/>
              <w:bidi w:val="0"/>
              <w:spacing w:before="0" w:after="283"/>
              <w:jc w:val="left"/>
              <w:rPr/>
            </w:pPr>
            <w:r>
              <w:rPr/>
              <w:t> </w:t>
            </w:r>
          </w:p>
        </w:tc>
      </w:tr>
      <w:tr>
        <w:trPr/>
        <w:tc>
          <w:tcPr>
            <w:tcW w:w="3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Dollars</w:t>
            </w:r>
          </w:p>
        </w:tc>
        <w:tc>
          <w:tcPr>
            <w:tcW w:w="80" w:type="dxa"/>
            <w:tcBorders/>
            <w:vAlign w:val="center"/>
          </w:tcPr>
          <w:p>
            <w:pPr>
              <w:pStyle w:val="TableContents"/>
              <w:bidi w:val="0"/>
              <w:spacing w:before="0" w:after="283"/>
              <w:jc w:val="left"/>
              <w:rPr/>
            </w:pPr>
            <w:r>
              <w:rPr/>
              <w:t> </w:t>
            </w:r>
          </w:p>
        </w:tc>
      </w:tr>
      <w:tr>
        <w:trPr/>
        <w:tc>
          <w:tcPr>
            <w:tcW w:w="3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patient service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2,169</w:t>
            </w:r>
          </w:p>
        </w:tc>
        <w:tc>
          <w:tcPr>
            <w:tcW w:w="80"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patient services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7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1,306</w:t>
            </w:r>
          </w:p>
        </w:tc>
        <w:tc>
          <w:tcPr>
            <w:tcW w:w="80"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7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1,634</w:t>
            </w:r>
          </w:p>
        </w:tc>
        <w:tc>
          <w:tcPr>
            <w:tcW w:w="80"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7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2,871</w:t>
            </w:r>
          </w:p>
        </w:tc>
        <w:tc>
          <w:tcPr>
            <w:tcW w:w="80"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7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w:t>
            </w:r>
          </w:p>
        </w:tc>
        <w:tc>
          <w:tcPr>
            <w:tcW w:w="80"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Settlement (income) expense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5,842</w:t>
            </w:r>
          </w:p>
        </w:tc>
        <w:tc>
          <w:tcPr>
            <w:tcW w:w="80"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(11,250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(7,577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7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7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w:t>
            </w:r>
          </w:p>
        </w:tc>
        <w:tc>
          <w:tcPr>
            <w:tcW w:w="80"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convertible note payable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7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(6,530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warrant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7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2,728</w:t>
            </w:r>
          </w:p>
        </w:tc>
        <w:tc>
          <w:tcPr>
            <w:tcW w:w="80"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issuance of Registered Direct Offering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7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Consideration Shares and Warrants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7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convertible note conversions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7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from equity method investments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expense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(8,815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5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before tax</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(17,950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(23,092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5,142</w:t>
            </w:r>
          </w:p>
        </w:tc>
        <w:tc>
          <w:tcPr>
            <w:tcW w:w="80"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(17,950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(23,092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5,142</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Net patient service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2026, the Company recorded $2.2 million in net patient service revenues from the clinical services provided by Dura following the acquisition on September 8, 2025. The Company did not record revenues for the six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Operating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Cost of patient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2026, the Company recorded $1.3 million in costs of patient services, as compared to $0 incurred during the six months ended June 30, 2025. This increase can be attributed to the acquisition of Dura on September 8,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Research and development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2026, the Company recorded $3.4 million of research and development expense, as compared to approximately $1.8 million for the six months ended June 30, 2025. The increase of $1.6 million is primarily related to a $0.8 million increase in patent expenses and $0.9 million increase in clinical trials and development. The research and development expense for each of the six months ended June 30, 2026 and 2025, includes less than $0.1 million of non-cash stock-based compensation.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General and administrative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2026, the Company recorded $8.6 million of general and administrative expense, as compared to approximately $5.7 million for the six months ended June 30, 2025. The increase of $2.9 million is related primarily to an increase of $1.0 million in employee costs, $0.9 million in contractor costs, and $0.4 million in marketing costs. General and administrative expense includes $0.3 million and less than $0.1 million of non-cash stock-based compensation for the six months ended June 30, 2026 and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Settlement</w:t>
      </w:r>
      <w:r>
        <w:rPr>
          <w:rFonts w:ascii="Times New Roman" w:hAnsi="Times New Roman"/>
          <w:caps w:val="false"/>
          <w:smallCaps w:val="false"/>
          <w:sz w:val="20"/>
        </w:rPr>
        <w:t> </w:t>
      </w:r>
      <w:r>
        <w:rPr>
          <w:rFonts w:ascii="Times New Roman" w:hAnsi="Times New Roman"/>
          <w:i/>
          <w:caps w:val="false"/>
          <w:smallCaps w:val="false"/>
          <w:sz w:val="20"/>
        </w:rPr>
        <w:t>expense</w:t>
      </w:r>
      <w:r>
        <w:rPr>
          <w:rFonts w:ascii="Times New Roman" w:hAnsi="Times New Roman"/>
          <w:caps w:val="false"/>
          <w:smallCaps w:val="false"/>
          <w:sz w:val="20"/>
        </w:rPr>
        <w:t> </w:t>
      </w:r>
      <w:r>
        <w:rPr>
          <w:rFonts w:ascii="Times New Roman" w:hAnsi="Times New Roman"/>
          <w:i/>
          <w:caps w:val="false"/>
          <w:smallCaps w:val="false"/>
          <w:sz w:val="20"/>
        </w:rPr>
        <w:t>(income)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2026, the Company recognized a settlement income of less than $0.1 million resulting from certain legal matters that were settled in 2026. The Company recorded $0.1 million in settlement losses during the six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Depreciation and amortization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Depreciation and amortization expense increased to $134 for the six months ended June 30, 2026, compared to $0 for the same period in 2025, primarily due to the recognition of depreciation and amortization on property and equipment and intangible assets acquired in the Dura acquisition completed in September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Other expense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Interest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2026, the Company recorded less than $0.1 million of interest income, as compared to less than $0.1 million of interest income for the six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Interest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2026, the Company recorded $0.5 million of interest expense related to accrued interest on the refund liability arising from the termination of the License Agreement with Alvogen. For the six months ended June 30, 2025, the Company recorded $0 of interest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Change in fair value of convertible notes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six months ended June 30, 2026, the Company recorded a loss of $0 related to the change in fair value of the convertible notes payable which are accounted for under the fair value option. For the six months ended June 30, 2025, the Company recorded a loss of $6.5 million related to the change in fair value of the convertible note payable which is accounted for under the fair value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Change in fair value of warrant liabilities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2026, the Company recorded a loss of $6.2 million related to the change in fair value of the warrant liabilities, as compared to a loss of $3.5 million for the six months ended June 30, 2025. The increase in loss during the six months ended June 30, 2026 is attributable to the warrants issued in conjunction with the First, Second and Third Tranches of the Anson Notes, additional shares of Anson Warrants issued as a result anti-dilutive provision, as well as increase in the Company’s stock prices.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Loss on convertible note conversions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2026, the Company recorded a loss of $0 related to convertible note conversion, as compared to a loss of $3.5 million during the six months ended June 30, 2025. These conversions were calculated as the difference between the conversion price per the terms of the Anson first tranche senior secured convertible notes agreements relative to the fair value of the Common Stock on the date of conversion as described further under footnote 9 to the accompanying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Income from equity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2026, the Company recorded a gain of less than $0.1 million related to its investment in Cohen &amp; Associates LLC, which is recorded at cost and adjusted for the Company’s proportionate share of Cohen &amp; Associates’ net income or loss. Please see Note 18 in the accompanying unaudited condensed consolidated financial statements for further information on the investment in Cohen &amp; Associates.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has generated minimal revenues, has incurred operating losses since inception, expects to continue to incur significant operating losses for the foreseeable future and may never become profitable. Until such time as the Company is able to establish a significant revenue stream from the sale of its therapeutic products, it is dependent upon obtaining necessary equity and/or debt financing to continue operations. The Company cannot make any assurances that sales of KETAFREE™, NRX-100, and/or NRX-101 will commence in the near term, revenue from clinics with grow, or that additional financings will be available to it on acceptable terms or at all. This could negatively impact our business and operations and could also lead to the reduction of our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At-The Market Offering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April 15, 2024, the Company increased the maximum aggregate offering amount of the shares of Common Stock issuable under that certain at-the-market offering agreement, dated August 14, 2023 (the “Offering Agreement”), with H.C. Wainwright &amp; Co., and filed a prospectus supplement under the Offering Agreement for an aggregate of $4.9 million (the “ATM Offering”). On August 14, 2024, the Company reduced the amount under the Offering Agreement to $0 and suspended the ATM Offering. On April 17, 2025, the Company reinstated the ATM Offering and filed a prospectus supplement under the Offering Agreement for an aggregate of $20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Through June 30, 2026, the Company received aggregate net cash proceeds to the Company from the ATM Offering of approximately $11.8 million of net aggregate net cash proceeds received during the six 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Cash Flow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presents selected financial information and statistics for each of the periods shown below:</w:t>
      </w:r>
    </w:p>
    <w:p>
      <w:pPr>
        <w:pStyle w:val="TextBody"/>
        <w:bidi w:val="0"/>
        <w:spacing w:before="0" w:after="0"/>
        <w:ind w:left="0" w:right="0" w:hanging="0"/>
        <w:jc w:val="left"/>
        <w:rPr>
          <w:caps w:val="false"/>
          <w:smallCaps w:val="false"/>
        </w:rPr>
      </w:pPr>
      <w:r>
        <w:rPr>
          <w:caps w:val="false"/>
          <w:smallCaps w:val="false"/>
        </w:rPr>
        <w:t> </w:t>
      </w:r>
    </w:p>
    <w:tbl>
      <w:tblPr>
        <w:tblW w:w="4358" w:type="dxa"/>
        <w:jc w:val="left"/>
        <w:tblInd w:w="0" w:type="dxa"/>
        <w:tblLayout w:type="fixed"/>
        <w:tblCellMar>
          <w:top w:w="0" w:type="dxa"/>
          <w:left w:w="0" w:type="dxa"/>
          <w:bottom w:w="0" w:type="dxa"/>
          <w:right w:w="0" w:type="dxa"/>
        </w:tblCellMar>
      </w:tblPr>
      <w:tblGrid>
        <w:gridCol w:w="2135"/>
        <w:gridCol w:w="60"/>
        <w:gridCol w:w="126"/>
        <w:gridCol w:w="598"/>
        <w:gridCol w:w="80"/>
        <w:gridCol w:w="60"/>
        <w:gridCol w:w="196"/>
        <w:gridCol w:w="1023"/>
        <w:gridCol w:w="80"/>
      </w:tblGrid>
      <w:tr>
        <w:trPr/>
        <w:tc>
          <w:tcPr>
            <w:tcW w:w="2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31,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Sheet Data:</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7,797</w:t>
            </w:r>
          </w:p>
        </w:tc>
        <w:tc>
          <w:tcPr>
            <w:tcW w:w="8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pPr>
            <w:r>
              <w:rPr/>
              <w:t> </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12,956</w:t>
            </w:r>
          </w:p>
        </w:tc>
        <w:tc>
          <w:tcPr>
            <w:tcW w:w="8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ind w:left="0" w:right="0" w:hanging="0"/>
              <w:jc w:val="left"/>
              <w:rPr/>
            </w:pPr>
            <w:r>
              <w:rPr/>
              <w:t> </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28,893</w:t>
            </w:r>
          </w:p>
        </w:tc>
        <w:tc>
          <w:tcPr>
            <w:tcW w:w="8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stockholders' deficit</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pPr>
            <w:r>
              <w:rPr/>
              <w:t> </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(15,937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tbl>
      <w:tblPr>
        <w:tblW w:w="5090" w:type="dxa"/>
        <w:jc w:val="left"/>
        <w:tblInd w:w="0" w:type="dxa"/>
        <w:tblLayout w:type="fixed"/>
        <w:tblCellMar>
          <w:top w:w="0" w:type="dxa"/>
          <w:left w:w="0" w:type="dxa"/>
          <w:bottom w:w="0" w:type="dxa"/>
          <w:right w:w="0" w:type="dxa"/>
        </w:tblCellMar>
      </w:tblPr>
      <w:tblGrid>
        <w:gridCol w:w="3365"/>
        <w:gridCol w:w="60"/>
        <w:gridCol w:w="125"/>
        <w:gridCol w:w="650"/>
        <w:gridCol w:w="80"/>
        <w:gridCol w:w="60"/>
        <w:gridCol w:w="125"/>
        <w:gridCol w:w="545"/>
        <w:gridCol w:w="80"/>
      </w:tblGrid>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8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80" w:type="dxa"/>
            <w:tcBorders/>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Statement of Cash Flow Data:</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operating activities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(13,170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(7,508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8,975</w:t>
            </w:r>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increase in cash</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1,467</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Operating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six months ended June 30, 2026, operating activities used approximately $13.2 million of cash, primarily resulting from a net loss of $17.9 million partially offset by net non-cash gain of $7.9 million, including $6.2 million in change in fair value of warrant and $1.0 million of common stock issued in exchange for services, offset by an adjustment of $0.6 of stock-based compensation and others reconciling items, and changes in operating assets and liabilities of $3.1 million.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During the six months ended June 30, 2025, operating activities used approximately $7.5 million of cash, primarily resulting from a net loss of $23.1 million partially offset by net non-cash losses of $16.1 million, including $6.5 million in change in fair value of convertible promissory notes, $0.2 million of stock-based compensation, $3.5 million loss in convertible note conversion, $1.2 million of loss on Consideration Shares and Warrants, $0.4 million in debt issuance costs, $0.7 million in loss on issuance of Register Direct offering, $3.5 million loss in change in fair value of warrant liabilities and changes in operating assets and liabilities of $0.5 million.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Investing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Net cash used in investing activities was $0.9 million for six months ended June 30, 2026, compared to no cash used in investing activities during the comparable period in 2025. The outflows in the current period were primarily related to capital expenditure for purchase of property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Financing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During the six months ended June 30, 2026, financing activities provided $20.7 million in proceeds from the issuance of a common stock and warrants in a confidentially marketed public offering, $11.8 million in proceeds from issuance of common stock in ATM offering, and $0.4 million in proceeds from the issuance of an insurance loan.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six months ended June 30, 2025, financing activities provided $9.0 million of cash resulting from $3.3 million in proceeds from issuance of common stock and warrants related to the registered direct offering and $5.0 million in proceeds from the Anson Notes, $1.0 million in proceeds from issuance of common stock in connection with ATM offering, offset by $0.3 million in repayments of and by $0.4 million of proceeds from insurance notes, and $0.4 million in debt issuance costs due to the fair value election on Anson Notes.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Contractual Obligations and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See Note 9, Debt, and Note 10, Commitments and Contingencies, of the notes to the Company’s consolidated financial statements as of and for the six months ended June 30, 2026 included elsewhere in this report for further discussion of the Company’s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Milestone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the legal settlement with Sarah Herzog Memorial Hospital Ezrat Nashim (SHMH) in September 2018, which included the license of intellectual property rights from SHMH, an ongoing royalty of 1% to 2.5% of NRX-101 gross sales is due to SHMH, together with milestone payments of $0.3 million, upon completion of phase 3 trials and commercial sale of NRX-101. The milestone payments for developmental and commercial milestones range from $0.1 million to $0.8 million. Annual maintenance fees are up to $0.2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Dura Acquisition </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Under Dura purchase agreement, The Company may be required to pay up to $3.0 million in contingent earn-out payments based on EBITDA performance during the first three years following closing of the acquisition. Payments are subject to the seller’s continued employment and are prorated based on actual results achieved. The purchase price is also subject to customary post-closing adjustments for working capital, cash, and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Off-Balance Sheet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is not party to any off-balance sheet transactions. The Company has no guarantees or obligations other than those which arise out of normal business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Critical Accounting Policies and Significant Judgments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management’s discussion and analysis of its financial condition and results of operations is based on its financial statements, which have been prepared in accordance with generally accepted accounting principles in the United States of America (GAAP). The preparation of these financial statements requires NRx to make estimates, judgments and assumptions that affect the reported amounts of assets and liabilities, disclosure of contingent assets and liabilities as of the date of the balance sheet and the reported amounts of expenses during the reporting period. In accordance with GAAP, NRx evaluates its estimates and judgments on an ongoing basis. The most critical estimates relate to stock-based compensation, the valuation of warrants, and the valuation of convertible notes payable. NRx bases its estimates and assumptions on current facts, historical experiences, and various other factors that NRx believes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defines its critical accounting policies as those accounting principles that require it to make subjective estimates and judgments about matters that are uncertain and are likely to have a material impact on its financial condition and results of operations, as well as the specific manner in which the Company applies those principles. While its significant accounting policies are more fully described in Note 2 to its financial statements, the Company believes the following are the critical accounting policies used in the preparation of its financial statements that require significant estimates and judgments.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measure stock option awards granted to employees and directors based on the fair value of the award on the date of the grant and recognize compensation expense of those awards over the requisite service period, which is generally the vesting period of the respective award. For restricted stock awards, the grant date fair value is the fair market value per share as of the grant date based on the closing trading price for the Company’s stock. The straight-line method of expense recognition is applied to awards with service-only conditions. We account for forfeitures as they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estimate the fair value of each stock option award using the Black-Scholes option-pricing model, which uses as inputs the fair value of our Common Stock and assumptions we make for the volatility of our Common Stock, the expected term of our stock-based awards, the risk-free interest rate for a period that approximates the expected term of our stock-based awards, and our expected dividend yield. Therefore, we estimate our expected volatility based on the implied volatility of publicly traded warrants on our Common Stock and historical volatility of a set of our publicly traded peer companies. We estimate the expected term of our options using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is based on the fact that we have never paid cash dividends on Common Stock and do not expect to pay any cash dividends in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assumptions used in determining the fair value of stock-based awards represent reasonable estimates, but the estimates involve inherent uncertainties and the application of our judgment. As a result, if factors change and we use significantly different assumptions or estimates, our stock-based compensation expense could be materially different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Warrant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account for warrants as either equity-classified or liability-classified instruments based on an assessment of the warrant’s specific terms and applicable authoritative guidance in Financial Accounting Standards Board (FASB) Accounting Standards Codification ASC Topic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or date of modification, and each balance sheet date thereafter. Changes in the estimated fair value of the warrants are recognized as a non-cash gain or loss on the statements of operations. The fair value of the Private Placement Warrants, Anson Warrants, Consideration Warrants, and Anson Registered Direct Offering Warrants were estimated using a Black-Scholes valuation approach and the fair value of the Substitute Warrants was estimated using a modified Black Scholes valuation approach which applies a probability factor based on the earnout cash milestone and earnout shares milestone probabilities of achievement at each reporting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Convertible Notes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permitted under ASC Topic 825, Financial Instruments (ASC 825), the Company elects to account for its convertible promissory notes, which meets the required criteria, at fair value at inception and at each subsequent reporting date. Subsequent changes in fair value are recorded as a component of non-operating loss in the consolidated statements of operations. As a result of electing the fair value option, direct costs and fees related to the convertible promissory notes are expensed as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estimates the fair value of the convertible notes payable using a Monte Carlo simulation model, which uses as inputs the fair value of our Common Stock and estimates for the equity volatility and volume volatility of our Common Stock, the time to expiration (i.e. expected termination date) of the convertible note, the risk-free interest rate for a period that approximates the time to expiration, and probability of default. Therefore, we estimate our expected future equity and volume volatility based on the historical volatility of both our Common Stock utilizing a lookback period consistent with the time to expiration. The time to expiration is based on the contractual maturity date, giving consideration to the mandatory and potential accelerated redemptions beginning six months from the issuance date. The risk-free interest rate is determined by reference to the U.S. Treasury yield curve in effect at the time of measurement for time periods approximately equal to the time to expiration. Probability of default is estimated using Bloomberg's Default Risk function which uses our financial information to calculate a default risk specific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assumptions used in determining the fair value of the convertible note payable represent reasonable estimates, but the estimates involve inherent uncertainties and the application of our judgment. As a result, if factors change and we use significantly different assumptions or estimates, the change in fair value of the convertible note payable recorded to other (income) expense could be materially different in the future.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Purchase Price Allocation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account for business combinations in accordance with ASC Topic 805, Business Combinations, which requires that the assets acquired and liabilities assumed in a business combination be recognized at their fair values as of the acquisition date and that the excess of consideration transferred over the fair value of net identifiable assets be recorded as 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allocation of the purchase price to tangible assets (clinic equipment, leasehold improvements) and identifiable intangible assets (e.g., contracts, clinic trade names) and liabilities assumed (e.g., assumed leases, employee benefit obligations) is based on management’s estimate of fair value as of the acquisition date. This allocation process is considered a critical accounting estimate due to the significant judgments and assumptions inherent in determining the estimated fair values, including the selection of valuation methods (e.g., relief from royalty, multi-period excess earnings, replacement cost), discount rates, expected future cash flows, attrition rates, and useful lives of intangible assets. For the Dura acquisition, the estimated useful lives of acquired intangible assets ranged from 3 to 8 years, and discount rates applied ranged from 12% to 15%. Subsequent adjustments, within the one-year measurement period, may be made as additional information becomes available regarding facts and circumstances that existed at the acquisition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Goodwill recorded in connection with Dura acquisitions is attributable to the assembled workforce, anticipated growth in the Florida region, and synergies expected from integrating the clinics into our existing operations. Goodwill is not amortized but is subject to annual impairment testing and more frequently if indicators of impairment exist. We test goodwill for impairment for its reporting units on an annual basis, or when events occur, or when circumstances indicate the fair value of a reporting unit is below its carrying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perform our annual goodwill impairment assessment on December 31st of each year or as impairment indicators dictate.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When evaluating the potential impairment of goodwill, management first assess a range of qualitative factors, including but not limited to, macroeconomic conditions, industry conditions, the competitive environment, changes in the market for our products and services, regulatory and political developments, entity specific factors such as strategy and changes in key personnel, and the overall financial performance for each of our reporting units. If, after completing this assessment, it is determined that it is more likely than not that the fair value of a reporting unit is less than its carrying value, we then proceed to the impairment testing methodology using an appropriate valuation method.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compare the carrying value of the reporting unit, including goodwill, with its fair value, as determined by its estimated discounted cash flows. If the carrying value of a reporting unit exceeds its fair value, then the amount of impairment to be recognized is recognized as the amount by which the carrying amount exceeds the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When required, we may arrive at our estimates of fair value using a discounted cash flow methodology which includes estimates of future cash flows to be generated by specifically identified assets, as well as selecting a discount rate to measure the present value of those anticipated cash flows. Estimating future cash flows requires significant judgment and includes making assumptions about projected growth rates, industry-specific factors, working capital requirements, weighted average cost of capital, and current and anticipated operating conditions. The use of different assumptions or estimates for future cash flows could produce different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9" w:name="qqd"/>
      <w:bookmarkEnd w:id="9"/>
      <w:r>
        <w:rPr>
          <w:rFonts w:ascii="Times New Roman" w:hAnsi="Times New Roman"/>
          <w:b/>
          <w:caps w:val="false"/>
          <w:smallCaps w:val="false"/>
          <w:sz w:val="20"/>
        </w:rPr>
        <w:t>Item 3.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a smaller reporting company, we are not required to provide the information required by this Item.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0" w:name="cp"/>
      <w:bookmarkEnd w:id="10"/>
      <w:r>
        <w:rPr>
          <w:rFonts w:ascii="Times New Roman" w:hAnsi="Times New Roman"/>
          <w:b/>
          <w:caps w:val="false"/>
          <w:smallCaps w:val="false"/>
          <w:sz w:val="20"/>
        </w:rPr>
        <w:t>Item 4.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(a)</w:t>
      </w:r>
      <w:r>
        <w:rPr>
          <w:rFonts w:ascii="Times New Roman" w:hAnsi="Times New Roman"/>
          <w:caps w:val="false"/>
          <w:smallCaps w:val="false"/>
          <w:sz w:val="20"/>
        </w:rPr>
        <w:t> </w:t>
      </w:r>
      <w:r>
        <w:rPr>
          <w:rFonts w:ascii="Times New Roman" w:hAnsi="Times New Roman"/>
          <w:b/>
          <w:caps w:val="false"/>
          <w:smallCaps w:val="false"/>
          <w:sz w:val="20"/>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maintain “disclosure controls and procedures,” as such term is defined under Rule 13a-15(e) promulgated under the Exchange Act, designed to ensure that information required to be disclosed in our reports filed pursuant to the Exchange Act is recorded, processed, summarized and reported within the time periods specified in the SEC’s rules and forms, and that such information is accumulated and communicated to our management, including our principal executive officer and our principal financial officer, as appropriate to allow timely decisions regarding required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designing and evaluating the disclosure controls and procedures, we recognized that any controls and procedures, no matter how well designed and operated, can provide only reasonable assurance of achieving the desired control objectives, and we were required to apply our judgment in evaluating the cost-benefit relationship of possible controls and procedures. We have carried out an evaluation as of June 30, 2026 under the supervision, and with the participation, of our management, including our Chief Executive Officer (who serves as our principal executive officer) and our Chief Financial Officer (who serves as our principal financial officer), of the effectiveness of the design and operation of our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Based on that evaluation, our Chief Executive Officer and Chief Financial Officer concluded that our disclosure controls and procedures were effective as of June 30, 2026 in providing reasonable assurance of achieving the desired control objectives.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(b)</w:t>
      </w:r>
      <w:r>
        <w:rPr>
          <w:rFonts w:ascii="Times New Roman" w:hAnsi="Times New Roman"/>
          <w:caps w:val="false"/>
          <w:smallCaps w:val="false"/>
          <w:sz w:val="20"/>
        </w:rPr>
        <w:t> </w:t>
      </w:r>
      <w:r>
        <w:rPr>
          <w:rFonts w:ascii="Times New Roman" w:hAnsi="Times New Roman"/>
          <w:b/>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There were no changes in the Company’s internal controls over financial reporting that occurred during the three and six months ended June 30, 2026 that have materially affected, or are reasonably likely to materially affect, the Company’s internal control over financial reporting. The Company continues to review its disclosure controls and procedures, including its internal control over financial reporting, and may from time to time make changes aimed at enhancing their effectiveness and to ensure that the Company’s systems evolve with its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(c)</w:t>
      </w:r>
      <w:r>
        <w:rPr>
          <w:rFonts w:ascii="Times New Roman" w:hAnsi="Times New Roman"/>
          <w:caps w:val="false"/>
          <w:smallCaps w:val="false"/>
          <w:sz w:val="20"/>
        </w:rPr>
        <w:t xml:space="preserve"> </w:t>
      </w:r>
      <w:r>
        <w:rPr>
          <w:rFonts w:ascii="Times New Roman" w:hAnsi="Times New Roman"/>
          <w:b/>
          <w:caps w:val="false"/>
          <w:smallCaps w:val="false"/>
          <w:sz w:val="20"/>
        </w:rPr>
        <w:t>Management</w:t>
      </w:r>
      <w:r>
        <w:rPr>
          <w:rFonts w:ascii="Times New Roman" w:hAnsi="Times New Roman"/>
          <w:caps w:val="false"/>
          <w:smallCaps w:val="false"/>
          <w:sz w:val="20"/>
        </w:rPr>
        <w:t>’</w:t>
      </w:r>
      <w:r>
        <w:rPr>
          <w:rFonts w:ascii="Times New Roman" w:hAnsi="Times New Roman"/>
          <w:b/>
          <w:caps w:val="false"/>
          <w:smallCaps w:val="false"/>
          <w:sz w:val="20"/>
        </w:rPr>
        <w:t>s Report on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management is responsible for establishing and maintaining adequate internal control over financial reporting, as such term is defined in Exchange Act Rules 13a-15(f) and 15d-15(f). Internal control over financial reporting refers to the process designed by, or under the supervision of, our principal executive officer and principal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5"/>
        <w:gridCol w:w="9980"/>
      </w:tblGrid>
      <w:tr>
        <w:trPr/>
        <w:tc>
          <w:tcPr>
            <w:tcW w:w="6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pertain to the maintenance of records that in reasonable detail accurately and fairly reflect the transactions and dispositions of our assets;</w:t>
            </w:r>
          </w:p>
        </w:tc>
      </w:tr>
    </w:tbl>
    <w:tbl>
      <w:tblPr>
        <w:tblW w:w="10205" w:type="dxa"/>
        <w:jc w:val="left"/>
        <w:tblInd w:w="0" w:type="dxa"/>
        <w:tblLayout w:type="fixed"/>
        <w:tblCellMar>
          <w:top w:w="0" w:type="dxa"/>
          <w:left w:w="0" w:type="dxa"/>
          <w:bottom w:w="0" w:type="dxa"/>
          <w:right w:w="0" w:type="dxa"/>
        </w:tblCellMar>
      </w:tblPr>
      <w:tblGrid>
        <w:gridCol w:w="60"/>
        <w:gridCol w:w="143"/>
        <w:gridCol w:w="10002"/>
      </w:tblGrid>
      <w:tr>
        <w:trPr/>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0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provide reasonable assurance that transactions are recorded as necessary to permit preparation of financial statements in accordance with GAAP, and that our receipts and expenditures are being made only in accordance with authorization of our management and directors; and</w:t>
            </w:r>
          </w:p>
        </w:tc>
      </w:tr>
    </w:tbl>
    <w:tbl>
      <w:tblPr>
        <w:tblW w:w="10205" w:type="dxa"/>
        <w:jc w:val="left"/>
        <w:tblInd w:w="0" w:type="dxa"/>
        <w:tblLayout w:type="fixed"/>
        <w:tblCellMar>
          <w:top w:w="0" w:type="dxa"/>
          <w:left w:w="0" w:type="dxa"/>
          <w:bottom w:w="0" w:type="dxa"/>
          <w:right w:w="0" w:type="dxa"/>
        </w:tblCellMar>
      </w:tblPr>
      <w:tblGrid>
        <w:gridCol w:w="60"/>
        <w:gridCol w:w="152"/>
        <w:gridCol w:w="9993"/>
      </w:tblGrid>
      <w:tr>
        <w:trPr/>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999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provide reasonable assurance regarding prevention or timely detection of unauthorized acquisitions, use or disposition of our assets that could have a material effect on the financial statements.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Internal control over financial reporting has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Our management assessed the effectiveness of our internal control over financial reporting as of June 30, 2026. In making the assessment, management used the criteria set forth by the Committee of Sponsoring Organizations of the Treadway Commission (COSO) in </w:t>
      </w:r>
      <w:r>
        <w:rPr>
          <w:rFonts w:ascii="Times New Roman" w:hAnsi="Times New Roman"/>
          <w:i/>
          <w:caps w:val="false"/>
          <w:smallCaps w:val="false"/>
          <w:sz w:val="20"/>
        </w:rPr>
        <w:t>Internal Control - Integrated Framework (2013)</w:t>
      </w:r>
      <w:r>
        <w:rPr>
          <w:rFonts w:ascii="Times New Roman" w:hAnsi="Times New Roman"/>
          <w:caps w:val="false"/>
          <w:smallCaps w:val="false"/>
          <w:sz w:val="20"/>
        </w:rPr>
        <w:t>. Based on the results of this assessment, management (including our Chief Executive Officer and our Chief Financial Officer) has concluded that, as of June 30, 2026, our internal control over financial reporting was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bookmarkStart w:id="11" w:name="part2"/>
      <w:bookmarkEnd w:id="11"/>
      <w:r>
        <w:rPr>
          <w:rFonts w:ascii="Times New Roman" w:hAnsi="Times New Roman"/>
          <w:b/>
          <w:caps w:val="false"/>
          <w:smallCaps w:val="false"/>
          <w:sz w:val="20"/>
        </w:rPr>
        <w:t xml:space="preserve">PART II </w:t>
      </w:r>
      <w:r>
        <w:rPr>
          <w:rFonts w:ascii="Times New Roman" w:hAnsi="Times New Roman"/>
          <w:caps w:val="false"/>
          <w:smallCaps w:val="false"/>
          <w:sz w:val="20"/>
        </w:rPr>
        <w:t xml:space="preserve">– </w:t>
      </w:r>
      <w:r>
        <w:rPr>
          <w:rFonts w:ascii="Times New Roman" w:hAnsi="Times New Roman"/>
          <w:b/>
          <w:caps w:val="false"/>
          <w:smallCaps w:val="false"/>
          <w:sz w:val="20"/>
        </w:rPr>
        <w:t>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2" w:name="lp"/>
      <w:bookmarkEnd w:id="12"/>
      <w:r>
        <w:rPr>
          <w:rFonts w:ascii="Times New Roman" w:hAnsi="Times New Roman"/>
          <w:b/>
          <w:caps w:val="false"/>
          <w:smallCaps w:val="false"/>
          <w:sz w:val="20"/>
        </w:rPr>
        <w:t>Item 1.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See Note 10, Commitments and Contingencies, of the notes to the Company’s unaudited condensed consolidated financial statements as of and for the six months ended June 30, 2026 included elsewhere in this report for further discussion of certain legal proceedings in which we are involved.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3" w:name="rf"/>
      <w:bookmarkEnd w:id="13"/>
      <w:r>
        <w:rPr>
          <w:rFonts w:ascii="Times New Roman" w:hAnsi="Times New Roman"/>
          <w:b/>
          <w:caps w:val="false"/>
          <w:smallCaps w:val="false"/>
          <w:sz w:val="20"/>
        </w:rPr>
        <w:t>Item 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disclosed the risk factors that materially affect our business, financial condition, or results of operations under the heading “Risk Factors” in our Annual Report on Form 10-K for the year ended December 31, 2025 filed with the SEC on March 23, 2026 (the “</w:t>
      </w:r>
      <w:r>
        <w:rPr>
          <w:rFonts w:ascii="Times New Roman" w:hAnsi="Times New Roman"/>
          <w:i/>
          <w:caps w:val="false"/>
          <w:smallCaps w:val="false"/>
          <w:sz w:val="20"/>
        </w:rPr>
        <w:t>Annual Report on Form 10-K</w:t>
      </w:r>
      <w:r>
        <w:rPr>
          <w:rFonts w:ascii="Times New Roman" w:hAnsi="Times New Roman"/>
          <w:caps w:val="false"/>
          <w:smallCaps w:val="false"/>
          <w:sz w:val="20"/>
        </w:rPr>
        <w:t>”). There have been no material changes from the risk factors previously disclosed. You should carefully consider the risk factors set forth in the Annual Report on Form 10-K and other information set forth elsewhere in this Quarterly Report on Form 10-Q. You should be aware that these risk factors and other information may not describe every risk that we face. Additional risks and uncertainties not currently known to us, or that we currently deem to be immaterial, or may not be able to assess, also may materially adversely affect our business, financial condition, and/or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4" w:name="uses"/>
      <w:bookmarkEnd w:id="14"/>
      <w:r>
        <w:rPr>
          <w:rFonts w:ascii="Times New Roman" w:hAnsi="Times New Roman"/>
          <w:b/>
          <w:caps w:val="false"/>
          <w:smallCaps w:val="false"/>
          <w:sz w:val="20"/>
        </w:rPr>
        <w:t>Item 2. Unregistered Sales of Equity Securities and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 unregistered sales of equity securities occurred during the three and six months ended June 30, 2026 that were not previously reported.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5" w:name="duss"/>
      <w:bookmarkEnd w:id="15"/>
      <w:r>
        <w:rPr>
          <w:rFonts w:ascii="Times New Roman" w:hAnsi="Times New Roman"/>
          <w:b/>
          <w:caps w:val="false"/>
          <w:smallCaps w:val="false"/>
          <w:sz w:val="20"/>
        </w:rPr>
        <w:t>Item 3. Defaults Upon Senior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 defaults upon senior securities occurred during the three and six months ended June 30, 2026 that were not previously reported.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6" w:name="msd"/>
      <w:bookmarkEnd w:id="16"/>
      <w:r>
        <w:rPr>
          <w:rFonts w:ascii="Times New Roman" w:hAnsi="Times New Roman"/>
          <w:b/>
          <w:caps w:val="false"/>
          <w:smallCaps w:val="false"/>
          <w:sz w:val="20"/>
        </w:rPr>
        <w:t>Item 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283"/>
        <w:jc w:val="left"/>
        <w:rPr/>
      </w:pPr>
      <w:r>
        <w:rPr/>
        <w:t xml:space="preserve">  </w:t>
      </w:r>
    </w:p>
    <w:p>
      <w:pPr>
        <w:pStyle w:val="TextBody"/>
        <w:bidi w:val="0"/>
        <w:spacing w:before="0" w:after="0"/>
        <w:ind w:left="0" w:right="0" w:hanging="0"/>
        <w:jc w:val="left"/>
        <w:rPr/>
      </w:pPr>
      <w:bookmarkStart w:id="17" w:name="oi"/>
      <w:bookmarkEnd w:id="17"/>
      <w:r>
        <w:rPr>
          <w:rFonts w:ascii="Times New Roman" w:hAnsi="Times New Roman"/>
          <w:b/>
          <w:caps w:val="false"/>
          <w:smallCaps w:val="false"/>
          <w:sz w:val="20"/>
        </w:rPr>
        <w:t xml:space="preserve">Item </w:t>
      </w:r>
      <w:r>
        <w:rPr>
          <w:rStyle w:val="Emphasis"/>
          <w:rFonts w:ascii="Times New Roman" w:hAnsi="Times New Roman"/>
          <w:b/>
          <w:caps w:val="false"/>
          <w:smallCaps w:val="false"/>
          <w:sz w:val="20"/>
        </w:rPr>
        <w:t>5.</w:t>
      </w:r>
      <w:r>
        <w:rPr>
          <w:rFonts w:ascii="Times New Roman" w:hAnsi="Times New Roman"/>
          <w:b/>
          <w:caps w:val="false"/>
          <w:smallCaps w:val="false"/>
          <w:sz w:val="20"/>
        </w:rPr>
        <w:t xml:space="preserve">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None of our directors or executive officers adopted or terminated a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or a non-Rule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as such terms are defined under Item </w:t>
      </w:r>
      <w:r>
        <w:rPr>
          <w:rStyle w:val="Emphasis"/>
          <w:rFonts w:ascii="Times New Roman" w:hAnsi="Times New Roman"/>
          <w:caps w:val="false"/>
          <w:smallCaps w:val="false"/>
          <w:sz w:val="20"/>
        </w:rPr>
        <w:t>408</w:t>
      </w:r>
      <w:r>
        <w:rPr>
          <w:rFonts w:ascii="Times New Roman" w:hAnsi="Times New Roman"/>
          <w:caps w:val="false"/>
          <w:smallCaps w:val="false"/>
          <w:sz w:val="20"/>
        </w:rPr>
        <w:t xml:space="preserve">(a) of Regulation S-K. Additionally, we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adopt or terminate a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bookmarkStart w:id="18" w:name="ex"/>
      <w:bookmarkEnd w:id="18"/>
      <w:r>
        <w:rPr>
          <w:rFonts w:ascii="Times New Roman" w:hAnsi="Times New Roman"/>
          <w:b/>
          <w:caps w:val="false"/>
          <w:smallCaps w:val="false"/>
          <w:sz w:val="20"/>
        </w:rPr>
        <w:t>Item 6.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10"/>
        <w:gridCol w:w="60"/>
        <w:gridCol w:w="9435"/>
      </w:tblGrid>
      <w:tr>
        <w:trPr/>
        <w:tc>
          <w:tcPr>
            <w:tcW w:w="710"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Exhibit </w:t>
            </w:r>
          </w:p>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Number</w:t>
            </w:r>
          </w:p>
        </w:tc>
        <w:tc>
          <w:tcPr>
            <w:tcW w:w="60" w:type="dxa"/>
            <w:tcBorders/>
            <w:tcMar>
              <w:bottom w:w="0" w:type="dxa"/>
            </w:tcMar>
            <w:vAlign w:val="center"/>
          </w:tcPr>
          <w:p>
            <w:pPr>
              <w:pStyle w:val="TableContents"/>
              <w:bidi w:val="0"/>
              <w:spacing w:before="0" w:after="283"/>
              <w:jc w:val="left"/>
              <w:rPr/>
            </w:pPr>
            <w:r>
              <w:rPr/>
              <w:t> </w:t>
            </w:r>
          </w:p>
        </w:tc>
        <w:tc>
          <w:tcPr>
            <w:tcW w:w="943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35" w:type="dxa"/>
            <w:tcBorders/>
            <w:tcMar>
              <w:bottom w:w="0" w:type="dxa"/>
            </w:tcMar>
            <w:vAlign w:val="center"/>
          </w:tcPr>
          <w:p>
            <w:pPr>
              <w:pStyle w:val="TableContents"/>
              <w:bidi w:val="0"/>
              <w:spacing w:before="0" w:after="283"/>
              <w:jc w:val="left"/>
              <w:rPr/>
            </w:pPr>
            <w:r>
              <w:rPr/>
              <w:t> </w:t>
            </w:r>
          </w:p>
        </w:tc>
      </w:tr>
      <w:tr>
        <w:trPr/>
        <w:tc>
          <w:tcPr>
            <w:tcW w:w="710" w:type="dxa"/>
            <w:tcBorders/>
            <w:tcMar>
              <w:bottom w:w="0" w:type="dxa"/>
            </w:tcMar>
            <w:vAlign w:val="center"/>
          </w:tcPr>
          <w:p>
            <w:pPr>
              <w:pStyle w:val="TableContents"/>
              <w:bidi w:val="0"/>
              <w:spacing w:before="0" w:after="283"/>
              <w:jc w:val="left"/>
              <w:rPr/>
            </w:pPr>
            <w:r>
              <w:rPr/>
              <w:t>10.1</w:t>
            </w:r>
          </w:p>
        </w:tc>
        <w:tc>
          <w:tcPr>
            <w:tcW w:w="60" w:type="dxa"/>
            <w:tcBorders/>
            <w:tcMar>
              <w:bottom w:w="0" w:type="dxa"/>
            </w:tcMar>
            <w:vAlign w:val="center"/>
          </w:tcPr>
          <w:p>
            <w:pPr>
              <w:pStyle w:val="TableContents"/>
              <w:bidi w:val="0"/>
              <w:spacing w:before="0" w:after="283"/>
              <w:jc w:val="left"/>
              <w:rPr/>
            </w:pPr>
            <w:r>
              <w:rPr/>
              <w:t> </w:t>
            </w:r>
          </w:p>
        </w:tc>
        <w:tc>
          <w:tcPr>
            <w:tcW w:w="9435" w:type="dxa"/>
            <w:tcBorders/>
            <w:tcMar>
              <w:bottom w:w="0" w:type="dxa"/>
            </w:tcMar>
            <w:vAlign w:val="center"/>
          </w:tcPr>
          <w:p>
            <w:pPr>
              <w:pStyle w:val="TableContents"/>
              <w:bidi w:val="0"/>
              <w:spacing w:before="0" w:after="283"/>
              <w:jc w:val="left"/>
              <w:rPr/>
            </w:pPr>
            <w:hyperlink r:id="rId2">
              <w:r>
                <w:rPr>
                  <w:rStyle w:val="InternetLink"/>
                </w:rPr>
                <w:t>Amendment No. 1 to the NRx Pharmaceuticals, Inc. 2021 Omnibus Incentive Plan (incorporated by reference to Exhibit 10.1 to the Company’s Current Report on Form 8-K filed with the SEC on March 24, 2026)</w:t>
              </w:r>
            </w:hyperlink>
          </w:p>
        </w:tc>
      </w:tr>
      <w:tr>
        <w:trPr/>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35" w:type="dxa"/>
            <w:tcBorders/>
            <w:tcMar>
              <w:bottom w:w="0" w:type="dxa"/>
            </w:tcMar>
            <w:vAlign w:val="center"/>
          </w:tcPr>
          <w:p>
            <w:pPr>
              <w:pStyle w:val="TableContents"/>
              <w:bidi w:val="0"/>
              <w:spacing w:before="0" w:after="283"/>
              <w:jc w:val="left"/>
              <w:rPr/>
            </w:pPr>
            <w:r>
              <w:rPr/>
              <w:t> </w:t>
            </w:r>
          </w:p>
        </w:tc>
      </w:tr>
      <w:tr>
        <w:trPr/>
        <w:tc>
          <w:tcPr>
            <w:tcW w:w="710" w:type="dxa"/>
            <w:tcBorders/>
            <w:tcMar>
              <w:bottom w:w="0" w:type="dxa"/>
            </w:tcMar>
            <w:vAlign w:val="center"/>
          </w:tcPr>
          <w:p>
            <w:pPr>
              <w:pStyle w:val="TableContents"/>
              <w:bidi w:val="0"/>
              <w:spacing w:before="0" w:after="0"/>
              <w:ind w:left="180" w:right="0" w:hanging="160"/>
              <w:jc w:val="both"/>
              <w:rPr>
                <w:rFonts w:ascii="Times New Roman" w:hAnsi="Times New Roman"/>
                <w:caps w:val="false"/>
                <w:smallCaps w:val="false"/>
                <w:sz w:val="20"/>
              </w:rPr>
            </w:pPr>
            <w:r>
              <w:rPr>
                <w:rFonts w:ascii="Times New Roman" w:hAnsi="Times New Roman"/>
                <w:caps w:val="false"/>
                <w:smallCaps w:val="false"/>
                <w:sz w:val="20"/>
              </w:rPr>
              <w:t>31.1*</w:t>
            </w:r>
          </w:p>
        </w:tc>
        <w:tc>
          <w:tcPr>
            <w:tcW w:w="60" w:type="dxa"/>
            <w:tcBorders/>
            <w:tcMar>
              <w:bottom w:w="0" w:type="dxa"/>
            </w:tcMar>
            <w:vAlign w:val="center"/>
          </w:tcPr>
          <w:p>
            <w:pPr>
              <w:pStyle w:val="TableContents"/>
              <w:bidi w:val="0"/>
              <w:spacing w:before="0" w:after="283"/>
              <w:jc w:val="left"/>
              <w:rPr/>
            </w:pPr>
            <w:r>
              <w:rPr/>
              <w:t> </w:t>
            </w:r>
          </w:p>
        </w:tc>
        <w:tc>
          <w:tcPr>
            <w:tcW w:w="9435" w:type="dxa"/>
            <w:tcBorders/>
            <w:tcMar>
              <w:bottom w:w="0" w:type="dxa"/>
            </w:tcMar>
            <w:vAlign w:val="center"/>
          </w:tcPr>
          <w:p>
            <w:pPr>
              <w:pStyle w:val="TableContents"/>
              <w:bidi w:val="0"/>
              <w:spacing w:before="0" w:after="0"/>
              <w:ind w:left="0" w:right="0" w:hanging="0"/>
              <w:jc w:val="both"/>
              <w:rPr/>
            </w:pPr>
            <w:hyperlink w:anchor="ex_995826.htm">
              <w:r>
                <w:rPr>
                  <w:rStyle w:val="InternetLink"/>
                  <w:rFonts w:ascii="Times New Roman" w:hAnsi="Times New Roman"/>
                  <w:caps w:val="false"/>
                  <w:smallCaps w:val="false"/>
                  <w:sz w:val="20"/>
                </w:rPr>
                <w:t>Certification of Principal Executive Officer pursuant to Section</w:t>
              </w:r>
            </w:hyperlink>
            <w:hyperlink w:anchor="ex_995826.htm">
              <w:r>
                <w:rPr>
                  <w:rStyle w:val="InternetLink"/>
                  <w:rFonts w:ascii="Times New Roman" w:hAnsi="Times New Roman"/>
                  <w:caps w:val="false"/>
                  <w:smallCaps w:val="false"/>
                  <w:sz w:val="20"/>
                  <w:u w:val="single"/>
                </w:rPr>
                <w:t> 302 of the Sarbanes-Oxley Act of 2002.</w:t>
              </w:r>
            </w:hyperlink>
          </w:p>
        </w:tc>
      </w:tr>
      <w:tr>
        <w:trPr/>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35" w:type="dxa"/>
            <w:tcBorders/>
            <w:tcMar>
              <w:bottom w:w="0" w:type="dxa"/>
            </w:tcMar>
            <w:vAlign w:val="center"/>
          </w:tcPr>
          <w:p>
            <w:pPr>
              <w:pStyle w:val="TableContents"/>
              <w:bidi w:val="0"/>
              <w:spacing w:before="0" w:after="283"/>
              <w:jc w:val="left"/>
              <w:rPr/>
            </w:pPr>
            <w:r>
              <w:rPr/>
              <w:t> </w:t>
            </w:r>
          </w:p>
        </w:tc>
      </w:tr>
      <w:tr>
        <w:trPr/>
        <w:tc>
          <w:tcPr>
            <w:tcW w:w="710" w:type="dxa"/>
            <w:tcBorders/>
            <w:tcMar>
              <w:bottom w:w="0" w:type="dxa"/>
            </w:tcMar>
            <w:vAlign w:val="center"/>
          </w:tcPr>
          <w:p>
            <w:pPr>
              <w:pStyle w:val="TableContents"/>
              <w:bidi w:val="0"/>
              <w:spacing w:before="0" w:after="0"/>
              <w:ind w:left="180" w:right="0" w:hanging="160"/>
              <w:jc w:val="both"/>
              <w:rPr>
                <w:rFonts w:ascii="Times New Roman" w:hAnsi="Times New Roman"/>
                <w:caps w:val="false"/>
                <w:smallCaps w:val="false"/>
                <w:sz w:val="20"/>
              </w:rPr>
            </w:pPr>
            <w:r>
              <w:rPr>
                <w:rFonts w:ascii="Times New Roman" w:hAnsi="Times New Roman"/>
                <w:caps w:val="false"/>
                <w:smallCaps w:val="false"/>
                <w:sz w:val="20"/>
              </w:rPr>
              <w:t>31.2*</w:t>
            </w:r>
          </w:p>
        </w:tc>
        <w:tc>
          <w:tcPr>
            <w:tcW w:w="60" w:type="dxa"/>
            <w:tcBorders/>
            <w:tcMar>
              <w:bottom w:w="0" w:type="dxa"/>
            </w:tcMar>
            <w:vAlign w:val="center"/>
          </w:tcPr>
          <w:p>
            <w:pPr>
              <w:pStyle w:val="TableContents"/>
              <w:bidi w:val="0"/>
              <w:spacing w:before="0" w:after="283"/>
              <w:jc w:val="left"/>
              <w:rPr/>
            </w:pPr>
            <w:r>
              <w:rPr/>
              <w:t> </w:t>
            </w:r>
          </w:p>
        </w:tc>
        <w:tc>
          <w:tcPr>
            <w:tcW w:w="9435" w:type="dxa"/>
            <w:tcBorders/>
            <w:tcMar>
              <w:bottom w:w="0" w:type="dxa"/>
            </w:tcMar>
            <w:vAlign w:val="center"/>
          </w:tcPr>
          <w:p>
            <w:pPr>
              <w:pStyle w:val="TableContents"/>
              <w:bidi w:val="0"/>
              <w:spacing w:before="0" w:after="0"/>
              <w:ind w:left="0" w:right="0" w:hanging="0"/>
              <w:jc w:val="both"/>
              <w:rPr/>
            </w:pPr>
            <w:hyperlink w:anchor="ex_995827.htm">
              <w:r>
                <w:rPr>
                  <w:rStyle w:val="InternetLink"/>
                  <w:rFonts w:ascii="Times New Roman" w:hAnsi="Times New Roman"/>
                  <w:caps w:val="false"/>
                  <w:smallCaps w:val="false"/>
                  <w:sz w:val="20"/>
                </w:rPr>
                <w:t>Certification of Principal Financial Officer pursuant to Section</w:t>
              </w:r>
            </w:hyperlink>
            <w:hyperlink w:anchor="ex_995827.htm">
              <w:r>
                <w:rPr>
                  <w:rStyle w:val="InternetLink"/>
                  <w:rFonts w:ascii="Times New Roman" w:hAnsi="Times New Roman"/>
                  <w:caps w:val="false"/>
                  <w:smallCaps w:val="false"/>
                  <w:sz w:val="20"/>
                  <w:u w:val="single"/>
                </w:rPr>
                <w:t> 302 of the Sarbanes-Oxley Act of 2002.</w:t>
              </w:r>
            </w:hyperlink>
          </w:p>
        </w:tc>
      </w:tr>
      <w:tr>
        <w:trPr/>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35" w:type="dxa"/>
            <w:tcBorders/>
            <w:tcMar>
              <w:bottom w:w="0" w:type="dxa"/>
            </w:tcMar>
            <w:vAlign w:val="center"/>
          </w:tcPr>
          <w:p>
            <w:pPr>
              <w:pStyle w:val="TableContents"/>
              <w:bidi w:val="0"/>
              <w:spacing w:before="0" w:after="283"/>
              <w:jc w:val="left"/>
              <w:rPr/>
            </w:pPr>
            <w:r>
              <w:rPr/>
              <w:t> </w:t>
            </w:r>
          </w:p>
        </w:tc>
      </w:tr>
      <w:tr>
        <w:trPr/>
        <w:tc>
          <w:tcPr>
            <w:tcW w:w="710" w:type="dxa"/>
            <w:tcBorders/>
            <w:tcMar>
              <w:bottom w:w="0" w:type="dxa"/>
            </w:tcMar>
            <w:vAlign w:val="center"/>
          </w:tcPr>
          <w:p>
            <w:pPr>
              <w:pStyle w:val="TableContents"/>
              <w:bidi w:val="0"/>
              <w:spacing w:before="0" w:after="0"/>
              <w:ind w:left="180" w:right="0" w:hanging="160"/>
              <w:jc w:val="both"/>
              <w:rPr>
                <w:rFonts w:ascii="Times New Roman" w:hAnsi="Times New Roman"/>
                <w:caps w:val="false"/>
                <w:smallCaps w:val="false"/>
                <w:sz w:val="20"/>
              </w:rPr>
            </w:pPr>
            <w:r>
              <w:rPr>
                <w:rFonts w:ascii="Times New Roman" w:hAnsi="Times New Roman"/>
                <w:caps w:val="false"/>
                <w:smallCaps w:val="false"/>
                <w:sz w:val="20"/>
              </w:rPr>
              <w:t>32.1**</w:t>
            </w:r>
          </w:p>
        </w:tc>
        <w:tc>
          <w:tcPr>
            <w:tcW w:w="60" w:type="dxa"/>
            <w:tcBorders/>
            <w:tcMar>
              <w:bottom w:w="0" w:type="dxa"/>
            </w:tcMar>
            <w:vAlign w:val="center"/>
          </w:tcPr>
          <w:p>
            <w:pPr>
              <w:pStyle w:val="TableContents"/>
              <w:bidi w:val="0"/>
              <w:spacing w:before="0" w:after="283"/>
              <w:jc w:val="left"/>
              <w:rPr/>
            </w:pPr>
            <w:r>
              <w:rPr/>
              <w:t> </w:t>
            </w:r>
          </w:p>
        </w:tc>
        <w:tc>
          <w:tcPr>
            <w:tcW w:w="9435" w:type="dxa"/>
            <w:tcBorders/>
            <w:tcMar>
              <w:bottom w:w="0" w:type="dxa"/>
            </w:tcMar>
            <w:vAlign w:val="center"/>
          </w:tcPr>
          <w:p>
            <w:pPr>
              <w:pStyle w:val="TableContents"/>
              <w:bidi w:val="0"/>
              <w:spacing w:before="0" w:after="0"/>
              <w:ind w:left="0" w:right="0" w:hanging="0"/>
              <w:jc w:val="both"/>
              <w:rPr/>
            </w:pPr>
            <w:hyperlink w:anchor="ex_995828.htm">
              <w:r>
                <w:rPr>
                  <w:rStyle w:val="InternetLink"/>
                  <w:rFonts w:ascii="Times New Roman" w:hAnsi="Times New Roman"/>
                  <w:caps w:val="false"/>
                  <w:smallCaps w:val="false"/>
                  <w:sz w:val="20"/>
                </w:rPr>
                <w:t>Certification of Principal Executive Officer pursuant to Section</w:t>
              </w:r>
            </w:hyperlink>
            <w:hyperlink w:anchor="ex_995828.htm">
              <w:r>
                <w:rPr>
                  <w:rStyle w:val="InternetLink"/>
                  <w:rFonts w:ascii="Times New Roman" w:hAnsi="Times New Roman"/>
                  <w:caps w:val="false"/>
                  <w:smallCaps w:val="false"/>
                  <w:sz w:val="20"/>
                  <w:u w:val="single"/>
                </w:rPr>
                <w:t> 906 of the Sarbanes-Oxley Act of 2002.</w:t>
              </w:r>
            </w:hyperlink>
          </w:p>
        </w:tc>
      </w:tr>
      <w:tr>
        <w:trPr/>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35" w:type="dxa"/>
            <w:tcBorders/>
            <w:tcMar>
              <w:bottom w:w="0" w:type="dxa"/>
            </w:tcMar>
            <w:vAlign w:val="center"/>
          </w:tcPr>
          <w:p>
            <w:pPr>
              <w:pStyle w:val="TableContents"/>
              <w:bidi w:val="0"/>
              <w:spacing w:before="0" w:after="283"/>
              <w:jc w:val="left"/>
              <w:rPr/>
            </w:pPr>
            <w:r>
              <w:rPr/>
              <w:t> </w:t>
            </w:r>
          </w:p>
        </w:tc>
      </w:tr>
      <w:tr>
        <w:trPr/>
        <w:tc>
          <w:tcPr>
            <w:tcW w:w="710" w:type="dxa"/>
            <w:tcBorders/>
            <w:tcMar>
              <w:bottom w:w="0" w:type="dxa"/>
            </w:tcMar>
            <w:vAlign w:val="center"/>
          </w:tcPr>
          <w:p>
            <w:pPr>
              <w:pStyle w:val="TableContents"/>
              <w:bidi w:val="0"/>
              <w:spacing w:before="0" w:after="0"/>
              <w:ind w:left="180" w:right="0" w:hanging="160"/>
              <w:jc w:val="both"/>
              <w:rPr>
                <w:rFonts w:ascii="Times New Roman" w:hAnsi="Times New Roman"/>
                <w:caps w:val="false"/>
                <w:smallCaps w:val="false"/>
                <w:sz w:val="20"/>
              </w:rPr>
            </w:pPr>
            <w:r>
              <w:rPr>
                <w:rFonts w:ascii="Times New Roman" w:hAnsi="Times New Roman"/>
                <w:caps w:val="false"/>
                <w:smallCaps w:val="false"/>
                <w:sz w:val="20"/>
              </w:rPr>
              <w:t>32.2**</w:t>
            </w:r>
          </w:p>
        </w:tc>
        <w:tc>
          <w:tcPr>
            <w:tcW w:w="60" w:type="dxa"/>
            <w:tcBorders/>
            <w:tcMar>
              <w:bottom w:w="0" w:type="dxa"/>
            </w:tcMar>
            <w:vAlign w:val="center"/>
          </w:tcPr>
          <w:p>
            <w:pPr>
              <w:pStyle w:val="TableContents"/>
              <w:bidi w:val="0"/>
              <w:spacing w:before="0" w:after="283"/>
              <w:jc w:val="left"/>
              <w:rPr/>
            </w:pPr>
            <w:r>
              <w:rPr/>
              <w:t> </w:t>
            </w:r>
          </w:p>
        </w:tc>
        <w:tc>
          <w:tcPr>
            <w:tcW w:w="9435" w:type="dxa"/>
            <w:tcBorders/>
            <w:tcMar>
              <w:bottom w:w="0" w:type="dxa"/>
            </w:tcMar>
            <w:vAlign w:val="center"/>
          </w:tcPr>
          <w:p>
            <w:pPr>
              <w:pStyle w:val="TableContents"/>
              <w:bidi w:val="0"/>
              <w:spacing w:before="0" w:after="0"/>
              <w:ind w:left="0" w:right="0" w:hanging="0"/>
              <w:jc w:val="both"/>
              <w:rPr/>
            </w:pPr>
            <w:hyperlink w:anchor="ex_995829.htm">
              <w:r>
                <w:rPr>
                  <w:rStyle w:val="InternetLink"/>
                  <w:rFonts w:ascii="Times New Roman" w:hAnsi="Times New Roman"/>
                  <w:caps w:val="false"/>
                  <w:smallCaps w:val="false"/>
                  <w:sz w:val="20"/>
                </w:rPr>
                <w:t>Certification of Principal Financial Officer pursuant to Section 906 of the Sarbanes-Oxley Act of 2002.</w:t>
              </w:r>
            </w:hyperlink>
          </w:p>
        </w:tc>
      </w:tr>
      <w:tr>
        <w:trPr/>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35" w:type="dxa"/>
            <w:tcBorders/>
            <w:tcMar>
              <w:bottom w:w="0" w:type="dxa"/>
            </w:tcMar>
            <w:vAlign w:val="center"/>
          </w:tcPr>
          <w:p>
            <w:pPr>
              <w:pStyle w:val="TableContents"/>
              <w:bidi w:val="0"/>
              <w:spacing w:before="0" w:after="283"/>
              <w:jc w:val="left"/>
              <w:rPr/>
            </w:pPr>
            <w:r>
              <w:rPr/>
              <w:t> </w:t>
            </w:r>
          </w:p>
        </w:tc>
      </w:tr>
      <w:tr>
        <w:trPr/>
        <w:tc>
          <w:tcPr>
            <w:tcW w:w="710" w:type="dxa"/>
            <w:tcBorders/>
            <w:tcMar>
              <w:bottom w:w="0" w:type="dxa"/>
            </w:tcMar>
            <w:vAlign w:val="center"/>
          </w:tcPr>
          <w:p>
            <w:pPr>
              <w:pStyle w:val="TableContents"/>
              <w:bidi w:val="0"/>
              <w:spacing w:before="0" w:after="0"/>
              <w:ind w:left="180" w:right="0" w:hanging="160"/>
              <w:jc w:val="both"/>
              <w:rPr>
                <w:rFonts w:ascii="Times New Roman" w:hAnsi="Times New Roman"/>
                <w:caps w:val="false"/>
                <w:smallCaps w:val="false"/>
                <w:sz w:val="20"/>
              </w:rPr>
            </w:pPr>
            <w:r>
              <w:rPr>
                <w:rFonts w:ascii="Times New Roman" w:hAnsi="Times New Roman"/>
                <w:caps w:val="false"/>
                <w:smallCaps w:val="false"/>
                <w:sz w:val="20"/>
              </w:rPr>
              <w:t>101†</w:t>
            </w:r>
          </w:p>
        </w:tc>
        <w:tc>
          <w:tcPr>
            <w:tcW w:w="60" w:type="dxa"/>
            <w:tcBorders/>
            <w:tcMar>
              <w:bottom w:w="0" w:type="dxa"/>
            </w:tcMar>
            <w:vAlign w:val="center"/>
          </w:tcPr>
          <w:p>
            <w:pPr>
              <w:pStyle w:val="TableContents"/>
              <w:bidi w:val="0"/>
              <w:spacing w:before="0" w:after="283"/>
              <w:jc w:val="left"/>
              <w:rPr/>
            </w:pPr>
            <w:r>
              <w:rPr/>
              <w:t> </w:t>
            </w:r>
          </w:p>
        </w:tc>
        <w:tc>
          <w:tcPr>
            <w:tcW w:w="9435"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Interactive data files pursuant to Rule 405 of Regulation S-T formatted in Inline XBRL: (i) Condensed Consolidated Balance Sheets; (ii) Unaudited Condensed Consolidated Statements of Operations; (iii) Unaudited Condensed Consolidated Statements of Changes in Stockholders' Equity (Deficit); (iv) Unaudited Condensed Consolidated Statements of Cash Flows; and (v) Notes to Unaudited Financial Statements.</w:t>
            </w:r>
          </w:p>
        </w:tc>
      </w:tr>
      <w:tr>
        <w:trPr/>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35" w:type="dxa"/>
            <w:tcBorders/>
            <w:tcMar>
              <w:bottom w:w="0" w:type="dxa"/>
            </w:tcMar>
            <w:vAlign w:val="center"/>
          </w:tcPr>
          <w:p>
            <w:pPr>
              <w:pStyle w:val="TableContents"/>
              <w:bidi w:val="0"/>
              <w:spacing w:before="0" w:after="283"/>
              <w:jc w:val="left"/>
              <w:rPr/>
            </w:pPr>
            <w:r>
              <w:rPr/>
              <w:t> </w:t>
            </w:r>
          </w:p>
        </w:tc>
      </w:tr>
      <w:tr>
        <w:trPr/>
        <w:tc>
          <w:tcPr>
            <w:tcW w:w="710" w:type="dxa"/>
            <w:tcBorders/>
            <w:tcMar>
              <w:bottom w:w="0" w:type="dxa"/>
            </w:tcMar>
            <w:vAlign w:val="center"/>
          </w:tcPr>
          <w:p>
            <w:pPr>
              <w:pStyle w:val="TableContents"/>
              <w:bidi w:val="0"/>
              <w:spacing w:before="0" w:after="0"/>
              <w:ind w:left="180" w:right="0" w:hanging="160"/>
              <w:jc w:val="both"/>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tcMar>
              <w:bottom w:w="0" w:type="dxa"/>
            </w:tcMar>
            <w:vAlign w:val="center"/>
          </w:tcPr>
          <w:p>
            <w:pPr>
              <w:pStyle w:val="TableContents"/>
              <w:bidi w:val="0"/>
              <w:spacing w:before="0" w:after="283"/>
              <w:jc w:val="left"/>
              <w:rPr/>
            </w:pPr>
            <w:r>
              <w:rPr/>
              <w:t> </w:t>
            </w:r>
          </w:p>
        </w:tc>
        <w:tc>
          <w:tcPr>
            <w:tcW w:w="9435"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Cover Page Interactive Data File (formatted in iXBRL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100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Filed herewith.</w:t>
            </w:r>
          </w:p>
        </w:tc>
      </w:tr>
      <w:tr>
        <w:trPr/>
        <w:tc>
          <w:tcPr>
            <w:tcW w:w="165" w:type="dxa"/>
            <w:tcBorders/>
            <w:vAlign w:val="center"/>
          </w:tcPr>
          <w:p>
            <w:pPr>
              <w:pStyle w:val="TableContents"/>
              <w:bidi w:val="0"/>
              <w:spacing w:before="0" w:after="283"/>
              <w:jc w:val="left"/>
              <w:rPr/>
            </w:pPr>
            <w:r>
              <w:rPr/>
              <w:t> </w:t>
            </w:r>
          </w:p>
        </w:tc>
        <w:tc>
          <w:tcPr>
            <w:tcW w:w="10040" w:type="dxa"/>
            <w:tcBorders/>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100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certification is being furnished solely to accompany this Quarterly Report pursuant to 18 U.S.C. Section 1350, and is not being filed for purposes of Section 18 of the Securities Exchange Act of 1934, as amended, and is not to be incorporated by reference into any filing of the registrant, whether made before or after the date hereof, regardless of any general incorporation language in such filing.</w:t>
            </w:r>
          </w:p>
        </w:tc>
      </w:tr>
      <w:tr>
        <w:trPr/>
        <w:tc>
          <w:tcPr>
            <w:tcW w:w="165" w:type="dxa"/>
            <w:tcBorders/>
            <w:vAlign w:val="center"/>
          </w:tcPr>
          <w:p>
            <w:pPr>
              <w:pStyle w:val="TableContents"/>
              <w:bidi w:val="0"/>
              <w:spacing w:before="0" w:after="283"/>
              <w:jc w:val="left"/>
              <w:rPr/>
            </w:pPr>
            <w:r>
              <w:rPr/>
              <w:t> </w:t>
            </w:r>
          </w:p>
        </w:tc>
        <w:tc>
          <w:tcPr>
            <w:tcW w:w="10040" w:type="dxa"/>
            <w:tcBorders/>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accordance with Rule 406T of Regulation S-T, the XBRL-related information in Exhibit 101 to this Quarterly Report on Form 10-Q is deemed not filed or part of a registration statement or prospectus for purposes of sections 11 or 12 of the Securities Act, is deemed not filed for purposes of section 18 of the Exchange Act, and otherwise is not subject to liability under these sections.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19" w:name="sigs"/>
      <w:bookmarkEnd w:id="19"/>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295" w:type="dxa"/>
        <w:jc w:val="left"/>
        <w:tblInd w:w="0" w:type="dxa"/>
        <w:tblLayout w:type="fixed"/>
        <w:tblCellMar>
          <w:top w:w="0" w:type="dxa"/>
          <w:left w:w="0" w:type="dxa"/>
          <w:bottom w:w="0" w:type="dxa"/>
          <w:right w:w="0" w:type="dxa"/>
        </w:tblCellMar>
      </w:tblPr>
      <w:tblGrid>
        <w:gridCol w:w="1850"/>
        <w:gridCol w:w="320"/>
        <w:gridCol w:w="3125"/>
      </w:tblGrid>
      <w:tr>
        <w:trPr/>
        <w:tc>
          <w:tcPr>
            <w:tcW w:w="1850" w:type="dxa"/>
            <w:tcBorders/>
            <w:vAlign w:val="center"/>
          </w:tcPr>
          <w:p>
            <w:pPr>
              <w:pStyle w:val="TableContents"/>
              <w:bidi w:val="0"/>
              <w:spacing w:before="0" w:after="283"/>
              <w:jc w:val="left"/>
              <w:rPr/>
            </w:pPr>
            <w:r>
              <w:rPr/>
              <w:t> </w:t>
            </w:r>
          </w:p>
        </w:tc>
        <w:tc>
          <w:tcPr>
            <w:tcW w:w="3445"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NRX PHARMACEUTICALS, INC.</w:t>
            </w:r>
          </w:p>
        </w:tc>
      </w:tr>
      <w:tr>
        <w:trPr/>
        <w:tc>
          <w:tcPr>
            <w:tcW w:w="1850" w:type="dxa"/>
            <w:tcBorders/>
            <w:vAlign w:val="center"/>
          </w:tcPr>
          <w:p>
            <w:pPr>
              <w:pStyle w:val="TableContents"/>
              <w:bidi w:val="0"/>
              <w:spacing w:before="0" w:after="283"/>
              <w:jc w:val="left"/>
              <w:rPr/>
            </w:pPr>
            <w:r>
              <w:rPr/>
              <w:t> </w:t>
            </w:r>
          </w:p>
        </w:tc>
        <w:tc>
          <w:tcPr>
            <w:tcW w:w="3445" w:type="dxa"/>
            <w:gridSpan w:val="2"/>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 August 14, 2026</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12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Jonathan Javitt</w:t>
            </w:r>
          </w:p>
        </w:tc>
      </w:tr>
      <w:tr>
        <w:trPr/>
        <w:tc>
          <w:tcPr>
            <w:tcW w:w="18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Chairman and Chief Executive Officer</w:t>
            </w:r>
          </w:p>
        </w:tc>
      </w:tr>
      <w:tr>
        <w:trPr/>
        <w:tc>
          <w:tcPr>
            <w:tcW w:w="18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(Principal Executive Officer)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674" w:type="dxa"/>
        <w:jc w:val="left"/>
        <w:tblInd w:w="0" w:type="dxa"/>
        <w:tblLayout w:type="fixed"/>
        <w:tblCellMar>
          <w:top w:w="0" w:type="dxa"/>
          <w:left w:w="0" w:type="dxa"/>
          <w:bottom w:w="0" w:type="dxa"/>
          <w:right w:w="0" w:type="dxa"/>
        </w:tblCellMar>
      </w:tblPr>
      <w:tblGrid>
        <w:gridCol w:w="1850"/>
        <w:gridCol w:w="328"/>
        <w:gridCol w:w="2496"/>
      </w:tblGrid>
      <w:tr>
        <w:trPr/>
        <w:tc>
          <w:tcPr>
            <w:tcW w:w="1850" w:type="dxa"/>
            <w:tcBorders/>
            <w:vAlign w:val="center"/>
          </w:tcPr>
          <w:p>
            <w:pPr>
              <w:pStyle w:val="TableContents"/>
              <w:bidi w:val="0"/>
              <w:spacing w:before="0" w:after="283"/>
              <w:jc w:val="left"/>
              <w:rPr/>
            </w:pPr>
            <w:r>
              <w:rPr/>
              <w:t> </w:t>
            </w:r>
          </w:p>
        </w:tc>
        <w:tc>
          <w:tcPr>
            <w:tcW w:w="2824"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NRX PHARMACEUTICALS, INC.</w:t>
            </w:r>
          </w:p>
        </w:tc>
      </w:tr>
      <w:tr>
        <w:trPr/>
        <w:tc>
          <w:tcPr>
            <w:tcW w:w="1850" w:type="dxa"/>
            <w:tcBorders/>
            <w:vAlign w:val="center"/>
          </w:tcPr>
          <w:p>
            <w:pPr>
              <w:pStyle w:val="TableContents"/>
              <w:bidi w:val="0"/>
              <w:spacing w:before="0" w:after="283"/>
              <w:jc w:val="left"/>
              <w:rPr/>
            </w:pPr>
            <w:r>
              <w:rPr/>
              <w:t> </w:t>
            </w:r>
          </w:p>
        </w:tc>
        <w:tc>
          <w:tcPr>
            <w:tcW w:w="2824" w:type="dxa"/>
            <w:gridSpan w:val="2"/>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 August 14, 2026</w:t>
            </w:r>
          </w:p>
        </w:tc>
        <w:tc>
          <w:tcPr>
            <w:tcW w:w="32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24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Michael Abrams</w:t>
            </w:r>
          </w:p>
        </w:tc>
      </w:tr>
      <w:tr>
        <w:trPr/>
        <w:tc>
          <w:tcPr>
            <w:tcW w:w="185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249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r>
      <w:tr>
        <w:trPr/>
        <w:tc>
          <w:tcPr>
            <w:tcW w:w="185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2496"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(Principal Financial Officer)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 xml:space="preserve">55 </w:t>
      </w:r>
    </w:p>
    <w:p>
      <w:pPr>
        <w:pStyle w:val="TextBody"/>
        <w:bidi w:val="0"/>
        <w:spacing w:before="0" w:after="0"/>
        <w:ind w:left="0" w:right="0" w:hanging="0"/>
        <w:jc w:val="right"/>
        <w:rPr>
          <w:rFonts w:ascii="Times New Roman" w:hAnsi="Times New Roman"/>
          <w:b/>
          <w:caps w:val="false"/>
          <w:smallCaps w:val="false"/>
          <w:sz w:val="20"/>
        </w:rPr>
      </w:pPr>
      <w:bookmarkStart w:id="20" w:name="ex_995826.htm"/>
      <w:bookmarkStart w:id="21" w:name="ksex_995826"/>
      <w:bookmarkEnd w:id="20"/>
      <w:bookmarkEnd w:id="21"/>
      <w:r>
        <w:rPr>
          <w:rFonts w:ascii="Times New Roman" w:hAnsi="Times New Roman"/>
          <w:b/>
          <w:caps w:val="false"/>
          <w:smallCaps w:val="false"/>
          <w:sz w:val="20"/>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THE CHIEF EXECUTIVE OFFICER</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RULE 13a-14(a) AND 15d-14(a),</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Jonathan Javitt, Chief Executive Officer of NRx Pharmaceuticals, Inc., certify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w:t>
            </w:r>
          </w:p>
        </w:tc>
        <w:tc>
          <w:tcPr>
            <w:tcW w:w="100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have reviewed this Quarterly Report on Form 10-Q of NRx Pharmaceuticals, Inc. (the “Registrant”);</w:t>
            </w:r>
          </w:p>
        </w:tc>
      </w:tr>
      <w:tr>
        <w:trPr/>
        <w:tc>
          <w:tcPr>
            <w:tcW w:w="140" w:type="dxa"/>
            <w:tcBorders/>
            <w:vAlign w:val="center"/>
          </w:tcPr>
          <w:p>
            <w:pPr>
              <w:pStyle w:val="TableContents"/>
              <w:bidi w:val="0"/>
              <w:spacing w:before="0" w:after="283"/>
              <w:jc w:val="left"/>
              <w:rPr/>
            </w:pPr>
            <w:r>
              <w:rPr/>
              <w:t> </w:t>
            </w:r>
          </w:p>
        </w:tc>
        <w:tc>
          <w:tcPr>
            <w:tcW w:w="10065" w:type="dxa"/>
            <w:tcBorders/>
            <w:vAlign w:val="center"/>
          </w:tcPr>
          <w:p>
            <w:pPr>
              <w:pStyle w:val="TableContents"/>
              <w:bidi w:val="0"/>
              <w:spacing w:before="0" w:after="283"/>
              <w:jc w:val="left"/>
              <w:rPr/>
            </w:pPr>
            <w:r>
              <w:rPr/>
              <w:t> </w:t>
            </w:r>
          </w:p>
        </w:tc>
      </w:tr>
      <w:tr>
        <w:trPr/>
        <w:tc>
          <w:tcPr>
            <w:tcW w:w="1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w:t>
            </w:r>
          </w:p>
        </w:tc>
        <w:tc>
          <w:tcPr>
            <w:tcW w:w="100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tc>
      </w:tr>
      <w:tr>
        <w:trPr/>
        <w:tc>
          <w:tcPr>
            <w:tcW w:w="140" w:type="dxa"/>
            <w:tcBorders/>
            <w:vAlign w:val="center"/>
          </w:tcPr>
          <w:p>
            <w:pPr>
              <w:pStyle w:val="TableContents"/>
              <w:bidi w:val="0"/>
              <w:spacing w:before="0" w:after="283"/>
              <w:jc w:val="left"/>
              <w:rPr/>
            </w:pPr>
            <w:r>
              <w:rPr/>
              <w:t> </w:t>
            </w:r>
          </w:p>
        </w:tc>
        <w:tc>
          <w:tcPr>
            <w:tcW w:w="10065" w:type="dxa"/>
            <w:tcBorders/>
            <w:vAlign w:val="center"/>
          </w:tcPr>
          <w:p>
            <w:pPr>
              <w:pStyle w:val="TableContents"/>
              <w:bidi w:val="0"/>
              <w:spacing w:before="0" w:after="283"/>
              <w:jc w:val="left"/>
              <w:rPr/>
            </w:pPr>
            <w:r>
              <w:rPr/>
              <w:t> </w:t>
            </w:r>
          </w:p>
        </w:tc>
      </w:tr>
      <w:tr>
        <w:trPr/>
        <w:tc>
          <w:tcPr>
            <w:tcW w:w="1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w:t>
            </w:r>
          </w:p>
        </w:tc>
        <w:tc>
          <w:tcPr>
            <w:tcW w:w="100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tc>
      </w:tr>
      <w:tr>
        <w:trPr/>
        <w:tc>
          <w:tcPr>
            <w:tcW w:w="140" w:type="dxa"/>
            <w:tcBorders/>
            <w:vAlign w:val="center"/>
          </w:tcPr>
          <w:p>
            <w:pPr>
              <w:pStyle w:val="TableContents"/>
              <w:bidi w:val="0"/>
              <w:spacing w:before="0" w:after="283"/>
              <w:jc w:val="left"/>
              <w:rPr/>
            </w:pPr>
            <w:r>
              <w:rPr/>
              <w:t> </w:t>
            </w:r>
          </w:p>
        </w:tc>
        <w:tc>
          <w:tcPr>
            <w:tcW w:w="10065" w:type="dxa"/>
            <w:tcBorders/>
            <w:vAlign w:val="center"/>
          </w:tcPr>
          <w:p>
            <w:pPr>
              <w:pStyle w:val="TableContents"/>
              <w:bidi w:val="0"/>
              <w:spacing w:before="0" w:after="283"/>
              <w:jc w:val="left"/>
              <w:rPr/>
            </w:pPr>
            <w:r>
              <w:rPr/>
              <w:t> </w:t>
            </w:r>
          </w:p>
        </w:tc>
      </w:tr>
      <w:tr>
        <w:trPr/>
        <w:tc>
          <w:tcPr>
            <w:tcW w:w="1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w:t>
            </w:r>
          </w:p>
        </w:tc>
        <w:tc>
          <w:tcPr>
            <w:tcW w:w="100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Quarterly Report is being prepared;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w:t>
            </w:r>
          </w:p>
        </w:tc>
        <w:tc>
          <w:tcPr>
            <w:tcW w:w="1006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4975" w:type="dxa"/>
        <w:jc w:val="left"/>
        <w:tblInd w:w="0" w:type="dxa"/>
        <w:tblLayout w:type="fixed"/>
        <w:tblCellMar>
          <w:top w:w="0" w:type="dxa"/>
          <w:left w:w="0" w:type="dxa"/>
          <w:bottom w:w="0" w:type="dxa"/>
          <w:right w:w="0" w:type="dxa"/>
        </w:tblCellMar>
      </w:tblPr>
      <w:tblGrid>
        <w:gridCol w:w="1850"/>
        <w:gridCol w:w="3125"/>
      </w:tblGrid>
      <w:tr>
        <w:trPr/>
        <w:tc>
          <w:tcPr>
            <w:tcW w:w="18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14, 2026</w:t>
            </w:r>
          </w:p>
        </w:tc>
        <w:tc>
          <w:tcPr>
            <w:tcW w:w="312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Jonathan Javitt</w:t>
            </w:r>
          </w:p>
        </w:tc>
      </w:tr>
      <w:tr>
        <w:trPr/>
        <w:tc>
          <w:tcPr>
            <w:tcW w:w="185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Jonathan Javitt</w:t>
            </w:r>
          </w:p>
        </w:tc>
      </w:tr>
      <w:tr>
        <w:trPr/>
        <w:tc>
          <w:tcPr>
            <w:tcW w:w="185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Chairman and Chief Executive Officer</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2" w:name="ex_995827.htm"/>
      <w:bookmarkStart w:id="23" w:name="ksex_995827"/>
      <w:bookmarkEnd w:id="22"/>
      <w:bookmarkEnd w:id="23"/>
      <w:r>
        <w:rPr>
          <w:rFonts w:ascii="Times New Roman" w:hAnsi="Times New Roman"/>
          <w:b/>
          <w:caps w:val="false"/>
          <w:smallCaps w:val="false"/>
          <w:sz w:val="20"/>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THE ACTING CHIEF FINANCIAL OFFICER</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RULE 13a-14(a) AND 15d-14(a),</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Michael Abrams, Chief Financial Officer of NRx Pharmaceuticals, Inc., certify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w:t>
            </w:r>
          </w:p>
        </w:tc>
        <w:tc>
          <w:tcPr>
            <w:tcW w:w="100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have reviewed this Quarterly Report on Form 10-Q of NRx Pharmaceuticals, Inc. (the “Registrant”);</w:t>
            </w:r>
          </w:p>
        </w:tc>
      </w:tr>
      <w:tr>
        <w:trPr/>
        <w:tc>
          <w:tcPr>
            <w:tcW w:w="140" w:type="dxa"/>
            <w:tcBorders/>
            <w:vAlign w:val="center"/>
          </w:tcPr>
          <w:p>
            <w:pPr>
              <w:pStyle w:val="TableContents"/>
              <w:bidi w:val="0"/>
              <w:spacing w:before="0" w:after="283"/>
              <w:jc w:val="left"/>
              <w:rPr/>
            </w:pPr>
            <w:r>
              <w:rPr/>
              <w:t> </w:t>
            </w:r>
          </w:p>
        </w:tc>
        <w:tc>
          <w:tcPr>
            <w:tcW w:w="10065" w:type="dxa"/>
            <w:tcBorders/>
            <w:vAlign w:val="center"/>
          </w:tcPr>
          <w:p>
            <w:pPr>
              <w:pStyle w:val="TableContents"/>
              <w:bidi w:val="0"/>
              <w:spacing w:before="0" w:after="283"/>
              <w:jc w:val="left"/>
              <w:rPr/>
            </w:pPr>
            <w:r>
              <w:rPr/>
              <w:t> </w:t>
            </w:r>
          </w:p>
        </w:tc>
      </w:tr>
      <w:tr>
        <w:trPr/>
        <w:tc>
          <w:tcPr>
            <w:tcW w:w="1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w:t>
            </w:r>
          </w:p>
        </w:tc>
        <w:tc>
          <w:tcPr>
            <w:tcW w:w="100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tc>
      </w:tr>
      <w:tr>
        <w:trPr/>
        <w:tc>
          <w:tcPr>
            <w:tcW w:w="140" w:type="dxa"/>
            <w:tcBorders/>
            <w:vAlign w:val="center"/>
          </w:tcPr>
          <w:p>
            <w:pPr>
              <w:pStyle w:val="TableContents"/>
              <w:bidi w:val="0"/>
              <w:spacing w:before="0" w:after="283"/>
              <w:jc w:val="left"/>
              <w:rPr/>
            </w:pPr>
            <w:r>
              <w:rPr/>
              <w:t> </w:t>
            </w:r>
          </w:p>
        </w:tc>
        <w:tc>
          <w:tcPr>
            <w:tcW w:w="10065" w:type="dxa"/>
            <w:tcBorders/>
            <w:vAlign w:val="center"/>
          </w:tcPr>
          <w:p>
            <w:pPr>
              <w:pStyle w:val="TableContents"/>
              <w:bidi w:val="0"/>
              <w:spacing w:before="0" w:after="283"/>
              <w:jc w:val="left"/>
              <w:rPr/>
            </w:pPr>
            <w:r>
              <w:rPr/>
              <w:t> </w:t>
            </w:r>
          </w:p>
        </w:tc>
      </w:tr>
      <w:tr>
        <w:trPr/>
        <w:tc>
          <w:tcPr>
            <w:tcW w:w="1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w:t>
            </w:r>
          </w:p>
        </w:tc>
        <w:tc>
          <w:tcPr>
            <w:tcW w:w="100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tc>
      </w:tr>
      <w:tr>
        <w:trPr/>
        <w:tc>
          <w:tcPr>
            <w:tcW w:w="140" w:type="dxa"/>
            <w:tcBorders/>
            <w:vAlign w:val="center"/>
          </w:tcPr>
          <w:p>
            <w:pPr>
              <w:pStyle w:val="TableContents"/>
              <w:bidi w:val="0"/>
              <w:spacing w:before="0" w:after="283"/>
              <w:jc w:val="left"/>
              <w:rPr/>
            </w:pPr>
            <w:r>
              <w:rPr/>
              <w:t> </w:t>
            </w:r>
          </w:p>
        </w:tc>
        <w:tc>
          <w:tcPr>
            <w:tcW w:w="10065" w:type="dxa"/>
            <w:tcBorders/>
            <w:vAlign w:val="center"/>
          </w:tcPr>
          <w:p>
            <w:pPr>
              <w:pStyle w:val="TableContents"/>
              <w:bidi w:val="0"/>
              <w:spacing w:before="0" w:after="283"/>
              <w:jc w:val="left"/>
              <w:rPr/>
            </w:pPr>
            <w:r>
              <w:rPr/>
              <w:t> </w:t>
            </w:r>
          </w:p>
        </w:tc>
      </w:tr>
      <w:tr>
        <w:trPr/>
        <w:tc>
          <w:tcPr>
            <w:tcW w:w="1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w:t>
            </w:r>
          </w:p>
        </w:tc>
        <w:tc>
          <w:tcPr>
            <w:tcW w:w="100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Quarterly Report is being prepared;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w:t>
            </w:r>
          </w:p>
        </w:tc>
        <w:tc>
          <w:tcPr>
            <w:tcW w:w="1006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Registrant’s other certifying officer and I have disclosed, based on our most recent evaluation of internal control over financial reporting, to the Registrant’s auditors and the audit committee of the Registrant’s Company’s Board of Directors (or persons performing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6040" w:type="dxa"/>
        <w:jc w:val="left"/>
        <w:tblInd w:w="0" w:type="dxa"/>
        <w:tblLayout w:type="fixed"/>
        <w:tblCellMar>
          <w:top w:w="0" w:type="dxa"/>
          <w:left w:w="0" w:type="dxa"/>
          <w:bottom w:w="0" w:type="dxa"/>
          <w:right w:w="0" w:type="dxa"/>
        </w:tblCellMar>
      </w:tblPr>
      <w:tblGrid>
        <w:gridCol w:w="1850"/>
        <w:gridCol w:w="4190"/>
      </w:tblGrid>
      <w:tr>
        <w:trPr/>
        <w:tc>
          <w:tcPr>
            <w:tcW w:w="18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14, 2026</w:t>
            </w:r>
          </w:p>
        </w:tc>
        <w:tc>
          <w:tcPr>
            <w:tcW w:w="419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Michael Abrams</w:t>
            </w:r>
          </w:p>
        </w:tc>
      </w:tr>
      <w:tr>
        <w:trPr/>
        <w:tc>
          <w:tcPr>
            <w:tcW w:w="185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Michael Abrams</w:t>
            </w:r>
          </w:p>
        </w:tc>
      </w:tr>
      <w:tr>
        <w:trPr/>
        <w:tc>
          <w:tcPr>
            <w:tcW w:w="185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 (Principal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4" w:name="ex_995828.htm"/>
      <w:bookmarkStart w:id="25" w:name="ksex_995828"/>
      <w:bookmarkEnd w:id="24"/>
      <w:bookmarkEnd w:id="25"/>
      <w:r>
        <w:rPr>
          <w:rFonts w:ascii="Times New Roman" w:hAnsi="Times New Roman"/>
          <w:b/>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THE CHIEF EXECUTIVE OFFICER</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18 U.S.C. SECTION 1350,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 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the filing of the Quarterly Report on Form 10-Q for the period ended June 30, 2026 (the “Report”) by NRx Pharmaceuticals, Inc. (the “Registrant”), I, Jonathan Javitt, as Chief Executive Officer of the Registrant hereby certify pursuant to 18 U.S.C. Section 1350, as adopted pursuant to Section 906 of the Sarbanes-Oxley Act of 2002, that, to the best of my knowledge: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4"/>
        <w:gridCol w:w="9981"/>
      </w:tblGrid>
      <w:tr>
        <w:trPr/>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98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Report fully complies with the requirements of Section 13(a) or Section 15(d) of the Securities Exchange Act of 1934, as amended;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2"/>
        <w:gridCol w:w="9983"/>
      </w:tblGrid>
      <w:tr>
        <w:trPr/>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998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information contained in the Report fairly presents, in all material respects, the financial condition and results of operations of the Registrant.</w:t>
            </w:r>
          </w:p>
        </w:tc>
      </w:tr>
    </w:tbl>
    <w:p>
      <w:pPr>
        <w:pStyle w:val="TextBody"/>
        <w:bidi w:val="0"/>
        <w:spacing w:before="0" w:after="0"/>
        <w:ind w:left="0" w:right="0" w:hanging="0"/>
        <w:jc w:val="left"/>
        <w:rPr>
          <w:caps w:val="false"/>
          <w:smallCaps w:val="false"/>
        </w:rPr>
      </w:pPr>
      <w:r>
        <w:rPr>
          <w:caps w:val="false"/>
          <w:smallCaps w:val="false"/>
        </w:rPr>
        <w:t> </w:t>
      </w:r>
    </w:p>
    <w:tbl>
      <w:tblPr>
        <w:tblW w:w="4975" w:type="dxa"/>
        <w:jc w:val="left"/>
        <w:tblInd w:w="0" w:type="dxa"/>
        <w:tblLayout w:type="fixed"/>
        <w:tblCellMar>
          <w:top w:w="0" w:type="dxa"/>
          <w:left w:w="0" w:type="dxa"/>
          <w:bottom w:w="0" w:type="dxa"/>
          <w:right w:w="0" w:type="dxa"/>
        </w:tblCellMar>
      </w:tblPr>
      <w:tblGrid>
        <w:gridCol w:w="1850"/>
        <w:gridCol w:w="3125"/>
      </w:tblGrid>
      <w:tr>
        <w:trPr/>
        <w:tc>
          <w:tcPr>
            <w:tcW w:w="18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14, 2026</w:t>
            </w:r>
          </w:p>
        </w:tc>
        <w:tc>
          <w:tcPr>
            <w:tcW w:w="312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Jonathan Javitt</w:t>
            </w:r>
          </w:p>
        </w:tc>
      </w:tr>
      <w:tr>
        <w:trPr/>
        <w:tc>
          <w:tcPr>
            <w:tcW w:w="185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Jonathan Javitt</w:t>
            </w:r>
          </w:p>
        </w:tc>
      </w:tr>
      <w:tr>
        <w:trPr/>
        <w:tc>
          <w:tcPr>
            <w:tcW w:w="185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Chairman and Chief Executive Officer</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Registrant and will be retained by the Registrant and furnished to the Securities and Exchange Commission or its staff upon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6" w:name="ex_995829.htm"/>
      <w:bookmarkStart w:id="27" w:name="ksex_995829"/>
      <w:bookmarkEnd w:id="26"/>
      <w:bookmarkEnd w:id="27"/>
      <w:r>
        <w:rPr>
          <w:rFonts w:ascii="Times New Roman" w:hAnsi="Times New Roman"/>
          <w:b/>
          <w:caps w:val="false"/>
          <w:smallCaps w:val="false"/>
          <w:sz w:val="20"/>
        </w:rPr>
        <w:t>Exhibit 32.2</w:t>
      </w:r>
      <w:r>
        <w:br w:type="page"/>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THE ACTING CHIEF FINANCIAL OFFICER</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18 U.S.C. SECTION 1350,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 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the filing of the Quarterly Report on Form 10-Q for the period ended June 30, 2026 (the “Report”) by NRx Pharmaceuticals, Inc. (the “Registrant”), I, Michael Abrams, as Chief Financial Officer of the Registrant hereby certify pursuant to 18 U.S.C. Section 1350, as adopted pursuant to Section 906 of the Sarbanes-Oxley Act of 2002, that, to the best of my knowledge: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4"/>
        <w:gridCol w:w="9981"/>
      </w:tblGrid>
      <w:tr>
        <w:trPr/>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98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Report fully complies with the requirements of Section 13(a) or Section 15(d) of the Securities Exchange Act of 1934, as amended;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2"/>
        <w:gridCol w:w="9983"/>
      </w:tblGrid>
      <w:tr>
        <w:trPr/>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998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information contained in the Report fairly presents, in all material respects, the financial condition and results of operations of the Registrant.</w:t>
            </w:r>
          </w:p>
        </w:tc>
      </w:tr>
    </w:tbl>
    <w:p>
      <w:pPr>
        <w:pStyle w:val="TextBody"/>
        <w:bidi w:val="0"/>
        <w:spacing w:before="0" w:after="0"/>
        <w:ind w:left="0" w:right="0" w:hanging="0"/>
        <w:jc w:val="left"/>
        <w:rPr>
          <w:caps w:val="false"/>
          <w:smallCaps w:val="false"/>
        </w:rPr>
      </w:pPr>
      <w:r>
        <w:rPr>
          <w:caps w:val="false"/>
          <w:smallCaps w:val="false"/>
        </w:rPr>
        <w:t> </w:t>
      </w:r>
    </w:p>
    <w:tbl>
      <w:tblPr>
        <w:tblW w:w="6040" w:type="dxa"/>
        <w:jc w:val="left"/>
        <w:tblInd w:w="0" w:type="dxa"/>
        <w:tblLayout w:type="fixed"/>
        <w:tblCellMar>
          <w:top w:w="0" w:type="dxa"/>
          <w:left w:w="0" w:type="dxa"/>
          <w:bottom w:w="0" w:type="dxa"/>
          <w:right w:w="0" w:type="dxa"/>
        </w:tblCellMar>
      </w:tblPr>
      <w:tblGrid>
        <w:gridCol w:w="1850"/>
        <w:gridCol w:w="4190"/>
      </w:tblGrid>
      <w:tr>
        <w:trPr/>
        <w:tc>
          <w:tcPr>
            <w:tcW w:w="18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14, 2026</w:t>
            </w:r>
          </w:p>
        </w:tc>
        <w:tc>
          <w:tcPr>
            <w:tcW w:w="419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Michael Abrams</w:t>
            </w:r>
          </w:p>
        </w:tc>
      </w:tr>
      <w:tr>
        <w:trPr/>
        <w:tc>
          <w:tcPr>
            <w:tcW w:w="185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Michael Abrams</w:t>
            </w:r>
          </w:p>
        </w:tc>
      </w:tr>
      <w:tr>
        <w:trPr/>
        <w:tc>
          <w:tcPr>
            <w:tcW w:w="185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 (Principal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Registrant and will be retained by the Registrant and furnished to the Securities and Exchange Commission or its staff upon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719406/000143774926009611/ex_936637.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32709</Words>
  <Characters>181039</Characters>
  <CharactersWithSpaces>216124</CharactersWithSpaces>
  <Paragraphs>7750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